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C172C9" w14:paraId="3137F632" w14:textId="77777777" w:rsidTr="00F320AA">
        <w:trPr>
          <w:cantSplit/>
        </w:trPr>
        <w:tc>
          <w:tcPr>
            <w:tcW w:w="1418" w:type="dxa"/>
            <w:vAlign w:val="center"/>
          </w:tcPr>
          <w:p w14:paraId="31ACA3C2" w14:textId="77777777" w:rsidR="00F320AA" w:rsidRPr="00C172C9" w:rsidRDefault="00F320AA" w:rsidP="00F320AA">
            <w:pPr>
              <w:spacing w:before="0"/>
              <w:rPr>
                <w:rFonts w:ascii="Verdana" w:hAnsi="Verdana"/>
                <w:position w:val="6"/>
              </w:rPr>
            </w:pPr>
            <w:r w:rsidRPr="00C172C9">
              <w:drawing>
                <wp:inline distT="0" distB="0" distL="0" distR="0" wp14:anchorId="64CF715F" wp14:editId="053D466C">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7132A5C" w14:textId="77777777" w:rsidR="00F320AA" w:rsidRPr="00C172C9" w:rsidRDefault="00F320AA" w:rsidP="00F320AA">
            <w:pPr>
              <w:spacing w:before="400" w:after="48" w:line="240" w:lineRule="atLeast"/>
              <w:rPr>
                <w:rFonts w:ascii="Verdana" w:hAnsi="Verdana"/>
                <w:position w:val="6"/>
              </w:rPr>
            </w:pPr>
            <w:r w:rsidRPr="00C172C9">
              <w:rPr>
                <w:rFonts w:ascii="Verdana" w:hAnsi="Verdana" w:cs="Times"/>
                <w:b/>
                <w:position w:val="6"/>
                <w:sz w:val="22"/>
                <w:szCs w:val="22"/>
              </w:rPr>
              <w:t>World Radiocommunication Conference (WRC-23)</w:t>
            </w:r>
            <w:r w:rsidRPr="00C172C9">
              <w:rPr>
                <w:rFonts w:ascii="Verdana" w:hAnsi="Verdana" w:cs="Times"/>
                <w:b/>
                <w:position w:val="6"/>
                <w:sz w:val="26"/>
                <w:szCs w:val="26"/>
              </w:rPr>
              <w:br/>
            </w:r>
            <w:r w:rsidRPr="00C172C9">
              <w:rPr>
                <w:rFonts w:ascii="Verdana" w:hAnsi="Verdana"/>
                <w:b/>
                <w:bCs/>
                <w:position w:val="6"/>
                <w:sz w:val="18"/>
                <w:szCs w:val="18"/>
              </w:rPr>
              <w:t>Dubai, 20 November - 15 December 2023</w:t>
            </w:r>
          </w:p>
        </w:tc>
        <w:tc>
          <w:tcPr>
            <w:tcW w:w="1951" w:type="dxa"/>
            <w:vAlign w:val="center"/>
          </w:tcPr>
          <w:p w14:paraId="454CDFF1" w14:textId="77777777" w:rsidR="00F320AA" w:rsidRPr="00C172C9" w:rsidRDefault="00EB0812" w:rsidP="00F320AA">
            <w:pPr>
              <w:spacing w:before="0" w:line="240" w:lineRule="atLeast"/>
            </w:pPr>
            <w:r w:rsidRPr="00C172C9">
              <w:drawing>
                <wp:inline distT="0" distB="0" distL="0" distR="0" wp14:anchorId="1AC348D8" wp14:editId="50CE555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C172C9" w14:paraId="5F9DB432" w14:textId="77777777">
        <w:trPr>
          <w:cantSplit/>
        </w:trPr>
        <w:tc>
          <w:tcPr>
            <w:tcW w:w="6911" w:type="dxa"/>
            <w:gridSpan w:val="2"/>
            <w:tcBorders>
              <w:bottom w:val="single" w:sz="12" w:space="0" w:color="auto"/>
            </w:tcBorders>
          </w:tcPr>
          <w:p w14:paraId="4AECA73E" w14:textId="77777777" w:rsidR="00A066F1" w:rsidRPr="00C172C9"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3D8CF82" w14:textId="77777777" w:rsidR="00A066F1" w:rsidRPr="00C172C9" w:rsidRDefault="00A066F1" w:rsidP="00A066F1">
            <w:pPr>
              <w:spacing w:before="0" w:line="240" w:lineRule="atLeast"/>
              <w:rPr>
                <w:rFonts w:ascii="Verdana" w:hAnsi="Verdana"/>
                <w:szCs w:val="24"/>
              </w:rPr>
            </w:pPr>
          </w:p>
        </w:tc>
      </w:tr>
      <w:tr w:rsidR="00A066F1" w:rsidRPr="00C172C9" w14:paraId="4F25B35C" w14:textId="77777777">
        <w:trPr>
          <w:cantSplit/>
        </w:trPr>
        <w:tc>
          <w:tcPr>
            <w:tcW w:w="6911" w:type="dxa"/>
            <w:gridSpan w:val="2"/>
            <w:tcBorders>
              <w:top w:val="single" w:sz="12" w:space="0" w:color="auto"/>
            </w:tcBorders>
          </w:tcPr>
          <w:p w14:paraId="4016D9AD" w14:textId="77777777" w:rsidR="00A066F1" w:rsidRPr="00C172C9"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7A990D2" w14:textId="77777777" w:rsidR="00A066F1" w:rsidRPr="00C172C9" w:rsidRDefault="00A066F1" w:rsidP="00A066F1">
            <w:pPr>
              <w:spacing w:before="0" w:line="240" w:lineRule="atLeast"/>
              <w:rPr>
                <w:rFonts w:ascii="Verdana" w:hAnsi="Verdana"/>
                <w:sz w:val="20"/>
              </w:rPr>
            </w:pPr>
          </w:p>
        </w:tc>
      </w:tr>
      <w:tr w:rsidR="00A066F1" w:rsidRPr="00C172C9" w14:paraId="6C563CF4" w14:textId="77777777">
        <w:trPr>
          <w:cantSplit/>
          <w:trHeight w:val="23"/>
        </w:trPr>
        <w:tc>
          <w:tcPr>
            <w:tcW w:w="6911" w:type="dxa"/>
            <w:gridSpan w:val="2"/>
            <w:shd w:val="clear" w:color="auto" w:fill="auto"/>
          </w:tcPr>
          <w:p w14:paraId="745EBFEA" w14:textId="77777777" w:rsidR="00A066F1" w:rsidRPr="00C172C9"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C172C9">
              <w:rPr>
                <w:rFonts w:ascii="Verdana" w:hAnsi="Verdana"/>
                <w:sz w:val="20"/>
                <w:szCs w:val="20"/>
              </w:rPr>
              <w:t>PLENARY MEETING</w:t>
            </w:r>
          </w:p>
        </w:tc>
        <w:tc>
          <w:tcPr>
            <w:tcW w:w="3120" w:type="dxa"/>
            <w:gridSpan w:val="2"/>
          </w:tcPr>
          <w:p w14:paraId="71F558A2" w14:textId="77777777" w:rsidR="00A066F1" w:rsidRPr="00C172C9" w:rsidRDefault="00E55816" w:rsidP="00AA666F">
            <w:pPr>
              <w:tabs>
                <w:tab w:val="left" w:pos="851"/>
              </w:tabs>
              <w:spacing w:before="0" w:line="240" w:lineRule="atLeast"/>
              <w:rPr>
                <w:rFonts w:ascii="Verdana" w:hAnsi="Verdana"/>
                <w:sz w:val="20"/>
              </w:rPr>
            </w:pPr>
            <w:r w:rsidRPr="00C172C9">
              <w:rPr>
                <w:rFonts w:ascii="Verdana" w:hAnsi="Verdana"/>
                <w:b/>
                <w:sz w:val="20"/>
              </w:rPr>
              <w:t>Addendum 13 to</w:t>
            </w:r>
            <w:r w:rsidRPr="00C172C9">
              <w:rPr>
                <w:rFonts w:ascii="Verdana" w:hAnsi="Verdana"/>
                <w:b/>
                <w:sz w:val="20"/>
              </w:rPr>
              <w:br/>
              <w:t>Document 62(Add.27)</w:t>
            </w:r>
            <w:r w:rsidR="00A066F1" w:rsidRPr="00C172C9">
              <w:rPr>
                <w:rFonts w:ascii="Verdana" w:hAnsi="Verdana"/>
                <w:b/>
                <w:sz w:val="20"/>
              </w:rPr>
              <w:t>-</w:t>
            </w:r>
            <w:r w:rsidR="005E10C9" w:rsidRPr="00C172C9">
              <w:rPr>
                <w:rFonts w:ascii="Verdana" w:hAnsi="Verdana"/>
                <w:b/>
                <w:sz w:val="20"/>
              </w:rPr>
              <w:t>E</w:t>
            </w:r>
          </w:p>
        </w:tc>
      </w:tr>
      <w:tr w:rsidR="00A066F1" w:rsidRPr="00C172C9" w14:paraId="0799EAF6" w14:textId="77777777">
        <w:trPr>
          <w:cantSplit/>
          <w:trHeight w:val="23"/>
        </w:trPr>
        <w:tc>
          <w:tcPr>
            <w:tcW w:w="6911" w:type="dxa"/>
            <w:gridSpan w:val="2"/>
            <w:shd w:val="clear" w:color="auto" w:fill="auto"/>
          </w:tcPr>
          <w:p w14:paraId="436D5174" w14:textId="77777777" w:rsidR="00A066F1" w:rsidRPr="00C172C9"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53DAAFDF" w14:textId="77777777" w:rsidR="00A066F1" w:rsidRPr="00C172C9" w:rsidRDefault="00420873" w:rsidP="00A066F1">
            <w:pPr>
              <w:tabs>
                <w:tab w:val="left" w:pos="993"/>
              </w:tabs>
              <w:spacing w:before="0"/>
              <w:rPr>
                <w:rFonts w:ascii="Verdana" w:hAnsi="Verdana"/>
                <w:sz w:val="20"/>
              </w:rPr>
            </w:pPr>
            <w:r w:rsidRPr="00C172C9">
              <w:rPr>
                <w:rFonts w:ascii="Verdana" w:hAnsi="Verdana"/>
                <w:b/>
                <w:sz w:val="20"/>
              </w:rPr>
              <w:t>26 September 2023</w:t>
            </w:r>
          </w:p>
        </w:tc>
      </w:tr>
      <w:tr w:rsidR="00A066F1" w:rsidRPr="00C172C9" w14:paraId="1682A691" w14:textId="77777777">
        <w:trPr>
          <w:cantSplit/>
          <w:trHeight w:val="23"/>
        </w:trPr>
        <w:tc>
          <w:tcPr>
            <w:tcW w:w="6911" w:type="dxa"/>
            <w:gridSpan w:val="2"/>
            <w:shd w:val="clear" w:color="auto" w:fill="auto"/>
          </w:tcPr>
          <w:p w14:paraId="36D796E4" w14:textId="77777777" w:rsidR="00A066F1" w:rsidRPr="00C172C9"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07C47329" w14:textId="77777777" w:rsidR="00A066F1" w:rsidRPr="00C172C9" w:rsidRDefault="00E55816" w:rsidP="00A066F1">
            <w:pPr>
              <w:tabs>
                <w:tab w:val="left" w:pos="993"/>
              </w:tabs>
              <w:spacing w:before="0"/>
              <w:rPr>
                <w:rFonts w:ascii="Verdana" w:hAnsi="Verdana"/>
                <w:b/>
                <w:sz w:val="20"/>
              </w:rPr>
            </w:pPr>
            <w:r w:rsidRPr="00C172C9">
              <w:rPr>
                <w:rFonts w:ascii="Verdana" w:hAnsi="Verdana"/>
                <w:b/>
                <w:sz w:val="20"/>
              </w:rPr>
              <w:t>Original: English</w:t>
            </w:r>
          </w:p>
        </w:tc>
      </w:tr>
      <w:tr w:rsidR="00A066F1" w:rsidRPr="00C172C9" w14:paraId="0F5586F8" w14:textId="77777777" w:rsidTr="00025864">
        <w:trPr>
          <w:cantSplit/>
          <w:trHeight w:val="23"/>
        </w:trPr>
        <w:tc>
          <w:tcPr>
            <w:tcW w:w="10031" w:type="dxa"/>
            <w:gridSpan w:val="4"/>
            <w:shd w:val="clear" w:color="auto" w:fill="auto"/>
          </w:tcPr>
          <w:p w14:paraId="2D3CC4C5" w14:textId="77777777" w:rsidR="00A066F1" w:rsidRPr="00C172C9" w:rsidRDefault="00A066F1" w:rsidP="00A066F1">
            <w:pPr>
              <w:tabs>
                <w:tab w:val="left" w:pos="993"/>
              </w:tabs>
              <w:spacing w:before="0"/>
              <w:rPr>
                <w:rFonts w:ascii="Verdana" w:hAnsi="Verdana"/>
                <w:b/>
                <w:sz w:val="20"/>
              </w:rPr>
            </w:pPr>
          </w:p>
        </w:tc>
      </w:tr>
      <w:tr w:rsidR="00E55816" w:rsidRPr="00C172C9" w14:paraId="0EC867AF" w14:textId="77777777" w:rsidTr="00025864">
        <w:trPr>
          <w:cantSplit/>
          <w:trHeight w:val="23"/>
        </w:trPr>
        <w:tc>
          <w:tcPr>
            <w:tcW w:w="10031" w:type="dxa"/>
            <w:gridSpan w:val="4"/>
            <w:shd w:val="clear" w:color="auto" w:fill="auto"/>
          </w:tcPr>
          <w:p w14:paraId="5F27A3EB" w14:textId="77777777" w:rsidR="00E55816" w:rsidRPr="00C172C9" w:rsidRDefault="00884D60" w:rsidP="00E55816">
            <w:pPr>
              <w:pStyle w:val="Source"/>
            </w:pPr>
            <w:r w:rsidRPr="00C172C9">
              <w:t>Asia-Pacific Telecommunity Common Proposals</w:t>
            </w:r>
          </w:p>
        </w:tc>
      </w:tr>
      <w:tr w:rsidR="00E55816" w:rsidRPr="00C172C9" w14:paraId="2834D75A" w14:textId="77777777" w:rsidTr="00025864">
        <w:trPr>
          <w:cantSplit/>
          <w:trHeight w:val="23"/>
        </w:trPr>
        <w:tc>
          <w:tcPr>
            <w:tcW w:w="10031" w:type="dxa"/>
            <w:gridSpan w:val="4"/>
            <w:shd w:val="clear" w:color="auto" w:fill="auto"/>
          </w:tcPr>
          <w:p w14:paraId="393E5AF9" w14:textId="77777777" w:rsidR="00E55816" w:rsidRPr="00C172C9" w:rsidRDefault="007D5320" w:rsidP="00E55816">
            <w:pPr>
              <w:pStyle w:val="Title1"/>
            </w:pPr>
            <w:r w:rsidRPr="00C172C9">
              <w:t>PROPOSALS FOR THE WORK OF THE CONFERENCE</w:t>
            </w:r>
          </w:p>
        </w:tc>
      </w:tr>
      <w:tr w:rsidR="00E55816" w:rsidRPr="00C172C9" w14:paraId="588653C3" w14:textId="77777777" w:rsidTr="00025864">
        <w:trPr>
          <w:cantSplit/>
          <w:trHeight w:val="23"/>
        </w:trPr>
        <w:tc>
          <w:tcPr>
            <w:tcW w:w="10031" w:type="dxa"/>
            <w:gridSpan w:val="4"/>
            <w:shd w:val="clear" w:color="auto" w:fill="auto"/>
          </w:tcPr>
          <w:p w14:paraId="0E3669D2" w14:textId="77777777" w:rsidR="00E55816" w:rsidRPr="00C172C9" w:rsidRDefault="00E55816" w:rsidP="00E55816">
            <w:pPr>
              <w:pStyle w:val="Title2"/>
            </w:pPr>
          </w:p>
        </w:tc>
      </w:tr>
      <w:tr w:rsidR="00A538A6" w:rsidRPr="00C172C9" w14:paraId="52273664" w14:textId="77777777" w:rsidTr="00025864">
        <w:trPr>
          <w:cantSplit/>
          <w:trHeight w:val="23"/>
        </w:trPr>
        <w:tc>
          <w:tcPr>
            <w:tcW w:w="10031" w:type="dxa"/>
            <w:gridSpan w:val="4"/>
            <w:shd w:val="clear" w:color="auto" w:fill="auto"/>
          </w:tcPr>
          <w:p w14:paraId="34483BB4" w14:textId="77777777" w:rsidR="00A538A6" w:rsidRPr="00C172C9" w:rsidRDefault="004B13CB" w:rsidP="004B13CB">
            <w:pPr>
              <w:pStyle w:val="Agendaitem"/>
              <w:rPr>
                <w:lang w:val="en-GB"/>
              </w:rPr>
            </w:pPr>
            <w:r w:rsidRPr="00C172C9">
              <w:rPr>
                <w:lang w:val="en-GB"/>
              </w:rPr>
              <w:t>Agenda item 10</w:t>
            </w:r>
          </w:p>
        </w:tc>
      </w:tr>
    </w:tbl>
    <w:bookmarkEnd w:id="5"/>
    <w:bookmarkEnd w:id="6"/>
    <w:p w14:paraId="455E778A" w14:textId="77777777" w:rsidR="00187BD9" w:rsidRPr="00C172C9" w:rsidRDefault="004F77BD" w:rsidP="00025A01">
      <w:r w:rsidRPr="00C172C9">
        <w:t>10</w:t>
      </w:r>
      <w:r w:rsidRPr="00C172C9">
        <w:rPr>
          <w:b/>
          <w:bCs/>
        </w:rPr>
        <w:tab/>
      </w:r>
      <w:r w:rsidRPr="00C172C9">
        <w:t xml:space="preserve">to recommend to the ITU Council items for inclusion in the agenda for the next world radiocommunication conference, </w:t>
      </w:r>
      <w:r w:rsidRPr="00C172C9">
        <w:rPr>
          <w:iCs/>
        </w:rPr>
        <w:t xml:space="preserve">and items for the preliminary agenda of future conferences, </w:t>
      </w:r>
      <w:r w:rsidRPr="00C172C9">
        <w:t xml:space="preserve">in accordance with Article 7 of the ITU Convention </w:t>
      </w:r>
      <w:r w:rsidRPr="00C172C9">
        <w:rPr>
          <w:iCs/>
        </w:rPr>
        <w:t xml:space="preserve">and Resolution </w:t>
      </w:r>
      <w:r w:rsidRPr="00C172C9">
        <w:rPr>
          <w:b/>
          <w:bCs/>
          <w:iCs/>
        </w:rPr>
        <w:t>804 (Rev.WRC</w:t>
      </w:r>
      <w:r w:rsidRPr="00C172C9">
        <w:rPr>
          <w:b/>
          <w:bCs/>
          <w:iCs/>
        </w:rPr>
        <w:noBreakHyphen/>
        <w:t>19)</w:t>
      </w:r>
      <w:r w:rsidRPr="00C172C9">
        <w:rPr>
          <w:iCs/>
        </w:rPr>
        <w:t>,</w:t>
      </w:r>
    </w:p>
    <w:p w14:paraId="3E6F0015" w14:textId="77777777" w:rsidR="008D613A" w:rsidRPr="00C172C9" w:rsidRDefault="008D613A" w:rsidP="008D613A">
      <w:pPr>
        <w:pStyle w:val="Headingb"/>
        <w:rPr>
          <w:rFonts w:eastAsia="SimSun"/>
          <w:lang w:val="en-GB" w:eastAsia="zh-CN"/>
        </w:rPr>
      </w:pPr>
      <w:r w:rsidRPr="00C172C9">
        <w:rPr>
          <w:rFonts w:eastAsia="SimSun"/>
          <w:lang w:val="en-GB" w:eastAsia="zh-CN"/>
        </w:rPr>
        <w:t>Introduction</w:t>
      </w:r>
    </w:p>
    <w:p w14:paraId="436302EA" w14:textId="5EA6DE81" w:rsidR="008D613A" w:rsidRPr="00C172C9" w:rsidRDefault="008D613A" w:rsidP="008D613A">
      <w:r w:rsidRPr="00C172C9">
        <w:t xml:space="preserve">APT Members support an item on </w:t>
      </w:r>
      <w:r w:rsidRPr="00C172C9">
        <w:rPr>
          <w:rFonts w:eastAsia="SimSun"/>
          <w:lang w:eastAsia="zh-CN"/>
        </w:rPr>
        <w:t>technical and regulatory measures to ensure coexistence between spaceborne SAR and RDS in the frequency band 9.2-10.4 GHz</w:t>
      </w:r>
      <w:r w:rsidRPr="00C172C9">
        <w:t xml:space="preserve"> be included in the agenda of </w:t>
      </w:r>
      <w:r w:rsidR="00C172C9" w:rsidRPr="00C172C9">
        <w:t>WRC</w:t>
      </w:r>
      <w:r w:rsidR="00C172C9" w:rsidRPr="00C172C9">
        <w:noBreakHyphen/>
      </w:r>
      <w:r w:rsidRPr="00C172C9">
        <w:t>27.</w:t>
      </w:r>
    </w:p>
    <w:p w14:paraId="541CC179" w14:textId="1859C111" w:rsidR="00241FA2" w:rsidRPr="00C172C9" w:rsidRDefault="008D613A" w:rsidP="008D613A">
      <w:pPr>
        <w:pStyle w:val="Headingb"/>
        <w:rPr>
          <w:lang w:val="en-GB"/>
        </w:rPr>
      </w:pPr>
      <w:r w:rsidRPr="00C172C9">
        <w:rPr>
          <w:lang w:val="en-GB"/>
        </w:rPr>
        <w:t>Proposals</w:t>
      </w:r>
    </w:p>
    <w:p w14:paraId="6E371EB7" w14:textId="77777777" w:rsidR="00187BD9" w:rsidRPr="00C172C9" w:rsidRDefault="00187BD9" w:rsidP="00187BD9">
      <w:pPr>
        <w:tabs>
          <w:tab w:val="clear" w:pos="1134"/>
          <w:tab w:val="clear" w:pos="1871"/>
          <w:tab w:val="clear" w:pos="2268"/>
        </w:tabs>
        <w:overflowPunct/>
        <w:autoSpaceDE/>
        <w:autoSpaceDN/>
        <w:adjustRightInd/>
        <w:spacing w:before="0"/>
        <w:textAlignment w:val="auto"/>
      </w:pPr>
      <w:r w:rsidRPr="00C172C9">
        <w:br w:type="page"/>
      </w:r>
    </w:p>
    <w:p w14:paraId="53A23190" w14:textId="77777777" w:rsidR="008E0641" w:rsidRPr="00C172C9" w:rsidRDefault="004F77BD">
      <w:pPr>
        <w:pStyle w:val="Proposal"/>
      </w:pPr>
      <w:r w:rsidRPr="00C172C9">
        <w:lastRenderedPageBreak/>
        <w:t>ADD</w:t>
      </w:r>
      <w:r w:rsidRPr="00C172C9">
        <w:tab/>
        <w:t>ACP/62A27A13/1</w:t>
      </w:r>
    </w:p>
    <w:p w14:paraId="10544E7C" w14:textId="636FE507" w:rsidR="008E0641" w:rsidRPr="00C172C9" w:rsidRDefault="004F77BD">
      <w:pPr>
        <w:pStyle w:val="ResNo"/>
      </w:pPr>
      <w:r w:rsidRPr="00C172C9">
        <w:t>Draft New Resolution [ACP-</w:t>
      </w:r>
      <w:r w:rsidR="003B3E67" w:rsidRPr="00C172C9">
        <w:t>AI10-1</w:t>
      </w:r>
      <w:r w:rsidRPr="00C172C9">
        <w:t>]</w:t>
      </w:r>
      <w:r w:rsidR="003B3E67" w:rsidRPr="00C172C9">
        <w:t xml:space="preserve"> (WRC-23)</w:t>
      </w:r>
    </w:p>
    <w:p w14:paraId="0D53B77A" w14:textId="65D3A0E4" w:rsidR="008E0641" w:rsidRPr="00C172C9" w:rsidRDefault="003A7CDD">
      <w:pPr>
        <w:pStyle w:val="Restitle"/>
      </w:pPr>
      <w:bookmarkStart w:id="7" w:name="_Toc319401924"/>
      <w:bookmarkStart w:id="8" w:name="_Toc450048855"/>
      <w:r w:rsidRPr="00C172C9">
        <w:t>Agenda for the 2027 World Radiocommunication Conference</w:t>
      </w:r>
      <w:bookmarkEnd w:id="7"/>
      <w:bookmarkEnd w:id="8"/>
    </w:p>
    <w:p w14:paraId="545A721D" w14:textId="77777777" w:rsidR="00037593" w:rsidRPr="00C172C9" w:rsidRDefault="00037593" w:rsidP="00037593">
      <w:pPr>
        <w:pStyle w:val="Normalaftertitle"/>
      </w:pPr>
      <w:r w:rsidRPr="00C172C9">
        <w:t>The World Radiocommunication Conference (Dubai, 2023),</w:t>
      </w:r>
    </w:p>
    <w:p w14:paraId="2CD8ABF6" w14:textId="77777777" w:rsidR="00037593" w:rsidRPr="00C172C9" w:rsidRDefault="00037593" w:rsidP="00037593">
      <w:r w:rsidRPr="00C172C9">
        <w:t>…</w:t>
      </w:r>
    </w:p>
    <w:p w14:paraId="0F49C5A6" w14:textId="77777777" w:rsidR="00037593" w:rsidRPr="00C172C9" w:rsidRDefault="00037593" w:rsidP="00C172C9">
      <w:pPr>
        <w:pStyle w:val="Call"/>
      </w:pPr>
      <w:r w:rsidRPr="00C172C9">
        <w:t>resolves</w:t>
      </w:r>
    </w:p>
    <w:p w14:paraId="1C303D82" w14:textId="77777777" w:rsidR="00037593" w:rsidRPr="00C172C9" w:rsidRDefault="00037593" w:rsidP="00C172C9">
      <w:r w:rsidRPr="00C172C9">
        <w:t>to recommend to the Council that a WRC be held in 2027 for a maximum period of four weeks, with the following agenda:</w:t>
      </w:r>
    </w:p>
    <w:p w14:paraId="01B473A8" w14:textId="655CA39B" w:rsidR="00037593" w:rsidRPr="00C172C9" w:rsidRDefault="00037593" w:rsidP="00C172C9">
      <w:r w:rsidRPr="00C172C9">
        <w:t>1</w:t>
      </w:r>
      <w:r w:rsidRPr="00C172C9">
        <w:tab/>
      </w:r>
      <w:proofErr w:type="gramStart"/>
      <w:r w:rsidRPr="00C172C9">
        <w:t>on the basis of</w:t>
      </w:r>
      <w:proofErr w:type="gramEnd"/>
      <w:r w:rsidRPr="00C172C9">
        <w:t xml:space="preserve"> proposals from administrations, taking account of the results of </w:t>
      </w:r>
      <w:r w:rsidR="00C172C9" w:rsidRPr="00C172C9">
        <w:t>WRC</w:t>
      </w:r>
      <w:r w:rsidR="00C172C9" w:rsidRPr="00C172C9">
        <w:noBreakHyphen/>
      </w:r>
      <w:r w:rsidRPr="00C172C9">
        <w:t>23 and the Report of the Conference Preparatory Meeting, and with due regard to the requirements of existing and future services in the frequency bands under consideration, to consider the following items and take appropriate action:</w:t>
      </w:r>
    </w:p>
    <w:p w14:paraId="64C8E733" w14:textId="77777777" w:rsidR="00040802" w:rsidRPr="00C172C9" w:rsidRDefault="00040802" w:rsidP="00040802">
      <w:r w:rsidRPr="00C172C9">
        <w:t>…</w:t>
      </w:r>
    </w:p>
    <w:p w14:paraId="02C595D4" w14:textId="6E5D473E" w:rsidR="00037593" w:rsidRPr="00C172C9" w:rsidRDefault="00037593" w:rsidP="00C172C9">
      <w:pPr>
        <w:rPr>
          <w:rFonts w:eastAsia="SimSun"/>
          <w:bCs/>
          <w:iCs/>
          <w:highlight w:val="yellow"/>
          <w:lang w:eastAsia="zh-CN"/>
        </w:rPr>
      </w:pPr>
      <w:r w:rsidRPr="00C172C9">
        <w:rPr>
          <w:lang w:eastAsia="ko-KR"/>
        </w:rPr>
        <w:t>1.</w:t>
      </w:r>
      <w:r w:rsidR="00D37853" w:rsidRPr="00C172C9">
        <w:rPr>
          <w:lang w:eastAsia="ko-KR"/>
        </w:rPr>
        <w:t>3</w:t>
      </w:r>
      <w:r w:rsidRPr="00C172C9">
        <w:rPr>
          <w:lang w:eastAsia="ko-KR"/>
        </w:rPr>
        <w:tab/>
        <w:t>to study and develop technical and regulatory measures to ensure coexistence between spaceborne synthetic aperture radars (SAR) operating in the Earth exploration-satellite service (active) and radiodetermination service in the frequency band 9</w:t>
      </w:r>
      <w:r w:rsidR="00CB1944" w:rsidRPr="00C172C9">
        <w:rPr>
          <w:lang w:eastAsia="ko-KR"/>
        </w:rPr>
        <w:t> </w:t>
      </w:r>
      <w:r w:rsidRPr="00C172C9">
        <w:rPr>
          <w:lang w:eastAsia="ko-KR"/>
        </w:rPr>
        <w:t>200-10</w:t>
      </w:r>
      <w:r w:rsidR="00874253" w:rsidRPr="00C172C9">
        <w:rPr>
          <w:lang w:eastAsia="ko-KR"/>
        </w:rPr>
        <w:t> </w:t>
      </w:r>
      <w:r w:rsidRPr="00C172C9">
        <w:rPr>
          <w:lang w:eastAsia="ko-KR"/>
        </w:rPr>
        <w:t>400</w:t>
      </w:r>
      <w:r w:rsidR="00874253" w:rsidRPr="00C172C9">
        <w:rPr>
          <w:lang w:eastAsia="ko-KR"/>
        </w:rPr>
        <w:t> </w:t>
      </w:r>
      <w:r w:rsidRPr="00C172C9">
        <w:rPr>
          <w:lang w:eastAsia="ko-KR"/>
        </w:rPr>
        <w:t xml:space="preserve">MHz, in accordance with Resolution </w:t>
      </w:r>
      <w:r w:rsidRPr="00C172C9">
        <w:rPr>
          <w:b/>
          <w:bCs/>
          <w:lang w:eastAsia="ko-KR"/>
        </w:rPr>
        <w:t>[ACP-AI10-7] (</w:t>
      </w:r>
      <w:r w:rsidR="00C172C9" w:rsidRPr="00C172C9">
        <w:rPr>
          <w:b/>
          <w:bCs/>
          <w:lang w:eastAsia="ko-KR"/>
        </w:rPr>
        <w:t>WRC</w:t>
      </w:r>
      <w:r w:rsidR="00C172C9" w:rsidRPr="00C172C9">
        <w:rPr>
          <w:b/>
          <w:bCs/>
          <w:lang w:eastAsia="ko-KR"/>
        </w:rPr>
        <w:noBreakHyphen/>
      </w:r>
      <w:r w:rsidRPr="00C172C9">
        <w:rPr>
          <w:b/>
          <w:bCs/>
          <w:lang w:eastAsia="ko-KR"/>
        </w:rPr>
        <w:t>23)</w:t>
      </w:r>
      <w:r w:rsidR="00040802" w:rsidRPr="00C172C9">
        <w:rPr>
          <w:lang w:eastAsia="ko-KR"/>
        </w:rPr>
        <w:t>;</w:t>
      </w:r>
    </w:p>
    <w:p w14:paraId="7111966B" w14:textId="47B4C50C" w:rsidR="00037593" w:rsidRPr="00C172C9" w:rsidRDefault="00037593" w:rsidP="00513B9A">
      <w:r w:rsidRPr="00C172C9">
        <w:t>…</w:t>
      </w:r>
    </w:p>
    <w:p w14:paraId="5E16AFAD" w14:textId="77777777" w:rsidR="008E0641" w:rsidRPr="00C172C9" w:rsidRDefault="008E0641">
      <w:pPr>
        <w:pStyle w:val="Reasons"/>
      </w:pPr>
    </w:p>
    <w:p w14:paraId="275E57BE" w14:textId="77777777" w:rsidR="008E0641" w:rsidRPr="00C172C9" w:rsidRDefault="004F77BD">
      <w:pPr>
        <w:pStyle w:val="Proposal"/>
      </w:pPr>
      <w:r w:rsidRPr="00C172C9">
        <w:t>ADD</w:t>
      </w:r>
      <w:r w:rsidRPr="00C172C9">
        <w:tab/>
        <w:t>ACP/62A27A13/2</w:t>
      </w:r>
    </w:p>
    <w:p w14:paraId="6958C9F8" w14:textId="3DAEE049" w:rsidR="008E0641" w:rsidRPr="00C172C9" w:rsidRDefault="004F77BD">
      <w:pPr>
        <w:pStyle w:val="ResNo"/>
      </w:pPr>
      <w:r w:rsidRPr="00C172C9">
        <w:t>Draft New Resolution [ACP-</w:t>
      </w:r>
      <w:r w:rsidR="00DA2AA1" w:rsidRPr="00C172C9">
        <w:t>AI10-7</w:t>
      </w:r>
      <w:r w:rsidRPr="00C172C9">
        <w:t>]</w:t>
      </w:r>
      <w:r w:rsidR="00EC5883" w:rsidRPr="00C172C9">
        <w:t xml:space="preserve"> (</w:t>
      </w:r>
      <w:r w:rsidR="00C172C9" w:rsidRPr="00C172C9">
        <w:t>WRC</w:t>
      </w:r>
      <w:r w:rsidR="00C172C9" w:rsidRPr="00C172C9">
        <w:noBreakHyphen/>
      </w:r>
      <w:r w:rsidR="00EC5883" w:rsidRPr="00C172C9">
        <w:t>23)</w:t>
      </w:r>
    </w:p>
    <w:p w14:paraId="0E4926E8" w14:textId="398A8EC9" w:rsidR="008E0641" w:rsidRPr="00C172C9" w:rsidRDefault="00B42F25">
      <w:pPr>
        <w:pStyle w:val="Restitle"/>
      </w:pPr>
      <w:r w:rsidRPr="00C172C9">
        <w:t xml:space="preserve">Studies on </w:t>
      </w:r>
      <w:r w:rsidRPr="00C172C9">
        <w:rPr>
          <w:rFonts w:eastAsia="DengXian"/>
          <w:lang w:eastAsia="zh-CN"/>
        </w:rPr>
        <w:t>technical and regulatory measures to ensure coexistence between spaceborne synthetic aperture radars operating in the Earth exploration-satellite service (active) and radiodetermination service in the frequency band 9 200-10</w:t>
      </w:r>
      <w:r w:rsidR="00720195" w:rsidRPr="00C172C9">
        <w:rPr>
          <w:rFonts w:eastAsia="DengXian"/>
          <w:lang w:eastAsia="zh-CN"/>
        </w:rPr>
        <w:t> </w:t>
      </w:r>
      <w:r w:rsidRPr="00C172C9">
        <w:rPr>
          <w:rFonts w:eastAsia="DengXian"/>
          <w:lang w:eastAsia="zh-CN"/>
        </w:rPr>
        <w:t>400</w:t>
      </w:r>
      <w:r w:rsidR="00720195" w:rsidRPr="00C172C9">
        <w:rPr>
          <w:rFonts w:eastAsia="DengXian"/>
          <w:lang w:eastAsia="zh-CN"/>
        </w:rPr>
        <w:t> </w:t>
      </w:r>
      <w:r w:rsidRPr="00C172C9">
        <w:rPr>
          <w:rFonts w:eastAsia="DengXian"/>
          <w:lang w:eastAsia="zh-CN"/>
        </w:rPr>
        <w:t>MHz</w:t>
      </w:r>
    </w:p>
    <w:p w14:paraId="1876BD18" w14:textId="77777777" w:rsidR="00EC5883" w:rsidRPr="00C172C9" w:rsidRDefault="00EC5883" w:rsidP="00EC5883">
      <w:pPr>
        <w:pStyle w:val="Normalaftertitle"/>
      </w:pPr>
      <w:r w:rsidRPr="00C172C9">
        <w:t>The World Radiocommunication Conference (</w:t>
      </w:r>
      <w:r w:rsidRPr="00C172C9">
        <w:rPr>
          <w:rFonts w:eastAsia="DengXian"/>
          <w:lang w:eastAsia="zh-CN"/>
        </w:rPr>
        <w:t>Dubai</w:t>
      </w:r>
      <w:r w:rsidRPr="00C172C9">
        <w:t>, 2023),</w:t>
      </w:r>
    </w:p>
    <w:p w14:paraId="1E4102AF" w14:textId="77777777" w:rsidR="00EC5883" w:rsidRPr="00C172C9" w:rsidRDefault="00EC5883" w:rsidP="00EC5883">
      <w:pPr>
        <w:pStyle w:val="Call"/>
      </w:pPr>
      <w:r w:rsidRPr="00C172C9">
        <w:t>considering</w:t>
      </w:r>
    </w:p>
    <w:p w14:paraId="3F10B98F" w14:textId="54A50C89" w:rsidR="00EC5883" w:rsidRPr="00C172C9" w:rsidRDefault="00EC5883" w:rsidP="00C172C9">
      <w:pPr>
        <w:rPr>
          <w:rFonts w:eastAsia="DengXian"/>
        </w:rPr>
      </w:pPr>
      <w:r w:rsidRPr="00C172C9">
        <w:rPr>
          <w:rFonts w:eastAsia="DengXian"/>
          <w:i/>
          <w:iCs/>
        </w:rPr>
        <w:t>a)</w:t>
      </w:r>
      <w:r w:rsidRPr="00C172C9">
        <w:rPr>
          <w:rFonts w:eastAsia="DengXian"/>
        </w:rPr>
        <w:tab/>
        <w:t xml:space="preserve">that </w:t>
      </w:r>
      <w:r w:rsidRPr="00C172C9">
        <w:rPr>
          <w:rFonts w:eastAsia="DengXian"/>
          <w:lang w:eastAsia="zh-CN"/>
        </w:rPr>
        <w:t>t</w:t>
      </w:r>
      <w:r w:rsidRPr="00C172C9">
        <w:rPr>
          <w:rFonts w:eastAsia="DengXian"/>
        </w:rPr>
        <w:t xml:space="preserve">he Earth exploration-satellite service (active) is used for </w:t>
      </w:r>
      <w:r w:rsidRPr="00C172C9">
        <w:rPr>
          <w:rFonts w:eastAsia="DengXian"/>
          <w:lang w:eastAsia="zh-CN"/>
        </w:rPr>
        <w:t xml:space="preserve">various </w:t>
      </w:r>
      <w:r w:rsidRPr="00C172C9">
        <w:rPr>
          <w:rFonts w:eastAsia="DengXian"/>
        </w:rPr>
        <w:t>active spaceborne sensor</w:t>
      </w:r>
      <w:r w:rsidRPr="00C172C9">
        <w:rPr>
          <w:rFonts w:eastAsia="DengXian"/>
          <w:lang w:eastAsia="zh-CN"/>
        </w:rPr>
        <w:t xml:space="preserve"> applications</w:t>
      </w:r>
      <w:r w:rsidRPr="00C172C9">
        <w:rPr>
          <w:rFonts w:eastAsia="DengXian"/>
        </w:rPr>
        <w:t xml:space="preserve">, </w:t>
      </w:r>
      <w:r w:rsidRPr="00C172C9">
        <w:rPr>
          <w:rFonts w:eastAsia="DengXian"/>
          <w:lang w:eastAsia="zh-CN"/>
        </w:rPr>
        <w:t>a</w:t>
      </w:r>
      <w:r w:rsidRPr="00C172C9">
        <w:rPr>
          <w:rFonts w:eastAsia="DengXian"/>
        </w:rPr>
        <w:t xml:space="preserve">mong </w:t>
      </w:r>
      <w:r w:rsidRPr="00C172C9">
        <w:rPr>
          <w:rFonts w:eastAsia="DengXian"/>
          <w:lang w:eastAsia="zh-CN"/>
        </w:rPr>
        <w:t>which</w:t>
      </w:r>
      <w:r w:rsidRPr="00C172C9">
        <w:rPr>
          <w:rFonts w:eastAsia="DengXian"/>
        </w:rPr>
        <w:t xml:space="preserve"> synthetic aperture radar (SAR)</w:t>
      </w:r>
      <w:r w:rsidRPr="00C172C9">
        <w:rPr>
          <w:rFonts w:eastAsia="DengXian"/>
          <w:lang w:eastAsia="zh-CN"/>
        </w:rPr>
        <w:t xml:space="preserve"> </w:t>
      </w:r>
      <w:r w:rsidRPr="00C172C9">
        <w:rPr>
          <w:rFonts w:eastAsia="DengXian"/>
        </w:rPr>
        <w:t xml:space="preserve">is the most widely used </w:t>
      </w:r>
      <w:r w:rsidRPr="00C172C9">
        <w:rPr>
          <w:rFonts w:eastAsia="DengXian"/>
          <w:lang w:eastAsia="zh-CN"/>
        </w:rPr>
        <w:t>application;</w:t>
      </w:r>
    </w:p>
    <w:p w14:paraId="7FAB6F73" w14:textId="23188C3A" w:rsidR="00EC5883" w:rsidRPr="00C172C9" w:rsidRDefault="00EC5883" w:rsidP="00C172C9">
      <w:pPr>
        <w:rPr>
          <w:rFonts w:eastAsia="DengXian"/>
          <w:lang w:eastAsia="zh-CN"/>
        </w:rPr>
      </w:pPr>
      <w:r w:rsidRPr="00C172C9">
        <w:rPr>
          <w:rFonts w:eastAsia="DengXian"/>
          <w:i/>
          <w:iCs/>
        </w:rPr>
        <w:t>b)</w:t>
      </w:r>
      <w:r w:rsidRPr="00C172C9">
        <w:rPr>
          <w:rFonts w:eastAsia="DengXian"/>
        </w:rPr>
        <w:tab/>
      </w:r>
      <w:r w:rsidRPr="00C172C9">
        <w:rPr>
          <w:rFonts w:eastAsia="DengXian"/>
          <w:lang w:eastAsia="zh-CN"/>
        </w:rPr>
        <w:t xml:space="preserve">that following the decisions of </w:t>
      </w:r>
      <w:r w:rsidR="00C172C9" w:rsidRPr="00C172C9">
        <w:rPr>
          <w:rFonts w:eastAsia="DengXian"/>
          <w:lang w:eastAsia="zh-CN"/>
        </w:rPr>
        <w:t>WRC</w:t>
      </w:r>
      <w:r w:rsidR="00C172C9" w:rsidRPr="00C172C9">
        <w:rPr>
          <w:rFonts w:eastAsia="DengXian"/>
          <w:lang w:eastAsia="zh-CN"/>
        </w:rPr>
        <w:noBreakHyphen/>
      </w:r>
      <w:r w:rsidRPr="00C172C9">
        <w:rPr>
          <w:rFonts w:eastAsia="DengXian"/>
          <w:lang w:eastAsia="zh-CN"/>
        </w:rPr>
        <w:t xml:space="preserve">07 and </w:t>
      </w:r>
      <w:r w:rsidR="00C172C9" w:rsidRPr="00C172C9">
        <w:rPr>
          <w:rFonts w:eastAsia="DengXian"/>
          <w:lang w:eastAsia="zh-CN"/>
        </w:rPr>
        <w:t>WRC</w:t>
      </w:r>
      <w:r w:rsidR="00C172C9" w:rsidRPr="00C172C9">
        <w:rPr>
          <w:rFonts w:eastAsia="DengXian"/>
          <w:lang w:eastAsia="zh-CN"/>
        </w:rPr>
        <w:noBreakHyphen/>
      </w:r>
      <w:r w:rsidRPr="00C172C9">
        <w:rPr>
          <w:rFonts w:eastAsia="DengXian"/>
          <w:lang w:eastAsia="zh-CN"/>
        </w:rPr>
        <w:t xml:space="preserve">15, the allocation of the </w:t>
      </w:r>
      <w:r w:rsidRPr="00C172C9">
        <w:rPr>
          <w:rFonts w:eastAsia="DengXian"/>
        </w:rPr>
        <w:t>Earth exploration-satellite service (active)</w:t>
      </w:r>
      <w:r w:rsidRPr="00C172C9">
        <w:rPr>
          <w:rFonts w:eastAsia="DengXian"/>
          <w:lang w:eastAsia="zh-CN"/>
        </w:rPr>
        <w:t xml:space="preserve"> in X band was extended from 9</w:t>
      </w:r>
      <w:r w:rsidR="006E3E34" w:rsidRPr="00C172C9">
        <w:rPr>
          <w:rFonts w:eastAsia="DengXian"/>
          <w:lang w:eastAsia="zh-CN"/>
        </w:rPr>
        <w:t> </w:t>
      </w:r>
      <w:r w:rsidRPr="00C172C9">
        <w:rPr>
          <w:rFonts w:eastAsia="DengXian"/>
          <w:lang w:eastAsia="zh-CN"/>
        </w:rPr>
        <w:t>500-9</w:t>
      </w:r>
      <w:r w:rsidR="006E3E34" w:rsidRPr="00C172C9">
        <w:rPr>
          <w:rFonts w:eastAsia="DengXian"/>
          <w:lang w:eastAsia="zh-CN"/>
        </w:rPr>
        <w:t> </w:t>
      </w:r>
      <w:r w:rsidRPr="00C172C9">
        <w:rPr>
          <w:rFonts w:eastAsia="DengXian"/>
          <w:lang w:eastAsia="zh-CN"/>
        </w:rPr>
        <w:t>800</w:t>
      </w:r>
      <w:r w:rsidR="006E3E34" w:rsidRPr="00C172C9">
        <w:rPr>
          <w:rFonts w:eastAsia="DengXian"/>
          <w:lang w:eastAsia="zh-CN"/>
        </w:rPr>
        <w:t> </w:t>
      </w:r>
      <w:r w:rsidRPr="00C172C9">
        <w:rPr>
          <w:rFonts w:eastAsia="DengXian"/>
          <w:lang w:eastAsia="zh-CN"/>
        </w:rPr>
        <w:t>MHz to 9</w:t>
      </w:r>
      <w:r w:rsidR="006E3E34" w:rsidRPr="00C172C9">
        <w:rPr>
          <w:rFonts w:eastAsia="DengXian"/>
          <w:lang w:eastAsia="zh-CN"/>
        </w:rPr>
        <w:t> </w:t>
      </w:r>
      <w:r w:rsidRPr="00C172C9">
        <w:rPr>
          <w:rFonts w:eastAsia="DengXian"/>
          <w:lang w:eastAsia="zh-CN"/>
        </w:rPr>
        <w:t>200-10</w:t>
      </w:r>
      <w:r w:rsidR="008662F4" w:rsidRPr="00C172C9">
        <w:rPr>
          <w:rFonts w:eastAsia="DengXian"/>
          <w:lang w:eastAsia="zh-CN"/>
        </w:rPr>
        <w:t> </w:t>
      </w:r>
      <w:r w:rsidRPr="00C172C9">
        <w:rPr>
          <w:rFonts w:eastAsia="DengXian"/>
          <w:lang w:eastAsia="zh-CN"/>
        </w:rPr>
        <w:t>400</w:t>
      </w:r>
      <w:r w:rsidR="006E3E34" w:rsidRPr="00C172C9">
        <w:rPr>
          <w:rFonts w:eastAsia="DengXian"/>
          <w:lang w:eastAsia="zh-CN"/>
        </w:rPr>
        <w:t> </w:t>
      </w:r>
      <w:r w:rsidRPr="00C172C9">
        <w:rPr>
          <w:rFonts w:eastAsia="DengXian"/>
          <w:lang w:eastAsia="zh-CN"/>
        </w:rPr>
        <w:t>MHz, which is shared with the radiodetermination service, including radiolocation and radionavigation services;</w:t>
      </w:r>
    </w:p>
    <w:p w14:paraId="6EDF7A12" w14:textId="4397278B" w:rsidR="00EC5883" w:rsidRPr="00C172C9" w:rsidRDefault="00EC5883" w:rsidP="00EC5883">
      <w:pPr>
        <w:rPr>
          <w:rFonts w:eastAsia="DengXian"/>
          <w:lang w:eastAsia="zh-CN"/>
        </w:rPr>
      </w:pPr>
      <w:r w:rsidRPr="00C172C9">
        <w:rPr>
          <w:rFonts w:eastAsia="DengXian"/>
          <w:i/>
          <w:iCs/>
        </w:rPr>
        <w:lastRenderedPageBreak/>
        <w:t>c)</w:t>
      </w:r>
      <w:r w:rsidRPr="00C172C9">
        <w:rPr>
          <w:rFonts w:eastAsia="DengXian"/>
        </w:rPr>
        <w:tab/>
      </w:r>
      <w:r w:rsidRPr="00C172C9">
        <w:rPr>
          <w:rFonts w:eastAsia="DengXian"/>
          <w:lang w:eastAsia="zh-CN"/>
        </w:rPr>
        <w:t xml:space="preserve">that under the assumptions and system parameters before </w:t>
      </w:r>
      <w:r w:rsidR="00C172C9" w:rsidRPr="00C172C9">
        <w:rPr>
          <w:rFonts w:eastAsia="DengXian"/>
          <w:lang w:eastAsia="zh-CN"/>
        </w:rPr>
        <w:t>WRC</w:t>
      </w:r>
      <w:r w:rsidR="00C172C9" w:rsidRPr="00C172C9">
        <w:rPr>
          <w:rFonts w:eastAsia="DengXian"/>
          <w:lang w:eastAsia="zh-CN"/>
        </w:rPr>
        <w:noBreakHyphen/>
      </w:r>
      <w:r w:rsidRPr="00C172C9">
        <w:rPr>
          <w:rFonts w:eastAsia="DengXian"/>
          <w:lang w:eastAsia="zh-CN"/>
        </w:rPr>
        <w:t xml:space="preserve">15, the </w:t>
      </w:r>
      <w:r w:rsidR="00C172C9" w:rsidRPr="00C172C9">
        <w:rPr>
          <w:rFonts w:eastAsia="DengXian"/>
          <w:lang w:eastAsia="zh-CN"/>
        </w:rPr>
        <w:t>ITU</w:t>
      </w:r>
      <w:r w:rsidR="00C172C9" w:rsidRPr="00C172C9">
        <w:rPr>
          <w:rFonts w:eastAsia="DengXian"/>
          <w:lang w:eastAsia="zh-CN"/>
        </w:rPr>
        <w:noBreakHyphen/>
      </w:r>
      <w:r w:rsidRPr="00C172C9">
        <w:rPr>
          <w:rFonts w:eastAsia="DengXian"/>
          <w:lang w:eastAsia="zh-CN"/>
        </w:rPr>
        <w:t xml:space="preserve">R studies concluded that the time percentage of the occurrence of the interference to the radiodetermination service would be low, and based on these conclusions the two WRCs made the extended allocations to Earth exploration-satellite service (active) successively; </w:t>
      </w:r>
    </w:p>
    <w:p w14:paraId="0E5B08F1" w14:textId="3A297854" w:rsidR="00EC5883" w:rsidRPr="00C172C9" w:rsidRDefault="00EC5883" w:rsidP="00EC5883">
      <w:pPr>
        <w:rPr>
          <w:rFonts w:eastAsia="DengXian"/>
          <w:lang w:eastAsia="zh-CN"/>
        </w:rPr>
      </w:pPr>
      <w:r w:rsidRPr="00C172C9">
        <w:rPr>
          <w:rFonts w:eastAsia="DengXian"/>
          <w:i/>
          <w:iCs/>
        </w:rPr>
        <w:t>d)</w:t>
      </w:r>
      <w:r w:rsidRPr="00C172C9">
        <w:rPr>
          <w:rFonts w:eastAsia="DengXian"/>
        </w:rPr>
        <w:tab/>
      </w:r>
      <w:r w:rsidRPr="00C172C9">
        <w:rPr>
          <w:rFonts w:eastAsia="DengXian"/>
          <w:lang w:eastAsia="zh-CN"/>
        </w:rPr>
        <w:t>that in recent years, with the advancement of technology and the reduction of cost, the number of SAR satellites in the frequency band 9</w:t>
      </w:r>
      <w:r w:rsidR="00720195" w:rsidRPr="00C172C9">
        <w:rPr>
          <w:rFonts w:eastAsia="DengXian"/>
          <w:lang w:eastAsia="zh-CN"/>
        </w:rPr>
        <w:t> </w:t>
      </w:r>
      <w:r w:rsidRPr="00C172C9">
        <w:rPr>
          <w:rFonts w:eastAsia="DengXian"/>
          <w:lang w:eastAsia="zh-CN"/>
        </w:rPr>
        <w:t>200-10</w:t>
      </w:r>
      <w:r w:rsidR="00720195" w:rsidRPr="00C172C9">
        <w:rPr>
          <w:rFonts w:eastAsia="DengXian"/>
          <w:lang w:eastAsia="zh-CN"/>
        </w:rPr>
        <w:t> </w:t>
      </w:r>
      <w:r w:rsidRPr="00C172C9">
        <w:rPr>
          <w:rFonts w:eastAsia="DengXian"/>
          <w:lang w:eastAsia="zh-CN"/>
        </w:rPr>
        <w:t>400</w:t>
      </w:r>
      <w:r w:rsidR="00720195" w:rsidRPr="00C172C9">
        <w:rPr>
          <w:rFonts w:eastAsia="DengXian"/>
          <w:lang w:eastAsia="zh-CN"/>
        </w:rPr>
        <w:t> </w:t>
      </w:r>
      <w:r w:rsidRPr="00C172C9">
        <w:rPr>
          <w:rFonts w:eastAsia="DengXian"/>
          <w:lang w:eastAsia="zh-CN"/>
        </w:rPr>
        <w:t xml:space="preserve">MHz increased significantly through the world, which is far beyond the assumptions made in the past </w:t>
      </w:r>
      <w:r w:rsidR="00C172C9" w:rsidRPr="00C172C9">
        <w:rPr>
          <w:rFonts w:eastAsia="DengXian"/>
          <w:lang w:eastAsia="zh-CN"/>
        </w:rPr>
        <w:t>ITU</w:t>
      </w:r>
      <w:r w:rsidR="00C172C9" w:rsidRPr="00C172C9">
        <w:rPr>
          <w:rFonts w:eastAsia="DengXian"/>
          <w:lang w:eastAsia="zh-CN"/>
        </w:rPr>
        <w:noBreakHyphen/>
      </w:r>
      <w:r w:rsidRPr="00C172C9">
        <w:rPr>
          <w:rFonts w:eastAsia="DengXian"/>
          <w:lang w:eastAsia="zh-CN"/>
        </w:rPr>
        <w:t>R studies;</w:t>
      </w:r>
    </w:p>
    <w:p w14:paraId="5572B787" w14:textId="068D45DC" w:rsidR="00EC5883" w:rsidRPr="00C172C9" w:rsidRDefault="00EC5883" w:rsidP="00EC5883">
      <w:pPr>
        <w:rPr>
          <w:rFonts w:eastAsia="DengXian"/>
          <w:lang w:eastAsia="zh-CN"/>
        </w:rPr>
      </w:pPr>
      <w:r w:rsidRPr="00C172C9">
        <w:rPr>
          <w:rFonts w:eastAsia="DengXian"/>
          <w:i/>
          <w:iCs/>
        </w:rPr>
        <w:t>e)</w:t>
      </w:r>
      <w:r w:rsidRPr="00C172C9">
        <w:rPr>
          <w:rFonts w:eastAsia="DengXian"/>
        </w:rPr>
        <w:tab/>
      </w:r>
      <w:r w:rsidRPr="00C172C9">
        <w:rPr>
          <w:rFonts w:eastAsia="DengXian"/>
          <w:lang w:eastAsia="zh-CN"/>
        </w:rPr>
        <w:t xml:space="preserve">that the system parameters of SAR satellites also changed from the past </w:t>
      </w:r>
      <w:r w:rsidR="00C172C9" w:rsidRPr="00C172C9">
        <w:rPr>
          <w:rFonts w:eastAsia="DengXian"/>
          <w:lang w:eastAsia="zh-CN"/>
        </w:rPr>
        <w:t>ITU</w:t>
      </w:r>
      <w:r w:rsidR="00C172C9" w:rsidRPr="00C172C9">
        <w:rPr>
          <w:rFonts w:eastAsia="DengXian"/>
          <w:lang w:eastAsia="zh-CN"/>
        </w:rPr>
        <w:noBreakHyphen/>
      </w:r>
      <w:r w:rsidRPr="00C172C9">
        <w:rPr>
          <w:rFonts w:eastAsia="DengXian"/>
          <w:lang w:eastAsia="zh-CN"/>
        </w:rPr>
        <w:t>R studies during recent years;</w:t>
      </w:r>
    </w:p>
    <w:p w14:paraId="2CF795CE" w14:textId="3ED85247" w:rsidR="00EC5883" w:rsidRPr="00C172C9" w:rsidRDefault="00EC5883" w:rsidP="00EC5883">
      <w:pPr>
        <w:rPr>
          <w:rFonts w:eastAsia="DengXian"/>
          <w:lang w:eastAsia="zh-CN"/>
        </w:rPr>
      </w:pPr>
      <w:r w:rsidRPr="00C172C9">
        <w:rPr>
          <w:rFonts w:eastAsia="DengXian"/>
          <w:i/>
          <w:iCs/>
        </w:rPr>
        <w:t>f)</w:t>
      </w:r>
      <w:r w:rsidRPr="00C172C9">
        <w:rPr>
          <w:rFonts w:eastAsia="DengXian"/>
        </w:rPr>
        <w:tab/>
      </w:r>
      <w:r w:rsidRPr="00C172C9">
        <w:rPr>
          <w:rFonts w:eastAsia="DengXian"/>
          <w:lang w:eastAsia="zh-CN"/>
        </w:rPr>
        <w:t xml:space="preserve">that the growing usage of spaceborne SAR transmitters, as referred in the situations in </w:t>
      </w:r>
      <w:r w:rsidRPr="00C172C9">
        <w:rPr>
          <w:rFonts w:eastAsia="DengXian"/>
          <w:i/>
          <w:lang w:eastAsia="zh-CN"/>
        </w:rPr>
        <w:t>considering d)</w:t>
      </w:r>
      <w:r w:rsidRPr="00C172C9">
        <w:rPr>
          <w:rFonts w:eastAsia="DengXian"/>
          <w:lang w:eastAsia="zh-CN"/>
        </w:rPr>
        <w:t xml:space="preserve"> and </w:t>
      </w:r>
      <w:r w:rsidRPr="00C172C9">
        <w:rPr>
          <w:rFonts w:eastAsia="DengXian"/>
          <w:i/>
          <w:lang w:eastAsia="zh-CN"/>
        </w:rPr>
        <w:t>e),</w:t>
      </w:r>
      <w:r w:rsidRPr="00C172C9">
        <w:rPr>
          <w:rFonts w:eastAsia="DengXian"/>
          <w:lang w:eastAsia="zh-CN"/>
        </w:rPr>
        <w:t xml:space="preserve"> will increase the probability of interference between r</w:t>
      </w:r>
      <w:r w:rsidRPr="00C172C9">
        <w:t xml:space="preserve">adiodetermination </w:t>
      </w:r>
      <w:r w:rsidRPr="00C172C9">
        <w:rPr>
          <w:rFonts w:eastAsia="DengXian"/>
          <w:lang w:eastAsia="zh-CN"/>
        </w:rPr>
        <w:t xml:space="preserve">radars and SAR satellites, and there is a need to review technical measures and regulatory provisions to ensure the </w:t>
      </w:r>
      <w:r w:rsidRPr="00C172C9">
        <w:t>coexistence between these two systems</w:t>
      </w:r>
      <w:r w:rsidR="00077500" w:rsidRPr="00C172C9">
        <w:rPr>
          <w:rFonts w:eastAsia="DengXian"/>
          <w:lang w:eastAsia="zh-CN"/>
        </w:rPr>
        <w:t>,</w:t>
      </w:r>
    </w:p>
    <w:p w14:paraId="313AB88F" w14:textId="77777777" w:rsidR="00EC5883" w:rsidRPr="00C172C9" w:rsidRDefault="00EC5883" w:rsidP="00C172C9">
      <w:pPr>
        <w:pStyle w:val="Call"/>
        <w:rPr>
          <w:rFonts w:eastAsia="DengXian"/>
          <w:lang w:eastAsia="zh-CN"/>
        </w:rPr>
      </w:pPr>
      <w:r w:rsidRPr="00C172C9">
        <w:rPr>
          <w:rFonts w:eastAsia="DengXian"/>
          <w:lang w:eastAsia="zh-CN"/>
        </w:rPr>
        <w:t>noting</w:t>
      </w:r>
    </w:p>
    <w:p w14:paraId="34C70CAF" w14:textId="7890407A" w:rsidR="00EC5883" w:rsidRPr="00C172C9" w:rsidRDefault="00EC5883" w:rsidP="00C172C9">
      <w:pPr>
        <w:rPr>
          <w:rFonts w:eastAsia="DengXian"/>
          <w:lang w:eastAsia="zh-CN"/>
        </w:rPr>
      </w:pPr>
      <w:r w:rsidRPr="00C172C9">
        <w:rPr>
          <w:rFonts w:eastAsia="DengXian"/>
          <w:i/>
        </w:rPr>
        <w:t>a)</w:t>
      </w:r>
      <w:r w:rsidRPr="00C172C9">
        <w:rPr>
          <w:rFonts w:eastAsia="DengXian"/>
          <w:iCs/>
        </w:rPr>
        <w:tab/>
      </w:r>
      <w:r w:rsidRPr="00C172C9">
        <w:rPr>
          <w:rFonts w:eastAsia="DengXian"/>
          <w:lang w:eastAsia="zh-CN"/>
        </w:rPr>
        <w:t>that No. </w:t>
      </w:r>
      <w:r w:rsidRPr="00C172C9">
        <w:rPr>
          <w:rStyle w:val="Artref"/>
          <w:rFonts w:eastAsia="DengXian"/>
          <w:b/>
          <w:bCs/>
        </w:rPr>
        <w:t>5.474A</w:t>
      </w:r>
      <w:r w:rsidRPr="00C172C9">
        <w:rPr>
          <w:rFonts w:eastAsia="DengXian"/>
        </w:rPr>
        <w:t xml:space="preserve"> stipulates that t</w:t>
      </w:r>
      <w:r w:rsidRPr="00C172C9">
        <w:rPr>
          <w:lang w:eastAsia="zh-CN"/>
        </w:rPr>
        <w:t>he use of the frequency bands 9</w:t>
      </w:r>
      <w:r w:rsidR="00720195" w:rsidRPr="00C172C9">
        <w:rPr>
          <w:lang w:eastAsia="zh-CN"/>
        </w:rPr>
        <w:t> </w:t>
      </w:r>
      <w:r w:rsidRPr="00C172C9">
        <w:rPr>
          <w:lang w:eastAsia="zh-CN"/>
        </w:rPr>
        <w:t>200-</w:t>
      </w:r>
      <w:r w:rsidRPr="00C172C9">
        <w:t>9</w:t>
      </w:r>
      <w:r w:rsidR="00720195" w:rsidRPr="00C172C9">
        <w:t> </w:t>
      </w:r>
      <w:r w:rsidRPr="00C172C9">
        <w:t>300</w:t>
      </w:r>
      <w:r w:rsidR="00720195" w:rsidRPr="00C172C9">
        <w:rPr>
          <w:lang w:eastAsia="zh-CN"/>
        </w:rPr>
        <w:t> </w:t>
      </w:r>
      <w:r w:rsidRPr="00C172C9">
        <w:rPr>
          <w:lang w:eastAsia="zh-CN"/>
        </w:rPr>
        <w:t>MHz and 9</w:t>
      </w:r>
      <w:r w:rsidR="00500A05" w:rsidRPr="00C172C9">
        <w:rPr>
          <w:lang w:eastAsia="zh-CN"/>
        </w:rPr>
        <w:t> </w:t>
      </w:r>
      <w:r w:rsidRPr="00C172C9">
        <w:rPr>
          <w:lang w:eastAsia="zh-CN"/>
        </w:rPr>
        <w:t>900-10</w:t>
      </w:r>
      <w:r w:rsidR="00720195" w:rsidRPr="00C172C9">
        <w:rPr>
          <w:lang w:eastAsia="zh-CN"/>
        </w:rPr>
        <w:t> </w:t>
      </w:r>
      <w:r w:rsidRPr="00C172C9">
        <w:rPr>
          <w:lang w:eastAsia="zh-CN"/>
        </w:rPr>
        <w:t>400</w:t>
      </w:r>
      <w:r w:rsidR="00720195" w:rsidRPr="00C172C9">
        <w:rPr>
          <w:lang w:eastAsia="zh-CN"/>
        </w:rPr>
        <w:t> </w:t>
      </w:r>
      <w:r w:rsidRPr="00C172C9">
        <w:rPr>
          <w:lang w:eastAsia="zh-CN"/>
        </w:rPr>
        <w:t>MHz by the Earth exploration-satellite service (active) is subject to agreement to be obtained under No.</w:t>
      </w:r>
      <w:r w:rsidR="00720195" w:rsidRPr="00C172C9">
        <w:rPr>
          <w:lang w:eastAsia="zh-CN"/>
        </w:rPr>
        <w:t> </w:t>
      </w:r>
      <w:r w:rsidRPr="00C172C9">
        <w:rPr>
          <w:rStyle w:val="Artref"/>
          <w:b/>
          <w:bCs/>
        </w:rPr>
        <w:t>9.21</w:t>
      </w:r>
      <w:r w:rsidRPr="00C172C9">
        <w:rPr>
          <w:lang w:eastAsia="zh-CN"/>
        </w:rPr>
        <w:t xml:space="preserve"> from</w:t>
      </w:r>
      <w:r w:rsidRPr="00C172C9">
        <w:rPr>
          <w:rFonts w:eastAsia="DengXian"/>
        </w:rPr>
        <w:t xml:space="preserve"> </w:t>
      </w:r>
      <w:proofErr w:type="gramStart"/>
      <w:r w:rsidRPr="00C172C9">
        <w:rPr>
          <w:lang w:eastAsia="zh-CN"/>
        </w:rPr>
        <w:t>a number of</w:t>
      </w:r>
      <w:proofErr w:type="gramEnd"/>
      <w:r w:rsidRPr="00C172C9">
        <w:rPr>
          <w:lang w:eastAsia="zh-CN"/>
        </w:rPr>
        <w:t xml:space="preserve"> </w:t>
      </w:r>
      <w:r w:rsidRPr="00C172C9">
        <w:rPr>
          <w:rFonts w:eastAsia="DengXian"/>
        </w:rPr>
        <w:t>administrations</w:t>
      </w:r>
      <w:r w:rsidRPr="00C172C9">
        <w:rPr>
          <w:rFonts w:eastAsia="DengXian"/>
          <w:lang w:eastAsia="zh-CN"/>
        </w:rPr>
        <w:t>;</w:t>
      </w:r>
    </w:p>
    <w:p w14:paraId="533E5B08" w14:textId="3BBA8908" w:rsidR="00EC5883" w:rsidRPr="00C172C9" w:rsidRDefault="00EC5883" w:rsidP="00EC5883">
      <w:pPr>
        <w:rPr>
          <w:rFonts w:eastAsia="DengXian"/>
          <w:lang w:eastAsia="zh-CN"/>
        </w:rPr>
      </w:pPr>
      <w:r w:rsidRPr="00C172C9">
        <w:rPr>
          <w:rFonts w:eastAsia="DengXian"/>
          <w:i/>
        </w:rPr>
        <w:t>b)</w:t>
      </w:r>
      <w:r w:rsidRPr="00C172C9">
        <w:rPr>
          <w:rFonts w:eastAsia="DengXian"/>
          <w:iCs/>
        </w:rPr>
        <w:tab/>
      </w:r>
      <w:r w:rsidRPr="00C172C9">
        <w:rPr>
          <w:rFonts w:eastAsia="DengXian"/>
          <w:lang w:eastAsia="zh-CN"/>
        </w:rPr>
        <w:t>that No. </w:t>
      </w:r>
      <w:r w:rsidRPr="00C172C9">
        <w:rPr>
          <w:rStyle w:val="Artref"/>
          <w:b/>
          <w:bCs/>
        </w:rPr>
        <w:t>21.16</w:t>
      </w:r>
      <w:r w:rsidRPr="00C172C9">
        <w:rPr>
          <w:rFonts w:eastAsia="DengXian"/>
        </w:rPr>
        <w:t xml:space="preserve"> </w:t>
      </w:r>
      <w:r w:rsidRPr="00C172C9">
        <w:rPr>
          <w:rFonts w:eastAsia="DengXian"/>
          <w:lang w:eastAsia="zh-CN"/>
        </w:rPr>
        <w:t xml:space="preserve">provides </w:t>
      </w:r>
      <w:r w:rsidR="00C172C9" w:rsidRPr="00C172C9">
        <w:rPr>
          <w:rFonts w:eastAsia="DengXian"/>
          <w:lang w:eastAsia="zh-CN"/>
        </w:rPr>
        <w:t xml:space="preserve">the </w:t>
      </w:r>
      <w:r w:rsidRPr="00C172C9">
        <w:t xml:space="preserve">power flux-density </w:t>
      </w:r>
      <w:r w:rsidRPr="00C172C9">
        <w:rPr>
          <w:rFonts w:eastAsia="DengXian"/>
          <w:lang w:eastAsia="zh-CN"/>
        </w:rPr>
        <w:t xml:space="preserve">limit </w:t>
      </w:r>
      <w:r w:rsidRPr="00C172C9">
        <w:t>at the Earth’s surface produced by emissions from</w:t>
      </w:r>
      <w:r w:rsidRPr="00C172C9">
        <w:rPr>
          <w:rFonts w:eastAsia="DengXian"/>
          <w:lang w:eastAsia="zh-CN"/>
        </w:rPr>
        <w:t xml:space="preserve"> </w:t>
      </w:r>
      <w:r w:rsidR="00C172C9" w:rsidRPr="00C172C9">
        <w:rPr>
          <w:rFonts w:eastAsia="DengXian"/>
          <w:lang w:eastAsia="zh-CN"/>
        </w:rPr>
        <w:t xml:space="preserve">the </w:t>
      </w:r>
      <w:r w:rsidRPr="00C172C9">
        <w:rPr>
          <w:lang w:eastAsia="zh-CN"/>
        </w:rPr>
        <w:t>Earth exploration-satellite service (active)</w:t>
      </w:r>
      <w:r w:rsidRPr="00C172C9">
        <w:rPr>
          <w:rFonts w:eastAsia="DengXian"/>
          <w:lang w:eastAsia="zh-CN"/>
        </w:rPr>
        <w:t xml:space="preserve"> in the frequency band </w:t>
      </w:r>
      <w:r w:rsidRPr="00C172C9">
        <w:rPr>
          <w:lang w:eastAsia="zh-CN"/>
        </w:rPr>
        <w:t>9</w:t>
      </w:r>
      <w:r w:rsidR="004967BC" w:rsidRPr="00C172C9">
        <w:rPr>
          <w:lang w:eastAsia="zh-CN"/>
        </w:rPr>
        <w:t> </w:t>
      </w:r>
      <w:r w:rsidRPr="00C172C9">
        <w:rPr>
          <w:lang w:eastAsia="zh-CN"/>
        </w:rPr>
        <w:t>900-10</w:t>
      </w:r>
      <w:r w:rsidR="004967BC" w:rsidRPr="00C172C9">
        <w:rPr>
          <w:lang w:eastAsia="zh-CN"/>
        </w:rPr>
        <w:t> </w:t>
      </w:r>
      <w:r w:rsidRPr="00C172C9">
        <w:rPr>
          <w:lang w:eastAsia="zh-CN"/>
        </w:rPr>
        <w:t>400</w:t>
      </w:r>
      <w:r w:rsidR="004967BC" w:rsidRPr="00C172C9">
        <w:rPr>
          <w:lang w:eastAsia="zh-CN"/>
        </w:rPr>
        <w:t> </w:t>
      </w:r>
      <w:r w:rsidRPr="00C172C9">
        <w:rPr>
          <w:lang w:eastAsia="zh-CN"/>
        </w:rPr>
        <w:t>MHz</w:t>
      </w:r>
      <w:r w:rsidRPr="00C172C9">
        <w:rPr>
          <w:rFonts w:eastAsia="DengXian"/>
          <w:lang w:eastAsia="zh-CN"/>
        </w:rPr>
        <w:t xml:space="preserve"> with respect to the protection of </w:t>
      </w:r>
      <w:r w:rsidR="00C172C9" w:rsidRPr="00C172C9">
        <w:rPr>
          <w:rFonts w:eastAsia="DengXian"/>
          <w:lang w:eastAsia="zh-CN"/>
        </w:rPr>
        <w:t xml:space="preserve">the </w:t>
      </w:r>
      <w:r w:rsidRPr="00C172C9">
        <w:t>fixed service</w:t>
      </w:r>
      <w:r w:rsidR="00500A05" w:rsidRPr="00C172C9">
        <w:rPr>
          <w:rFonts w:eastAsia="DengXian"/>
          <w:lang w:eastAsia="zh-CN"/>
        </w:rPr>
        <w:t>,</w:t>
      </w:r>
    </w:p>
    <w:p w14:paraId="1A372A5C" w14:textId="77777777" w:rsidR="00EC5883" w:rsidRPr="00C172C9" w:rsidRDefault="00EC5883" w:rsidP="00C172C9">
      <w:pPr>
        <w:pStyle w:val="Call"/>
      </w:pPr>
      <w:r w:rsidRPr="00C172C9">
        <w:t>recognizing</w:t>
      </w:r>
    </w:p>
    <w:p w14:paraId="5160C6D7" w14:textId="4877F717" w:rsidR="00EC5883" w:rsidRPr="00C172C9" w:rsidRDefault="00EC5883" w:rsidP="00C172C9">
      <w:pPr>
        <w:rPr>
          <w:rFonts w:eastAsia="DengXian"/>
          <w:lang w:eastAsia="zh-CN"/>
        </w:rPr>
      </w:pPr>
      <w:r w:rsidRPr="00C172C9">
        <w:rPr>
          <w:rFonts w:eastAsia="DengXian"/>
          <w:i/>
        </w:rPr>
        <w:t>a)</w:t>
      </w:r>
      <w:r w:rsidRPr="00C172C9">
        <w:rPr>
          <w:rFonts w:eastAsia="DengXian"/>
          <w:iCs/>
        </w:rPr>
        <w:tab/>
      </w:r>
      <w:r w:rsidRPr="00C172C9">
        <w:rPr>
          <w:rFonts w:eastAsia="DengXian"/>
          <w:lang w:eastAsia="zh-CN"/>
        </w:rPr>
        <w:t xml:space="preserve">that the importance of the continuing operation of </w:t>
      </w:r>
      <w:r w:rsidRPr="00C172C9">
        <w:rPr>
          <w:rFonts w:eastAsia="DengXian"/>
          <w:iCs/>
          <w:lang w:eastAsia="zh-CN"/>
        </w:rPr>
        <w:t>SAR satellites</w:t>
      </w:r>
      <w:r w:rsidRPr="00C172C9">
        <w:rPr>
          <w:rFonts w:eastAsia="DengXian"/>
          <w:lang w:eastAsia="zh-CN"/>
        </w:rPr>
        <w:t xml:space="preserve"> and the need for protection for the radiodetermination systems operating in the frequency band 9</w:t>
      </w:r>
      <w:r w:rsidR="004967BC" w:rsidRPr="00C172C9">
        <w:rPr>
          <w:rFonts w:eastAsia="DengXian"/>
          <w:lang w:eastAsia="zh-CN"/>
        </w:rPr>
        <w:t> </w:t>
      </w:r>
      <w:r w:rsidRPr="00C172C9">
        <w:rPr>
          <w:rFonts w:eastAsia="DengXian"/>
          <w:lang w:eastAsia="zh-CN"/>
        </w:rPr>
        <w:t>200-10</w:t>
      </w:r>
      <w:r w:rsidR="004967BC" w:rsidRPr="00C172C9">
        <w:rPr>
          <w:rFonts w:eastAsia="DengXian"/>
          <w:lang w:eastAsia="zh-CN"/>
        </w:rPr>
        <w:t> </w:t>
      </w:r>
      <w:r w:rsidRPr="00C172C9">
        <w:rPr>
          <w:rFonts w:eastAsia="DengXian"/>
          <w:lang w:eastAsia="zh-CN"/>
        </w:rPr>
        <w:t>400</w:t>
      </w:r>
      <w:r w:rsidR="004967BC" w:rsidRPr="00C172C9">
        <w:rPr>
          <w:rFonts w:eastAsia="DengXian"/>
          <w:lang w:eastAsia="zh-CN"/>
        </w:rPr>
        <w:t> </w:t>
      </w:r>
      <w:r w:rsidRPr="00C172C9">
        <w:rPr>
          <w:rFonts w:eastAsia="DengXian"/>
          <w:lang w:eastAsia="zh-CN"/>
        </w:rPr>
        <w:t>MHz;</w:t>
      </w:r>
    </w:p>
    <w:p w14:paraId="08B90186" w14:textId="3B0E2A8C" w:rsidR="00EC5883" w:rsidRPr="00C172C9" w:rsidRDefault="00EC5883" w:rsidP="00EC5883">
      <w:pPr>
        <w:rPr>
          <w:rFonts w:eastAsia="DengXian"/>
          <w:lang w:eastAsia="zh-CN"/>
        </w:rPr>
      </w:pPr>
      <w:r w:rsidRPr="00C172C9">
        <w:rPr>
          <w:rFonts w:eastAsia="DengXian"/>
          <w:i/>
        </w:rPr>
        <w:t>b)</w:t>
      </w:r>
      <w:r w:rsidRPr="00C172C9">
        <w:rPr>
          <w:rFonts w:eastAsia="DengXian"/>
          <w:iCs/>
        </w:rPr>
        <w:tab/>
      </w:r>
      <w:r w:rsidRPr="00C172C9">
        <w:rPr>
          <w:rFonts w:eastAsia="DengXian"/>
          <w:lang w:eastAsia="zh-CN"/>
        </w:rPr>
        <w:t>that No. </w:t>
      </w:r>
      <w:r w:rsidRPr="00C172C9">
        <w:rPr>
          <w:rStyle w:val="Artref"/>
          <w:rFonts w:eastAsia="DengXian"/>
          <w:b/>
          <w:bCs/>
        </w:rPr>
        <w:t>5.476A</w:t>
      </w:r>
      <w:r w:rsidRPr="00C172C9">
        <w:rPr>
          <w:rFonts w:eastAsia="DengXian"/>
        </w:rPr>
        <w:t xml:space="preserve"> states that </w:t>
      </w:r>
      <w:r w:rsidRPr="00C172C9">
        <w:rPr>
          <w:rFonts w:eastAsia="DengXian"/>
          <w:lang w:eastAsia="zh-CN"/>
        </w:rPr>
        <w:t>“</w:t>
      </w:r>
      <w:r w:rsidRPr="00C172C9">
        <w:t>In the band 9 300-9 800 MHz, stations in the Earth exploration-satellite service (active) and space research service (active) shall not cause harmful interference to, nor claim protection from, stations of the radionavigation and radiolocation services</w:t>
      </w:r>
      <w:r w:rsidRPr="00C172C9">
        <w:rPr>
          <w:szCs w:val="24"/>
        </w:rPr>
        <w:t>.</w:t>
      </w:r>
      <w:r w:rsidR="006A7E50" w:rsidRPr="00C172C9">
        <w:rPr>
          <w:sz w:val="16"/>
          <w:szCs w:val="16"/>
        </w:rPr>
        <w:t>     </w:t>
      </w:r>
      <w:r w:rsidRPr="00C172C9">
        <w:rPr>
          <w:sz w:val="16"/>
          <w:szCs w:val="16"/>
        </w:rPr>
        <w:t>(</w:t>
      </w:r>
      <w:r w:rsidR="00C172C9" w:rsidRPr="00C172C9">
        <w:rPr>
          <w:sz w:val="16"/>
          <w:szCs w:val="16"/>
        </w:rPr>
        <w:t>WRC</w:t>
      </w:r>
      <w:r w:rsidR="00C172C9" w:rsidRPr="00C172C9">
        <w:rPr>
          <w:sz w:val="16"/>
          <w:szCs w:val="16"/>
        </w:rPr>
        <w:noBreakHyphen/>
      </w:r>
      <w:r w:rsidRPr="00C172C9">
        <w:rPr>
          <w:sz w:val="16"/>
          <w:szCs w:val="16"/>
        </w:rPr>
        <w:t>07)</w:t>
      </w:r>
      <w:r w:rsidRPr="00C172C9">
        <w:rPr>
          <w:rFonts w:eastAsia="DengXian"/>
          <w:lang w:eastAsia="zh-CN"/>
        </w:rPr>
        <w:t>”;</w:t>
      </w:r>
    </w:p>
    <w:p w14:paraId="3C7C15DF" w14:textId="24E54462" w:rsidR="00EC5883" w:rsidRPr="00C172C9" w:rsidRDefault="00EC5883" w:rsidP="00EC5883">
      <w:pPr>
        <w:rPr>
          <w:rFonts w:eastAsia="DengXian"/>
          <w:lang w:eastAsia="zh-CN"/>
        </w:rPr>
      </w:pPr>
      <w:r w:rsidRPr="00C172C9">
        <w:rPr>
          <w:rFonts w:eastAsia="DengXian"/>
          <w:i/>
        </w:rPr>
        <w:t>c)</w:t>
      </w:r>
      <w:r w:rsidRPr="00C172C9">
        <w:rPr>
          <w:rFonts w:eastAsia="DengXian"/>
          <w:iCs/>
        </w:rPr>
        <w:tab/>
      </w:r>
      <w:r w:rsidRPr="00C172C9">
        <w:rPr>
          <w:rFonts w:eastAsia="DengXian"/>
          <w:lang w:eastAsia="zh-CN"/>
        </w:rPr>
        <w:t>that No. </w:t>
      </w:r>
      <w:r w:rsidRPr="00C172C9">
        <w:rPr>
          <w:rStyle w:val="Artref"/>
          <w:rFonts w:eastAsia="DengXian"/>
          <w:b/>
          <w:bCs/>
        </w:rPr>
        <w:t>5.474D</w:t>
      </w:r>
      <w:r w:rsidRPr="00C172C9">
        <w:rPr>
          <w:rFonts w:eastAsia="DengXian"/>
        </w:rPr>
        <w:t xml:space="preserve"> states that </w:t>
      </w:r>
      <w:r w:rsidRPr="00C172C9">
        <w:rPr>
          <w:rFonts w:eastAsia="DengXian"/>
          <w:lang w:eastAsia="zh-CN"/>
        </w:rPr>
        <w:t>“</w:t>
      </w:r>
      <w:r w:rsidRPr="00C172C9">
        <w:rPr>
          <w:rFonts w:eastAsia="DengXian"/>
        </w:rPr>
        <w:t>s</w:t>
      </w:r>
      <w:r w:rsidRPr="00C172C9">
        <w:rPr>
          <w:lang w:eastAsia="zh-CN"/>
        </w:rPr>
        <w:t>tations in the Earth exploration-satellite service (active) shall not cause harmful interference to, or claim protection from, stations of the maritime radionavigation and radiolocation services in the frequency band 9</w:t>
      </w:r>
      <w:r w:rsidR="004967BC" w:rsidRPr="00C172C9">
        <w:rPr>
          <w:lang w:eastAsia="zh-CN"/>
        </w:rPr>
        <w:t> </w:t>
      </w:r>
      <w:r w:rsidRPr="00C172C9">
        <w:rPr>
          <w:lang w:eastAsia="zh-CN"/>
        </w:rPr>
        <w:t>200</w:t>
      </w:r>
      <w:r w:rsidRPr="00C172C9">
        <w:rPr>
          <w:rFonts w:eastAsia="DengXian"/>
          <w:lang w:eastAsia="zh-CN"/>
        </w:rPr>
        <w:t>-</w:t>
      </w:r>
      <w:r w:rsidRPr="00C172C9">
        <w:rPr>
          <w:lang w:eastAsia="zh-CN"/>
        </w:rPr>
        <w:t>9</w:t>
      </w:r>
      <w:r w:rsidR="004967BC" w:rsidRPr="00C172C9">
        <w:rPr>
          <w:lang w:eastAsia="zh-CN"/>
        </w:rPr>
        <w:t> </w:t>
      </w:r>
      <w:r w:rsidRPr="00C172C9">
        <w:rPr>
          <w:lang w:eastAsia="zh-CN"/>
        </w:rPr>
        <w:t>300</w:t>
      </w:r>
      <w:r w:rsidR="004967BC" w:rsidRPr="00C172C9">
        <w:rPr>
          <w:lang w:eastAsia="zh-CN"/>
        </w:rPr>
        <w:t> </w:t>
      </w:r>
      <w:r w:rsidRPr="00C172C9">
        <w:rPr>
          <w:lang w:eastAsia="zh-CN"/>
        </w:rPr>
        <w:t>MHz, the radionavigation and radiolocation services in the frequency band 9</w:t>
      </w:r>
      <w:r w:rsidR="004967BC" w:rsidRPr="00C172C9">
        <w:rPr>
          <w:lang w:eastAsia="zh-CN"/>
        </w:rPr>
        <w:t> </w:t>
      </w:r>
      <w:r w:rsidRPr="00C172C9">
        <w:rPr>
          <w:lang w:eastAsia="zh-CN"/>
        </w:rPr>
        <w:t>900-10</w:t>
      </w:r>
      <w:r w:rsidR="004967BC" w:rsidRPr="00C172C9">
        <w:rPr>
          <w:lang w:eastAsia="zh-CN"/>
        </w:rPr>
        <w:t> </w:t>
      </w:r>
      <w:r w:rsidRPr="00C172C9">
        <w:rPr>
          <w:lang w:eastAsia="zh-CN"/>
        </w:rPr>
        <w:t>000</w:t>
      </w:r>
      <w:r w:rsidR="004967BC" w:rsidRPr="00C172C9">
        <w:rPr>
          <w:lang w:eastAsia="zh-CN"/>
        </w:rPr>
        <w:t> </w:t>
      </w:r>
      <w:r w:rsidRPr="00C172C9">
        <w:rPr>
          <w:lang w:eastAsia="zh-CN"/>
        </w:rPr>
        <w:t>MHz and the radiolocation service in the frequency band 10.0-10.4</w:t>
      </w:r>
      <w:r w:rsidR="004967BC" w:rsidRPr="00C172C9">
        <w:rPr>
          <w:lang w:eastAsia="zh-CN"/>
        </w:rPr>
        <w:t> </w:t>
      </w:r>
      <w:r w:rsidRPr="00C172C9">
        <w:rPr>
          <w:lang w:eastAsia="zh-CN"/>
        </w:rPr>
        <w:t>GHz</w:t>
      </w:r>
      <w:r w:rsidRPr="00C172C9">
        <w:rPr>
          <w:szCs w:val="24"/>
        </w:rPr>
        <w:t>.</w:t>
      </w:r>
      <w:r w:rsidR="00085DFF" w:rsidRPr="00C172C9">
        <w:rPr>
          <w:sz w:val="16"/>
          <w:szCs w:val="16"/>
        </w:rPr>
        <w:t>     </w:t>
      </w:r>
      <w:r w:rsidRPr="00C172C9">
        <w:rPr>
          <w:sz w:val="16"/>
          <w:szCs w:val="16"/>
        </w:rPr>
        <w:t>(</w:t>
      </w:r>
      <w:r w:rsidR="00C172C9" w:rsidRPr="00C172C9">
        <w:rPr>
          <w:sz w:val="16"/>
          <w:szCs w:val="16"/>
        </w:rPr>
        <w:t>WRC</w:t>
      </w:r>
      <w:r w:rsidR="00C172C9" w:rsidRPr="00C172C9">
        <w:rPr>
          <w:sz w:val="16"/>
          <w:szCs w:val="16"/>
        </w:rPr>
        <w:noBreakHyphen/>
      </w:r>
      <w:r w:rsidRPr="00C172C9">
        <w:rPr>
          <w:sz w:val="16"/>
          <w:szCs w:val="16"/>
        </w:rPr>
        <w:t>15)</w:t>
      </w:r>
      <w:r w:rsidRPr="00C172C9">
        <w:rPr>
          <w:rFonts w:eastAsia="DengXian"/>
          <w:lang w:eastAsia="zh-CN"/>
        </w:rPr>
        <w:t>”;</w:t>
      </w:r>
    </w:p>
    <w:p w14:paraId="7F5FDB95" w14:textId="23ED42A5" w:rsidR="00EC5883" w:rsidRPr="00C172C9" w:rsidRDefault="00EC5883" w:rsidP="00EC5883">
      <w:pPr>
        <w:rPr>
          <w:rFonts w:eastAsia="DengXian"/>
          <w:lang w:eastAsia="zh-CN"/>
        </w:rPr>
      </w:pPr>
      <w:r w:rsidRPr="00C172C9">
        <w:rPr>
          <w:rFonts w:eastAsia="DengXian"/>
          <w:i/>
        </w:rPr>
        <w:t>d)</w:t>
      </w:r>
      <w:r w:rsidRPr="00C172C9">
        <w:rPr>
          <w:rFonts w:eastAsia="DengXian"/>
          <w:iCs/>
        </w:rPr>
        <w:tab/>
      </w:r>
      <w:r w:rsidRPr="00C172C9">
        <w:rPr>
          <w:rFonts w:eastAsia="DengXian"/>
          <w:lang w:eastAsia="zh-CN"/>
        </w:rPr>
        <w:t>that the aeronautical radionavigation service operating in the frequency band 9</w:t>
      </w:r>
      <w:r w:rsidR="004967BC" w:rsidRPr="00C172C9">
        <w:rPr>
          <w:rFonts w:eastAsia="DengXian"/>
          <w:lang w:eastAsia="zh-CN"/>
        </w:rPr>
        <w:t> </w:t>
      </w:r>
      <w:r w:rsidRPr="00C172C9">
        <w:rPr>
          <w:rFonts w:eastAsia="DengXian"/>
          <w:lang w:eastAsia="zh-CN"/>
        </w:rPr>
        <w:t>000-9</w:t>
      </w:r>
      <w:r w:rsidR="00D0625D" w:rsidRPr="00C172C9">
        <w:rPr>
          <w:rFonts w:eastAsia="DengXian"/>
          <w:lang w:eastAsia="zh-CN"/>
        </w:rPr>
        <w:t> </w:t>
      </w:r>
      <w:r w:rsidRPr="00C172C9">
        <w:rPr>
          <w:rFonts w:eastAsia="DengXian"/>
          <w:lang w:eastAsia="zh-CN"/>
        </w:rPr>
        <w:t>200</w:t>
      </w:r>
      <w:r w:rsidR="004967BC" w:rsidRPr="00C172C9">
        <w:rPr>
          <w:rFonts w:eastAsia="DengXian"/>
          <w:lang w:eastAsia="zh-CN"/>
        </w:rPr>
        <w:t> </w:t>
      </w:r>
      <w:r w:rsidRPr="00C172C9">
        <w:rPr>
          <w:rFonts w:eastAsia="DengXian"/>
          <w:lang w:eastAsia="zh-CN"/>
        </w:rPr>
        <w:t>MHz and the maritime radionavigation service operating in the frequency band 9</w:t>
      </w:r>
      <w:r w:rsidR="004967BC" w:rsidRPr="00C172C9">
        <w:rPr>
          <w:rFonts w:eastAsia="DengXian"/>
          <w:lang w:eastAsia="zh-CN"/>
        </w:rPr>
        <w:t> </w:t>
      </w:r>
      <w:r w:rsidRPr="00C172C9">
        <w:rPr>
          <w:rFonts w:eastAsia="DengXian"/>
          <w:lang w:eastAsia="zh-CN"/>
        </w:rPr>
        <w:t>200-9</w:t>
      </w:r>
      <w:r w:rsidR="00D0625D" w:rsidRPr="00C172C9">
        <w:rPr>
          <w:rFonts w:eastAsia="DengXian"/>
          <w:lang w:eastAsia="zh-CN"/>
        </w:rPr>
        <w:t> </w:t>
      </w:r>
      <w:r w:rsidRPr="00C172C9">
        <w:rPr>
          <w:rFonts w:eastAsia="DengXian"/>
          <w:lang w:eastAsia="zh-CN"/>
        </w:rPr>
        <w:t>500</w:t>
      </w:r>
      <w:r w:rsidR="00D0625D" w:rsidRPr="00C172C9">
        <w:rPr>
          <w:rFonts w:eastAsia="DengXian"/>
          <w:lang w:eastAsia="zh-CN"/>
        </w:rPr>
        <w:t> </w:t>
      </w:r>
      <w:r w:rsidRPr="00C172C9">
        <w:rPr>
          <w:rFonts w:eastAsia="DengXian"/>
          <w:lang w:eastAsia="zh-CN"/>
        </w:rPr>
        <w:t>MHz are used by safety service systems, in accordance with Nos.</w:t>
      </w:r>
      <w:r w:rsidR="004967BC" w:rsidRPr="00C172C9">
        <w:rPr>
          <w:rFonts w:eastAsia="DengXian"/>
          <w:lang w:eastAsia="zh-CN"/>
        </w:rPr>
        <w:t> </w:t>
      </w:r>
      <w:r w:rsidRPr="00C172C9">
        <w:rPr>
          <w:rStyle w:val="Artref"/>
          <w:rFonts w:eastAsia="DengXian"/>
          <w:b/>
          <w:bCs/>
        </w:rPr>
        <w:t>1.59</w:t>
      </w:r>
      <w:r w:rsidRPr="00C172C9">
        <w:rPr>
          <w:rFonts w:eastAsia="DengXian"/>
          <w:lang w:eastAsia="zh-CN"/>
        </w:rPr>
        <w:t xml:space="preserve"> and </w:t>
      </w:r>
      <w:r w:rsidRPr="00C172C9">
        <w:rPr>
          <w:rStyle w:val="Artref"/>
          <w:rFonts w:eastAsia="DengXian"/>
          <w:b/>
          <w:bCs/>
        </w:rPr>
        <w:t>4.10</w:t>
      </w:r>
      <w:r w:rsidRPr="00C172C9">
        <w:rPr>
          <w:rFonts w:eastAsia="DengXian"/>
          <w:lang w:eastAsia="zh-CN"/>
        </w:rPr>
        <w:t>;</w:t>
      </w:r>
    </w:p>
    <w:p w14:paraId="1B77DF96" w14:textId="2ECBDCE6" w:rsidR="00EC5883" w:rsidRPr="00C172C9" w:rsidRDefault="00EC5883" w:rsidP="00EC5883">
      <w:pPr>
        <w:rPr>
          <w:rFonts w:eastAsia="DengXian"/>
          <w:lang w:eastAsia="zh-CN"/>
        </w:rPr>
      </w:pPr>
      <w:r w:rsidRPr="00C172C9">
        <w:rPr>
          <w:rFonts w:eastAsia="DengXian"/>
          <w:i/>
        </w:rPr>
        <w:t>e)</w:t>
      </w:r>
      <w:r w:rsidRPr="00C172C9">
        <w:rPr>
          <w:rFonts w:eastAsia="DengXian"/>
          <w:iCs/>
        </w:rPr>
        <w:tab/>
      </w:r>
      <w:r w:rsidRPr="00C172C9">
        <w:rPr>
          <w:rFonts w:eastAsia="DengXian"/>
          <w:lang w:eastAsia="zh-CN"/>
        </w:rPr>
        <w:t xml:space="preserve">that Recommendation </w:t>
      </w:r>
      <w:r w:rsidR="00C172C9" w:rsidRPr="00C172C9">
        <w:rPr>
          <w:rFonts w:eastAsia="DengXian"/>
          <w:lang w:eastAsia="zh-CN"/>
        </w:rPr>
        <w:t>ITU</w:t>
      </w:r>
      <w:r w:rsidR="00C172C9" w:rsidRPr="00C172C9">
        <w:rPr>
          <w:rFonts w:eastAsia="DengXian"/>
          <w:lang w:eastAsia="zh-CN"/>
        </w:rPr>
        <w:noBreakHyphen/>
      </w:r>
      <w:r w:rsidRPr="00C172C9">
        <w:rPr>
          <w:rFonts w:eastAsia="DengXian"/>
          <w:lang w:eastAsia="zh-CN"/>
        </w:rPr>
        <w:t>R M.1796 contains the technical characteristics and protection criteria for radars operating in the radiodetermination service in the frequency range 8</w:t>
      </w:r>
      <w:r w:rsidR="00F138F3" w:rsidRPr="00C172C9">
        <w:rPr>
          <w:rFonts w:eastAsia="DengXian"/>
          <w:lang w:eastAsia="zh-CN"/>
        </w:rPr>
        <w:t> </w:t>
      </w:r>
      <w:r w:rsidRPr="00C172C9">
        <w:rPr>
          <w:rFonts w:eastAsia="DengXian"/>
          <w:lang w:eastAsia="zh-CN"/>
        </w:rPr>
        <w:t>500-10</w:t>
      </w:r>
      <w:r w:rsidR="00EC4F90" w:rsidRPr="00C172C9">
        <w:rPr>
          <w:rFonts w:eastAsia="DengXian"/>
          <w:lang w:eastAsia="zh-CN"/>
        </w:rPr>
        <w:t> </w:t>
      </w:r>
      <w:r w:rsidRPr="00C172C9">
        <w:rPr>
          <w:rFonts w:eastAsia="DengXian"/>
          <w:lang w:eastAsia="zh-CN"/>
        </w:rPr>
        <w:t>680</w:t>
      </w:r>
      <w:r w:rsidR="00EC4F90" w:rsidRPr="00C172C9">
        <w:rPr>
          <w:rFonts w:eastAsia="DengXian"/>
          <w:lang w:eastAsia="zh-CN"/>
        </w:rPr>
        <w:t> </w:t>
      </w:r>
      <w:r w:rsidRPr="00C172C9">
        <w:rPr>
          <w:rFonts w:eastAsia="DengXian"/>
          <w:lang w:eastAsia="zh-CN"/>
        </w:rPr>
        <w:t>MHz</w:t>
      </w:r>
      <w:r w:rsidR="00D0625D" w:rsidRPr="00C172C9">
        <w:rPr>
          <w:rFonts w:eastAsia="DengXian"/>
          <w:lang w:eastAsia="zh-CN"/>
        </w:rPr>
        <w:t>,</w:t>
      </w:r>
    </w:p>
    <w:p w14:paraId="60C94C17" w14:textId="77777777" w:rsidR="00EC5883" w:rsidRPr="00C172C9" w:rsidRDefault="00EC5883" w:rsidP="00C172C9">
      <w:pPr>
        <w:pStyle w:val="Call"/>
      </w:pPr>
      <w:r w:rsidRPr="00C172C9">
        <w:t>resolves to invite ITU Radiocommunication Sector</w:t>
      </w:r>
    </w:p>
    <w:p w14:paraId="2578FCF4" w14:textId="54D93A2F" w:rsidR="00EC5883" w:rsidRPr="00C172C9" w:rsidRDefault="00EC5883" w:rsidP="00EC5883">
      <w:r w:rsidRPr="00C172C9">
        <w:t>1</w:t>
      </w:r>
      <w:r w:rsidRPr="00C172C9">
        <w:tab/>
        <w:t xml:space="preserve">to </w:t>
      </w:r>
      <w:r w:rsidRPr="00C172C9">
        <w:rPr>
          <w:rFonts w:eastAsia="DengXian"/>
          <w:lang w:eastAsia="zh-CN"/>
        </w:rPr>
        <w:t>identify</w:t>
      </w:r>
      <w:r w:rsidRPr="00C172C9">
        <w:t xml:space="preserve"> </w:t>
      </w:r>
      <w:r w:rsidRPr="00C172C9">
        <w:rPr>
          <w:rFonts w:eastAsia="DengXian"/>
          <w:lang w:eastAsia="zh-CN"/>
        </w:rPr>
        <w:t xml:space="preserve">technical characteristics of </w:t>
      </w:r>
      <w:r w:rsidRPr="00C172C9">
        <w:t>SAR in the Earth exploration-satellite service (active) in the frequency band 9</w:t>
      </w:r>
      <w:r w:rsidR="00EC4F90" w:rsidRPr="00C172C9">
        <w:t> </w:t>
      </w:r>
      <w:r w:rsidRPr="00C172C9">
        <w:t>200-10</w:t>
      </w:r>
      <w:r w:rsidR="00EC4F90" w:rsidRPr="00C172C9">
        <w:t> </w:t>
      </w:r>
      <w:r w:rsidRPr="00C172C9">
        <w:t>400</w:t>
      </w:r>
      <w:r w:rsidR="00EC4F90" w:rsidRPr="00C172C9">
        <w:t> </w:t>
      </w:r>
      <w:r w:rsidRPr="00C172C9">
        <w:t>MHz;</w:t>
      </w:r>
    </w:p>
    <w:p w14:paraId="2D8CD404" w14:textId="6DF9E5C3" w:rsidR="00EC5883" w:rsidRPr="00C172C9" w:rsidRDefault="00EC5883" w:rsidP="00EC5883">
      <w:r w:rsidRPr="00C172C9">
        <w:lastRenderedPageBreak/>
        <w:t>2</w:t>
      </w:r>
      <w:r w:rsidRPr="00C172C9">
        <w:tab/>
        <w:t>to stud</w:t>
      </w:r>
      <w:r w:rsidRPr="00C172C9">
        <w:rPr>
          <w:rFonts w:eastAsia="DengXian"/>
          <w:lang w:eastAsia="zh-CN"/>
        </w:rPr>
        <w:t>y</w:t>
      </w:r>
      <w:r w:rsidRPr="00C172C9">
        <w:t xml:space="preserve"> </w:t>
      </w:r>
      <w:r w:rsidRPr="00C172C9">
        <w:rPr>
          <w:rFonts w:eastAsia="DengXian"/>
          <w:lang w:eastAsia="zh-CN"/>
        </w:rPr>
        <w:t>the required protection criteria for</w:t>
      </w:r>
      <w:r w:rsidRPr="00C172C9">
        <w:rPr>
          <w:rFonts w:eastAsia="DengXian"/>
          <w:iCs/>
          <w:lang w:eastAsia="zh-CN"/>
        </w:rPr>
        <w:t xml:space="preserve"> </w:t>
      </w:r>
      <w:r w:rsidR="00C172C9" w:rsidRPr="00C172C9">
        <w:rPr>
          <w:rFonts w:eastAsia="DengXian"/>
          <w:iCs/>
          <w:lang w:eastAsia="zh-CN"/>
        </w:rPr>
        <w:t xml:space="preserve">the </w:t>
      </w:r>
      <w:r w:rsidRPr="00C172C9">
        <w:rPr>
          <w:rFonts w:eastAsia="DengXian"/>
          <w:iCs/>
          <w:lang w:eastAsia="zh-CN"/>
        </w:rPr>
        <w:t>radiodetermination service</w:t>
      </w:r>
      <w:r w:rsidRPr="00C172C9">
        <w:rPr>
          <w:rFonts w:eastAsia="DengXian"/>
          <w:lang w:eastAsia="zh-CN"/>
        </w:rPr>
        <w:t xml:space="preserve"> </w:t>
      </w:r>
      <w:r w:rsidRPr="00C172C9">
        <w:t>in the frequency band 9</w:t>
      </w:r>
      <w:r w:rsidR="00EC4F90" w:rsidRPr="00C172C9">
        <w:t> </w:t>
      </w:r>
      <w:r w:rsidRPr="00C172C9">
        <w:t>200-10</w:t>
      </w:r>
      <w:r w:rsidR="00EC4F90" w:rsidRPr="00C172C9">
        <w:t> </w:t>
      </w:r>
      <w:r w:rsidRPr="00C172C9">
        <w:t>400</w:t>
      </w:r>
      <w:r w:rsidR="00EC4F90" w:rsidRPr="00C172C9">
        <w:t> </w:t>
      </w:r>
      <w:r w:rsidRPr="00C172C9">
        <w:t xml:space="preserve">MHz </w:t>
      </w:r>
      <w:r w:rsidRPr="00C172C9">
        <w:rPr>
          <w:rFonts w:eastAsia="DengXian"/>
          <w:lang w:eastAsia="zh-CN"/>
        </w:rPr>
        <w:t>from pulsed</w:t>
      </w:r>
      <w:r w:rsidRPr="00C172C9">
        <w:rPr>
          <w:spacing w:val="-2"/>
        </w:rPr>
        <w:t xml:space="preserve"> type</w:t>
      </w:r>
      <w:r w:rsidRPr="00C172C9">
        <w:rPr>
          <w:rFonts w:eastAsia="DengXian"/>
          <w:lang w:eastAsia="zh-CN"/>
        </w:rPr>
        <w:t xml:space="preserve"> interference, in particular the time percentage or probability of interference which could be acceptable by </w:t>
      </w:r>
      <w:r w:rsidR="00C172C9" w:rsidRPr="00C172C9">
        <w:rPr>
          <w:rFonts w:eastAsia="DengXian"/>
          <w:lang w:eastAsia="zh-CN"/>
        </w:rPr>
        <w:t xml:space="preserve">the </w:t>
      </w:r>
      <w:r w:rsidRPr="00C172C9">
        <w:rPr>
          <w:rFonts w:eastAsia="DengXian"/>
          <w:iCs/>
          <w:lang w:eastAsia="zh-CN"/>
        </w:rPr>
        <w:t>radiodetermination service</w:t>
      </w:r>
      <w:r w:rsidRPr="00C172C9">
        <w:t>;</w:t>
      </w:r>
    </w:p>
    <w:p w14:paraId="0EAE59D9" w14:textId="75E7CAFC" w:rsidR="00EC5883" w:rsidRPr="00C172C9" w:rsidRDefault="00EC5883" w:rsidP="00EC5883">
      <w:r w:rsidRPr="00C172C9">
        <w:t>3</w:t>
      </w:r>
      <w:r w:rsidRPr="00C172C9">
        <w:tab/>
        <w:t xml:space="preserve">to conduct studies, in time for consideration by </w:t>
      </w:r>
      <w:r w:rsidR="00C172C9" w:rsidRPr="00C172C9">
        <w:t>WRC</w:t>
      </w:r>
      <w:r w:rsidR="00C172C9" w:rsidRPr="00C172C9">
        <w:noBreakHyphen/>
      </w:r>
      <w:r w:rsidRPr="00C172C9">
        <w:t>27, on the technical and regulatory</w:t>
      </w:r>
      <w:r w:rsidRPr="00C172C9">
        <w:rPr>
          <w:rFonts w:eastAsia="DengXian"/>
        </w:rPr>
        <w:t xml:space="preserve"> </w:t>
      </w:r>
      <w:r w:rsidRPr="00C172C9">
        <w:rPr>
          <w:rFonts w:eastAsia="DengXian"/>
          <w:lang w:eastAsia="zh-CN"/>
        </w:rPr>
        <w:t>m</w:t>
      </w:r>
      <w:r w:rsidRPr="00C172C9">
        <w:t xml:space="preserve">easures to ensure coexistence between SAR operating in the Earth exploration-satellite service (active) and </w:t>
      </w:r>
      <w:r w:rsidR="00C172C9" w:rsidRPr="00C172C9">
        <w:t xml:space="preserve">the </w:t>
      </w:r>
      <w:r w:rsidRPr="00C172C9">
        <w:rPr>
          <w:rFonts w:eastAsia="DengXian"/>
          <w:lang w:eastAsia="zh-CN"/>
        </w:rPr>
        <w:t>r</w:t>
      </w:r>
      <w:r w:rsidRPr="00C172C9">
        <w:t>adiodetermination service in the frequency band 9 200-10</w:t>
      </w:r>
      <w:r w:rsidR="00EC4F90" w:rsidRPr="00C172C9">
        <w:t> </w:t>
      </w:r>
      <w:r w:rsidRPr="00C172C9">
        <w:t>400</w:t>
      </w:r>
      <w:r w:rsidR="00EC4F90" w:rsidRPr="00C172C9">
        <w:t> </w:t>
      </w:r>
      <w:r w:rsidRPr="00C172C9">
        <w:t>MHz;</w:t>
      </w:r>
    </w:p>
    <w:p w14:paraId="51B99CBE" w14:textId="43DC0716" w:rsidR="00EC5883" w:rsidRPr="00C172C9" w:rsidRDefault="00EC5883" w:rsidP="00EC5883">
      <w:pPr>
        <w:rPr>
          <w:rFonts w:eastAsia="DengXian"/>
          <w:lang w:eastAsia="zh-CN"/>
        </w:rPr>
      </w:pPr>
      <w:r w:rsidRPr="00C172C9">
        <w:t>4</w:t>
      </w:r>
      <w:r w:rsidRPr="00C172C9">
        <w:tab/>
        <w:t xml:space="preserve">to identify, in time for consideration by </w:t>
      </w:r>
      <w:r w:rsidR="00C172C9" w:rsidRPr="00C172C9">
        <w:t>WRC</w:t>
      </w:r>
      <w:r w:rsidR="00C172C9" w:rsidRPr="00C172C9">
        <w:noBreakHyphen/>
      </w:r>
      <w:r w:rsidRPr="00C172C9">
        <w:t>27, possible changes to relevant regulatory provisions of the Radio Regulations</w:t>
      </w:r>
      <w:r w:rsidR="00D0625D" w:rsidRPr="00C172C9">
        <w:t>,</w:t>
      </w:r>
    </w:p>
    <w:p w14:paraId="58BF06BB" w14:textId="77777777" w:rsidR="00EC5883" w:rsidRPr="00C172C9" w:rsidRDefault="00EC5883" w:rsidP="00C172C9">
      <w:pPr>
        <w:pStyle w:val="Call"/>
      </w:pPr>
      <w:r w:rsidRPr="00C172C9">
        <w:t>invites the 2027 World Radiocommunication Conference</w:t>
      </w:r>
    </w:p>
    <w:p w14:paraId="33720861" w14:textId="63D128BE" w:rsidR="00EC5883" w:rsidRPr="00C172C9" w:rsidRDefault="00EC5883" w:rsidP="00040802">
      <w:pPr>
        <w:snapToGrid w:val="0"/>
        <w:spacing w:beforeLines="50"/>
      </w:pPr>
      <w:r w:rsidRPr="00C172C9">
        <w:t xml:space="preserve">to consider the results of the above </w:t>
      </w:r>
      <w:r w:rsidR="00C172C9" w:rsidRPr="00C172C9">
        <w:t>ITU</w:t>
      </w:r>
      <w:r w:rsidR="00C172C9" w:rsidRPr="00C172C9">
        <w:noBreakHyphen/>
      </w:r>
      <w:r w:rsidRPr="00C172C9">
        <w:t>R studies and take actions</w:t>
      </w:r>
      <w:r w:rsidRPr="00C172C9">
        <w:rPr>
          <w:iCs/>
        </w:rPr>
        <w:t xml:space="preserve">, including possible changes </w:t>
      </w:r>
      <w:r w:rsidRPr="00C172C9">
        <w:t>to regulatory provisions of the Radio Regulations</w:t>
      </w:r>
      <w:r w:rsidRPr="00C172C9">
        <w:rPr>
          <w:iCs/>
        </w:rPr>
        <w:t>,</w:t>
      </w:r>
    </w:p>
    <w:p w14:paraId="38B83FEA" w14:textId="77777777" w:rsidR="00EC5883" w:rsidRPr="00C172C9" w:rsidRDefault="00EC5883" w:rsidP="00C172C9">
      <w:pPr>
        <w:pStyle w:val="Call"/>
      </w:pPr>
      <w:r w:rsidRPr="00C172C9">
        <w:t>invites administrations</w:t>
      </w:r>
    </w:p>
    <w:p w14:paraId="0F78C336" w14:textId="3FA6C4BB" w:rsidR="00EC5883" w:rsidRPr="00C172C9" w:rsidRDefault="00EC5883" w:rsidP="00C172C9">
      <w:r w:rsidRPr="00C172C9">
        <w:t xml:space="preserve">to participate in the studies by submitting contributions to </w:t>
      </w:r>
      <w:r w:rsidR="00C172C9" w:rsidRPr="00C172C9">
        <w:t>ITU</w:t>
      </w:r>
      <w:r w:rsidR="00C172C9" w:rsidRPr="00C172C9">
        <w:noBreakHyphen/>
      </w:r>
      <w:r w:rsidRPr="00C172C9">
        <w:t>R.</w:t>
      </w:r>
    </w:p>
    <w:p w14:paraId="527FA4C7" w14:textId="46F352DF" w:rsidR="00EC5883" w:rsidRPr="00C172C9" w:rsidRDefault="00EC5883" w:rsidP="00D0625D">
      <w:pPr>
        <w:pStyle w:val="Reasons"/>
        <w:rPr>
          <w:rFonts w:eastAsiaTheme="minorEastAsia"/>
          <w:lang w:eastAsia="zh-CN"/>
        </w:rPr>
      </w:pPr>
      <w:r w:rsidRPr="00C172C9">
        <w:rPr>
          <w:b/>
        </w:rPr>
        <w:t>Reasons:</w:t>
      </w:r>
      <w:r w:rsidRPr="00C172C9">
        <w:tab/>
      </w:r>
      <w:r w:rsidRPr="00C172C9">
        <w:rPr>
          <w:rFonts w:eastAsiaTheme="minorEastAsia"/>
          <w:lang w:eastAsia="zh-CN"/>
        </w:rPr>
        <w:t>See the following Table that has been prepared using the template given in Annex 2 to Resolution</w:t>
      </w:r>
      <w:r w:rsidR="00EC4F90" w:rsidRPr="00C172C9">
        <w:rPr>
          <w:rFonts w:eastAsiaTheme="minorEastAsia"/>
          <w:lang w:eastAsia="zh-CN"/>
        </w:rPr>
        <w:t xml:space="preserve"> </w:t>
      </w:r>
      <w:r w:rsidRPr="00C172C9">
        <w:rPr>
          <w:rFonts w:eastAsiaTheme="minorEastAsia"/>
          <w:b/>
          <w:bCs/>
          <w:lang w:eastAsia="zh-CN"/>
        </w:rPr>
        <w:t>804 (Rev.</w:t>
      </w:r>
      <w:r w:rsidR="00C172C9" w:rsidRPr="00C172C9">
        <w:rPr>
          <w:rFonts w:eastAsiaTheme="minorEastAsia"/>
          <w:b/>
          <w:bCs/>
          <w:lang w:eastAsia="zh-CN"/>
        </w:rPr>
        <w:t>WRC</w:t>
      </w:r>
      <w:r w:rsidR="00C172C9" w:rsidRPr="00C172C9">
        <w:rPr>
          <w:rFonts w:eastAsiaTheme="minorEastAsia"/>
          <w:b/>
          <w:bCs/>
          <w:lang w:eastAsia="zh-CN"/>
        </w:rPr>
        <w:noBreakHyphen/>
      </w:r>
      <w:r w:rsidRPr="00C172C9">
        <w:rPr>
          <w:rFonts w:eastAsiaTheme="minorEastAsia"/>
          <w:b/>
          <w:bCs/>
          <w:lang w:eastAsia="zh-CN"/>
        </w:rPr>
        <w:t>19)</w:t>
      </w:r>
      <w:r w:rsidRPr="00C172C9">
        <w:rPr>
          <w:rFonts w:eastAsiaTheme="minorEastAsia"/>
          <w:lang w:eastAsia="zh-CN"/>
        </w:rPr>
        <w:t>.</w:t>
      </w:r>
    </w:p>
    <w:p w14:paraId="05E14C0D" w14:textId="77777777" w:rsidR="00EC5883" w:rsidRPr="00C172C9" w:rsidRDefault="00EC5883" w:rsidP="00EC5883">
      <w:pPr>
        <w:snapToGrid w:val="0"/>
        <w:spacing w:beforeLines="50"/>
        <w:rPr>
          <w:rFonts w:eastAsiaTheme="minorEastAsia"/>
          <w:lang w:eastAsia="zh-CN"/>
        </w:rPr>
      </w:pPr>
    </w:p>
    <w:tbl>
      <w:tblPr>
        <w:tblpPr w:leftFromText="180" w:rightFromText="180" w:vertAnchor="text" w:tblpX="-84" w:tblpY="1"/>
        <w:tblOverlap w:val="never"/>
        <w:tblW w:w="9781" w:type="dxa"/>
        <w:tblLayout w:type="fixed"/>
        <w:tblLook w:val="04A0" w:firstRow="1" w:lastRow="0" w:firstColumn="1" w:lastColumn="0" w:noHBand="0" w:noVBand="1"/>
      </w:tblPr>
      <w:tblGrid>
        <w:gridCol w:w="4897"/>
        <w:gridCol w:w="4884"/>
      </w:tblGrid>
      <w:tr w:rsidR="00EC5883" w:rsidRPr="00C172C9" w14:paraId="4122C62F" w14:textId="77777777" w:rsidTr="00EC5883">
        <w:trPr>
          <w:cantSplit/>
        </w:trPr>
        <w:tc>
          <w:tcPr>
            <w:tcW w:w="9781" w:type="dxa"/>
            <w:gridSpan w:val="2"/>
          </w:tcPr>
          <w:p w14:paraId="2F2F3576" w14:textId="77777777" w:rsidR="00EC5883" w:rsidRPr="00C172C9" w:rsidRDefault="00EC5883" w:rsidP="00C44173">
            <w:pPr>
              <w:keepNext/>
              <w:spacing w:after="120"/>
            </w:pPr>
            <w:r w:rsidRPr="00C172C9">
              <w:rPr>
                <w:b/>
                <w:bCs/>
              </w:rPr>
              <w:t>Subject:</w:t>
            </w:r>
            <w:r w:rsidRPr="00C172C9">
              <w:rPr>
                <w:rFonts w:eastAsia="SimSun"/>
                <w:b/>
                <w:bCs/>
                <w:lang w:eastAsia="zh-CN"/>
              </w:rPr>
              <w:t xml:space="preserve"> </w:t>
            </w:r>
            <w:r w:rsidRPr="00C172C9">
              <w:t xml:space="preserve"> Measures to ensure coexistence between spaceborne synthetic aperture radars (SAR) operating in the Earth exploration-satellite service (active) and radiodetermination service in 9 200-10 400 MHz frequency bands</w:t>
            </w:r>
          </w:p>
        </w:tc>
      </w:tr>
      <w:tr w:rsidR="00EC5883" w:rsidRPr="00C172C9" w14:paraId="712D1C20" w14:textId="77777777" w:rsidTr="00EC5883">
        <w:trPr>
          <w:cantSplit/>
        </w:trPr>
        <w:tc>
          <w:tcPr>
            <w:tcW w:w="9781" w:type="dxa"/>
            <w:gridSpan w:val="2"/>
            <w:tcBorders>
              <w:top w:val="nil"/>
              <w:left w:val="nil"/>
              <w:bottom w:val="single" w:sz="4" w:space="0" w:color="auto"/>
              <w:right w:val="nil"/>
            </w:tcBorders>
          </w:tcPr>
          <w:p w14:paraId="6E19DC80" w14:textId="77777777" w:rsidR="00EC5883" w:rsidRPr="00C172C9" w:rsidRDefault="00EC5883" w:rsidP="00C44173">
            <w:pPr>
              <w:keepNext/>
              <w:spacing w:after="120"/>
              <w:rPr>
                <w:rFonts w:eastAsia="SimSun"/>
                <w:b/>
                <w:i/>
                <w:color w:val="000000"/>
                <w:lang w:eastAsia="zh-CN"/>
              </w:rPr>
            </w:pPr>
            <w:r w:rsidRPr="00C172C9">
              <w:rPr>
                <w:b/>
                <w:bCs/>
              </w:rPr>
              <w:t>Origin:</w:t>
            </w:r>
            <w:r w:rsidRPr="00C172C9">
              <w:rPr>
                <w:rFonts w:eastAsia="SimSun"/>
                <w:b/>
                <w:bCs/>
                <w:lang w:eastAsia="zh-CN"/>
              </w:rPr>
              <w:t xml:space="preserve"> </w:t>
            </w:r>
            <w:r w:rsidRPr="00C172C9">
              <w:rPr>
                <w:rFonts w:eastAsia="SimSun"/>
                <w:lang w:eastAsia="zh-CN"/>
              </w:rPr>
              <w:t>Asia-Pacific Telecommunity (APT)</w:t>
            </w:r>
          </w:p>
        </w:tc>
      </w:tr>
      <w:tr w:rsidR="00EC5883" w:rsidRPr="00C172C9" w14:paraId="5681089F" w14:textId="77777777" w:rsidTr="00EC5883">
        <w:trPr>
          <w:cantSplit/>
        </w:trPr>
        <w:tc>
          <w:tcPr>
            <w:tcW w:w="9781" w:type="dxa"/>
            <w:gridSpan w:val="2"/>
            <w:tcBorders>
              <w:top w:val="single" w:sz="4" w:space="0" w:color="auto"/>
              <w:left w:val="nil"/>
              <w:bottom w:val="single" w:sz="4" w:space="0" w:color="auto"/>
              <w:right w:val="nil"/>
            </w:tcBorders>
          </w:tcPr>
          <w:p w14:paraId="6A9CDAC1" w14:textId="77777777" w:rsidR="00EC5883" w:rsidRPr="00C172C9" w:rsidRDefault="00EC5883" w:rsidP="00C44173">
            <w:pPr>
              <w:keepNext/>
              <w:spacing w:after="120"/>
              <w:rPr>
                <w:b/>
                <w:i/>
                <w:color w:val="000000"/>
              </w:rPr>
            </w:pPr>
            <w:r w:rsidRPr="00C172C9">
              <w:rPr>
                <w:b/>
                <w:i/>
                <w:color w:val="000000"/>
              </w:rPr>
              <w:t>Proposal</w:t>
            </w:r>
            <w:r w:rsidRPr="00C172C9">
              <w:rPr>
                <w:b/>
                <w:iCs/>
                <w:color w:val="000000"/>
              </w:rPr>
              <w:t>:</w:t>
            </w:r>
          </w:p>
          <w:p w14:paraId="1E8103F1" w14:textId="77777777" w:rsidR="00EC5883" w:rsidRPr="00C172C9" w:rsidRDefault="00EC5883" w:rsidP="00C44173">
            <w:pPr>
              <w:keepNext/>
              <w:spacing w:after="120"/>
              <w:rPr>
                <w:b/>
                <w:i/>
              </w:rPr>
            </w:pPr>
            <w:r w:rsidRPr="00C172C9">
              <w:rPr>
                <w:rFonts w:eastAsia="SimSun"/>
                <w:bCs/>
                <w:i/>
                <w:lang w:eastAsia="zh-CN"/>
              </w:rPr>
              <w:t>To study and develop technical and regulatory measures to ensure coexistence between spaceborne synthetic aperture radars (SAR) operating in the Earth exploration-satellite service (active) and radiodetermination service in the frequency band 9 200-10 400 MHz.</w:t>
            </w:r>
          </w:p>
        </w:tc>
      </w:tr>
      <w:tr w:rsidR="00EC5883" w:rsidRPr="00C172C9" w14:paraId="1E9D97CA" w14:textId="77777777" w:rsidTr="00EC5883">
        <w:trPr>
          <w:cantSplit/>
        </w:trPr>
        <w:tc>
          <w:tcPr>
            <w:tcW w:w="9781" w:type="dxa"/>
            <w:gridSpan w:val="2"/>
            <w:tcBorders>
              <w:top w:val="single" w:sz="4" w:space="0" w:color="auto"/>
              <w:left w:val="nil"/>
              <w:bottom w:val="single" w:sz="4" w:space="0" w:color="auto"/>
              <w:right w:val="nil"/>
            </w:tcBorders>
          </w:tcPr>
          <w:p w14:paraId="2F348DF6" w14:textId="77777777" w:rsidR="00EC5883" w:rsidRPr="00C172C9" w:rsidRDefault="00EC5883" w:rsidP="00C44173">
            <w:pPr>
              <w:keepNext/>
              <w:spacing w:after="120"/>
              <w:jc w:val="both"/>
              <w:rPr>
                <w:b/>
                <w:iCs/>
                <w:color w:val="000000"/>
              </w:rPr>
            </w:pPr>
            <w:r w:rsidRPr="00C172C9">
              <w:rPr>
                <w:b/>
                <w:iCs/>
                <w:color w:val="000000"/>
              </w:rPr>
              <w:t>Background/reason:</w:t>
            </w:r>
          </w:p>
          <w:p w14:paraId="0E36D3D0" w14:textId="2CE7B033" w:rsidR="00EC5883" w:rsidRPr="00C172C9" w:rsidRDefault="00EC5883" w:rsidP="008414B0">
            <w:pPr>
              <w:keepNext/>
              <w:spacing w:after="120"/>
              <w:rPr>
                <w:bCs/>
                <w:iCs/>
              </w:rPr>
            </w:pPr>
            <w:r w:rsidRPr="00C172C9">
              <w:rPr>
                <w:bCs/>
                <w:iCs/>
              </w:rPr>
              <w:t>The Earth exploration-satellite service (active) is mainly used for active spaceborne sensors, including synthetic aperture radar (SAR), Altimeter, Scatterometer, Precipitation radar and Cloud profile radar. Amongst these applications, SAR is the most widely used spaceborne sensors. WRC</w:t>
            </w:r>
            <w:r w:rsidR="008414B0" w:rsidRPr="00C172C9">
              <w:rPr>
                <w:bCs/>
                <w:iCs/>
              </w:rPr>
              <w:noBreakHyphen/>
            </w:r>
            <w:r w:rsidRPr="00C172C9">
              <w:rPr>
                <w:bCs/>
                <w:iCs/>
              </w:rPr>
              <w:t xml:space="preserve">07 and WRC-15 successively extended the allocations to Earth exploration-satellite service (active) from 9 500-9 800 MHz to 9 200-10 400 MHz, which is shared with the radiodetermination service, including radiolocation and radionavigation services. During past years in </w:t>
            </w:r>
            <w:r w:rsidR="00C172C9" w:rsidRPr="00C172C9">
              <w:rPr>
                <w:bCs/>
                <w:iCs/>
              </w:rPr>
              <w:t>ITU</w:t>
            </w:r>
            <w:r w:rsidR="00C172C9" w:rsidRPr="00C172C9">
              <w:rPr>
                <w:bCs/>
                <w:iCs/>
              </w:rPr>
              <w:noBreakHyphen/>
            </w:r>
            <w:r w:rsidRPr="00C172C9">
              <w:rPr>
                <w:bCs/>
                <w:iCs/>
              </w:rPr>
              <w:t xml:space="preserve">R, especially in the WRC-07 and WRC-15 study cycles, numerous studies have been performed regarding the sharing between Earth exploration-satellite service (active) and radiodetermination service. Under the assumptions and system parameters at that time, the </w:t>
            </w:r>
            <w:r w:rsidR="00C172C9" w:rsidRPr="00C172C9">
              <w:rPr>
                <w:bCs/>
                <w:iCs/>
              </w:rPr>
              <w:t>ITU</w:t>
            </w:r>
            <w:r w:rsidR="00C172C9" w:rsidRPr="00C172C9">
              <w:rPr>
                <w:bCs/>
                <w:iCs/>
              </w:rPr>
              <w:noBreakHyphen/>
            </w:r>
            <w:r w:rsidRPr="00C172C9">
              <w:rPr>
                <w:bCs/>
                <w:iCs/>
              </w:rPr>
              <w:t xml:space="preserve">R studies concluded that, although the radars would be affected by spaceborne SAR with interference levels significantly exceeding the specified </w:t>
            </w:r>
            <w:r w:rsidRPr="00C172C9">
              <w:rPr>
                <w:bCs/>
                <w:i/>
              </w:rPr>
              <w:t>I/N</w:t>
            </w:r>
            <w:r w:rsidRPr="00C172C9">
              <w:rPr>
                <w:bCs/>
                <w:iCs/>
              </w:rPr>
              <w:t xml:space="preserve"> threshold value of </w:t>
            </w:r>
            <w:r w:rsidRPr="00C172C9">
              <w:rPr>
                <w:bCs/>
                <w:i/>
              </w:rPr>
              <w:t>I/N</w:t>
            </w:r>
            <w:r w:rsidRPr="00C172C9">
              <w:rPr>
                <w:bCs/>
                <w:iCs/>
              </w:rPr>
              <w:t xml:space="preserve"> = </w:t>
            </w:r>
            <w:r w:rsidR="00A4766F" w:rsidRPr="00C172C9">
              <w:rPr>
                <w:bCs/>
                <w:iCs/>
              </w:rPr>
              <w:t>–</w:t>
            </w:r>
            <w:r w:rsidRPr="00C172C9">
              <w:rPr>
                <w:bCs/>
                <w:iCs/>
              </w:rPr>
              <w:t>6 dB, the time percentage of the occurrence of the interference would be low.</w:t>
            </w:r>
            <w:r w:rsidRPr="00C172C9">
              <w:rPr>
                <w:iCs/>
              </w:rPr>
              <w:t xml:space="preserve"> </w:t>
            </w:r>
            <w:r w:rsidRPr="00C172C9">
              <w:rPr>
                <w:bCs/>
                <w:iCs/>
              </w:rPr>
              <w:t xml:space="preserve">However, there are some deficiencies in the studies. One is not mentioning what the time percentage should be to ensure the radiodetermination service will not be adversely impacted by the pulsed </w:t>
            </w:r>
            <w:proofErr w:type="gramStart"/>
            <w:r w:rsidRPr="00C172C9">
              <w:rPr>
                <w:bCs/>
                <w:iCs/>
              </w:rPr>
              <w:t>type</w:t>
            </w:r>
            <w:proofErr w:type="gramEnd"/>
            <w:r w:rsidRPr="00C172C9">
              <w:rPr>
                <w:bCs/>
                <w:iCs/>
              </w:rPr>
              <w:t xml:space="preserve"> interference like spaceborne SAR emissions. The second is the conclusion was based on the assumptions that the expected number of the </w:t>
            </w:r>
            <w:proofErr w:type="gramStart"/>
            <w:r w:rsidRPr="00C172C9">
              <w:rPr>
                <w:bCs/>
                <w:iCs/>
              </w:rPr>
              <w:t>actually operated</w:t>
            </w:r>
            <w:proofErr w:type="gramEnd"/>
            <w:r w:rsidRPr="00C172C9">
              <w:rPr>
                <w:bCs/>
                <w:iCs/>
              </w:rPr>
              <w:t xml:space="preserve"> SAR satellites would be very limited, but which is not the case nowadays. </w:t>
            </w:r>
          </w:p>
          <w:p w14:paraId="686883F0" w14:textId="77777777" w:rsidR="00EC5883" w:rsidRPr="00C172C9" w:rsidRDefault="00EC5883" w:rsidP="008414B0">
            <w:r w:rsidRPr="00C172C9">
              <w:lastRenderedPageBreak/>
              <w:t xml:space="preserve">In recent years, with the advancement of technology and the reduction of manufacturing costs, more and more SAR satellites have been launched and operated by many countries. According to publicly available information, the number of current and future SAR satellites operated in X band have already exceeded 300, which is far beyond the expectations in WRC-07 and WRC-15 study cycles. In addition, the system parameters of SAR satellites also changed from the past study cycles during recent years. These changing situations would lead the coexistence between SAR satellites and radiodetermination service becomes more difficult than before. And it will increase the possibility of mutual interference between radiodetermination radars </w:t>
            </w:r>
            <w:r w:rsidRPr="00C172C9">
              <w:rPr>
                <w:rFonts w:eastAsia="SimSun"/>
                <w:lang w:eastAsia="zh-CN"/>
              </w:rPr>
              <w:t xml:space="preserve">and </w:t>
            </w:r>
            <w:r w:rsidRPr="00C172C9">
              <w:rPr>
                <w:rFonts w:eastAsia="DengXian"/>
                <w:lang w:eastAsia="zh-CN"/>
              </w:rPr>
              <w:t>SAR satellites which</w:t>
            </w:r>
            <w:r w:rsidRPr="00C172C9">
              <w:t xml:space="preserve"> may become a significant problem among administrations in the future. </w:t>
            </w:r>
          </w:p>
          <w:p w14:paraId="0C9A82EE" w14:textId="2F7C029D" w:rsidR="00EC5883" w:rsidRPr="00C172C9" w:rsidRDefault="00EC5883" w:rsidP="008414B0">
            <w:pPr>
              <w:rPr>
                <w:b/>
              </w:rPr>
            </w:pPr>
            <w:r w:rsidRPr="00C172C9">
              <w:t>Therefore, it is necessary to conduct studies on the technical and regulatory measures to ensure coexistence between spaceborne SAR in the Earth exploration-satellite service (active) and radiodetermination service in the frequency band 9 200-10 400 MHz with the aim to facilitate the operation of both side systems.</w:t>
            </w:r>
          </w:p>
        </w:tc>
      </w:tr>
      <w:tr w:rsidR="00EC5883" w:rsidRPr="00C172C9" w14:paraId="022C12E3" w14:textId="77777777" w:rsidTr="00EC5883">
        <w:trPr>
          <w:cantSplit/>
        </w:trPr>
        <w:tc>
          <w:tcPr>
            <w:tcW w:w="9781" w:type="dxa"/>
            <w:gridSpan w:val="2"/>
            <w:tcBorders>
              <w:top w:val="single" w:sz="4" w:space="0" w:color="auto"/>
              <w:left w:val="nil"/>
              <w:bottom w:val="single" w:sz="4" w:space="0" w:color="auto"/>
              <w:right w:val="nil"/>
            </w:tcBorders>
          </w:tcPr>
          <w:p w14:paraId="1ED4E41F" w14:textId="77777777" w:rsidR="00EC5883" w:rsidRPr="00C172C9" w:rsidRDefault="00EC5883" w:rsidP="00C44173">
            <w:pPr>
              <w:keepNext/>
              <w:spacing w:after="120"/>
              <w:rPr>
                <w:b/>
                <w:i/>
              </w:rPr>
            </w:pPr>
            <w:r w:rsidRPr="00C172C9">
              <w:rPr>
                <w:b/>
                <w:i/>
              </w:rPr>
              <w:lastRenderedPageBreak/>
              <w:t>Radiocommunication services concerned</w:t>
            </w:r>
            <w:r w:rsidRPr="00C172C9">
              <w:rPr>
                <w:b/>
                <w:iCs/>
              </w:rPr>
              <w:t>:</w:t>
            </w:r>
          </w:p>
          <w:p w14:paraId="68403487" w14:textId="77777777" w:rsidR="00EC5883" w:rsidRPr="00C172C9" w:rsidRDefault="00EC5883" w:rsidP="00C44173">
            <w:pPr>
              <w:keepNext/>
              <w:spacing w:after="120"/>
              <w:rPr>
                <w:b/>
                <w:iCs/>
              </w:rPr>
            </w:pPr>
            <w:r w:rsidRPr="00C172C9">
              <w:rPr>
                <w:bCs/>
                <w:iCs/>
              </w:rPr>
              <w:t>Earth exploration-satellite service (active), radiolocation service and radionavigation service</w:t>
            </w:r>
          </w:p>
        </w:tc>
      </w:tr>
      <w:tr w:rsidR="00EC5883" w:rsidRPr="00C172C9" w14:paraId="6E307573" w14:textId="77777777" w:rsidTr="00EC5883">
        <w:trPr>
          <w:cantSplit/>
        </w:trPr>
        <w:tc>
          <w:tcPr>
            <w:tcW w:w="9781" w:type="dxa"/>
            <w:gridSpan w:val="2"/>
            <w:tcBorders>
              <w:top w:val="single" w:sz="4" w:space="0" w:color="auto"/>
              <w:left w:val="nil"/>
              <w:bottom w:val="single" w:sz="4" w:space="0" w:color="auto"/>
              <w:right w:val="nil"/>
            </w:tcBorders>
          </w:tcPr>
          <w:p w14:paraId="6FDD3AE5" w14:textId="77777777" w:rsidR="00EC5883" w:rsidRPr="00C172C9" w:rsidRDefault="00EC5883" w:rsidP="00C44173">
            <w:pPr>
              <w:keepNext/>
              <w:spacing w:after="120"/>
              <w:rPr>
                <w:b/>
                <w:i/>
              </w:rPr>
            </w:pPr>
            <w:r w:rsidRPr="00C172C9">
              <w:rPr>
                <w:b/>
                <w:i/>
              </w:rPr>
              <w:t>Indication of possible difficulties</w:t>
            </w:r>
            <w:r w:rsidRPr="00C172C9">
              <w:rPr>
                <w:b/>
                <w:iCs/>
              </w:rPr>
              <w:t>:</w:t>
            </w:r>
          </w:p>
          <w:p w14:paraId="15295862" w14:textId="77777777" w:rsidR="00EC5883" w:rsidRPr="00C172C9" w:rsidRDefault="00EC5883" w:rsidP="00C44173">
            <w:pPr>
              <w:keepNext/>
              <w:spacing w:after="120"/>
              <w:rPr>
                <w:b/>
                <w:i/>
              </w:rPr>
            </w:pPr>
          </w:p>
        </w:tc>
      </w:tr>
      <w:tr w:rsidR="00EC5883" w:rsidRPr="00C172C9" w14:paraId="4EB6AA1B" w14:textId="77777777" w:rsidTr="00EC5883">
        <w:trPr>
          <w:cantSplit/>
        </w:trPr>
        <w:tc>
          <w:tcPr>
            <w:tcW w:w="9781" w:type="dxa"/>
            <w:gridSpan w:val="2"/>
            <w:tcBorders>
              <w:top w:val="single" w:sz="4" w:space="0" w:color="auto"/>
              <w:left w:val="nil"/>
              <w:bottom w:val="single" w:sz="4" w:space="0" w:color="auto"/>
              <w:right w:val="nil"/>
            </w:tcBorders>
          </w:tcPr>
          <w:p w14:paraId="5416B26A" w14:textId="77777777" w:rsidR="00EC5883" w:rsidRPr="00C172C9" w:rsidRDefault="00EC5883" w:rsidP="00C44173">
            <w:pPr>
              <w:keepNext/>
              <w:spacing w:after="120"/>
              <w:rPr>
                <w:b/>
                <w:i/>
              </w:rPr>
            </w:pPr>
            <w:r w:rsidRPr="00C172C9">
              <w:rPr>
                <w:b/>
                <w:i/>
              </w:rPr>
              <w:t>Previous/ongoing studies on the issue</w:t>
            </w:r>
            <w:r w:rsidRPr="00C172C9">
              <w:rPr>
                <w:b/>
                <w:iCs/>
              </w:rPr>
              <w:t>:</w:t>
            </w:r>
          </w:p>
          <w:p w14:paraId="05C76D3E" w14:textId="77777777" w:rsidR="00EC5883" w:rsidRPr="00C172C9" w:rsidRDefault="00EC5883" w:rsidP="00C44173">
            <w:pPr>
              <w:keepNext/>
              <w:spacing w:after="120"/>
              <w:rPr>
                <w:b/>
                <w:i/>
              </w:rPr>
            </w:pPr>
            <w:r w:rsidRPr="00C172C9">
              <w:rPr>
                <w:bCs/>
                <w:i/>
              </w:rPr>
              <w:t>Studies during the study periods towards WRC-07 and WRC-15.</w:t>
            </w:r>
          </w:p>
        </w:tc>
      </w:tr>
      <w:tr w:rsidR="00EC5883" w:rsidRPr="00C172C9" w14:paraId="13294505" w14:textId="77777777" w:rsidTr="00EC5883">
        <w:trPr>
          <w:cantSplit/>
        </w:trPr>
        <w:tc>
          <w:tcPr>
            <w:tcW w:w="4897" w:type="dxa"/>
            <w:tcBorders>
              <w:top w:val="single" w:sz="4" w:space="0" w:color="auto"/>
              <w:left w:val="nil"/>
              <w:bottom w:val="single" w:sz="4" w:space="0" w:color="auto"/>
              <w:right w:val="single" w:sz="4" w:space="0" w:color="auto"/>
            </w:tcBorders>
          </w:tcPr>
          <w:p w14:paraId="50A8ABB1" w14:textId="77777777" w:rsidR="00EC5883" w:rsidRPr="00C172C9" w:rsidRDefault="00EC5883" w:rsidP="00C44173">
            <w:pPr>
              <w:keepNext/>
              <w:spacing w:after="120"/>
              <w:rPr>
                <w:b/>
                <w:i/>
                <w:color w:val="000000"/>
              </w:rPr>
            </w:pPr>
            <w:r w:rsidRPr="00C172C9">
              <w:rPr>
                <w:b/>
                <w:i/>
                <w:color w:val="000000"/>
              </w:rPr>
              <w:t>Studies to be carried out by</w:t>
            </w:r>
            <w:r w:rsidRPr="00C172C9">
              <w:rPr>
                <w:b/>
                <w:iCs/>
                <w:color w:val="000000"/>
              </w:rPr>
              <w:t>:</w:t>
            </w:r>
          </w:p>
          <w:p w14:paraId="71CF95FD" w14:textId="1B255D4E" w:rsidR="00EC5883" w:rsidRPr="00C172C9" w:rsidRDefault="00C172C9" w:rsidP="00C44173">
            <w:pPr>
              <w:keepNext/>
              <w:spacing w:after="120"/>
              <w:rPr>
                <w:b/>
                <w:iCs/>
                <w:color w:val="000000"/>
              </w:rPr>
            </w:pPr>
            <w:r w:rsidRPr="00C172C9">
              <w:rPr>
                <w:bCs/>
                <w:iCs/>
                <w:color w:val="000000"/>
              </w:rPr>
              <w:t>ITU</w:t>
            </w:r>
            <w:r w:rsidRPr="00C172C9">
              <w:rPr>
                <w:bCs/>
                <w:iCs/>
                <w:color w:val="000000"/>
              </w:rPr>
              <w:noBreakHyphen/>
            </w:r>
            <w:r w:rsidR="00EC5883" w:rsidRPr="00C172C9">
              <w:rPr>
                <w:bCs/>
                <w:iCs/>
                <w:color w:val="000000"/>
              </w:rPr>
              <w:t>R WP 5B/7C as responsible group</w:t>
            </w:r>
          </w:p>
        </w:tc>
        <w:tc>
          <w:tcPr>
            <w:tcW w:w="4884" w:type="dxa"/>
            <w:tcBorders>
              <w:top w:val="single" w:sz="4" w:space="0" w:color="auto"/>
              <w:left w:val="single" w:sz="4" w:space="0" w:color="auto"/>
              <w:bottom w:val="single" w:sz="4" w:space="0" w:color="auto"/>
              <w:right w:val="nil"/>
            </w:tcBorders>
          </w:tcPr>
          <w:p w14:paraId="43BA124E" w14:textId="77777777" w:rsidR="00EC5883" w:rsidRPr="00C172C9" w:rsidRDefault="00EC5883" w:rsidP="00C44173">
            <w:pPr>
              <w:keepNext/>
              <w:spacing w:after="120"/>
              <w:rPr>
                <w:b/>
                <w:iCs/>
                <w:color w:val="000000"/>
              </w:rPr>
            </w:pPr>
            <w:r w:rsidRPr="00C172C9">
              <w:rPr>
                <w:b/>
                <w:i/>
                <w:color w:val="000000"/>
              </w:rPr>
              <w:t>with the participation of</w:t>
            </w:r>
            <w:r w:rsidRPr="00C172C9">
              <w:rPr>
                <w:b/>
                <w:iCs/>
                <w:color w:val="000000"/>
              </w:rPr>
              <w:t>:</w:t>
            </w:r>
          </w:p>
          <w:p w14:paraId="545D1CDE" w14:textId="77777777" w:rsidR="00EC5883" w:rsidRPr="00C172C9" w:rsidRDefault="00EC5883" w:rsidP="00C44173">
            <w:pPr>
              <w:keepNext/>
              <w:spacing w:after="120"/>
              <w:rPr>
                <w:b/>
                <w:iCs/>
                <w:color w:val="000000"/>
              </w:rPr>
            </w:pPr>
            <w:r w:rsidRPr="00C172C9">
              <w:rPr>
                <w:bCs/>
                <w:iCs/>
                <w:color w:val="000000"/>
              </w:rPr>
              <w:t>Other relevant WPs, Administrations, Sector Members</w:t>
            </w:r>
          </w:p>
        </w:tc>
      </w:tr>
      <w:tr w:rsidR="00EC5883" w:rsidRPr="00C172C9" w14:paraId="4871793D" w14:textId="77777777" w:rsidTr="00EC5883">
        <w:trPr>
          <w:cantSplit/>
        </w:trPr>
        <w:tc>
          <w:tcPr>
            <w:tcW w:w="9781" w:type="dxa"/>
            <w:gridSpan w:val="2"/>
            <w:tcBorders>
              <w:top w:val="single" w:sz="4" w:space="0" w:color="auto"/>
              <w:left w:val="nil"/>
              <w:bottom w:val="single" w:sz="4" w:space="0" w:color="auto"/>
              <w:right w:val="nil"/>
            </w:tcBorders>
          </w:tcPr>
          <w:p w14:paraId="31499886" w14:textId="5DEF143F" w:rsidR="00EC5883" w:rsidRPr="00C172C9" w:rsidRDefault="00C172C9" w:rsidP="00C44173">
            <w:pPr>
              <w:keepNext/>
              <w:spacing w:after="120"/>
              <w:rPr>
                <w:b/>
                <w:i/>
                <w:color w:val="000000"/>
              </w:rPr>
            </w:pPr>
            <w:r w:rsidRPr="00C172C9">
              <w:rPr>
                <w:b/>
                <w:i/>
                <w:color w:val="000000"/>
              </w:rPr>
              <w:t>ITU</w:t>
            </w:r>
            <w:r w:rsidRPr="00C172C9">
              <w:rPr>
                <w:b/>
                <w:i/>
                <w:color w:val="000000"/>
              </w:rPr>
              <w:noBreakHyphen/>
            </w:r>
            <w:r w:rsidR="00EC5883" w:rsidRPr="00C172C9">
              <w:rPr>
                <w:b/>
                <w:i/>
                <w:color w:val="000000"/>
              </w:rPr>
              <w:t>R study groups concerned</w:t>
            </w:r>
            <w:r w:rsidR="00EC5883" w:rsidRPr="00C172C9">
              <w:rPr>
                <w:b/>
                <w:iCs/>
                <w:color w:val="000000"/>
              </w:rPr>
              <w:t>:</w:t>
            </w:r>
          </w:p>
          <w:p w14:paraId="6F6D1FFF" w14:textId="77777777" w:rsidR="00EC5883" w:rsidRPr="00C172C9" w:rsidRDefault="00EC5883" w:rsidP="00C44173">
            <w:pPr>
              <w:keepNext/>
              <w:spacing w:after="120"/>
              <w:rPr>
                <w:b/>
                <w:iCs/>
              </w:rPr>
            </w:pPr>
            <w:r w:rsidRPr="00C172C9">
              <w:rPr>
                <w:bCs/>
                <w:iCs/>
              </w:rPr>
              <w:t xml:space="preserve">SG </w:t>
            </w:r>
            <w:r w:rsidRPr="00C172C9">
              <w:rPr>
                <w:rFonts w:eastAsia="SimSun"/>
                <w:bCs/>
                <w:iCs/>
                <w:lang w:eastAsia="zh-CN"/>
              </w:rPr>
              <w:t xml:space="preserve">5, </w:t>
            </w:r>
            <w:r w:rsidRPr="00C172C9">
              <w:rPr>
                <w:bCs/>
                <w:iCs/>
              </w:rPr>
              <w:t>SG 7</w:t>
            </w:r>
          </w:p>
        </w:tc>
      </w:tr>
      <w:tr w:rsidR="00EC5883" w:rsidRPr="00C172C9" w14:paraId="3BAD7D12" w14:textId="77777777" w:rsidTr="00EC5883">
        <w:trPr>
          <w:cantSplit/>
        </w:trPr>
        <w:tc>
          <w:tcPr>
            <w:tcW w:w="9781" w:type="dxa"/>
            <w:gridSpan w:val="2"/>
            <w:tcBorders>
              <w:top w:val="single" w:sz="4" w:space="0" w:color="auto"/>
              <w:left w:val="nil"/>
              <w:bottom w:val="single" w:sz="4" w:space="0" w:color="auto"/>
              <w:right w:val="nil"/>
            </w:tcBorders>
          </w:tcPr>
          <w:p w14:paraId="4444FFE3" w14:textId="77777777" w:rsidR="00EC5883" w:rsidRPr="00C172C9" w:rsidRDefault="00EC5883" w:rsidP="00C44173">
            <w:pPr>
              <w:keepNext/>
              <w:spacing w:after="120"/>
              <w:rPr>
                <w:b/>
                <w:i/>
              </w:rPr>
            </w:pPr>
            <w:r w:rsidRPr="00C172C9">
              <w:rPr>
                <w:b/>
                <w:i/>
              </w:rPr>
              <w:t>ITU resource implications, including financial implications (refer to CV126)</w:t>
            </w:r>
            <w:r w:rsidRPr="00C172C9">
              <w:rPr>
                <w:b/>
                <w:iCs/>
              </w:rPr>
              <w:t>:</w:t>
            </w:r>
          </w:p>
          <w:p w14:paraId="2619826E" w14:textId="77777777" w:rsidR="00EC5883" w:rsidRPr="00C172C9" w:rsidRDefault="00EC5883" w:rsidP="00C44173">
            <w:pPr>
              <w:keepNext/>
              <w:spacing w:after="120"/>
              <w:rPr>
                <w:b/>
                <w:iCs/>
              </w:rPr>
            </w:pPr>
            <w:r w:rsidRPr="00C172C9">
              <w:rPr>
                <w:bCs/>
                <w:iCs/>
              </w:rPr>
              <w:t xml:space="preserve">No direct financial implications have been identified to date. </w:t>
            </w:r>
          </w:p>
        </w:tc>
      </w:tr>
      <w:tr w:rsidR="00EC5883" w:rsidRPr="00C172C9" w14:paraId="4CEFDDF6" w14:textId="77777777" w:rsidTr="00EC5883">
        <w:trPr>
          <w:cantSplit/>
        </w:trPr>
        <w:tc>
          <w:tcPr>
            <w:tcW w:w="4897" w:type="dxa"/>
            <w:tcBorders>
              <w:top w:val="single" w:sz="4" w:space="0" w:color="auto"/>
              <w:left w:val="nil"/>
              <w:bottom w:val="single" w:sz="4" w:space="0" w:color="auto"/>
              <w:right w:val="nil"/>
            </w:tcBorders>
          </w:tcPr>
          <w:p w14:paraId="09A3DD7B" w14:textId="77777777" w:rsidR="00EC5883" w:rsidRPr="00C172C9" w:rsidRDefault="00EC5883" w:rsidP="00C44173">
            <w:pPr>
              <w:keepNext/>
              <w:spacing w:after="120"/>
              <w:rPr>
                <w:b/>
                <w:iCs/>
              </w:rPr>
            </w:pPr>
            <w:r w:rsidRPr="00C172C9">
              <w:rPr>
                <w:b/>
                <w:i/>
              </w:rPr>
              <w:t>Common regional proposal</w:t>
            </w:r>
            <w:r w:rsidRPr="00C172C9">
              <w:rPr>
                <w:b/>
                <w:iCs/>
              </w:rPr>
              <w:t xml:space="preserve">: </w:t>
            </w:r>
            <w:r w:rsidRPr="00C172C9">
              <w:rPr>
                <w:bCs/>
                <w:iCs/>
              </w:rPr>
              <w:t>TBD</w:t>
            </w:r>
          </w:p>
        </w:tc>
        <w:tc>
          <w:tcPr>
            <w:tcW w:w="4884" w:type="dxa"/>
            <w:tcBorders>
              <w:top w:val="single" w:sz="4" w:space="0" w:color="auto"/>
              <w:left w:val="nil"/>
              <w:bottom w:val="single" w:sz="4" w:space="0" w:color="auto"/>
              <w:right w:val="nil"/>
            </w:tcBorders>
          </w:tcPr>
          <w:p w14:paraId="6E74652A" w14:textId="77777777" w:rsidR="00EC5883" w:rsidRPr="00C172C9" w:rsidRDefault="00EC5883" w:rsidP="00C44173">
            <w:pPr>
              <w:keepNext/>
              <w:spacing w:after="120"/>
              <w:rPr>
                <w:b/>
                <w:iCs/>
              </w:rPr>
            </w:pPr>
            <w:r w:rsidRPr="00C172C9">
              <w:rPr>
                <w:b/>
                <w:i/>
              </w:rPr>
              <w:t>Multicountry proposal</w:t>
            </w:r>
            <w:r w:rsidRPr="00C172C9">
              <w:rPr>
                <w:b/>
                <w:iCs/>
              </w:rPr>
              <w:t xml:space="preserve">: </w:t>
            </w:r>
            <w:r w:rsidRPr="00C172C9">
              <w:rPr>
                <w:bCs/>
                <w:iCs/>
              </w:rPr>
              <w:t>TBD</w:t>
            </w:r>
          </w:p>
          <w:p w14:paraId="0259DFEB" w14:textId="77777777" w:rsidR="00EC5883" w:rsidRPr="00C172C9" w:rsidRDefault="00EC5883" w:rsidP="00C44173">
            <w:pPr>
              <w:keepNext/>
              <w:spacing w:after="120"/>
              <w:rPr>
                <w:b/>
                <w:i/>
              </w:rPr>
            </w:pPr>
            <w:r w:rsidRPr="00C172C9">
              <w:rPr>
                <w:b/>
                <w:i/>
              </w:rPr>
              <w:t>Number of countries</w:t>
            </w:r>
            <w:r w:rsidRPr="00C172C9">
              <w:rPr>
                <w:b/>
                <w:iCs/>
              </w:rPr>
              <w:t xml:space="preserve">: </w:t>
            </w:r>
            <w:r w:rsidRPr="00C172C9">
              <w:rPr>
                <w:rFonts w:eastAsia="SimSun"/>
                <w:bCs/>
                <w:iCs/>
                <w:lang w:eastAsia="zh-CN"/>
              </w:rPr>
              <w:t>TBD</w:t>
            </w:r>
          </w:p>
        </w:tc>
      </w:tr>
      <w:tr w:rsidR="00EC5883" w:rsidRPr="00C172C9" w14:paraId="46C97626" w14:textId="77777777" w:rsidTr="00EC5883">
        <w:trPr>
          <w:cantSplit/>
        </w:trPr>
        <w:tc>
          <w:tcPr>
            <w:tcW w:w="9781" w:type="dxa"/>
            <w:gridSpan w:val="2"/>
            <w:tcBorders>
              <w:top w:val="single" w:sz="4" w:space="0" w:color="auto"/>
              <w:left w:val="nil"/>
              <w:bottom w:val="nil"/>
              <w:right w:val="nil"/>
            </w:tcBorders>
          </w:tcPr>
          <w:p w14:paraId="29230AED" w14:textId="77777777" w:rsidR="00EC5883" w:rsidRPr="00C172C9" w:rsidRDefault="00EC5883" w:rsidP="00C44173">
            <w:pPr>
              <w:spacing w:after="120"/>
              <w:rPr>
                <w:b/>
                <w:i/>
              </w:rPr>
            </w:pPr>
            <w:r w:rsidRPr="00C172C9">
              <w:rPr>
                <w:b/>
                <w:i/>
              </w:rPr>
              <w:t>Remarks</w:t>
            </w:r>
          </w:p>
          <w:p w14:paraId="4066E76F" w14:textId="77777777" w:rsidR="00EC5883" w:rsidRPr="00C172C9" w:rsidRDefault="00EC5883" w:rsidP="00C44173">
            <w:pPr>
              <w:spacing w:after="120"/>
              <w:rPr>
                <w:b/>
                <w:i/>
              </w:rPr>
            </w:pPr>
          </w:p>
        </w:tc>
      </w:tr>
    </w:tbl>
    <w:p w14:paraId="1C1B77CB" w14:textId="6601AD1A" w:rsidR="008E0641" w:rsidRPr="004C3EDB" w:rsidRDefault="008414B0" w:rsidP="008414B0">
      <w:pPr>
        <w:jc w:val="center"/>
      </w:pPr>
      <w:r w:rsidRPr="00C172C9">
        <w:t>___________</w:t>
      </w:r>
    </w:p>
    <w:sectPr w:rsidR="008E0641" w:rsidRPr="004C3EDB" w:rsidSect="0039169B">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250FF" w14:textId="77777777" w:rsidR="00D313B5" w:rsidRDefault="00D313B5">
      <w:r>
        <w:separator/>
      </w:r>
    </w:p>
  </w:endnote>
  <w:endnote w:type="continuationSeparator" w:id="0">
    <w:p w14:paraId="34C49057" w14:textId="77777777" w:rsidR="00D313B5" w:rsidRDefault="00D31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E20F8" w14:textId="77777777" w:rsidR="00E45D05" w:rsidRDefault="00E45D05">
    <w:pPr>
      <w:framePr w:wrap="around" w:vAnchor="text" w:hAnchor="margin" w:xAlign="right" w:y="1"/>
    </w:pPr>
    <w:r>
      <w:fldChar w:fldCharType="begin"/>
    </w:r>
    <w:r>
      <w:instrText xml:space="preserve">PAGE  </w:instrText>
    </w:r>
    <w:r>
      <w:fldChar w:fldCharType="end"/>
    </w:r>
  </w:p>
  <w:p w14:paraId="13B3AD01" w14:textId="3AC39603"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172C9">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34D" w14:textId="10C01A80" w:rsidR="00E45D05" w:rsidRDefault="00E45D05" w:rsidP="009B1EA1">
    <w:pPr>
      <w:pStyle w:val="Footer"/>
    </w:pPr>
    <w:r>
      <w:fldChar w:fldCharType="begin"/>
    </w:r>
    <w:r w:rsidRPr="0041348E">
      <w:rPr>
        <w:lang w:val="en-US"/>
      </w:rPr>
      <w:instrText xml:space="preserve"> FILENAME \p  \* MERGEFORMAT </w:instrText>
    </w:r>
    <w:r>
      <w:fldChar w:fldCharType="separate"/>
    </w:r>
    <w:r w:rsidR="006E3E34">
      <w:rPr>
        <w:lang w:val="en-US"/>
      </w:rPr>
      <w:t>P:\ENG\ITU-R\CONF-R\CMR23\000\062ADD27ADD13E.doc</w:t>
    </w:r>
    <w:r>
      <w:fldChar w:fldCharType="end"/>
    </w:r>
    <w:r w:rsidR="006E3E34">
      <w:t xml:space="preserve"> (529006)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BC73" w14:textId="29EB1C8D" w:rsidR="00CB1944" w:rsidRPr="00CB1944" w:rsidRDefault="00CB1944">
    <w:pPr>
      <w:pStyle w:val="Footer"/>
    </w:pPr>
    <w:r>
      <w:fldChar w:fldCharType="begin"/>
    </w:r>
    <w:r w:rsidRPr="00CB1944">
      <w:instrText xml:space="preserve"> FILENAME \p \* MERGEFORMAT </w:instrText>
    </w:r>
    <w:r>
      <w:fldChar w:fldCharType="separate"/>
    </w:r>
    <w:r w:rsidRPr="00CB1944">
      <w:t>P:\ENG\ITU-R\CONF-R\CMR23\000\062ADD27ADD13E.doc</w:t>
    </w:r>
    <w:r>
      <w:fldChar w:fldCharType="end"/>
    </w:r>
    <w:r>
      <w:t xml:space="preserve"> (529006)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DAEE2" w14:textId="77777777" w:rsidR="00D313B5" w:rsidRDefault="00D313B5">
      <w:r>
        <w:rPr>
          <w:b/>
        </w:rPr>
        <w:t>_______________</w:t>
      </w:r>
    </w:p>
  </w:footnote>
  <w:footnote w:type="continuationSeparator" w:id="0">
    <w:p w14:paraId="18012D87" w14:textId="77777777" w:rsidR="00D313B5" w:rsidRDefault="00D31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52AC" w14:textId="77777777" w:rsidR="006E3E34" w:rsidRDefault="006E3E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F558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19A1A2D2" w14:textId="77777777" w:rsidR="00A066F1" w:rsidRPr="00A066F1" w:rsidRDefault="00BC75DE" w:rsidP="00241FA2">
    <w:pPr>
      <w:pStyle w:val="Header"/>
    </w:pPr>
    <w:r>
      <w:t>WRC</w:t>
    </w:r>
    <w:r w:rsidR="006D70B0">
      <w:t>23</w:t>
    </w:r>
    <w:r w:rsidR="00A066F1">
      <w:t>/</w:t>
    </w:r>
    <w:bookmarkStart w:id="9" w:name="OLE_LINK1"/>
    <w:bookmarkStart w:id="10" w:name="OLE_LINK2"/>
    <w:bookmarkStart w:id="11" w:name="OLE_LINK3"/>
    <w:r w:rsidR="00EB55C6">
      <w:t>62(Add.27)(Add.13)</w:t>
    </w:r>
    <w:bookmarkEnd w:id="9"/>
    <w:bookmarkEnd w:id="10"/>
    <w:bookmarkEnd w:id="11"/>
    <w:r w:rsidR="00187BD9">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F37A" w14:textId="77777777" w:rsidR="006E3E34" w:rsidRDefault="006E3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6E0749D"/>
    <w:multiLevelType w:val="multilevel"/>
    <w:tmpl w:val="06E0749D"/>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D3013D8"/>
    <w:multiLevelType w:val="multilevel"/>
    <w:tmpl w:val="6D3013D8"/>
    <w:lvl w:ilvl="0">
      <w:start w:val="1"/>
      <w:numFmt w:val="lowerLetter"/>
      <w:lvlText w:val="%1)"/>
      <w:lvlJc w:val="left"/>
      <w:pPr>
        <w:ind w:left="1490" w:hanging="113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52956646">
    <w:abstractNumId w:val="0"/>
  </w:num>
  <w:num w:numId="2" w16cid:durableId="101792612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92626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8398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9685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4A8D"/>
    <w:rsid w:val="000355FD"/>
    <w:rsid w:val="00037593"/>
    <w:rsid w:val="00040802"/>
    <w:rsid w:val="00051E39"/>
    <w:rsid w:val="000705F2"/>
    <w:rsid w:val="00077239"/>
    <w:rsid w:val="00077500"/>
    <w:rsid w:val="0007795D"/>
    <w:rsid w:val="00085DFF"/>
    <w:rsid w:val="00086491"/>
    <w:rsid w:val="00091346"/>
    <w:rsid w:val="0009706C"/>
    <w:rsid w:val="000C5B3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CDD"/>
    <w:rsid w:val="003A7F8C"/>
    <w:rsid w:val="003B2284"/>
    <w:rsid w:val="003B3E67"/>
    <w:rsid w:val="003B532E"/>
    <w:rsid w:val="003D0F8B"/>
    <w:rsid w:val="003E0DB6"/>
    <w:rsid w:val="003F7388"/>
    <w:rsid w:val="0041348E"/>
    <w:rsid w:val="00420873"/>
    <w:rsid w:val="00437B9C"/>
    <w:rsid w:val="00492075"/>
    <w:rsid w:val="004967BC"/>
    <w:rsid w:val="004969AD"/>
    <w:rsid w:val="004A26C4"/>
    <w:rsid w:val="004B13CB"/>
    <w:rsid w:val="004C3EDB"/>
    <w:rsid w:val="004D26EA"/>
    <w:rsid w:val="004D2BFB"/>
    <w:rsid w:val="004D5D5C"/>
    <w:rsid w:val="004F3DC0"/>
    <w:rsid w:val="004F77BD"/>
    <w:rsid w:val="00500A05"/>
    <w:rsid w:val="0050139F"/>
    <w:rsid w:val="00513B9A"/>
    <w:rsid w:val="0055140B"/>
    <w:rsid w:val="00561B6A"/>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A7E50"/>
    <w:rsid w:val="006B7C2A"/>
    <w:rsid w:val="006C23DA"/>
    <w:rsid w:val="006D70B0"/>
    <w:rsid w:val="006E0375"/>
    <w:rsid w:val="006E3D45"/>
    <w:rsid w:val="006E3E34"/>
    <w:rsid w:val="0070607A"/>
    <w:rsid w:val="007149F9"/>
    <w:rsid w:val="00720195"/>
    <w:rsid w:val="00733A30"/>
    <w:rsid w:val="00745AEE"/>
    <w:rsid w:val="00750F10"/>
    <w:rsid w:val="007742CA"/>
    <w:rsid w:val="00790D70"/>
    <w:rsid w:val="007A1948"/>
    <w:rsid w:val="007A6F1F"/>
    <w:rsid w:val="007B7184"/>
    <w:rsid w:val="007D5320"/>
    <w:rsid w:val="00800972"/>
    <w:rsid w:val="00804475"/>
    <w:rsid w:val="00811633"/>
    <w:rsid w:val="00814037"/>
    <w:rsid w:val="00830488"/>
    <w:rsid w:val="00841216"/>
    <w:rsid w:val="008414B0"/>
    <w:rsid w:val="00842AF0"/>
    <w:rsid w:val="0086171E"/>
    <w:rsid w:val="008662F4"/>
    <w:rsid w:val="00872FC8"/>
    <w:rsid w:val="00874253"/>
    <w:rsid w:val="008845D0"/>
    <w:rsid w:val="00884D60"/>
    <w:rsid w:val="008962B4"/>
    <w:rsid w:val="00896E56"/>
    <w:rsid w:val="008B43F2"/>
    <w:rsid w:val="008B6CFF"/>
    <w:rsid w:val="008D613A"/>
    <w:rsid w:val="008E0641"/>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4766F"/>
    <w:rsid w:val="00A538A6"/>
    <w:rsid w:val="00A54C25"/>
    <w:rsid w:val="00A710E7"/>
    <w:rsid w:val="00A7372E"/>
    <w:rsid w:val="00A8284C"/>
    <w:rsid w:val="00A93B85"/>
    <w:rsid w:val="00AA0B18"/>
    <w:rsid w:val="00AA3C65"/>
    <w:rsid w:val="00AA666F"/>
    <w:rsid w:val="00AD7914"/>
    <w:rsid w:val="00AE514B"/>
    <w:rsid w:val="00AF3B2E"/>
    <w:rsid w:val="00B40888"/>
    <w:rsid w:val="00B42F25"/>
    <w:rsid w:val="00B639E9"/>
    <w:rsid w:val="00B817CD"/>
    <w:rsid w:val="00B81A7D"/>
    <w:rsid w:val="00B91EF7"/>
    <w:rsid w:val="00B94AD0"/>
    <w:rsid w:val="00BB3A95"/>
    <w:rsid w:val="00BC75DE"/>
    <w:rsid w:val="00BD6CCE"/>
    <w:rsid w:val="00C0018F"/>
    <w:rsid w:val="00C16A5A"/>
    <w:rsid w:val="00C172C9"/>
    <w:rsid w:val="00C20466"/>
    <w:rsid w:val="00C214ED"/>
    <w:rsid w:val="00C234E6"/>
    <w:rsid w:val="00C324A8"/>
    <w:rsid w:val="00C54517"/>
    <w:rsid w:val="00C56F70"/>
    <w:rsid w:val="00C57B91"/>
    <w:rsid w:val="00C64CD8"/>
    <w:rsid w:val="00C77221"/>
    <w:rsid w:val="00C82695"/>
    <w:rsid w:val="00C956F5"/>
    <w:rsid w:val="00C97C68"/>
    <w:rsid w:val="00CA1A47"/>
    <w:rsid w:val="00CA3DFC"/>
    <w:rsid w:val="00CB1944"/>
    <w:rsid w:val="00CB44E5"/>
    <w:rsid w:val="00CC247A"/>
    <w:rsid w:val="00CE388F"/>
    <w:rsid w:val="00CE5E47"/>
    <w:rsid w:val="00CF020F"/>
    <w:rsid w:val="00CF2B5B"/>
    <w:rsid w:val="00CF6219"/>
    <w:rsid w:val="00D0625D"/>
    <w:rsid w:val="00D14CE0"/>
    <w:rsid w:val="00D255D4"/>
    <w:rsid w:val="00D268B3"/>
    <w:rsid w:val="00D313B5"/>
    <w:rsid w:val="00D37853"/>
    <w:rsid w:val="00D52FD6"/>
    <w:rsid w:val="00D54009"/>
    <w:rsid w:val="00D5651D"/>
    <w:rsid w:val="00D57A34"/>
    <w:rsid w:val="00D605A7"/>
    <w:rsid w:val="00D74898"/>
    <w:rsid w:val="00D801ED"/>
    <w:rsid w:val="00D936BC"/>
    <w:rsid w:val="00D96530"/>
    <w:rsid w:val="00DA1CB1"/>
    <w:rsid w:val="00DA2AA1"/>
    <w:rsid w:val="00DD44AF"/>
    <w:rsid w:val="00DD6969"/>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1B61"/>
    <w:rsid w:val="00EB54B2"/>
    <w:rsid w:val="00EB55C6"/>
    <w:rsid w:val="00EC4F90"/>
    <w:rsid w:val="00EC5883"/>
    <w:rsid w:val="00EF1932"/>
    <w:rsid w:val="00EF1CA8"/>
    <w:rsid w:val="00EF71B6"/>
    <w:rsid w:val="00F02766"/>
    <w:rsid w:val="00F05BD4"/>
    <w:rsid w:val="00F06473"/>
    <w:rsid w:val="00F138F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86D7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qFormat/>
    <w:locked/>
    <w:rsid w:val="00037593"/>
    <w:rPr>
      <w:rFonts w:ascii="Times New Roman" w:hAnsi="Times New Roman"/>
      <w:sz w:val="24"/>
      <w:lang w:val="en-GB" w:eastAsia="en-US"/>
    </w:rPr>
  </w:style>
  <w:style w:type="character" w:customStyle="1" w:styleId="CallChar">
    <w:name w:val="Call Char"/>
    <w:basedOn w:val="DefaultParagraphFont"/>
    <w:link w:val="Call"/>
    <w:qFormat/>
    <w:locked/>
    <w:rsid w:val="00037593"/>
    <w:rPr>
      <w:rFonts w:ascii="Times New Roman" w:hAnsi="Times New Roman"/>
      <w:i/>
      <w:sz w:val="24"/>
      <w:lang w:val="en-GB" w:eastAsia="en-US"/>
    </w:rPr>
  </w:style>
  <w:style w:type="character" w:customStyle="1" w:styleId="RestitleChar">
    <w:name w:val="Res_title Char"/>
    <w:link w:val="Restitle"/>
    <w:qFormat/>
    <w:rsid w:val="00EC5883"/>
    <w:rPr>
      <w:rFonts w:ascii="Times New Roman Bold" w:hAnsi="Times New Roman Bold"/>
      <w:b/>
      <w:sz w:val="28"/>
      <w:lang w:val="en-GB" w:eastAsia="en-US"/>
    </w:rPr>
  </w:style>
  <w:style w:type="paragraph" w:styleId="Revision">
    <w:name w:val="Revision"/>
    <w:hidden/>
    <w:uiPriority w:val="99"/>
    <w:semiHidden/>
    <w:rsid w:val="006E0375"/>
    <w:rPr>
      <w:rFonts w:ascii="Times New Roman" w:hAnsi="Times New Roman"/>
      <w:sz w:val="24"/>
      <w:lang w:val="en-GB" w:eastAsia="en-US"/>
    </w:rPr>
  </w:style>
  <w:style w:type="character" w:styleId="CommentReference">
    <w:name w:val="annotation reference"/>
    <w:basedOn w:val="DefaultParagraphFont"/>
    <w:semiHidden/>
    <w:unhideWhenUsed/>
    <w:rsid w:val="00CB1944"/>
    <w:rPr>
      <w:sz w:val="16"/>
      <w:szCs w:val="16"/>
    </w:rPr>
  </w:style>
  <w:style w:type="paragraph" w:styleId="CommentText">
    <w:name w:val="annotation text"/>
    <w:basedOn w:val="Normal"/>
    <w:link w:val="CommentTextChar"/>
    <w:unhideWhenUsed/>
    <w:rsid w:val="00CB1944"/>
    <w:rPr>
      <w:sz w:val="20"/>
    </w:rPr>
  </w:style>
  <w:style w:type="character" w:customStyle="1" w:styleId="CommentTextChar">
    <w:name w:val="Comment Text Char"/>
    <w:basedOn w:val="DefaultParagraphFont"/>
    <w:link w:val="CommentText"/>
    <w:rsid w:val="00CB194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B1944"/>
    <w:rPr>
      <w:b/>
      <w:bCs/>
    </w:rPr>
  </w:style>
  <w:style w:type="character" w:customStyle="1" w:styleId="CommentSubjectChar">
    <w:name w:val="Comment Subject Char"/>
    <w:basedOn w:val="CommentTextChar"/>
    <w:link w:val="CommentSubject"/>
    <w:semiHidden/>
    <w:rsid w:val="00CB1944"/>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R23-WRC23-C-0062!A27-A13!MSW-E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eate a new document." ma:contentTypeScope="" ma:versionID="94285b97e88f2c839d498d2d7659fc4d">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5a9f648c1b52a11f05962b9faea6528c"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D5298-4163-44A4-8484-24424AC9F24F}">
  <ds:schemaRefs>
    <ds:schemaRef ds:uri="http://schemas.microsoft.com/sharepoint/events"/>
  </ds:schemaRefs>
</ds:datastoreItem>
</file>

<file path=customXml/itemProps2.xml><?xml version="1.0" encoding="utf-8"?>
<ds:datastoreItem xmlns:ds="http://schemas.openxmlformats.org/officeDocument/2006/customXml" ds:itemID="{9F150835-02F4-4F0C-8937-104BCFA9EAF4}">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DFDC8E1D-F27D-4113-B370-869EDB92DC40}">
  <ds:schemaRefs>
    <ds:schemaRef ds:uri="http://schemas.microsoft.com/sharepoint/v3/contenttype/forms"/>
  </ds:schemaRefs>
</ds:datastoreItem>
</file>

<file path=customXml/itemProps4.xml><?xml version="1.0" encoding="utf-8"?>
<ds:datastoreItem xmlns:ds="http://schemas.openxmlformats.org/officeDocument/2006/customXml" ds:itemID="{39BB2AF5-BAD4-4AA6-8C72-F11E24FAF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A5CCC4-9392-44F3-98EC-6C6AA1C6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1549</Words>
  <Characters>9178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R23-WRC23-C-0062!A27-A13!MSW-E</vt:lpstr>
    </vt:vector>
  </TitlesOfParts>
  <Manager>General Secretariat - Pool</Manager>
  <Company>International Telecommunication Union (ITU)</Company>
  <LinksUpToDate>false</LinksUpToDate>
  <CharactersWithSpaces>10706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R23-WRC23-C-0062!A27-A13!MSW-E</dc:title>
  <dc:subject>World Radiocommunication Conference - 2023</dc:subject>
  <dc:creator>Documents Proposals Manager (DPM)</dc:creator>
  <cp:keywords>DPM_v2023.8.1.1_prod</cp:keywords>
  <dc:description>Uploaded on 2015.07.06</dc:description>
  <cp:lastModifiedBy>TPU E RR</cp:lastModifiedBy>
  <cp:revision>9</cp:revision>
  <cp:lastPrinted>2017-02-10T08:23:00Z</cp:lastPrinted>
  <dcterms:created xsi:type="dcterms:W3CDTF">2023-10-11T09:05:00Z</dcterms:created>
  <dcterms:modified xsi:type="dcterms:W3CDTF">2023-10-12T05:16:00Z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