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2E5B9D">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2E5B9D">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2E5B9D">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2E5B9D"/>
        </w:tc>
        <w:tc>
          <w:tcPr>
            <w:tcW w:w="5760" w:type="dxa"/>
            <w:vAlign w:val="center"/>
          </w:tcPr>
          <w:p w14:paraId="7A2E7755" w14:textId="77777777" w:rsidR="00D4428A" w:rsidRPr="00891D0B" w:rsidRDefault="00D4428A" w:rsidP="002E5B9D">
            <w:pPr>
              <w:spacing w:before="40"/>
            </w:pPr>
            <w:r>
              <w:rPr>
                <w:b/>
              </w:rPr>
              <w:t>The 6th Meeting of the APT Conference Preparatory Group for WRC-23 (APG23-6)</w:t>
            </w:r>
          </w:p>
        </w:tc>
        <w:tc>
          <w:tcPr>
            <w:tcW w:w="2160" w:type="dxa"/>
          </w:tcPr>
          <w:p w14:paraId="63A4FC33" w14:textId="538F5743" w:rsidR="00D4428A" w:rsidRDefault="00D4428A" w:rsidP="002E5B9D">
            <w:pPr>
              <w:spacing w:before="40"/>
              <w:rPr>
                <w:b/>
                <w:bCs/>
                <w:lang w:val="fr-FR"/>
              </w:rPr>
            </w:pPr>
            <w:r>
              <w:rPr>
                <w:b/>
                <w:bCs/>
                <w:lang w:val="fr-FR"/>
              </w:rPr>
              <w:t>APG23-6/</w:t>
            </w:r>
            <w:r w:rsidR="00103DBE">
              <w:rPr>
                <w:b/>
                <w:bCs/>
                <w:lang w:val="fr-FR"/>
              </w:rPr>
              <w:t>OUT-</w:t>
            </w:r>
            <w:r w:rsidR="001E3231">
              <w:rPr>
                <w:b/>
                <w:bCs/>
                <w:lang w:val="fr-FR"/>
              </w:rPr>
              <w:t>49</w:t>
            </w:r>
          </w:p>
          <w:p w14:paraId="4B6C2856" w14:textId="77777777" w:rsidR="00D4428A" w:rsidRPr="007E1FDD" w:rsidRDefault="00D4428A" w:rsidP="002E5B9D">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2E5B9D">
            <w:pPr>
              <w:rPr>
                <w:lang w:val="en-GB"/>
              </w:rPr>
            </w:pPr>
          </w:p>
        </w:tc>
        <w:tc>
          <w:tcPr>
            <w:tcW w:w="5760" w:type="dxa"/>
            <w:vAlign w:val="bottom"/>
          </w:tcPr>
          <w:p w14:paraId="521A308B" w14:textId="77777777" w:rsidR="00D4428A" w:rsidRPr="00712451" w:rsidRDefault="00D4428A" w:rsidP="002E5B9D">
            <w:pPr>
              <w:spacing w:before="40"/>
              <w:rPr>
                <w:b/>
              </w:rPr>
            </w:pPr>
            <w:r>
              <w:t>14 – 19 August 2023</w:t>
            </w:r>
            <w:r w:rsidRPr="00891D0B">
              <w:t xml:space="preserve">, </w:t>
            </w:r>
            <w:r>
              <w:t>Brisbane, Australia</w:t>
            </w:r>
          </w:p>
        </w:tc>
        <w:tc>
          <w:tcPr>
            <w:tcW w:w="2160" w:type="dxa"/>
            <w:vAlign w:val="bottom"/>
          </w:tcPr>
          <w:p w14:paraId="51C51B0A" w14:textId="50F7D484" w:rsidR="00D4428A" w:rsidRPr="007E1FDD" w:rsidRDefault="00103DBE" w:rsidP="002E5B9D">
            <w:pPr>
              <w:spacing w:before="40"/>
              <w:rPr>
                <w:bCs/>
              </w:rPr>
            </w:pPr>
            <w:r>
              <w:rPr>
                <w:bCs/>
              </w:rPr>
              <w:t>19</w:t>
            </w:r>
            <w:r w:rsidR="00D4428A">
              <w:rPr>
                <w:bCs/>
              </w:rPr>
              <w:t xml:space="preserve"> </w:t>
            </w:r>
            <w:r w:rsidR="0089326B">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2E5B9D">
      <w:pPr>
        <w:rPr>
          <w:lang w:eastAsia="ko-KR"/>
        </w:rPr>
      </w:pPr>
    </w:p>
    <w:p w14:paraId="416BBD44" w14:textId="77777777" w:rsidR="00FF72BB" w:rsidRPr="00F62F74" w:rsidRDefault="00FF72BB" w:rsidP="002E5B9D">
      <w:pPr>
        <w:rPr>
          <w:lang w:eastAsia="ko-KR"/>
        </w:rPr>
      </w:pPr>
    </w:p>
    <w:p w14:paraId="5A3C1954" w14:textId="10245C1B" w:rsidR="00904CA2" w:rsidRPr="006E4CC4" w:rsidRDefault="00904CA2" w:rsidP="002E5B9D">
      <w:pPr>
        <w:jc w:val="center"/>
        <w:rPr>
          <w:lang w:eastAsia="ko-KR"/>
        </w:rPr>
      </w:pPr>
      <w:r>
        <w:rPr>
          <w:lang w:eastAsia="ko-KR"/>
        </w:rPr>
        <w:t>Working Party 4</w:t>
      </w:r>
      <w:r w:rsidRPr="006E4CC4">
        <w:rPr>
          <w:lang w:eastAsia="ko-KR"/>
        </w:rPr>
        <w:t xml:space="preserve"> </w:t>
      </w:r>
    </w:p>
    <w:p w14:paraId="4EA48235" w14:textId="77777777" w:rsidR="00904CA2" w:rsidRPr="00635753" w:rsidRDefault="00904CA2" w:rsidP="002E5B9D">
      <w:pPr>
        <w:contextualSpacing/>
        <w:jc w:val="center"/>
        <w:rPr>
          <w:bCs/>
          <w:caps/>
          <w:lang w:val="en-NZ"/>
        </w:rPr>
      </w:pPr>
    </w:p>
    <w:p w14:paraId="18240B2A" w14:textId="48BCF4FC" w:rsidR="00904CA2" w:rsidRDefault="00904CA2" w:rsidP="002E5B9D">
      <w:pPr>
        <w:jc w:val="center"/>
        <w:rPr>
          <w:b/>
          <w:bCs/>
          <w:caps/>
          <w:lang w:val="en-NZ"/>
        </w:rPr>
      </w:pPr>
      <w:r>
        <w:rPr>
          <w:b/>
          <w:bCs/>
          <w:caps/>
          <w:lang w:val="en-NZ"/>
        </w:rPr>
        <w:t xml:space="preserve">APT VIEW and Preliminary APT Common Proposal </w:t>
      </w:r>
    </w:p>
    <w:p w14:paraId="39CD10EA" w14:textId="63CABD0A" w:rsidR="00904CA2" w:rsidRDefault="00904CA2" w:rsidP="002E5B9D">
      <w:pPr>
        <w:contextualSpacing/>
        <w:jc w:val="center"/>
        <w:rPr>
          <w:b/>
          <w:bCs/>
          <w:caps/>
        </w:rPr>
      </w:pPr>
      <w:r>
        <w:rPr>
          <w:b/>
          <w:bCs/>
          <w:caps/>
          <w:lang w:val="en-NZ"/>
        </w:rPr>
        <w:t>on WRC-23 agenda item</w:t>
      </w:r>
      <w:r w:rsidRPr="00635753">
        <w:rPr>
          <w:b/>
          <w:bCs/>
          <w:caps/>
          <w:lang w:val="en-NZ"/>
        </w:rPr>
        <w:t xml:space="preserve"> 7 </w:t>
      </w:r>
      <w:r>
        <w:rPr>
          <w:b/>
          <w:bCs/>
          <w:caps/>
          <w:lang w:val="en-NZ"/>
        </w:rPr>
        <w:t>(</w:t>
      </w:r>
      <w:r w:rsidRPr="00635753">
        <w:rPr>
          <w:b/>
          <w:bCs/>
          <w:caps/>
          <w:lang w:val="en-NZ"/>
        </w:rPr>
        <w:t>TOPIC</w:t>
      </w:r>
      <w:r>
        <w:rPr>
          <w:b/>
          <w:bCs/>
          <w:caps/>
          <w:lang w:val="en-NZ"/>
        </w:rPr>
        <w:t xml:space="preserve"> </w:t>
      </w:r>
      <w:r>
        <w:rPr>
          <w:b/>
          <w:bCs/>
          <w:caps/>
        </w:rPr>
        <w:t>I)</w:t>
      </w:r>
    </w:p>
    <w:p w14:paraId="0B0EC5DD" w14:textId="77777777" w:rsidR="00904CA2" w:rsidRPr="00635753" w:rsidRDefault="00904CA2" w:rsidP="002E5B9D">
      <w:pPr>
        <w:spacing w:after="120"/>
        <w:jc w:val="center"/>
        <w:rPr>
          <w:b/>
          <w:bCs/>
          <w:caps/>
          <w:lang w:eastAsia="ko-KR"/>
        </w:rPr>
      </w:pPr>
    </w:p>
    <w:p w14:paraId="50C9757E" w14:textId="77777777" w:rsidR="00904CA2" w:rsidRPr="00F62F74" w:rsidRDefault="00904CA2" w:rsidP="002E5B9D">
      <w:pPr>
        <w:spacing w:after="120"/>
        <w:jc w:val="both"/>
        <w:rPr>
          <w:lang w:val="en-NZ"/>
        </w:rPr>
      </w:pPr>
      <w:r w:rsidRPr="00F62F74">
        <w:rPr>
          <w:b/>
          <w:lang w:val="en-NZ"/>
        </w:rPr>
        <w:t xml:space="preserve">Agenda Item 7: </w:t>
      </w:r>
    </w:p>
    <w:p w14:paraId="5BAD442E" w14:textId="77777777" w:rsidR="00904CA2" w:rsidRDefault="00904CA2" w:rsidP="002E5B9D">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xml:space="preserve">, </w:t>
      </w:r>
      <w:proofErr w:type="gramStart"/>
      <w:r w:rsidRPr="00F62F74">
        <w:rPr>
          <w:i/>
          <w:lang w:val="en-NZ"/>
        </w:rPr>
        <w:t>in order to</w:t>
      </w:r>
      <w:proofErr w:type="gramEnd"/>
      <w:r w:rsidRPr="00F62F74">
        <w:rPr>
          <w:i/>
          <w:lang w:val="en-NZ"/>
        </w:rPr>
        <w:t xml:space="preserve"> facilitate the rational, efficient and economical use of radio frequencies and any associated orbits, including the geostationary-satellite orbit.</w:t>
      </w:r>
    </w:p>
    <w:p w14:paraId="0DAA5899" w14:textId="1BEDDA01" w:rsidR="00191037" w:rsidRPr="00BA28B2" w:rsidRDefault="00191037" w:rsidP="002E5B9D">
      <w:pPr>
        <w:pStyle w:val="Heading1"/>
        <w:spacing w:before="240"/>
        <w:rPr>
          <w:rFonts w:ascii="Times New Roman" w:hAnsi="Times New Roman"/>
        </w:rPr>
      </w:pPr>
      <w:r w:rsidRPr="00D4428A">
        <w:rPr>
          <w:rFonts w:ascii="Times New Roman" w:hAnsi="Times New Roman"/>
        </w:rPr>
        <w:t>Topic I</w:t>
      </w:r>
      <w:r w:rsidR="009738A8" w:rsidRPr="00D4428A">
        <w:rPr>
          <w:rFonts w:ascii="Times New Roman" w:hAnsi="Times New Roman"/>
        </w:rPr>
        <w:t>:</w:t>
      </w:r>
      <w:r w:rsidRPr="00D4428A">
        <w:rPr>
          <w:rFonts w:ascii="Times New Roman" w:hAnsi="Times New Roman"/>
        </w:rPr>
        <w:t xml:space="preserve"> Special agreements under RR Appendix 30B</w:t>
      </w:r>
    </w:p>
    <w:p w14:paraId="148D7222" w14:textId="77777777" w:rsidR="00D4428A" w:rsidRPr="00F62F74" w:rsidRDefault="00D4428A" w:rsidP="002E5B9D">
      <w:pPr>
        <w:pStyle w:val="Heading2"/>
        <w:jc w:val="both"/>
        <w:rPr>
          <w:rFonts w:ascii="Times New Roman" w:hAnsi="Times New Roman"/>
        </w:rPr>
      </w:pPr>
      <w:r w:rsidRPr="00F62F74">
        <w:rPr>
          <w:rFonts w:ascii="Times New Roman" w:hAnsi="Times New Roman"/>
        </w:rPr>
        <w:t>1.</w:t>
      </w:r>
      <w:r w:rsidRPr="00F62F74">
        <w:rPr>
          <w:rFonts w:ascii="Times New Roman" w:hAnsi="Times New Roman"/>
        </w:rPr>
        <w:tab/>
        <w:t>Background Information</w:t>
      </w:r>
    </w:p>
    <w:p w14:paraId="116031DC" w14:textId="77777777" w:rsidR="00D4428A" w:rsidRPr="00294D47" w:rsidRDefault="00D4428A" w:rsidP="002E5B9D">
      <w:pPr>
        <w:pStyle w:val="ListParagraph"/>
        <w:jc w:val="both"/>
        <w:rPr>
          <w:lang w:eastAsia="zh-CN"/>
        </w:rPr>
      </w:pPr>
      <w:r w:rsidRPr="00294D47">
        <w:rPr>
          <w:lang w:eastAsia="zh-CN"/>
        </w:rPr>
        <w:t xml:space="preserve">When an </w:t>
      </w:r>
      <w:r w:rsidRPr="00294D47">
        <w:t>administration</w:t>
      </w:r>
      <w:r w:rsidRPr="00294D47">
        <w:rPr>
          <w:lang w:eastAsia="zh-CN"/>
        </w:rPr>
        <w:t xml:space="preserve"> intends to convert an allotment into an assignment or when an administration, or one acting on behalf of a group of named administrations, intends to introduce an additional system or modify the characteristics of assignments in the List that have been brought into use in RR Appendix </w:t>
      </w:r>
      <w:r w:rsidRPr="00294D47">
        <w:rPr>
          <w:b/>
          <w:bCs/>
          <w:lang w:eastAsia="zh-CN"/>
        </w:rPr>
        <w:t>30B</w:t>
      </w:r>
      <w:r w:rsidRPr="00294D47">
        <w:rPr>
          <w:lang w:eastAsia="zh-CN"/>
        </w:rPr>
        <w:t xml:space="preserve">, the administration shall submit to the Radiocommunication Bureau all required information as specified in RR Appendix </w:t>
      </w:r>
      <w:r w:rsidRPr="00294D47">
        <w:rPr>
          <w:b/>
          <w:bCs/>
          <w:lang w:eastAsia="zh-CN"/>
        </w:rPr>
        <w:t>4</w:t>
      </w:r>
      <w:r w:rsidRPr="00294D47">
        <w:rPr>
          <w:lang w:eastAsia="zh-CN"/>
        </w:rPr>
        <w:t xml:space="preserve">. Then, the Bureau determines administrations whose allotments in the Plan, or assignments in the List or pending assignments are considered as being affected by this assignment under </w:t>
      </w:r>
      <w:r w:rsidRPr="00294D47">
        <w:t xml:space="preserve">§ 6.5 of RR Appendix </w:t>
      </w:r>
      <w:r w:rsidRPr="00294D47">
        <w:rPr>
          <w:b/>
          <w:bCs/>
        </w:rPr>
        <w:t>30B</w:t>
      </w:r>
      <w:r w:rsidRPr="00294D47">
        <w:t>.</w:t>
      </w:r>
    </w:p>
    <w:p w14:paraId="32657E8B" w14:textId="77777777" w:rsidR="00D4428A" w:rsidRPr="00294D47" w:rsidRDefault="00D4428A" w:rsidP="002E5B9D">
      <w:pPr>
        <w:pStyle w:val="ListParagraph"/>
        <w:jc w:val="both"/>
        <w:rPr>
          <w:lang w:eastAsia="zh-CN"/>
        </w:rPr>
      </w:pPr>
      <w:r w:rsidRPr="00294D47">
        <w:t>Affected</w:t>
      </w:r>
      <w:r w:rsidRPr="00294D47">
        <w:rPr>
          <w:lang w:eastAsia="zh-CN"/>
        </w:rPr>
        <w:t xml:space="preserve"> administrations have 4 months after the publication of the Special Section of this assignment to comment it (</w:t>
      </w:r>
      <w:r w:rsidRPr="00294D47">
        <w:t>§ 6.10</w:t>
      </w:r>
      <w:r w:rsidRPr="00294D47">
        <w:rPr>
          <w:lang w:eastAsia="zh-CN"/>
        </w:rPr>
        <w:t xml:space="preserve">) plus an additional period of 1 month subject to application of </w:t>
      </w:r>
      <w:r w:rsidRPr="00294D47">
        <w:t>§ 6.13. If, after this period, despite several reminders sent by the Bureau (i.e., § 6.9, § 6.11, § 6.14, § 6.14</w:t>
      </w:r>
      <w:r w:rsidRPr="00294D47">
        <w:rPr>
          <w:i/>
          <w:iCs/>
        </w:rPr>
        <w:t>bis</w:t>
      </w:r>
      <w:r w:rsidRPr="00294D47">
        <w:t>), the affected administration has not given a decision, this administration is considered as given its implicit agreement to this assignment under § 6.15.</w:t>
      </w:r>
      <w:r w:rsidRPr="00294D47">
        <w:rPr>
          <w:lang w:eastAsia="zh-CN"/>
        </w:rPr>
        <w:t xml:space="preserve"> </w:t>
      </w:r>
    </w:p>
    <w:p w14:paraId="7AB4681E" w14:textId="77777777" w:rsidR="00D4428A" w:rsidRPr="00294D47" w:rsidRDefault="00D4428A" w:rsidP="002E5B9D">
      <w:pPr>
        <w:pStyle w:val="ListParagraph"/>
        <w:jc w:val="both"/>
        <w:rPr>
          <w:lang w:eastAsia="zh-CN"/>
        </w:rPr>
      </w:pPr>
      <w:r w:rsidRPr="00294D47">
        <w:rPr>
          <w:lang w:eastAsia="zh-CN"/>
        </w:rPr>
        <w:t xml:space="preserve">At the time of the Part B submission of this assignment under </w:t>
      </w:r>
      <w:r w:rsidRPr="00294D47">
        <w:t xml:space="preserve">§ 6.17 or § 6.25, as appropriate, the final characteristics of this assignment could impact the overall aggregate carrier-to-interference levels of the allotment of the administration which didn’t give their decision in due time. These overall aggregate carrier-to-interference levels are used to determine the protection of this allotment or assignment for future submissions under § 6.1 and if an allotment can still be put into operation with decent services. Implicit agreements could lead to a situation </w:t>
      </w:r>
      <w:proofErr w:type="gramStart"/>
      <w:r w:rsidRPr="00294D47">
        <w:t>that</w:t>
      </w:r>
      <w:proofErr w:type="gramEnd"/>
      <w:r w:rsidRPr="00294D47">
        <w:t xml:space="preserve"> no decent services can be provided because of very low overall aggregate carrier-to-interference levels.</w:t>
      </w:r>
    </w:p>
    <w:p w14:paraId="760B4DFE" w14:textId="7AF4C9B9" w:rsidR="00D4428A" w:rsidRDefault="00D4428A" w:rsidP="002E5B9D">
      <w:pPr>
        <w:pStyle w:val="ListParagraph"/>
        <w:numPr>
          <w:ilvl w:val="0"/>
          <w:numId w:val="2"/>
        </w:numPr>
        <w:jc w:val="both"/>
      </w:pPr>
      <w:r w:rsidRPr="00294D47">
        <w:t xml:space="preserve">It is also important to note that </w:t>
      </w:r>
      <w:r w:rsidRPr="00FB369E">
        <w:rPr>
          <w:lang w:val="en-NZ"/>
        </w:rPr>
        <w:t>the</w:t>
      </w:r>
      <w:r w:rsidRPr="00294D47">
        <w:t xml:space="preserve"> same consequence would occur if the affected administration signed an explicit agreement and the targeting area for the assignment </w:t>
      </w:r>
      <w:r w:rsidRPr="00294D47">
        <w:lastRenderedPageBreak/>
        <w:t>submitted under § 6.1 is close to the territory of this administration which signed an explicit agreement.</w:t>
      </w:r>
    </w:p>
    <w:p w14:paraId="1BEBC827" w14:textId="77777777" w:rsidR="008C0F80" w:rsidRPr="00294D47" w:rsidRDefault="008C0F80" w:rsidP="002E5B9D">
      <w:pPr>
        <w:pStyle w:val="ListParagraph"/>
        <w:numPr>
          <w:ilvl w:val="0"/>
          <w:numId w:val="0"/>
        </w:numPr>
        <w:ind w:left="720"/>
        <w:jc w:val="both"/>
      </w:pPr>
    </w:p>
    <w:p w14:paraId="46BA7A5B" w14:textId="77777777" w:rsidR="008C0F80" w:rsidRPr="008C0F80" w:rsidRDefault="008C0F80" w:rsidP="002E5B9D">
      <w:pPr>
        <w:pStyle w:val="ListParagraph"/>
        <w:numPr>
          <w:ilvl w:val="0"/>
          <w:numId w:val="0"/>
        </w:numPr>
        <w:ind w:left="720"/>
        <w:jc w:val="both"/>
        <w:rPr>
          <w:b/>
          <w:bCs/>
        </w:rPr>
      </w:pPr>
      <w:r w:rsidRPr="008C0F80">
        <w:rPr>
          <w:b/>
          <w:bCs/>
        </w:rPr>
        <w:t>Information on on-going ITU-R Study</w:t>
      </w:r>
    </w:p>
    <w:p w14:paraId="3CC4F0F7" w14:textId="77777777" w:rsidR="00D4428A" w:rsidRPr="00EA7367" w:rsidRDefault="00D4428A" w:rsidP="002E5B9D">
      <w:pPr>
        <w:pStyle w:val="ListParagraph"/>
        <w:jc w:val="both"/>
      </w:pPr>
      <w:r>
        <w:t xml:space="preserve">The CPM23-2 meeting (27 March – 6 April 2023) </w:t>
      </w:r>
      <w:r w:rsidRPr="00F62F74">
        <w:t xml:space="preserve">considered </w:t>
      </w:r>
      <w:r>
        <w:t>one</w:t>
      </w:r>
      <w:r w:rsidRPr="00F62F74">
        <w:t xml:space="preserve"> input </w:t>
      </w:r>
      <w:r>
        <w:t xml:space="preserve">contribution </w:t>
      </w:r>
      <w:r w:rsidRPr="00F62F74">
        <w:t xml:space="preserve">towards the </w:t>
      </w:r>
      <w:r>
        <w:rPr>
          <w:lang w:eastAsia="zh-CN"/>
        </w:rPr>
        <w:t xml:space="preserve">finalization of the </w:t>
      </w:r>
      <w:r>
        <w:t>draft CPM text</w:t>
      </w:r>
      <w:r w:rsidRPr="00612E33">
        <w:t xml:space="preserve"> </w:t>
      </w:r>
      <w:r w:rsidRPr="00F62F74">
        <w:t xml:space="preserve">as Annex </w:t>
      </w:r>
      <w:r>
        <w:t>34</w:t>
      </w:r>
      <w:r w:rsidRPr="00F62F74">
        <w:t xml:space="preserve"> to Chairman’s Report (Document </w:t>
      </w:r>
      <w:r>
        <w:t xml:space="preserve">4A/856 </w:t>
      </w:r>
      <w:hyperlink r:id="rId9" w:history="1">
        <w:r w:rsidRPr="00B3105F">
          <w:rPr>
            <w:rStyle w:val="Hyperlink"/>
          </w:rPr>
          <w:t>Annex 34</w:t>
        </w:r>
      </w:hyperlink>
      <w:r>
        <w:t xml:space="preserve">) that proposed modifications to Method I1 to clarify that, </w:t>
      </w:r>
      <w:r w:rsidRPr="00EA7367">
        <w:t xml:space="preserve">a special agreement between a national allotment and a proposed </w:t>
      </w:r>
      <w:r w:rsidRPr="00F14556">
        <w:rPr>
          <w:lang w:eastAsia="zh-CN"/>
        </w:rPr>
        <w:t>assignment</w:t>
      </w:r>
      <w:r w:rsidRPr="00EA7367">
        <w:rPr>
          <w:lang w:eastAsia="zh-CN"/>
        </w:rPr>
        <w:t xml:space="preserve"> </w:t>
      </w:r>
      <w:r w:rsidRPr="00EA7367">
        <w:t xml:space="preserve">should remain in effect until the national allotment has been brought into use, and the administration of the proposed </w:t>
      </w:r>
      <w:r w:rsidRPr="00F14556">
        <w:rPr>
          <w:lang w:eastAsia="zh-CN"/>
        </w:rPr>
        <w:t>assignment</w:t>
      </w:r>
      <w:r w:rsidRPr="00EA7367">
        <w:rPr>
          <w:lang w:eastAsia="zh-CN"/>
        </w:rPr>
        <w:t xml:space="preserve"> </w:t>
      </w:r>
      <w:r w:rsidRPr="00EA7367">
        <w:t xml:space="preserve">commits to comply with section 2.2 of Annex 4 to RR Appendix </w:t>
      </w:r>
      <w:r w:rsidRPr="00F14556">
        <w:rPr>
          <w:b/>
          <w:bCs/>
        </w:rPr>
        <w:t>30B</w:t>
      </w:r>
      <w:r w:rsidRPr="00EA7367">
        <w:t xml:space="preserve"> regarding </w:t>
      </w:r>
      <w:proofErr w:type="spellStart"/>
      <w:r w:rsidRPr="00EA7367">
        <w:t>pfd</w:t>
      </w:r>
      <w:proofErr w:type="spellEnd"/>
      <w:r w:rsidRPr="00EA7367">
        <w:t xml:space="preserve"> levels over the territory of the national allotment from the moment that said allotment is brought into use.  </w:t>
      </w:r>
    </w:p>
    <w:p w14:paraId="6A5D1309" w14:textId="77777777" w:rsidR="00D4428A" w:rsidRDefault="00D4428A" w:rsidP="002E5B9D">
      <w:pPr>
        <w:pStyle w:val="ListParagraph"/>
        <w:jc w:val="both"/>
      </w:pPr>
      <w:r>
        <w:t xml:space="preserve">The </w:t>
      </w:r>
      <w:r>
        <w:rPr>
          <w:lang w:eastAsia="zh-CN"/>
        </w:rPr>
        <w:t xml:space="preserve">meeting agreed to the proposal to modify </w:t>
      </w:r>
      <w:r w:rsidRPr="00F06E20">
        <w:rPr>
          <w:lang w:eastAsia="zh-CN"/>
        </w:rPr>
        <w:t xml:space="preserve">Method </w:t>
      </w:r>
      <w:r>
        <w:rPr>
          <w:lang w:eastAsia="zh-CN"/>
        </w:rPr>
        <w:t xml:space="preserve">I2 and </w:t>
      </w:r>
      <w:r>
        <w:t xml:space="preserve">finalized the two methods to address this topic as contained in the </w:t>
      </w:r>
      <w:hyperlink r:id="rId10" w:history="1">
        <w:r w:rsidRPr="00F169CD">
          <w:rPr>
            <w:rStyle w:val="Hyperlink"/>
          </w:rPr>
          <w:t>final CPM Report</w:t>
        </w:r>
      </w:hyperlink>
      <w:r>
        <w:t xml:space="preserve">, as follows: </w:t>
      </w:r>
    </w:p>
    <w:p w14:paraId="0FB04246" w14:textId="77777777" w:rsidR="00D4428A" w:rsidRDefault="00D4428A" w:rsidP="002E5B9D">
      <w:pPr>
        <w:pStyle w:val="ListParagraph"/>
        <w:numPr>
          <w:ilvl w:val="0"/>
          <w:numId w:val="0"/>
        </w:numPr>
        <w:ind w:left="720"/>
        <w:jc w:val="both"/>
      </w:pPr>
    </w:p>
    <w:p w14:paraId="77EB3086" w14:textId="77777777" w:rsidR="00D4428A" w:rsidRDefault="00D4428A" w:rsidP="002E5B9D">
      <w:pPr>
        <w:ind w:left="2160" w:hanging="1440"/>
        <w:jc w:val="both"/>
        <w:rPr>
          <w:lang w:eastAsia="zh-CN"/>
        </w:rPr>
      </w:pPr>
      <w:r w:rsidRPr="00B9046B">
        <w:t>Method</w:t>
      </w:r>
      <w:r w:rsidRPr="00B9046B">
        <w:rPr>
          <w:lang w:eastAsia="zh-CN"/>
        </w:rPr>
        <w:t xml:space="preserve"> </w:t>
      </w:r>
      <w:r w:rsidRPr="00B9046B">
        <w:rPr>
          <w:b/>
          <w:bCs/>
          <w:lang w:eastAsia="zh-CN"/>
        </w:rPr>
        <w:t>I1</w:t>
      </w:r>
      <w:r w:rsidRPr="00B9046B">
        <w:rPr>
          <w:lang w:eastAsia="zh-CN"/>
        </w:rPr>
        <w:t xml:space="preserve"> </w:t>
      </w:r>
      <w:r w:rsidRPr="00B9046B">
        <w:rPr>
          <w:lang w:eastAsia="zh-CN"/>
        </w:rPr>
        <w:tab/>
        <w:t xml:space="preserve">No </w:t>
      </w:r>
      <w:r w:rsidRPr="00B9046B">
        <w:t>changes</w:t>
      </w:r>
      <w:r w:rsidRPr="00B9046B">
        <w:rPr>
          <w:lang w:eastAsia="zh-CN"/>
        </w:rPr>
        <w:t xml:space="preserve"> to the Radio Regulations.</w:t>
      </w:r>
    </w:p>
    <w:p w14:paraId="14B16E42" w14:textId="77777777" w:rsidR="00D4428A" w:rsidRPr="00B9046B" w:rsidRDefault="00D4428A" w:rsidP="002E5B9D">
      <w:pPr>
        <w:ind w:left="2160" w:hanging="1440"/>
        <w:jc w:val="both"/>
        <w:rPr>
          <w:lang w:eastAsia="zh-CN"/>
        </w:rPr>
      </w:pPr>
    </w:p>
    <w:p w14:paraId="75DF8AE7" w14:textId="77777777" w:rsidR="00D4428A" w:rsidRPr="00B9046B" w:rsidRDefault="00D4428A" w:rsidP="002E5B9D">
      <w:pPr>
        <w:ind w:left="2160" w:hanging="1440"/>
        <w:jc w:val="both"/>
        <w:rPr>
          <w:lang w:eastAsia="zh-CN"/>
        </w:rPr>
      </w:pPr>
      <w:r w:rsidRPr="00B9046B">
        <w:t>Method</w:t>
      </w:r>
      <w:r w:rsidRPr="00B9046B">
        <w:rPr>
          <w:lang w:eastAsia="zh-CN"/>
        </w:rPr>
        <w:t xml:space="preserve"> </w:t>
      </w:r>
      <w:r w:rsidRPr="00B9046B">
        <w:rPr>
          <w:b/>
          <w:bCs/>
          <w:lang w:eastAsia="zh-CN"/>
        </w:rPr>
        <w:t>I2</w:t>
      </w:r>
      <w:r w:rsidRPr="00B9046B">
        <w:rPr>
          <w:lang w:eastAsia="zh-CN"/>
        </w:rPr>
        <w:tab/>
      </w:r>
      <w:r w:rsidRPr="00B9046B">
        <w:t>Proposes</w:t>
      </w:r>
      <w:r w:rsidRPr="00B9046B">
        <w:rPr>
          <w:lang w:eastAsia="zh-CN"/>
        </w:rPr>
        <w:t xml:space="preserve"> to:</w:t>
      </w:r>
    </w:p>
    <w:p w14:paraId="1BE0B136" w14:textId="77777777" w:rsidR="00D4428A" w:rsidRPr="00B9046B" w:rsidRDefault="00D4428A" w:rsidP="002E5B9D">
      <w:pPr>
        <w:ind w:left="2160" w:hanging="630"/>
        <w:jc w:val="both"/>
        <w:rPr>
          <w:lang w:eastAsia="zh-CN"/>
        </w:rPr>
      </w:pPr>
      <w:r w:rsidRPr="00B9046B">
        <w:rPr>
          <w:lang w:eastAsia="zh-CN"/>
        </w:rPr>
        <w:t>–</w:t>
      </w:r>
      <w:r w:rsidRPr="00B9046B">
        <w:rPr>
          <w:lang w:eastAsia="zh-CN"/>
        </w:rPr>
        <w:tab/>
      </w:r>
      <w:r w:rsidRPr="002D60F3">
        <w:rPr>
          <w:u w:val="single"/>
          <w:lang w:eastAsia="zh-CN"/>
        </w:rPr>
        <w:t>define a new type of agreement</w:t>
      </w:r>
      <w:r w:rsidRPr="00B9046B">
        <w:rPr>
          <w:lang w:eastAsia="zh-CN"/>
        </w:rPr>
        <w:t xml:space="preserve"> between a notifying administration of a national allotment and of an assignment, respectively. Under such agreement, the administration of the national allotment allows the assignment to operate until the bringing into use of its national allotment. At that time, the administration of the assignment commits to respect </w:t>
      </w:r>
      <w:proofErr w:type="gramStart"/>
      <w:r>
        <w:rPr>
          <w:lang w:eastAsia="zh-CN"/>
        </w:rPr>
        <w:t xml:space="preserve">the </w:t>
      </w:r>
      <w:r w:rsidRPr="00B9046B">
        <w:rPr>
          <w:lang w:eastAsia="zh-CN"/>
        </w:rPr>
        <w:t>section</w:t>
      </w:r>
      <w:proofErr w:type="gramEnd"/>
      <w:r w:rsidRPr="00B9046B">
        <w:rPr>
          <w:lang w:eastAsia="zh-CN"/>
        </w:rPr>
        <w:t xml:space="preserve"> 2.2 of Annex 4 </w:t>
      </w:r>
      <w:proofErr w:type="spellStart"/>
      <w:r w:rsidRPr="00B9046B">
        <w:rPr>
          <w:lang w:eastAsia="zh-CN"/>
        </w:rPr>
        <w:t>pfd</w:t>
      </w:r>
      <w:proofErr w:type="spellEnd"/>
      <w:r w:rsidRPr="00B9046B">
        <w:rPr>
          <w:lang w:eastAsia="zh-CN"/>
        </w:rPr>
        <w:t xml:space="preserve"> levels over the territory of the national allotment. </w:t>
      </w:r>
      <w:r w:rsidRPr="00F03E58">
        <w:rPr>
          <w:lang w:eastAsia="zh-CN"/>
        </w:rPr>
        <w:t>As the national allotment and the assignment will not operate simultaneously the same frequency over the same area, mutual interference is not considered.</w:t>
      </w:r>
    </w:p>
    <w:p w14:paraId="15FB30AC" w14:textId="77777777" w:rsidR="00D4428A" w:rsidRPr="00B9046B" w:rsidRDefault="00D4428A" w:rsidP="002E5B9D">
      <w:pPr>
        <w:ind w:left="2160" w:hanging="630"/>
        <w:jc w:val="both"/>
        <w:rPr>
          <w:lang w:eastAsia="zh-CN"/>
        </w:rPr>
      </w:pPr>
      <w:r w:rsidRPr="00B9046B">
        <w:rPr>
          <w:lang w:eastAsia="zh-CN"/>
        </w:rPr>
        <w:t>–</w:t>
      </w:r>
      <w:r w:rsidRPr="00B9046B">
        <w:rPr>
          <w:lang w:eastAsia="zh-CN"/>
        </w:rPr>
        <w:tab/>
      </w:r>
      <w:r w:rsidRPr="00666D18">
        <w:rPr>
          <w:u w:val="single"/>
          <w:lang w:eastAsia="zh-CN"/>
        </w:rPr>
        <w:t>develop a new Resolution</w:t>
      </w:r>
      <w:r w:rsidRPr="00B9046B">
        <w:rPr>
          <w:lang w:eastAsia="zh-CN"/>
        </w:rPr>
        <w:t xml:space="preserve"> allowing the notifying administration of a national allotment, subject to agreements under § 6.15 of RR Appendix 30B:</w:t>
      </w:r>
    </w:p>
    <w:p w14:paraId="6086F7F8" w14:textId="77777777" w:rsidR="00D4428A" w:rsidRPr="00B9046B" w:rsidRDefault="00D4428A" w:rsidP="002E5B9D">
      <w:pPr>
        <w:pStyle w:val="ListParagraph"/>
        <w:numPr>
          <w:ilvl w:val="2"/>
          <w:numId w:val="6"/>
        </w:numPr>
        <w:ind w:left="2430" w:hanging="270"/>
        <w:jc w:val="both"/>
        <w:rPr>
          <w:lang w:eastAsia="zh-CN"/>
        </w:rPr>
      </w:pPr>
      <w:r w:rsidRPr="00B9046B">
        <w:rPr>
          <w:lang w:eastAsia="zh-CN"/>
        </w:rPr>
        <w:t xml:space="preserve">to sign this new type of agreement with the notifying administration of the concerned </w:t>
      </w:r>
      <w:proofErr w:type="gramStart"/>
      <w:r w:rsidRPr="00B9046B">
        <w:rPr>
          <w:lang w:eastAsia="zh-CN"/>
        </w:rPr>
        <w:t>assignments;</w:t>
      </w:r>
      <w:proofErr w:type="gramEnd"/>
    </w:p>
    <w:p w14:paraId="34E3DBDB" w14:textId="77777777" w:rsidR="00D4428A" w:rsidRPr="00B9046B" w:rsidRDefault="00D4428A" w:rsidP="002E5B9D">
      <w:pPr>
        <w:pStyle w:val="ListParagraph"/>
        <w:numPr>
          <w:ilvl w:val="2"/>
          <w:numId w:val="6"/>
        </w:numPr>
        <w:ind w:left="2430" w:hanging="270"/>
        <w:jc w:val="both"/>
        <w:rPr>
          <w:lang w:eastAsia="zh-CN"/>
        </w:rPr>
      </w:pPr>
      <w:r w:rsidRPr="00B9046B">
        <w:rPr>
          <w:lang w:eastAsia="zh-CN"/>
        </w:rPr>
        <w:t xml:space="preserve">to request the Bureau to update the reference situation without reviewing the previous examinations, and </w:t>
      </w:r>
    </w:p>
    <w:p w14:paraId="24763694" w14:textId="77777777" w:rsidR="00D4428A" w:rsidRPr="00B9046B" w:rsidRDefault="00D4428A" w:rsidP="002E5B9D">
      <w:pPr>
        <w:pStyle w:val="ListParagraph"/>
        <w:numPr>
          <w:ilvl w:val="2"/>
          <w:numId w:val="6"/>
        </w:numPr>
        <w:ind w:left="2430" w:hanging="270"/>
        <w:jc w:val="both"/>
        <w:rPr>
          <w:lang w:eastAsia="zh-CN"/>
        </w:rPr>
      </w:pPr>
      <w:r w:rsidRPr="00B9046B">
        <w:rPr>
          <w:lang w:eastAsia="zh-CN"/>
        </w:rPr>
        <w:t xml:space="preserve">to request the notifying administrations of assignments for which the procedures of Article 6 of RR Appendix 30B have not yet been completed and which have been examined by the Bureau before the signature of such agreement to make their utmost efforts to </w:t>
      </w:r>
      <w:proofErr w:type="gramStart"/>
      <w:r w:rsidRPr="00B9046B">
        <w:rPr>
          <w:lang w:eastAsia="zh-CN"/>
        </w:rPr>
        <w:t>take into account</w:t>
      </w:r>
      <w:proofErr w:type="gramEnd"/>
      <w:r w:rsidRPr="00B9046B">
        <w:rPr>
          <w:lang w:eastAsia="zh-CN"/>
        </w:rPr>
        <w:t xml:space="preserve"> the new reference situation of this national allotment.</w:t>
      </w:r>
    </w:p>
    <w:p w14:paraId="66189352" w14:textId="77777777" w:rsidR="00D4428A" w:rsidRDefault="00D4428A" w:rsidP="002E5B9D">
      <w:pPr>
        <w:ind w:left="2160"/>
        <w:jc w:val="both"/>
      </w:pPr>
    </w:p>
    <w:p w14:paraId="57D89C89" w14:textId="77777777" w:rsidR="00D4428A" w:rsidRDefault="00D4428A" w:rsidP="002E5B9D">
      <w:pPr>
        <w:ind w:left="2160"/>
        <w:jc w:val="both"/>
        <w:rPr>
          <w:lang w:val="en-NZ"/>
        </w:rPr>
      </w:pPr>
      <w:r>
        <w:t xml:space="preserve">This method recognizes the special agreements being envisioned. Such special agreement would allow an additional system that would otherwise affect RR Appendix </w:t>
      </w:r>
      <w:r w:rsidRPr="00B3105F">
        <w:rPr>
          <w:b/>
          <w:bCs/>
        </w:rPr>
        <w:t>30B</w:t>
      </w:r>
      <w:r>
        <w:t xml:space="preserve"> Plan allotments to go forward with the understanding that at the time those otherwise affected allotments are brought into use, the additional system would take the necessary steps to protect them.</w:t>
      </w:r>
    </w:p>
    <w:p w14:paraId="2BFA1541" w14:textId="77777777" w:rsidR="00D4428A" w:rsidRDefault="00D4428A" w:rsidP="002E5B9D">
      <w:pPr>
        <w:pStyle w:val="ListParagraph"/>
        <w:numPr>
          <w:ilvl w:val="0"/>
          <w:numId w:val="0"/>
        </w:numPr>
        <w:ind w:left="720"/>
        <w:jc w:val="both"/>
        <w:rPr>
          <w:lang w:val="en-NZ"/>
        </w:rPr>
      </w:pPr>
    </w:p>
    <w:p w14:paraId="6D251490" w14:textId="77777777" w:rsidR="000968B6" w:rsidRPr="00BA28B2" w:rsidRDefault="000968B6" w:rsidP="002E5B9D">
      <w:pPr>
        <w:pStyle w:val="Style1H2"/>
      </w:pPr>
      <w:r w:rsidRPr="00BA28B2">
        <w:lastRenderedPageBreak/>
        <w:t xml:space="preserve">2. </w:t>
      </w:r>
      <w:r w:rsidRPr="00BA28B2">
        <w:tab/>
        <w:t>Documents</w:t>
      </w:r>
    </w:p>
    <w:p w14:paraId="4292C70F" w14:textId="242C47DF" w:rsidR="000968B6" w:rsidRPr="00BA28B2" w:rsidRDefault="000968B6" w:rsidP="002E5B9D">
      <w:pPr>
        <w:pStyle w:val="ListParagraph"/>
        <w:contextualSpacing/>
        <w:jc w:val="both"/>
      </w:pPr>
      <w:r w:rsidRPr="00162C3F">
        <w:rPr>
          <w:b/>
          <w:bCs/>
          <w:lang w:val="en-NZ"/>
        </w:rPr>
        <w:t>Input Document(s):</w:t>
      </w:r>
      <w:r w:rsidRPr="001F711F">
        <w:rPr>
          <w:rFonts w:eastAsiaTheme="minorEastAsia"/>
          <w:lang w:eastAsia="ja-JP"/>
        </w:rPr>
        <w:t xml:space="preserve"> </w:t>
      </w:r>
      <w:hyperlink r:id="rId11" w:history="1">
        <w:r w:rsidRPr="001F711F">
          <w:rPr>
            <w:rStyle w:val="Hyperlink"/>
            <w:rFonts w:eastAsiaTheme="minorEastAsia"/>
            <w:lang w:eastAsia="ja-JP"/>
          </w:rPr>
          <w:t>INP-39</w:t>
        </w:r>
      </w:hyperlink>
      <w:r w:rsidRPr="001F711F">
        <w:rPr>
          <w:rFonts w:eastAsiaTheme="minorEastAsia"/>
          <w:lang w:eastAsia="ja-JP"/>
        </w:rPr>
        <w:t xml:space="preserve"> (</w:t>
      </w:r>
      <w:r w:rsidRPr="001F711F">
        <w:t xml:space="preserve">J), </w:t>
      </w:r>
      <w:hyperlink r:id="rId12" w:history="1">
        <w:r w:rsidRPr="001F711F">
          <w:rPr>
            <w:rStyle w:val="Hyperlink"/>
          </w:rPr>
          <w:t>INP-61</w:t>
        </w:r>
      </w:hyperlink>
      <w:r>
        <w:t xml:space="preserve"> (THA), </w:t>
      </w:r>
      <w:hyperlink r:id="rId13" w:history="1">
        <w:r w:rsidRPr="001F711F">
          <w:rPr>
            <w:rStyle w:val="Hyperlink"/>
          </w:rPr>
          <w:t>INP-68</w:t>
        </w:r>
      </w:hyperlink>
      <w:r>
        <w:t xml:space="preserve"> (IRN), </w:t>
      </w:r>
      <w:hyperlink r:id="rId14" w:history="1">
        <w:r w:rsidR="00E955BE" w:rsidRPr="001F711F">
          <w:rPr>
            <w:rStyle w:val="Hyperlink"/>
          </w:rPr>
          <w:t>INP-83</w:t>
        </w:r>
      </w:hyperlink>
      <w:r w:rsidR="00E955BE">
        <w:t xml:space="preserve"> (AUS),</w:t>
      </w:r>
      <w:hyperlink r:id="rId15" w:history="1">
        <w:r w:rsidRPr="001F711F">
          <w:rPr>
            <w:rStyle w:val="Hyperlink"/>
          </w:rPr>
          <w:t>INP-90 Rev.1</w:t>
        </w:r>
      </w:hyperlink>
      <w:r>
        <w:t xml:space="preserve"> (KOR), </w:t>
      </w:r>
      <w:hyperlink r:id="rId16" w:history="1">
        <w:r w:rsidRPr="001F711F">
          <w:rPr>
            <w:rStyle w:val="Hyperlink"/>
          </w:rPr>
          <w:t>INP-106</w:t>
        </w:r>
      </w:hyperlink>
      <w:r>
        <w:t xml:space="preserve"> (CHN), </w:t>
      </w:r>
      <w:hyperlink r:id="rId17" w:history="1">
        <w:r w:rsidR="00B97359" w:rsidRPr="004B2603">
          <w:rPr>
            <w:rStyle w:val="Hyperlink"/>
          </w:rPr>
          <w:t>INP-112</w:t>
        </w:r>
      </w:hyperlink>
      <w:r w:rsidR="00B97359">
        <w:t xml:space="preserve"> (MLA), </w:t>
      </w:r>
      <w:hyperlink r:id="rId18" w:history="1">
        <w:r w:rsidRPr="00BB220A">
          <w:rPr>
            <w:rStyle w:val="Hyperlink"/>
          </w:rPr>
          <w:t>INP-120</w:t>
        </w:r>
      </w:hyperlink>
      <w:r>
        <w:t xml:space="preserve"> (VTN)</w:t>
      </w:r>
    </w:p>
    <w:p w14:paraId="55296166" w14:textId="4BBD9E29" w:rsidR="00F75EA5" w:rsidRPr="00277D4C" w:rsidRDefault="00F75EA5" w:rsidP="002E5B9D">
      <w:pPr>
        <w:pStyle w:val="ListParagraph"/>
        <w:contextualSpacing/>
        <w:jc w:val="both"/>
        <w:rPr>
          <w:bCs/>
          <w:lang w:val="en-NZ"/>
        </w:rPr>
      </w:pPr>
      <w:r w:rsidRPr="00162C3F">
        <w:rPr>
          <w:b/>
          <w:bCs/>
          <w:lang w:val="en-NZ"/>
        </w:rPr>
        <w:t>Information Document(s):</w:t>
      </w:r>
      <w:r w:rsidRPr="00F75EA5">
        <w:t xml:space="preserve"> </w:t>
      </w:r>
      <w:hyperlink r:id="rId19" w:history="1">
        <w:r w:rsidRPr="00F75EA5">
          <w:rPr>
            <w:rStyle w:val="Hyperlink"/>
          </w:rPr>
          <w:t>INF-35</w:t>
        </w:r>
      </w:hyperlink>
      <w:r w:rsidRPr="00F75EA5">
        <w:t xml:space="preserve"> (DG 7 Chairs), </w:t>
      </w:r>
      <w:hyperlink r:id="rId20" w:history="1">
        <w:r w:rsidRPr="00F75EA5">
          <w:rPr>
            <w:rStyle w:val="Hyperlink"/>
          </w:rPr>
          <w:t>INP-45</w:t>
        </w:r>
      </w:hyperlink>
      <w:r w:rsidRPr="00F75EA5">
        <w:t xml:space="preserve"> (RCC), </w:t>
      </w:r>
      <w:hyperlink r:id="rId21" w:history="1">
        <w:r w:rsidRPr="00F75EA5">
          <w:rPr>
            <w:rStyle w:val="Hyperlink"/>
          </w:rPr>
          <w:t>INF-46</w:t>
        </w:r>
      </w:hyperlink>
      <w:r w:rsidRPr="00F75EA5">
        <w:t xml:space="preserve"> (CEPT), </w:t>
      </w:r>
      <w:hyperlink r:id="rId22" w:history="1">
        <w:r w:rsidRPr="00F75EA5">
          <w:rPr>
            <w:rStyle w:val="Hyperlink"/>
          </w:rPr>
          <w:t>INF-52</w:t>
        </w:r>
      </w:hyperlink>
      <w:r w:rsidRPr="00F75EA5">
        <w:t xml:space="preserve"> (CITEL)</w:t>
      </w:r>
    </w:p>
    <w:p w14:paraId="4469560C" w14:textId="35C83012" w:rsidR="00277D4C" w:rsidRDefault="00277D4C" w:rsidP="002E5B9D">
      <w:pPr>
        <w:pStyle w:val="ListParagraph"/>
        <w:numPr>
          <w:ilvl w:val="0"/>
          <w:numId w:val="0"/>
        </w:numPr>
        <w:ind w:left="720"/>
        <w:contextualSpacing/>
        <w:jc w:val="both"/>
        <w:rPr>
          <w:b/>
          <w:bCs/>
          <w:lang w:val="en-NZ"/>
        </w:rPr>
      </w:pPr>
    </w:p>
    <w:p w14:paraId="5BE8E6B9" w14:textId="77777777" w:rsidR="00277D4C" w:rsidRPr="00F75EA5" w:rsidRDefault="00277D4C" w:rsidP="002E5B9D">
      <w:pPr>
        <w:pStyle w:val="ListParagraph"/>
        <w:numPr>
          <w:ilvl w:val="0"/>
          <w:numId w:val="0"/>
        </w:numPr>
        <w:ind w:left="720"/>
        <w:contextualSpacing/>
        <w:jc w:val="both"/>
        <w:rPr>
          <w:bCs/>
          <w:lang w:val="en-NZ"/>
        </w:rPr>
      </w:pPr>
    </w:p>
    <w:p w14:paraId="6B72E072" w14:textId="77777777" w:rsidR="00FE1489" w:rsidRPr="00BA28B2" w:rsidRDefault="00FE1489" w:rsidP="002E5B9D">
      <w:pPr>
        <w:pStyle w:val="Style1H2"/>
      </w:pPr>
      <w:r w:rsidRPr="00BA28B2">
        <w:t xml:space="preserve">3. </w:t>
      </w:r>
      <w:r w:rsidRPr="00BA28B2">
        <w:tab/>
        <w:t>Summary of discussions</w:t>
      </w:r>
    </w:p>
    <w:p w14:paraId="31196EF3" w14:textId="77777777" w:rsidR="00FE1489" w:rsidRPr="00BA28B2" w:rsidRDefault="00FE1489" w:rsidP="002E5B9D">
      <w:pPr>
        <w:pStyle w:val="H3"/>
      </w:pPr>
      <w:r w:rsidRPr="00BA28B2">
        <w:t>3.1</w:t>
      </w:r>
      <w:r w:rsidRPr="00BA28B2">
        <w:tab/>
        <w:t>Summary of APT Members’ views</w:t>
      </w:r>
    </w:p>
    <w:p w14:paraId="092DC170" w14:textId="77777777" w:rsidR="006442B4" w:rsidRPr="00427519" w:rsidRDefault="006442B4" w:rsidP="002E5B9D">
      <w:pPr>
        <w:pStyle w:val="Style1"/>
        <w:spacing w:after="120"/>
        <w:rPr>
          <w:rFonts w:ascii="Times New Roman" w:hAnsi="Times New Roman" w:cs="Times New Roman"/>
        </w:rPr>
      </w:pPr>
      <w:r w:rsidRPr="00427519">
        <w:rPr>
          <w:rFonts w:ascii="Times New Roman" w:hAnsi="Times New Roman" w:cs="Times New Roman"/>
          <w:color w:val="auto"/>
        </w:rPr>
        <w:t>3.1.</w:t>
      </w:r>
      <w:r>
        <w:rPr>
          <w:rFonts w:ascii="Times New Roman" w:hAnsi="Times New Roman" w:cs="Times New Roman"/>
          <w:color w:val="auto"/>
        </w:rPr>
        <w:t>1</w:t>
      </w:r>
      <w:r w:rsidRPr="00427519">
        <w:rPr>
          <w:rFonts w:ascii="Times New Roman" w:hAnsi="Times New Roman" w:cs="Times New Roman"/>
          <w:color w:val="auto"/>
        </w:rPr>
        <w:tab/>
        <w:t>Japan - Document APG23-6/</w:t>
      </w:r>
      <w:hyperlink r:id="rId23" w:history="1">
        <w:r w:rsidRPr="00427519">
          <w:rPr>
            <w:rStyle w:val="Hyperlink"/>
            <w:rFonts w:ascii="Times New Roman" w:eastAsiaTheme="minorEastAsia" w:hAnsi="Times New Roman" w:cs="Times New Roman"/>
            <w:lang w:eastAsia="ja-JP"/>
          </w:rPr>
          <w:t>INP-39</w:t>
        </w:r>
      </w:hyperlink>
    </w:p>
    <w:p w14:paraId="61A1B86D" w14:textId="4967DF7B" w:rsidR="006442B4" w:rsidRPr="006E34B0" w:rsidRDefault="00E955BE" w:rsidP="002E5B9D">
      <w:pPr>
        <w:pStyle w:val="ListParagraph"/>
      </w:pPr>
      <w:r w:rsidRPr="00BB4124">
        <w:t>Japan support</w:t>
      </w:r>
      <w:r w:rsidRPr="00E955BE">
        <w:rPr>
          <w:rFonts w:hint="eastAsia"/>
        </w:rPr>
        <w:t>s</w:t>
      </w:r>
      <w:r w:rsidRPr="00BB4124">
        <w:t xml:space="preserve"> </w:t>
      </w:r>
      <w:r w:rsidRPr="00E955BE">
        <w:t>Method I2</w:t>
      </w:r>
      <w:r w:rsidRPr="00BB4124">
        <w:t xml:space="preserve"> in the CPM Report</w:t>
      </w:r>
      <w:r w:rsidRPr="00E955BE">
        <w:t>.</w:t>
      </w:r>
    </w:p>
    <w:p w14:paraId="79540D31" w14:textId="77777777" w:rsidR="006442B4" w:rsidRPr="009C07B0" w:rsidRDefault="006442B4" w:rsidP="002E5B9D">
      <w:pPr>
        <w:ind w:left="360"/>
        <w:jc w:val="both"/>
        <w:rPr>
          <w:lang w:val="en-GB"/>
        </w:rPr>
      </w:pPr>
    </w:p>
    <w:p w14:paraId="288B0BE9" w14:textId="44B7211B" w:rsidR="006442B4" w:rsidRPr="00427519" w:rsidRDefault="006442B4" w:rsidP="002E5B9D">
      <w:pPr>
        <w:pStyle w:val="Style1"/>
        <w:spacing w:after="120"/>
        <w:rPr>
          <w:rFonts w:ascii="Times New Roman" w:hAnsi="Times New Roman" w:cs="Times New Roman"/>
          <w:color w:val="auto"/>
        </w:rPr>
      </w:pPr>
      <w:r w:rsidRPr="00427519">
        <w:rPr>
          <w:rFonts w:ascii="Times New Roman" w:hAnsi="Times New Roman" w:cs="Times New Roman"/>
          <w:color w:val="auto"/>
        </w:rPr>
        <w:t>3.1.</w:t>
      </w:r>
      <w:r w:rsidR="00C90A6F">
        <w:rPr>
          <w:rFonts w:ascii="Times New Roman" w:hAnsi="Times New Roman" w:cs="Times New Roman"/>
          <w:color w:val="auto"/>
        </w:rPr>
        <w:t>2</w:t>
      </w:r>
      <w:r w:rsidRPr="00427519">
        <w:rPr>
          <w:rFonts w:ascii="Times New Roman" w:hAnsi="Times New Roman" w:cs="Times New Roman"/>
          <w:color w:val="auto"/>
        </w:rPr>
        <w:tab/>
        <w:t>Thailand (Kingdom of) - Document APG23-6/</w:t>
      </w:r>
      <w:hyperlink r:id="rId24" w:history="1">
        <w:r w:rsidRPr="00427519">
          <w:rPr>
            <w:rStyle w:val="Hyperlink"/>
            <w:rFonts w:ascii="Times New Roman" w:hAnsi="Times New Roman" w:cs="Times New Roman"/>
          </w:rPr>
          <w:t>INP-61</w:t>
        </w:r>
      </w:hyperlink>
    </w:p>
    <w:p w14:paraId="6DA9C981" w14:textId="3FCE86EF" w:rsidR="00E955BE" w:rsidRPr="00641880" w:rsidRDefault="00E955BE" w:rsidP="002E5B9D">
      <w:pPr>
        <w:pStyle w:val="ListParagraph"/>
        <w:jc w:val="both"/>
        <w:rPr>
          <w:rFonts w:cstheme="minorBidi"/>
          <w:szCs w:val="30"/>
          <w:lang w:bidi="th-TH"/>
        </w:rPr>
      </w:pPr>
      <w:r w:rsidRPr="00FA2AB9">
        <w:rPr>
          <w:bCs/>
          <w:color w:val="000000" w:themeColor="text1"/>
        </w:rPr>
        <w:t xml:space="preserve">Thailand </w:t>
      </w:r>
      <w:r w:rsidRPr="00FA2AB9">
        <w:t>supports</w:t>
      </w:r>
      <w:r w:rsidRPr="00FA2AB9">
        <w:rPr>
          <w:bCs/>
          <w:color w:val="000000" w:themeColor="text1"/>
        </w:rPr>
        <w:t xml:space="preserve"> Method I2</w:t>
      </w:r>
      <w:r w:rsidRPr="00FA2AB9">
        <w:t xml:space="preserve"> in the CPM </w:t>
      </w:r>
      <w:r>
        <w:t>R</w:t>
      </w:r>
      <w:r w:rsidRPr="00FA2AB9">
        <w:t xml:space="preserve">eport in which a new type of agreement between notifying administrations of a national allotment and of an assignment is defined while the administration of the assignment commits to respect </w:t>
      </w:r>
      <w:proofErr w:type="spellStart"/>
      <w:r w:rsidRPr="00FA2AB9">
        <w:t>pfd</w:t>
      </w:r>
      <w:proofErr w:type="spellEnd"/>
      <w:r w:rsidRPr="00FA2AB9">
        <w:t xml:space="preserve"> levels under § 2.2 of Annex</w:t>
      </w:r>
      <w:r>
        <w:t xml:space="preserve"> </w:t>
      </w:r>
      <w:r w:rsidRPr="00FA2AB9">
        <w:t xml:space="preserve">4 </w:t>
      </w:r>
      <w:r w:rsidRPr="00FA2AB9">
        <w:rPr>
          <w:b/>
          <w:bCs/>
        </w:rPr>
        <w:t>(Rev.WRC-19)</w:t>
      </w:r>
      <w:r w:rsidRPr="00FA2AB9">
        <w:t xml:space="preserve"> of Appendix </w:t>
      </w:r>
      <w:r w:rsidRPr="00FA2AB9">
        <w:rPr>
          <w:b/>
          <w:bCs/>
        </w:rPr>
        <w:t>30B (Rev.WRC-19)</w:t>
      </w:r>
      <w:r w:rsidRPr="00FA2AB9">
        <w:t xml:space="preserve"> over the territory of the national allotment, while developing a new Resolution subject to agreements under § 6.15 of RR Appendix </w:t>
      </w:r>
      <w:r w:rsidRPr="00FA2AB9">
        <w:rPr>
          <w:b/>
          <w:bCs/>
        </w:rPr>
        <w:t>30B</w:t>
      </w:r>
      <w:r w:rsidRPr="00FA2AB9">
        <w:t xml:space="preserve"> </w:t>
      </w:r>
      <w:r w:rsidRPr="00FA2AB9">
        <w:rPr>
          <w:b/>
          <w:bCs/>
        </w:rPr>
        <w:t>(Rev.WRC-19)</w:t>
      </w:r>
      <w:r w:rsidRPr="00FA2AB9">
        <w:t xml:space="preserve"> to sign the new type of agreement, to request the Bureau to update the reference situation without reviewing the previous examination, and to request the notifying administrations of assignments for which the procedures of Article 6 of RR Appendix </w:t>
      </w:r>
      <w:r w:rsidRPr="00FA2AB9">
        <w:rPr>
          <w:b/>
          <w:bCs/>
        </w:rPr>
        <w:t>30B</w:t>
      </w:r>
      <w:r w:rsidRPr="00FA2AB9">
        <w:t xml:space="preserve"> have not yet been completed and which have been examined by the Bureau before the signature of such agreement to make their utmost efforts to take into account the new reference situation of this national allotment.</w:t>
      </w:r>
    </w:p>
    <w:bookmarkStart w:id="1" w:name="_MON_1747047635"/>
    <w:bookmarkEnd w:id="1"/>
    <w:p w14:paraId="711B6613" w14:textId="68D4B6DA" w:rsidR="00641880" w:rsidRPr="00FA2AB9" w:rsidRDefault="00641880" w:rsidP="002E5B9D">
      <w:pPr>
        <w:pStyle w:val="ListParagraph"/>
        <w:numPr>
          <w:ilvl w:val="0"/>
          <w:numId w:val="0"/>
        </w:numPr>
        <w:ind w:left="720"/>
        <w:rPr>
          <w:rFonts w:cstheme="minorBidi"/>
          <w:szCs w:val="30"/>
          <w:lang w:bidi="th-TH"/>
        </w:rPr>
      </w:pPr>
      <w:r w:rsidRPr="00ED7005">
        <w:rPr>
          <w:rFonts w:cstheme="minorBidi"/>
          <w:szCs w:val="30"/>
          <w:lang w:bidi="th-TH"/>
        </w:rPr>
        <w:object w:dxaOrig="1543" w:dyaOrig="991" w14:anchorId="4327CC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5pt;height:49.5pt" o:ole="">
            <v:imagedata r:id="rId25" o:title=""/>
          </v:shape>
          <o:OLEObject Type="Embed" ProgID="Word.Document.12" ShapeID="_x0000_i1025" DrawAspect="Icon" ObjectID="_1753910727" r:id="rId26">
            <o:FieldCodes>\s</o:FieldCodes>
          </o:OLEObject>
        </w:object>
      </w:r>
    </w:p>
    <w:p w14:paraId="40A062F7" w14:textId="77777777" w:rsidR="006442B4" w:rsidRDefault="006442B4" w:rsidP="002E5B9D">
      <w:pPr>
        <w:pStyle w:val="ListParagraph"/>
        <w:numPr>
          <w:ilvl w:val="0"/>
          <w:numId w:val="0"/>
        </w:numPr>
        <w:ind w:left="720"/>
        <w:jc w:val="both"/>
        <w:rPr>
          <w:bCs/>
          <w:lang w:val="en-GB"/>
        </w:rPr>
      </w:pPr>
    </w:p>
    <w:p w14:paraId="640174DF" w14:textId="2AF6631C" w:rsidR="006442B4" w:rsidRPr="00427519" w:rsidRDefault="006442B4" w:rsidP="002E5B9D">
      <w:pPr>
        <w:pStyle w:val="Style1"/>
        <w:spacing w:after="120"/>
        <w:rPr>
          <w:rStyle w:val="Hyperlink"/>
          <w:rFonts w:ascii="Times New Roman" w:hAnsi="Times New Roman" w:cs="Times New Roman"/>
        </w:rPr>
      </w:pPr>
      <w:r w:rsidRPr="00427519">
        <w:rPr>
          <w:rFonts w:ascii="Times New Roman" w:hAnsi="Times New Roman" w:cs="Times New Roman"/>
          <w:color w:val="auto"/>
        </w:rPr>
        <w:t>3.1.</w:t>
      </w:r>
      <w:r w:rsidR="00C90A6F">
        <w:rPr>
          <w:rFonts w:ascii="Times New Roman" w:hAnsi="Times New Roman" w:cs="Times New Roman"/>
          <w:color w:val="auto"/>
        </w:rPr>
        <w:t>3</w:t>
      </w:r>
      <w:r w:rsidRPr="00427519">
        <w:rPr>
          <w:rFonts w:ascii="Times New Roman" w:hAnsi="Times New Roman" w:cs="Times New Roman"/>
          <w:color w:val="auto"/>
        </w:rPr>
        <w:tab/>
        <w:t>Iran (Islamic Republic of) - Document APG23-</w:t>
      </w:r>
      <w:r>
        <w:rPr>
          <w:rFonts w:ascii="Times New Roman" w:hAnsi="Times New Roman" w:cs="Times New Roman"/>
          <w:color w:val="auto"/>
        </w:rPr>
        <w:t>6</w:t>
      </w:r>
      <w:r w:rsidRPr="00427519">
        <w:rPr>
          <w:rFonts w:ascii="Times New Roman" w:hAnsi="Times New Roman" w:cs="Times New Roman"/>
          <w:color w:val="auto"/>
        </w:rPr>
        <w:t>/</w:t>
      </w:r>
      <w:hyperlink r:id="rId27" w:history="1">
        <w:r w:rsidRPr="00427519">
          <w:rPr>
            <w:rStyle w:val="Hyperlink"/>
            <w:rFonts w:ascii="Times New Roman" w:hAnsi="Times New Roman" w:cs="Times New Roman"/>
          </w:rPr>
          <w:t>INP-68</w:t>
        </w:r>
      </w:hyperlink>
    </w:p>
    <w:p w14:paraId="1BB3F40E" w14:textId="6589E9A5" w:rsidR="00E955BE" w:rsidRPr="005E5354" w:rsidRDefault="00E955BE" w:rsidP="002E5B9D">
      <w:pPr>
        <w:pStyle w:val="ListParagraph"/>
        <w:contextualSpacing/>
        <w:jc w:val="both"/>
        <w:rPr>
          <w:b/>
        </w:rPr>
      </w:pPr>
      <w:r w:rsidRPr="005E5354">
        <w:t>Islamic Republic of Iran supports the Method I2, as contained in the draft CPM 23-2 Report.</w:t>
      </w:r>
    </w:p>
    <w:p w14:paraId="4C7D905A" w14:textId="77777777" w:rsidR="00E955BE" w:rsidRPr="005E5354" w:rsidRDefault="00E955BE" w:rsidP="002E5B9D">
      <w:pPr>
        <w:pStyle w:val="ListParagraph"/>
        <w:contextualSpacing/>
        <w:jc w:val="both"/>
      </w:pPr>
      <w:r w:rsidRPr="005E5354">
        <w:rPr>
          <w:lang w:eastAsia="zh-CN"/>
        </w:rPr>
        <w:t>Islamic</w:t>
      </w:r>
      <w:r w:rsidRPr="005E5354">
        <w:rPr>
          <w:lang w:val="en-NZ"/>
        </w:rPr>
        <w:t xml:space="preserve"> </w:t>
      </w:r>
      <w:r w:rsidRPr="00E955BE">
        <w:t>Republic</w:t>
      </w:r>
      <w:r w:rsidRPr="005E5354">
        <w:rPr>
          <w:lang w:val="en-NZ"/>
        </w:rPr>
        <w:t xml:space="preserve"> of Iran proposes a Preliminary APT Common Proposal for Method I2 in the CPM Report as follows:</w:t>
      </w:r>
    </w:p>
    <w:bookmarkStart w:id="2" w:name="_MON_1750265796"/>
    <w:bookmarkEnd w:id="2"/>
    <w:p w14:paraId="08179C1F" w14:textId="77777777" w:rsidR="00E955BE" w:rsidRPr="005E5354" w:rsidRDefault="00E955BE" w:rsidP="002E5B9D">
      <w:pPr>
        <w:ind w:left="720"/>
      </w:pPr>
      <w:r w:rsidRPr="005E5354">
        <w:rPr>
          <w:color w:val="FF0000"/>
        </w:rPr>
        <w:object w:dxaOrig="1536" w:dyaOrig="992" w14:anchorId="5E8B2915">
          <v:shape id="_x0000_i1026" type="#_x0000_t75" style="width:75.5pt;height:49.5pt" o:ole="">
            <v:imagedata r:id="rId28" o:title=""/>
          </v:shape>
          <o:OLEObject Type="Embed" ProgID="Word.Document.12" ShapeID="_x0000_i1026" DrawAspect="Icon" ObjectID="_1753910728" r:id="rId29">
            <o:FieldCodes>\s</o:FieldCodes>
          </o:OLEObject>
        </w:object>
      </w:r>
      <w:r w:rsidRPr="005E5354">
        <w:rPr>
          <w:color w:val="FF0000"/>
        </w:rPr>
        <w:t xml:space="preserve">   </w:t>
      </w:r>
    </w:p>
    <w:p w14:paraId="3354F4A4" w14:textId="48C4BFF5" w:rsidR="00E955BE" w:rsidRDefault="00E955BE" w:rsidP="002E5B9D">
      <w:pPr>
        <w:pStyle w:val="ListParagraph"/>
        <w:contextualSpacing/>
        <w:jc w:val="both"/>
      </w:pPr>
      <w:r w:rsidRPr="005E5354">
        <w:t>However, if the consensus is not emerged at WRC-23 for Method I2, this administration has no objection to Method I1</w:t>
      </w:r>
      <w:r w:rsidR="00545C1E">
        <w:t xml:space="preserve"> </w:t>
      </w:r>
      <w:r w:rsidRPr="005E5354">
        <w:t>(</w:t>
      </w:r>
      <w:r w:rsidRPr="00545C1E">
        <w:rPr>
          <w:lang w:val="en-NZ"/>
        </w:rPr>
        <w:t>NOC</w:t>
      </w:r>
      <w:r w:rsidRPr="005E5354">
        <w:t>)</w:t>
      </w:r>
      <w:r w:rsidRPr="00545C1E">
        <w:rPr>
          <w:snapToGrid w:val="0"/>
        </w:rPr>
        <w:t>.</w:t>
      </w:r>
    </w:p>
    <w:p w14:paraId="628BD685" w14:textId="77777777" w:rsidR="006442B4" w:rsidRPr="00624DBA" w:rsidRDefault="006442B4" w:rsidP="002E5B9D">
      <w:pPr>
        <w:ind w:left="360"/>
      </w:pPr>
    </w:p>
    <w:p w14:paraId="29B1A5DA" w14:textId="10C809D8" w:rsidR="006442B4" w:rsidRPr="00A25613" w:rsidRDefault="006442B4" w:rsidP="002E5B9D">
      <w:pPr>
        <w:pStyle w:val="Style1"/>
        <w:spacing w:after="120"/>
        <w:rPr>
          <w:rStyle w:val="Hyperlink"/>
          <w:rFonts w:ascii="Times New Roman" w:hAnsi="Times New Roman" w:cs="Times New Roman"/>
        </w:rPr>
      </w:pPr>
      <w:r w:rsidRPr="00A25613">
        <w:rPr>
          <w:rFonts w:ascii="Times New Roman" w:hAnsi="Times New Roman" w:cs="Times New Roman"/>
          <w:color w:val="auto"/>
        </w:rPr>
        <w:lastRenderedPageBreak/>
        <w:t>3.1.</w:t>
      </w:r>
      <w:r w:rsidR="00C90A6F">
        <w:rPr>
          <w:rFonts w:ascii="Times New Roman" w:hAnsi="Times New Roman" w:cs="Times New Roman"/>
          <w:color w:val="auto"/>
        </w:rPr>
        <w:t>4</w:t>
      </w:r>
      <w:r w:rsidRPr="00A25613">
        <w:rPr>
          <w:rFonts w:ascii="Times New Roman" w:hAnsi="Times New Roman" w:cs="Times New Roman"/>
          <w:color w:val="auto"/>
        </w:rPr>
        <w:t xml:space="preserve"> </w:t>
      </w:r>
      <w:r w:rsidRPr="00A25613">
        <w:rPr>
          <w:rFonts w:ascii="Times New Roman" w:hAnsi="Times New Roman" w:cs="Times New Roman"/>
          <w:color w:val="auto"/>
        </w:rPr>
        <w:tab/>
        <w:t>Australia - Document APG23-6/</w:t>
      </w:r>
      <w:hyperlink r:id="rId30" w:history="1">
        <w:r w:rsidRPr="00A25613">
          <w:rPr>
            <w:rStyle w:val="Hyperlink"/>
            <w:rFonts w:ascii="Times New Roman" w:hAnsi="Times New Roman" w:cs="Times New Roman"/>
          </w:rPr>
          <w:t>INP-83</w:t>
        </w:r>
      </w:hyperlink>
    </w:p>
    <w:p w14:paraId="184CA584" w14:textId="77777777" w:rsidR="00E955BE" w:rsidRPr="00E955BE" w:rsidRDefault="00E955BE" w:rsidP="002E5B9D">
      <w:pPr>
        <w:pStyle w:val="ListParagraph"/>
        <w:contextualSpacing/>
        <w:jc w:val="both"/>
        <w:rPr>
          <w:bCs/>
          <w:lang w:eastAsia="ko-KR"/>
        </w:rPr>
      </w:pPr>
      <w:r w:rsidRPr="00537506">
        <w:rPr>
          <w:iCs/>
        </w:rPr>
        <w:t>Australia</w:t>
      </w:r>
      <w:r w:rsidRPr="00537506">
        <w:t xml:space="preserve"> is yet to arrive at a position on agenda item 7, Topic I. Australia is continuing to monitor </w:t>
      </w:r>
      <w:r w:rsidRPr="00E955BE">
        <w:rPr>
          <w:bCs/>
          <w:lang w:eastAsia="ko-KR"/>
        </w:rPr>
        <w:t>developments.</w:t>
      </w:r>
    </w:p>
    <w:p w14:paraId="4F768142" w14:textId="77777777" w:rsidR="00E955BE" w:rsidRDefault="00E955BE" w:rsidP="002E5B9D">
      <w:pPr>
        <w:pStyle w:val="ListParagraph"/>
        <w:contextualSpacing/>
        <w:jc w:val="both"/>
      </w:pPr>
      <w:r w:rsidRPr="00E955BE">
        <w:rPr>
          <w:bCs/>
          <w:lang w:eastAsia="ko-KR"/>
        </w:rPr>
        <w:t>Australia</w:t>
      </w:r>
      <w:r w:rsidRPr="002A01BB">
        <w:t xml:space="preserve"> does not propose a Preliminary APT Common Proposal for this </w:t>
      </w:r>
      <w:r>
        <w:t>topic</w:t>
      </w:r>
      <w:r w:rsidRPr="002A01BB">
        <w:t>.</w:t>
      </w:r>
    </w:p>
    <w:p w14:paraId="3D84A027" w14:textId="77777777" w:rsidR="006442B4" w:rsidRPr="00427519" w:rsidRDefault="006442B4" w:rsidP="002E5B9D">
      <w:pPr>
        <w:pStyle w:val="ListParagraph"/>
        <w:numPr>
          <w:ilvl w:val="0"/>
          <w:numId w:val="0"/>
        </w:numPr>
        <w:ind w:left="720"/>
        <w:contextualSpacing/>
        <w:jc w:val="both"/>
      </w:pPr>
    </w:p>
    <w:p w14:paraId="2400CA71" w14:textId="2FF71560" w:rsidR="006442B4" w:rsidRPr="00A25613" w:rsidRDefault="006442B4" w:rsidP="002E5B9D">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C90A6F">
        <w:rPr>
          <w:rFonts w:ascii="Times New Roman" w:hAnsi="Times New Roman" w:cs="Times New Roman"/>
          <w:color w:val="auto"/>
        </w:rPr>
        <w:t>5</w:t>
      </w:r>
      <w:r w:rsidRPr="00A25613">
        <w:rPr>
          <w:rFonts w:ascii="Times New Roman" w:hAnsi="Times New Roman" w:cs="Times New Roman"/>
          <w:color w:val="auto"/>
        </w:rPr>
        <w:t xml:space="preserve"> </w:t>
      </w:r>
      <w:r w:rsidRPr="00A25613">
        <w:rPr>
          <w:rFonts w:ascii="Times New Roman" w:hAnsi="Times New Roman" w:cs="Times New Roman"/>
          <w:color w:val="auto"/>
        </w:rPr>
        <w:tab/>
        <w:t>Korea (Republic of) - Document APG23-6/</w:t>
      </w:r>
      <w:hyperlink r:id="rId31" w:history="1">
        <w:r w:rsidRPr="00A25613">
          <w:rPr>
            <w:rStyle w:val="Hyperlink"/>
            <w:rFonts w:ascii="Times New Roman" w:hAnsi="Times New Roman" w:cs="Times New Roman"/>
          </w:rPr>
          <w:t>INP-90 Rev.1</w:t>
        </w:r>
      </w:hyperlink>
    </w:p>
    <w:p w14:paraId="6628A260" w14:textId="77777777" w:rsidR="00E955BE" w:rsidRPr="00BC15CD" w:rsidRDefault="00E955BE" w:rsidP="002E5B9D">
      <w:pPr>
        <w:pStyle w:val="ListParagraph"/>
        <w:contextualSpacing/>
        <w:jc w:val="both"/>
        <w:rPr>
          <w:lang w:eastAsia="ko-KR"/>
        </w:rPr>
      </w:pPr>
      <w:r>
        <w:t xml:space="preserve">As the Republic of Korea </w:t>
      </w:r>
      <w:r w:rsidRPr="00746FF0">
        <w:t>suppor</w:t>
      </w:r>
      <w:r>
        <w:t xml:space="preserve">ts defining </w:t>
      </w:r>
      <w:r w:rsidRPr="00AD33F0">
        <w:rPr>
          <w:lang w:eastAsia="zh-CN"/>
        </w:rPr>
        <w:t xml:space="preserve">a new type of agreement between notifying </w:t>
      </w:r>
      <w:r w:rsidRPr="00E955BE">
        <w:rPr>
          <w:bCs/>
          <w:lang w:eastAsia="ko-KR"/>
        </w:rPr>
        <w:t>administrations</w:t>
      </w:r>
      <w:r w:rsidRPr="00AD33F0">
        <w:rPr>
          <w:lang w:eastAsia="zh-CN"/>
        </w:rPr>
        <w:t xml:space="preserve"> of a national allotment and of an assignment, respectively</w:t>
      </w:r>
      <w:r>
        <w:t xml:space="preserve">, </w:t>
      </w:r>
      <w:r>
        <w:rPr>
          <w:lang w:eastAsia="ko-KR"/>
        </w:rPr>
        <w:t xml:space="preserve">among the methods presented in the CPM Report, </w:t>
      </w:r>
      <w:r>
        <w:t>Method I2 is</w:t>
      </w:r>
      <w:r>
        <w:rPr>
          <w:lang w:eastAsia="ko-KR"/>
        </w:rPr>
        <w:t xml:space="preserve"> supported.</w:t>
      </w:r>
    </w:p>
    <w:p w14:paraId="6D3B237C" w14:textId="77777777" w:rsidR="006442B4" w:rsidRPr="00BA28B2" w:rsidRDefault="006442B4" w:rsidP="002E5B9D">
      <w:pPr>
        <w:contextualSpacing/>
        <w:jc w:val="both"/>
      </w:pPr>
    </w:p>
    <w:p w14:paraId="10CD412A" w14:textId="723D76F0" w:rsidR="006442B4" w:rsidRPr="00A25613" w:rsidRDefault="006442B4" w:rsidP="002E5B9D">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C90A6F">
        <w:rPr>
          <w:rFonts w:ascii="Times New Roman" w:hAnsi="Times New Roman" w:cs="Times New Roman"/>
          <w:color w:val="auto"/>
        </w:rPr>
        <w:t>6</w:t>
      </w:r>
      <w:r w:rsidRPr="00A25613">
        <w:rPr>
          <w:rFonts w:ascii="Times New Roman" w:hAnsi="Times New Roman" w:cs="Times New Roman"/>
          <w:color w:val="auto"/>
        </w:rPr>
        <w:t xml:space="preserve"> </w:t>
      </w:r>
      <w:r w:rsidRPr="00A25613">
        <w:rPr>
          <w:rFonts w:ascii="Times New Roman" w:hAnsi="Times New Roman" w:cs="Times New Roman"/>
          <w:color w:val="auto"/>
        </w:rPr>
        <w:tab/>
        <w:t>China (People’s Republic of) - Document APG23-6/</w:t>
      </w:r>
      <w:hyperlink r:id="rId32" w:history="1">
        <w:r w:rsidRPr="00A25613">
          <w:rPr>
            <w:rStyle w:val="Hyperlink"/>
            <w:rFonts w:ascii="Times New Roman" w:hAnsi="Times New Roman" w:cs="Times New Roman"/>
          </w:rPr>
          <w:t>INP-106</w:t>
        </w:r>
      </w:hyperlink>
    </w:p>
    <w:p w14:paraId="05B7E11B" w14:textId="3D308340" w:rsidR="00E955BE" w:rsidRDefault="00E955BE" w:rsidP="002E5B9D">
      <w:pPr>
        <w:pStyle w:val="ListParagraph"/>
        <w:contextualSpacing/>
        <w:jc w:val="both"/>
        <w:rPr>
          <w:rFonts w:eastAsia="SimSun"/>
          <w:lang w:eastAsia="zh-CN"/>
        </w:rPr>
      </w:pPr>
      <w:r>
        <w:rPr>
          <w:rFonts w:eastAsia="SimSun"/>
          <w:lang w:eastAsia="zh-CN"/>
        </w:rPr>
        <w:t xml:space="preserve">China supports </w:t>
      </w:r>
      <w:r>
        <w:rPr>
          <w:bCs/>
          <w:lang w:eastAsia="ko-KR"/>
        </w:rPr>
        <w:t xml:space="preserve">Method I2 </w:t>
      </w:r>
      <w:r>
        <w:rPr>
          <w:color w:val="201F1E"/>
        </w:rPr>
        <w:t>in the CPM Report</w:t>
      </w:r>
      <w:r>
        <w:rPr>
          <w:bCs/>
          <w:lang w:eastAsia="ko-KR"/>
        </w:rPr>
        <w:t xml:space="preserve"> to address this topic, which propose to define a new type of agreement </w:t>
      </w:r>
      <w:r w:rsidRPr="00E955BE">
        <w:rPr>
          <w:i/>
        </w:rPr>
        <w:t>between</w:t>
      </w:r>
      <w:r>
        <w:rPr>
          <w:bCs/>
          <w:lang w:eastAsia="ko-KR"/>
        </w:rPr>
        <w:t xml:space="preserve"> notifying administrations of a national allotment and of an assignment, respectively, and to develop a new Resolution allowing the notifying administration of a national allotment, subject to agreements under </w:t>
      </w:r>
      <w:r>
        <w:t xml:space="preserve">§ 6.15 of RR Appendix </w:t>
      </w:r>
      <w:r>
        <w:rPr>
          <w:b/>
          <w:bCs/>
        </w:rPr>
        <w:t>30B</w:t>
      </w:r>
      <w:r>
        <w:rPr>
          <w:bCs/>
          <w:lang w:eastAsia="ko-KR"/>
        </w:rPr>
        <w:t>.</w:t>
      </w:r>
    </w:p>
    <w:p w14:paraId="6E6F956A" w14:textId="77777777" w:rsidR="006442B4" w:rsidRDefault="006442B4" w:rsidP="002E5B9D">
      <w:pPr>
        <w:contextualSpacing/>
        <w:jc w:val="both"/>
        <w:rPr>
          <w:rStyle w:val="Hyperlink"/>
          <w:bCs/>
        </w:rPr>
      </w:pPr>
    </w:p>
    <w:p w14:paraId="14231A10" w14:textId="154690D7" w:rsidR="007324E2" w:rsidRPr="007B7A9B" w:rsidRDefault="007324E2" w:rsidP="002E5B9D">
      <w:pPr>
        <w:pStyle w:val="Style1"/>
        <w:spacing w:after="120"/>
        <w:rPr>
          <w:rStyle w:val="Hyperlink"/>
          <w:rFonts w:ascii="Times New Roman" w:hAnsi="Times New Roman" w:cs="Times New Roman"/>
        </w:rPr>
      </w:pPr>
      <w:r w:rsidRPr="007B7A9B">
        <w:rPr>
          <w:rFonts w:ascii="Times New Roman" w:hAnsi="Times New Roman" w:cs="Times New Roman"/>
          <w:color w:val="auto"/>
        </w:rPr>
        <w:t>3.1.</w:t>
      </w:r>
      <w:r w:rsidR="00C90A6F">
        <w:rPr>
          <w:rFonts w:ascii="Times New Roman" w:hAnsi="Times New Roman" w:cs="Times New Roman"/>
          <w:color w:val="auto"/>
        </w:rPr>
        <w:t>7</w:t>
      </w:r>
      <w:r w:rsidRPr="007B7A9B">
        <w:rPr>
          <w:rFonts w:ascii="Times New Roman" w:hAnsi="Times New Roman" w:cs="Times New Roman"/>
          <w:color w:val="auto"/>
        </w:rPr>
        <w:t xml:space="preserve"> </w:t>
      </w:r>
      <w:r w:rsidRPr="007B7A9B">
        <w:rPr>
          <w:rFonts w:ascii="Times New Roman" w:hAnsi="Times New Roman" w:cs="Times New Roman"/>
          <w:color w:val="auto"/>
        </w:rPr>
        <w:tab/>
        <w:t>Malaysia - Document APG23-6/</w:t>
      </w:r>
      <w:hyperlink r:id="rId33" w:history="1">
        <w:r w:rsidRPr="007B7A9B">
          <w:rPr>
            <w:rStyle w:val="Hyperlink"/>
            <w:rFonts w:ascii="Times New Roman" w:hAnsi="Times New Roman" w:cs="Times New Roman"/>
          </w:rPr>
          <w:t>INP-112</w:t>
        </w:r>
      </w:hyperlink>
    </w:p>
    <w:p w14:paraId="6A76A40C" w14:textId="77777777" w:rsidR="007324E2" w:rsidRDefault="007324E2" w:rsidP="002E5B9D">
      <w:pPr>
        <w:pStyle w:val="ListParagraph"/>
        <w:contextualSpacing/>
        <w:jc w:val="both"/>
        <w:rPr>
          <w:lang w:val="en-GB"/>
        </w:rPr>
      </w:pPr>
      <w:r w:rsidRPr="00AF7407">
        <w:rPr>
          <w:lang w:val="en-GB"/>
        </w:rPr>
        <w:t xml:space="preserve">Malaysia supports </w:t>
      </w:r>
      <w:r w:rsidRPr="00277D4C">
        <w:rPr>
          <w:lang w:val="en-GB"/>
        </w:rPr>
        <w:t>Method I2</w:t>
      </w:r>
      <w:r>
        <w:rPr>
          <w:lang w:val="en-GB"/>
        </w:rPr>
        <w:t xml:space="preserve"> to define a new type of agreement between notifying administrations of a national allotment and an additional system in Appendix </w:t>
      </w:r>
      <w:r w:rsidRPr="003301BC">
        <w:rPr>
          <w:b/>
          <w:bCs/>
          <w:lang w:val="en-GB"/>
        </w:rPr>
        <w:t>30B</w:t>
      </w:r>
      <w:r>
        <w:rPr>
          <w:lang w:val="en-GB"/>
        </w:rPr>
        <w:t xml:space="preserve">, that allows the additional system to cover the territory of a national allotment in Appendix </w:t>
      </w:r>
      <w:r w:rsidRPr="003301BC">
        <w:rPr>
          <w:b/>
          <w:bCs/>
          <w:lang w:val="en-GB"/>
        </w:rPr>
        <w:t>30B</w:t>
      </w:r>
      <w:r>
        <w:rPr>
          <w:lang w:val="en-GB"/>
        </w:rPr>
        <w:t xml:space="preserve"> until the bringing into use of the national allotment in Appendix </w:t>
      </w:r>
      <w:r w:rsidRPr="003301BC">
        <w:rPr>
          <w:b/>
          <w:bCs/>
          <w:lang w:val="en-GB"/>
        </w:rPr>
        <w:t>30B</w:t>
      </w:r>
      <w:r>
        <w:rPr>
          <w:lang w:val="en-GB"/>
        </w:rPr>
        <w:t xml:space="preserve">. </w:t>
      </w:r>
    </w:p>
    <w:p w14:paraId="4E787721" w14:textId="77777777" w:rsidR="007324E2" w:rsidRPr="007324E2" w:rsidRDefault="007324E2" w:rsidP="002E5B9D">
      <w:pPr>
        <w:pStyle w:val="ListParagraph"/>
        <w:numPr>
          <w:ilvl w:val="0"/>
          <w:numId w:val="0"/>
        </w:numPr>
        <w:ind w:left="720"/>
        <w:jc w:val="both"/>
        <w:rPr>
          <w:lang w:val="en-GB"/>
        </w:rPr>
      </w:pPr>
    </w:p>
    <w:p w14:paraId="7E7F1416" w14:textId="227B92C3" w:rsidR="007324E2" w:rsidRPr="00374FE5" w:rsidRDefault="007324E2" w:rsidP="002E5B9D">
      <w:pPr>
        <w:pStyle w:val="Style1"/>
        <w:spacing w:after="120"/>
        <w:rPr>
          <w:rFonts w:ascii="Times New Roman" w:hAnsi="Times New Roman" w:cs="Times New Roman"/>
          <w:color w:val="auto"/>
        </w:rPr>
      </w:pPr>
      <w:r w:rsidRPr="00A25613">
        <w:rPr>
          <w:rFonts w:ascii="Times New Roman" w:hAnsi="Times New Roman" w:cs="Times New Roman"/>
          <w:color w:val="auto"/>
        </w:rPr>
        <w:t>3.1.</w:t>
      </w:r>
      <w:r w:rsidR="00C90A6F">
        <w:rPr>
          <w:rFonts w:ascii="Times New Roman" w:hAnsi="Times New Roman" w:cs="Times New Roman"/>
          <w:color w:val="auto"/>
        </w:rPr>
        <w:t>8</w:t>
      </w:r>
      <w:r w:rsidRPr="00A25613">
        <w:rPr>
          <w:rFonts w:ascii="Times New Roman" w:hAnsi="Times New Roman" w:cs="Times New Roman"/>
          <w:color w:val="auto"/>
        </w:rPr>
        <w:t xml:space="preserve"> </w:t>
      </w:r>
      <w:r w:rsidRPr="00A25613">
        <w:rPr>
          <w:rFonts w:ascii="Times New Roman" w:hAnsi="Times New Roman" w:cs="Times New Roman"/>
          <w:color w:val="auto"/>
        </w:rPr>
        <w:tab/>
      </w:r>
      <w:r w:rsidRPr="00374FE5">
        <w:rPr>
          <w:rFonts w:ascii="Times New Roman" w:hAnsi="Times New Roman" w:cs="Times New Roman"/>
          <w:color w:val="auto"/>
        </w:rPr>
        <w:t>Vietnam (Socialist Republic of)</w:t>
      </w:r>
      <w:r w:rsidRPr="00374FE5">
        <w:t xml:space="preserve"> </w:t>
      </w:r>
      <w:r w:rsidRPr="00A25613">
        <w:rPr>
          <w:rFonts w:ascii="Times New Roman" w:hAnsi="Times New Roman" w:cs="Times New Roman"/>
          <w:color w:val="auto"/>
        </w:rPr>
        <w:t xml:space="preserve">- </w:t>
      </w:r>
      <w:r w:rsidRPr="00374FE5">
        <w:rPr>
          <w:rFonts w:ascii="Times New Roman" w:hAnsi="Times New Roman" w:cs="Times New Roman"/>
          <w:color w:val="auto"/>
        </w:rPr>
        <w:t>Document APG23-6/</w:t>
      </w:r>
      <w:hyperlink r:id="rId34" w:history="1">
        <w:r w:rsidRPr="00374FE5">
          <w:rPr>
            <w:rStyle w:val="Hyperlink"/>
            <w:rFonts w:ascii="Times New Roman" w:hAnsi="Times New Roman" w:cs="Times New Roman"/>
          </w:rPr>
          <w:t>INP-120</w:t>
        </w:r>
      </w:hyperlink>
    </w:p>
    <w:p w14:paraId="5D206667" w14:textId="77777777" w:rsidR="00E955BE" w:rsidRPr="00E955BE" w:rsidRDefault="00E955BE" w:rsidP="002E5B9D">
      <w:pPr>
        <w:pStyle w:val="ListParagraph"/>
        <w:contextualSpacing/>
        <w:jc w:val="both"/>
        <w:rPr>
          <w:i/>
        </w:rPr>
      </w:pPr>
      <w:r>
        <w:t>Vietnam supports method I2 which facilitate t</w:t>
      </w:r>
      <w:r w:rsidRPr="005D50A0">
        <w:t>o restore adequate overall aggregate carrier-to-</w:t>
      </w:r>
      <w:r w:rsidRPr="00E955BE">
        <w:rPr>
          <w:lang w:val="en-NZ"/>
        </w:rPr>
        <w:t>interference</w:t>
      </w:r>
      <w:r w:rsidRPr="005D50A0">
        <w:t xml:space="preserve"> levels without changing the orbital position of the national allotment</w:t>
      </w:r>
      <w:r>
        <w:t>.</w:t>
      </w:r>
    </w:p>
    <w:p w14:paraId="360BF16D" w14:textId="0CC42DDE" w:rsidR="00E955BE" w:rsidRPr="00E955BE" w:rsidRDefault="00E955BE" w:rsidP="002E5B9D">
      <w:pPr>
        <w:pStyle w:val="ListParagraph"/>
        <w:contextualSpacing/>
        <w:jc w:val="both"/>
        <w:rPr>
          <w:i/>
        </w:rPr>
      </w:pPr>
      <w:r w:rsidRPr="00E955BE">
        <w:rPr>
          <w:i/>
        </w:rPr>
        <w:t xml:space="preserve">Reason: To resolve the cases of some national allotments currently possess low overall aggregate carrier-to-interference levels, lower than 21 </w:t>
      </w:r>
      <w:proofErr w:type="spellStart"/>
      <w:r w:rsidRPr="00E955BE">
        <w:rPr>
          <w:i/>
        </w:rPr>
        <w:t>dB.</w:t>
      </w:r>
      <w:proofErr w:type="spellEnd"/>
    </w:p>
    <w:p w14:paraId="2AB459CA" w14:textId="77777777" w:rsidR="006442B4" w:rsidRPr="00E955BE" w:rsidRDefault="006442B4" w:rsidP="002E5B9D">
      <w:pPr>
        <w:jc w:val="both"/>
        <w:rPr>
          <w:b/>
        </w:rPr>
      </w:pPr>
    </w:p>
    <w:p w14:paraId="63E56B74" w14:textId="77777777" w:rsidR="006442B4" w:rsidRPr="00BA28B2" w:rsidRDefault="006442B4" w:rsidP="002E5B9D">
      <w:pPr>
        <w:pStyle w:val="H3"/>
      </w:pPr>
      <w:r w:rsidRPr="00FA4FD8">
        <w:t xml:space="preserve">3.2 </w:t>
      </w:r>
      <w:r w:rsidRPr="00FA4FD8">
        <w:tab/>
        <w:t xml:space="preserve">Summary of issues raised during the </w:t>
      </w:r>
      <w:proofErr w:type="gramStart"/>
      <w:r w:rsidRPr="00FA4FD8">
        <w:t>meeting</w:t>
      </w:r>
      <w:proofErr w:type="gramEnd"/>
    </w:p>
    <w:p w14:paraId="5D7D9394" w14:textId="7F873503" w:rsidR="00AD680B" w:rsidRDefault="00AD680B" w:rsidP="002E5B9D">
      <w:pPr>
        <w:pStyle w:val="ListParagraph"/>
        <w:contextualSpacing/>
        <w:jc w:val="both"/>
        <w:rPr>
          <w:lang w:val="en-NZ"/>
        </w:rPr>
      </w:pPr>
      <w:r>
        <w:t>None.</w:t>
      </w:r>
    </w:p>
    <w:p w14:paraId="75664C57" w14:textId="36A5FD49" w:rsidR="00FE1489" w:rsidRDefault="00FE1489" w:rsidP="002E5B9D">
      <w:pPr>
        <w:ind w:left="348"/>
        <w:contextualSpacing/>
        <w:jc w:val="both"/>
        <w:rPr>
          <w:lang w:val="en-NZ"/>
        </w:rPr>
      </w:pPr>
    </w:p>
    <w:p w14:paraId="18F29DB5" w14:textId="77777777" w:rsidR="00626891" w:rsidRPr="00AC5C5C" w:rsidRDefault="00626891" w:rsidP="002E5B9D">
      <w:pPr>
        <w:ind w:left="348"/>
        <w:contextualSpacing/>
        <w:jc w:val="both"/>
        <w:rPr>
          <w:lang w:val="en-NZ"/>
        </w:rPr>
      </w:pPr>
    </w:p>
    <w:p w14:paraId="708B9CD0" w14:textId="2FEE32B4" w:rsidR="00FE1489" w:rsidRPr="00AC5C5C" w:rsidRDefault="00FE1489" w:rsidP="002E5B9D">
      <w:pPr>
        <w:pStyle w:val="Style1H2"/>
      </w:pPr>
      <w:bookmarkStart w:id="3" w:name="_Hlk143164255"/>
      <w:r w:rsidRPr="00AC5C5C">
        <w:t xml:space="preserve">4. </w:t>
      </w:r>
      <w:r w:rsidRPr="00AC5C5C">
        <w:tab/>
        <w:t>APT View(s)</w:t>
      </w:r>
    </w:p>
    <w:p w14:paraId="53C8EAF2" w14:textId="3ACFB02D" w:rsidR="00277D4C" w:rsidRDefault="00277D4C" w:rsidP="002E5B9D">
      <w:pPr>
        <w:pStyle w:val="ListParagraph"/>
        <w:jc w:val="both"/>
        <w:rPr>
          <w:lang w:val="en-NZ"/>
        </w:rPr>
      </w:pPr>
      <w:bookmarkStart w:id="4" w:name="_Hlk143164247"/>
      <w:r w:rsidRPr="00576D85">
        <w:rPr>
          <w:lang w:val="en-NZ"/>
        </w:rPr>
        <w:t xml:space="preserve">The APT has considered Agenda Item 7 Topic </w:t>
      </w:r>
      <w:r>
        <w:rPr>
          <w:lang w:val="en-NZ"/>
        </w:rPr>
        <w:t>I</w:t>
      </w:r>
      <w:r w:rsidRPr="00576D85">
        <w:rPr>
          <w:lang w:val="en-NZ"/>
        </w:rPr>
        <w:t xml:space="preserve"> and drafted a Preliminary APT Common Proposal on the matter.</w:t>
      </w:r>
      <w:r w:rsidR="00DC5D69" w:rsidRPr="00DC5D69">
        <w:rPr>
          <w:lang w:val="en-NZ"/>
        </w:rPr>
        <w:t xml:space="preserve"> </w:t>
      </w:r>
      <w:r w:rsidR="00DC5D69">
        <w:rPr>
          <w:lang w:val="en-NZ"/>
        </w:rPr>
        <w:t xml:space="preserve">In addition, the APT has </w:t>
      </w:r>
      <w:r w:rsidR="00EF1798">
        <w:rPr>
          <w:lang w:val="en-NZ"/>
        </w:rPr>
        <w:t>agreed on</w:t>
      </w:r>
      <w:r w:rsidR="00DC5D69">
        <w:rPr>
          <w:lang w:val="en-NZ"/>
        </w:rPr>
        <w:t xml:space="preserve"> the following views on </w:t>
      </w:r>
      <w:r w:rsidR="00DC5D69" w:rsidRPr="00576D85">
        <w:rPr>
          <w:lang w:val="en-NZ"/>
        </w:rPr>
        <w:t xml:space="preserve">Agenda Item 7 Topic </w:t>
      </w:r>
      <w:r w:rsidR="002E5B9D">
        <w:rPr>
          <w:lang w:val="en-NZ"/>
        </w:rPr>
        <w:t>I</w:t>
      </w:r>
      <w:r w:rsidR="00DC5D69">
        <w:rPr>
          <w:lang w:val="en-NZ"/>
        </w:rPr>
        <w:t>.</w:t>
      </w:r>
    </w:p>
    <w:p w14:paraId="01B59693" w14:textId="3CD06007" w:rsidR="002D6EF4" w:rsidRPr="00693499" w:rsidRDefault="002D6EF4" w:rsidP="002E5B9D">
      <w:pPr>
        <w:pStyle w:val="ListParagraph"/>
        <w:jc w:val="both"/>
        <w:rPr>
          <w:lang w:eastAsia="zh-CN"/>
        </w:rPr>
      </w:pPr>
      <w:r w:rsidRPr="00693499">
        <w:rPr>
          <w:bCs/>
          <w:lang w:eastAsia="ko-KR"/>
        </w:rPr>
        <w:t xml:space="preserve">APT Members support Method I2 </w:t>
      </w:r>
      <w:r w:rsidRPr="00693499">
        <w:rPr>
          <w:color w:val="201F1E"/>
        </w:rPr>
        <w:t>in the CPM Report</w:t>
      </w:r>
      <w:r w:rsidRPr="00693499">
        <w:rPr>
          <w:bCs/>
          <w:lang w:eastAsia="ko-KR"/>
        </w:rPr>
        <w:t xml:space="preserve"> to address this topic.</w:t>
      </w:r>
    </w:p>
    <w:bookmarkEnd w:id="3"/>
    <w:bookmarkEnd w:id="4"/>
    <w:p w14:paraId="20031779" w14:textId="2E98F2EF" w:rsidR="002D3856" w:rsidRDefault="002D3856" w:rsidP="002E5B9D">
      <w:pPr>
        <w:pStyle w:val="ListParagraph"/>
        <w:numPr>
          <w:ilvl w:val="0"/>
          <w:numId w:val="0"/>
        </w:numPr>
        <w:ind w:left="720"/>
        <w:jc w:val="both"/>
        <w:rPr>
          <w:color w:val="201F1E"/>
        </w:rPr>
      </w:pPr>
    </w:p>
    <w:p w14:paraId="3CAC8DEC" w14:textId="77777777" w:rsidR="00626891" w:rsidRPr="00AC5C5C" w:rsidRDefault="00626891" w:rsidP="002E5B9D">
      <w:pPr>
        <w:pStyle w:val="ListParagraph"/>
        <w:numPr>
          <w:ilvl w:val="0"/>
          <w:numId w:val="0"/>
        </w:numPr>
        <w:ind w:left="720"/>
        <w:jc w:val="both"/>
        <w:rPr>
          <w:color w:val="201F1E"/>
        </w:rPr>
      </w:pPr>
    </w:p>
    <w:p w14:paraId="093283E2" w14:textId="77777777" w:rsidR="0085798D" w:rsidRDefault="0085798D" w:rsidP="002E5B9D">
      <w:pPr>
        <w:pStyle w:val="Style1H2"/>
        <w:rPr>
          <w:b w:val="0"/>
        </w:rPr>
      </w:pPr>
      <w:r>
        <w:lastRenderedPageBreak/>
        <w:t xml:space="preserve">5. </w:t>
      </w:r>
      <w:r>
        <w:tab/>
        <w:t>Preliminary APT Common Proposal</w:t>
      </w:r>
    </w:p>
    <w:bookmarkStart w:id="5" w:name="_MON_1753777571"/>
    <w:bookmarkEnd w:id="5"/>
    <w:p w14:paraId="0D92AFFF" w14:textId="37175C1F" w:rsidR="00277D4C" w:rsidRDefault="00EE129A" w:rsidP="002E5B9D">
      <w:pPr>
        <w:pStyle w:val="ListParagraph"/>
        <w:numPr>
          <w:ilvl w:val="0"/>
          <w:numId w:val="0"/>
        </w:numPr>
        <w:ind w:left="720"/>
        <w:contextualSpacing/>
        <w:jc w:val="both"/>
        <w:rPr>
          <w:lang w:val="en-NZ"/>
        </w:rPr>
      </w:pPr>
      <w:r>
        <w:rPr>
          <w:lang w:val="en-NZ"/>
        </w:rPr>
        <w:object w:dxaOrig="1534" w:dyaOrig="991" w14:anchorId="1635E8EE">
          <v:shape id="_x0000_i1027" type="#_x0000_t75" style="width:76.55pt;height:49.5pt" o:ole="">
            <v:imagedata r:id="rId35" o:title=""/>
          </v:shape>
          <o:OLEObject Type="Embed" ProgID="Word.Document.12" ShapeID="_x0000_i1027" DrawAspect="Icon" ObjectID="_1753910729" r:id="rId36">
            <o:FieldCodes>\s</o:FieldCodes>
          </o:OLEObject>
        </w:object>
      </w:r>
    </w:p>
    <w:p w14:paraId="0F591BEC" w14:textId="77777777" w:rsidR="00277D4C" w:rsidRPr="0085798D" w:rsidRDefault="00277D4C" w:rsidP="002E5B9D">
      <w:pPr>
        <w:pStyle w:val="ListParagraph"/>
        <w:numPr>
          <w:ilvl w:val="0"/>
          <w:numId w:val="0"/>
        </w:numPr>
        <w:ind w:left="720"/>
        <w:contextualSpacing/>
        <w:jc w:val="both"/>
        <w:rPr>
          <w:lang w:val="en-NZ"/>
        </w:rPr>
      </w:pPr>
    </w:p>
    <w:p w14:paraId="19FF1279" w14:textId="77777777" w:rsidR="0085798D" w:rsidRPr="00BA28B2" w:rsidRDefault="0085798D" w:rsidP="002E5B9D">
      <w:pPr>
        <w:pStyle w:val="Style1H2"/>
      </w:pPr>
      <w:r w:rsidRPr="00FA4FD8">
        <w:t xml:space="preserve">6. </w:t>
      </w:r>
      <w:r w:rsidRPr="00FA4FD8">
        <w:tab/>
        <w:t xml:space="preserve">Issues for Consideration </w:t>
      </w:r>
      <w:r w:rsidRPr="0085798D">
        <w:t>at APG Coordination Meeting at WRC-23 (if any)</w:t>
      </w:r>
    </w:p>
    <w:p w14:paraId="1E16E404" w14:textId="588CCD5A" w:rsidR="006C40AC" w:rsidRPr="00277D4C" w:rsidRDefault="006C40AC" w:rsidP="002E5B9D">
      <w:pPr>
        <w:pStyle w:val="ListParagraph"/>
        <w:contextualSpacing/>
        <w:jc w:val="both"/>
        <w:rPr>
          <w:lang w:val="en-NZ"/>
        </w:rPr>
      </w:pPr>
      <w:r>
        <w:t>None.</w:t>
      </w:r>
    </w:p>
    <w:p w14:paraId="2CAEDA2D" w14:textId="179DBAB4" w:rsidR="00277D4C" w:rsidRDefault="00277D4C" w:rsidP="002E5B9D">
      <w:pPr>
        <w:pStyle w:val="ListParagraph"/>
        <w:numPr>
          <w:ilvl w:val="0"/>
          <w:numId w:val="0"/>
        </w:numPr>
        <w:ind w:left="720"/>
        <w:contextualSpacing/>
        <w:jc w:val="both"/>
      </w:pPr>
    </w:p>
    <w:p w14:paraId="19103F78" w14:textId="77777777" w:rsidR="00277D4C" w:rsidRDefault="00277D4C" w:rsidP="002E5B9D">
      <w:pPr>
        <w:pStyle w:val="ListParagraph"/>
        <w:numPr>
          <w:ilvl w:val="0"/>
          <w:numId w:val="0"/>
        </w:numPr>
        <w:ind w:left="720"/>
        <w:contextualSpacing/>
        <w:jc w:val="both"/>
        <w:rPr>
          <w:lang w:val="en-NZ"/>
        </w:rPr>
      </w:pPr>
    </w:p>
    <w:p w14:paraId="745D160B" w14:textId="7F113BC3" w:rsidR="00FE1489" w:rsidRPr="00BA28B2" w:rsidRDefault="00FE1489" w:rsidP="002E5B9D">
      <w:pPr>
        <w:pStyle w:val="Style1H2"/>
      </w:pPr>
      <w:r w:rsidRPr="00BA28B2">
        <w:t xml:space="preserve">7. </w:t>
      </w:r>
      <w:r w:rsidRPr="00BA28B2">
        <w:tab/>
        <w:t xml:space="preserve">Views from Other Organisations </w:t>
      </w:r>
    </w:p>
    <w:p w14:paraId="3223A553" w14:textId="77777777" w:rsidR="00FE1489" w:rsidRPr="00BA28B2" w:rsidRDefault="00FE1489" w:rsidP="002E5B9D">
      <w:pPr>
        <w:pStyle w:val="H3"/>
      </w:pPr>
      <w:r w:rsidRPr="00BA28B2">
        <w:t xml:space="preserve">7.1 </w:t>
      </w:r>
      <w:r w:rsidRPr="00BA28B2">
        <w:tab/>
        <w:t>Regional Groups</w:t>
      </w:r>
    </w:p>
    <w:p w14:paraId="3743A293" w14:textId="77777777" w:rsidR="00606D39" w:rsidRPr="00BA28B2" w:rsidRDefault="00606D39" w:rsidP="002E5B9D">
      <w:pPr>
        <w:pStyle w:val="H3"/>
      </w:pPr>
      <w:r w:rsidRPr="00BA28B2">
        <w:t>7.1.1</w:t>
      </w:r>
      <w:r w:rsidRPr="00BA28B2">
        <w:tab/>
        <w:t>ASMG – Document WRC-23-IRW-22/</w:t>
      </w:r>
      <w:hyperlink r:id="rId37" w:history="1">
        <w:r w:rsidRPr="00606D39">
          <w:rPr>
            <w:rStyle w:val="Hyperlink"/>
          </w:rPr>
          <w:t>5</w:t>
        </w:r>
      </w:hyperlink>
      <w:r w:rsidRPr="00BA28B2">
        <w:t xml:space="preserve"> (</w:t>
      </w:r>
      <w:r w:rsidRPr="00A46049">
        <w:t>as</w:t>
      </w:r>
      <w:r w:rsidRPr="00BA28B2">
        <w:t xml:space="preserve"> of December 2022) </w:t>
      </w:r>
    </w:p>
    <w:p w14:paraId="04EFA5A6" w14:textId="22D7F67A" w:rsidR="005A1F0C" w:rsidRPr="00BA28B2" w:rsidRDefault="007933D0" w:rsidP="002E5B9D">
      <w:pPr>
        <w:pStyle w:val="ListParagraph"/>
        <w:jc w:val="both"/>
        <w:rPr>
          <w:lang w:eastAsia="zh-CN"/>
        </w:rPr>
      </w:pPr>
      <w:r w:rsidRPr="00BA28B2">
        <w:rPr>
          <w:lang w:eastAsia="zh-CN"/>
        </w:rPr>
        <w:t xml:space="preserve">Follow-up to studies related to this item to consider the possibility of applying additional measures to national allotments subject to agreements under § 15.16 of Appendix </w:t>
      </w:r>
      <w:r w:rsidRPr="00BA28B2">
        <w:rPr>
          <w:b/>
          <w:bCs/>
          <w:lang w:eastAsia="zh-CN"/>
        </w:rPr>
        <w:t>30B</w:t>
      </w:r>
      <w:r w:rsidRPr="00BA28B2">
        <w:rPr>
          <w:lang w:eastAsia="zh-CN"/>
        </w:rPr>
        <w:t xml:space="preserve"> to restore the appropriate overall aggregate carrier-to-interference without altering the orbital position of the national allotments.</w:t>
      </w:r>
    </w:p>
    <w:p w14:paraId="0360D652" w14:textId="77777777" w:rsidR="007933D0" w:rsidRPr="00BA28B2" w:rsidRDefault="007933D0" w:rsidP="002E5B9D">
      <w:pPr>
        <w:pStyle w:val="ListParagraph"/>
        <w:numPr>
          <w:ilvl w:val="0"/>
          <w:numId w:val="0"/>
        </w:numPr>
        <w:ind w:left="720"/>
        <w:jc w:val="both"/>
        <w:rPr>
          <w:lang w:eastAsia="zh-CN"/>
        </w:rPr>
      </w:pPr>
    </w:p>
    <w:p w14:paraId="391D294E" w14:textId="2121BA8B" w:rsidR="005A033B" w:rsidRPr="00BA28B2" w:rsidRDefault="00100B64" w:rsidP="002E5B9D">
      <w:pPr>
        <w:pStyle w:val="H3"/>
      </w:pPr>
      <w:r w:rsidRPr="00BA28B2">
        <w:t>7.1</w:t>
      </w:r>
      <w:r w:rsidR="005A033B" w:rsidRPr="00BA28B2">
        <w:t>.2</w:t>
      </w:r>
      <w:r w:rsidR="005A033B" w:rsidRPr="00BA28B2">
        <w:tab/>
        <w:t>ATU – Document WRC-23-</w:t>
      </w:r>
      <w:r w:rsidR="0029250D" w:rsidRPr="0029250D">
        <w:t xml:space="preserve"> </w:t>
      </w:r>
      <w:r w:rsidR="0029250D" w:rsidRPr="00BA28B2">
        <w:t>IRW-22/</w:t>
      </w:r>
      <w:hyperlink r:id="rId38" w:history="1">
        <w:r w:rsidR="0029250D" w:rsidRPr="0029250D">
          <w:rPr>
            <w:rStyle w:val="Hyperlink"/>
          </w:rPr>
          <w:t>2</w:t>
        </w:r>
      </w:hyperlink>
      <w:r w:rsidR="0029250D" w:rsidRPr="00BA28B2">
        <w:t xml:space="preserve"> (as of December 2022)</w:t>
      </w:r>
    </w:p>
    <w:p w14:paraId="2EC667FC" w14:textId="77777777" w:rsidR="005A033B" w:rsidRPr="00BA28B2" w:rsidRDefault="005A033B" w:rsidP="002E5B9D">
      <w:pPr>
        <w:pStyle w:val="ListParagraph"/>
        <w:jc w:val="both"/>
        <w:rPr>
          <w:lang w:eastAsia="zh-CN"/>
        </w:rPr>
      </w:pPr>
      <w:r w:rsidRPr="00BA28B2">
        <w:rPr>
          <w:lang w:eastAsia="zh-CN"/>
        </w:rPr>
        <w:t>Support the development of specific measures/regulatory text to restore adequate overall aggregate carrier-to-interference levels without changing the orbital position of the national allotment.</w:t>
      </w:r>
    </w:p>
    <w:p w14:paraId="0C8FEF70" w14:textId="77777777" w:rsidR="005A033B" w:rsidRPr="00BA28B2" w:rsidRDefault="005A033B" w:rsidP="002E5B9D">
      <w:pPr>
        <w:pStyle w:val="ListParagraph"/>
        <w:jc w:val="both"/>
        <w:rPr>
          <w:lang w:eastAsia="zh-CN"/>
        </w:rPr>
      </w:pPr>
      <w:r w:rsidRPr="00BA28B2">
        <w:rPr>
          <w:lang w:eastAsia="zh-CN"/>
        </w:rPr>
        <w:t xml:space="preserve">Support the development of a new WRC Resolution allowing national allotment, subject to agreements under § 6.15 of RR Appendix </w:t>
      </w:r>
      <w:r w:rsidRPr="00BA28B2">
        <w:rPr>
          <w:b/>
          <w:bCs/>
          <w:lang w:eastAsia="zh-CN"/>
        </w:rPr>
        <w:t>30B</w:t>
      </w:r>
      <w:r w:rsidRPr="00BA28B2">
        <w:rPr>
          <w:lang w:eastAsia="zh-CN"/>
        </w:rPr>
        <w:t>, according to the proposal submitted to WP 4A in document 4A/</w:t>
      </w:r>
      <w:proofErr w:type="gramStart"/>
      <w:r w:rsidRPr="00BA28B2">
        <w:rPr>
          <w:lang w:eastAsia="zh-CN"/>
        </w:rPr>
        <w:t>641</w:t>
      </w:r>
      <w:proofErr w:type="gramEnd"/>
    </w:p>
    <w:p w14:paraId="08E15AB5" w14:textId="77777777" w:rsidR="005A033B" w:rsidRPr="00BA28B2" w:rsidRDefault="005A033B" w:rsidP="002E5B9D">
      <w:pPr>
        <w:pStyle w:val="ListParagraph"/>
        <w:jc w:val="both"/>
        <w:rPr>
          <w:lang w:eastAsia="zh-CN"/>
        </w:rPr>
      </w:pPr>
      <w:r w:rsidRPr="00BA28B2">
        <w:rPr>
          <w:lang w:eastAsia="zh-CN"/>
        </w:rPr>
        <w:t>Support Method I2</w:t>
      </w:r>
    </w:p>
    <w:p w14:paraId="48617C03" w14:textId="77777777" w:rsidR="005A033B" w:rsidRPr="00BA28B2" w:rsidRDefault="005A033B" w:rsidP="002E5B9D">
      <w:pPr>
        <w:pStyle w:val="ListParagraph"/>
        <w:jc w:val="both"/>
        <w:rPr>
          <w:lang w:eastAsia="zh-CN"/>
        </w:rPr>
      </w:pPr>
      <w:r w:rsidRPr="00BA28B2">
        <w:rPr>
          <w:lang w:eastAsia="zh-CN"/>
        </w:rPr>
        <w:t>Mandate WG4B to prepare the common African contribution proposing CPM text of the Topic to the next Working Party 4A. </w:t>
      </w:r>
    </w:p>
    <w:p w14:paraId="5EDF6A03" w14:textId="77777777" w:rsidR="005A033B" w:rsidRPr="00BA28B2" w:rsidRDefault="005A033B" w:rsidP="002E5B9D">
      <w:pPr>
        <w:jc w:val="both"/>
        <w:rPr>
          <w:lang w:val="en-NZ"/>
        </w:rPr>
      </w:pPr>
    </w:p>
    <w:p w14:paraId="4F2BD9A3" w14:textId="77777777" w:rsidR="00832B66" w:rsidRPr="00BA28B2" w:rsidRDefault="00832B66" w:rsidP="002E5B9D">
      <w:pPr>
        <w:pStyle w:val="H3"/>
      </w:pPr>
      <w:r w:rsidRPr="00BA28B2">
        <w:t>7.1.3</w:t>
      </w:r>
      <w:r w:rsidRPr="00BA28B2">
        <w:tab/>
        <w:t xml:space="preserve">CEPT – Document </w:t>
      </w:r>
      <w:r>
        <w:t>APG23-6/</w:t>
      </w:r>
      <w:hyperlink r:id="rId39" w:history="1">
        <w:r w:rsidRPr="00F75EA5">
          <w:rPr>
            <w:rStyle w:val="Hyperlink"/>
          </w:rPr>
          <w:t>INF-46</w:t>
        </w:r>
      </w:hyperlink>
    </w:p>
    <w:p w14:paraId="7FE8F6FA" w14:textId="77777777" w:rsidR="00764C3B" w:rsidRPr="002D6EF4" w:rsidRDefault="00764C3B" w:rsidP="002E5B9D">
      <w:pPr>
        <w:pStyle w:val="ListParagraph"/>
        <w:jc w:val="both"/>
        <w:rPr>
          <w:lang w:eastAsia="zh-CN"/>
        </w:rPr>
      </w:pPr>
      <w:r w:rsidRPr="002D6EF4">
        <w:rPr>
          <w:lang w:eastAsia="zh-CN"/>
        </w:rPr>
        <w:t xml:space="preserve">CEPT supports a regulatory solution based on a specific agreement, on a voluntary basis, allowing an administration suffering from low reference protection margin for its national allotment in Appendix </w:t>
      </w:r>
      <w:r w:rsidRPr="002D6EF4">
        <w:rPr>
          <w:b/>
          <w:bCs/>
          <w:lang w:eastAsia="zh-CN"/>
        </w:rPr>
        <w:t>30B</w:t>
      </w:r>
      <w:r w:rsidRPr="002D6EF4">
        <w:rPr>
          <w:lang w:eastAsia="zh-CN"/>
        </w:rPr>
        <w:t xml:space="preserve"> due to agreements under § 6.15 to retrieve adequate reference protection margin.</w:t>
      </w:r>
    </w:p>
    <w:p w14:paraId="2757DE04" w14:textId="77777777" w:rsidR="00764C3B" w:rsidRPr="002D6EF4" w:rsidRDefault="00764C3B" w:rsidP="002E5B9D">
      <w:pPr>
        <w:pStyle w:val="ListParagraph"/>
        <w:jc w:val="both"/>
        <w:rPr>
          <w:lang w:eastAsia="zh-CN"/>
        </w:rPr>
      </w:pPr>
      <w:r w:rsidRPr="002D6EF4">
        <w:rPr>
          <w:lang w:eastAsia="zh-CN"/>
        </w:rPr>
        <w:t xml:space="preserve">CEPT supports the possibility to sign a specific agreement between an additional system and a national allotment in Appendix </w:t>
      </w:r>
      <w:r w:rsidRPr="002D6EF4">
        <w:rPr>
          <w:b/>
          <w:bCs/>
          <w:lang w:eastAsia="zh-CN"/>
        </w:rPr>
        <w:t>30B</w:t>
      </w:r>
      <w:r w:rsidRPr="002D6EF4">
        <w:rPr>
          <w:lang w:eastAsia="zh-CN"/>
        </w:rPr>
        <w:t xml:space="preserve"> permitting the additional system to cover the territory of the national allotment in Appendix </w:t>
      </w:r>
      <w:r w:rsidRPr="002D6EF4">
        <w:rPr>
          <w:b/>
          <w:bCs/>
          <w:lang w:eastAsia="zh-CN"/>
        </w:rPr>
        <w:t>30B</w:t>
      </w:r>
      <w:r w:rsidRPr="002D6EF4">
        <w:rPr>
          <w:lang w:eastAsia="zh-CN"/>
        </w:rPr>
        <w:t xml:space="preserve"> until the bringing into use of this national allotment in Appendix </w:t>
      </w:r>
      <w:r w:rsidRPr="002D6EF4">
        <w:rPr>
          <w:b/>
          <w:bCs/>
          <w:lang w:eastAsia="zh-CN"/>
        </w:rPr>
        <w:t>30B</w:t>
      </w:r>
      <w:r w:rsidRPr="002D6EF4">
        <w:rPr>
          <w:lang w:eastAsia="zh-CN"/>
        </w:rPr>
        <w:t>.</w:t>
      </w:r>
    </w:p>
    <w:p w14:paraId="70ED0968" w14:textId="77777777" w:rsidR="00764C3B" w:rsidRPr="002D6EF4" w:rsidRDefault="00764C3B" w:rsidP="002E5B9D">
      <w:pPr>
        <w:pStyle w:val="ListParagraph"/>
        <w:jc w:val="both"/>
        <w:rPr>
          <w:lang w:eastAsia="zh-CN"/>
        </w:rPr>
      </w:pPr>
      <w:r w:rsidRPr="002D6EF4">
        <w:rPr>
          <w:lang w:eastAsia="zh-CN"/>
        </w:rPr>
        <w:t>CEPT supports the adaptation of the additional system operations to not create harmful interference and to fully protect the operations of the national allotment with which the specific agreement was signed.</w:t>
      </w:r>
    </w:p>
    <w:p w14:paraId="73FCF25B" w14:textId="5C224CCF" w:rsidR="00AC5C5C" w:rsidRDefault="00764C3B" w:rsidP="002E5B9D">
      <w:pPr>
        <w:pStyle w:val="ListParagraph"/>
        <w:jc w:val="both"/>
        <w:rPr>
          <w:lang w:eastAsia="zh-CN"/>
        </w:rPr>
      </w:pPr>
      <w:r w:rsidRPr="002D6EF4">
        <w:rPr>
          <w:lang w:eastAsia="zh-CN"/>
        </w:rPr>
        <w:lastRenderedPageBreak/>
        <w:t xml:space="preserve">CEPT encourages administrations for which § 6.15 of Appendix </w:t>
      </w:r>
      <w:r w:rsidRPr="002D6EF4">
        <w:rPr>
          <w:b/>
          <w:bCs/>
          <w:lang w:eastAsia="zh-CN"/>
        </w:rPr>
        <w:t>30B</w:t>
      </w:r>
      <w:r w:rsidRPr="002D6EF4">
        <w:rPr>
          <w:lang w:eastAsia="zh-CN"/>
        </w:rPr>
        <w:t xml:space="preserve"> has been applied with respect to a national allotment, to cooperate and consider signing such a specific agreement.</w:t>
      </w:r>
    </w:p>
    <w:p w14:paraId="2AE98FF2" w14:textId="77777777" w:rsidR="002D6EF4" w:rsidRPr="00BA28B2" w:rsidRDefault="002D6EF4" w:rsidP="002E5B9D">
      <w:pPr>
        <w:pStyle w:val="ListParagraph"/>
        <w:numPr>
          <w:ilvl w:val="0"/>
          <w:numId w:val="0"/>
        </w:numPr>
        <w:ind w:left="720"/>
        <w:jc w:val="both"/>
        <w:rPr>
          <w:lang w:eastAsia="zh-CN"/>
        </w:rPr>
      </w:pPr>
    </w:p>
    <w:p w14:paraId="7FBA09DD" w14:textId="77777777" w:rsidR="00832B66" w:rsidRPr="00BA28B2" w:rsidRDefault="00832B66" w:rsidP="002E5B9D">
      <w:pPr>
        <w:pStyle w:val="H3"/>
      </w:pPr>
      <w:r w:rsidRPr="00BA28B2">
        <w:t>7.1.4</w:t>
      </w:r>
      <w:r w:rsidRPr="00BA28B2">
        <w:tab/>
        <w:t>CITEL – Document</w:t>
      </w:r>
      <w:r w:rsidRPr="00832B66">
        <w:t xml:space="preserve"> </w:t>
      </w:r>
      <w:r>
        <w:t>APG23-6/</w:t>
      </w:r>
      <w:hyperlink r:id="rId40" w:history="1">
        <w:r w:rsidRPr="00F75EA5">
          <w:rPr>
            <w:rStyle w:val="Hyperlink"/>
          </w:rPr>
          <w:t>INF-52</w:t>
        </w:r>
      </w:hyperlink>
    </w:p>
    <w:p w14:paraId="7E02E7D3" w14:textId="77777777" w:rsidR="00F75EA5" w:rsidRPr="002D6EF4" w:rsidRDefault="00F75EA5" w:rsidP="002E5B9D">
      <w:pPr>
        <w:ind w:left="720"/>
        <w:jc w:val="both"/>
        <w:rPr>
          <w:b/>
          <w:bCs/>
          <w:lang w:eastAsia="zh-CN"/>
        </w:rPr>
      </w:pPr>
      <w:r w:rsidRPr="002D6EF4">
        <w:rPr>
          <w:b/>
          <w:bCs/>
          <w:lang w:eastAsia="zh-CN"/>
        </w:rPr>
        <w:t xml:space="preserve">Draft Inter-American Proposal (DIAP) </w:t>
      </w:r>
    </w:p>
    <w:p w14:paraId="1C5F0629" w14:textId="55CEEA64" w:rsidR="00F75EA5" w:rsidRPr="002D6EF4" w:rsidRDefault="00F75EA5" w:rsidP="002E5B9D">
      <w:pPr>
        <w:pStyle w:val="ListParagraph"/>
        <w:numPr>
          <w:ilvl w:val="0"/>
          <w:numId w:val="0"/>
        </w:numPr>
        <w:spacing w:before="120"/>
        <w:ind w:left="720"/>
        <w:jc w:val="both"/>
        <w:rPr>
          <w:lang w:eastAsia="zh-CN"/>
        </w:rPr>
      </w:pPr>
      <w:r w:rsidRPr="002D6EF4">
        <w:t>Some</w:t>
      </w:r>
      <w:r w:rsidRPr="002D6EF4">
        <w:rPr>
          <w:lang w:eastAsia="zh-CN"/>
        </w:rPr>
        <w:t xml:space="preserve"> Administrations supports:</w:t>
      </w:r>
    </w:p>
    <w:p w14:paraId="45AC662D" w14:textId="77777777" w:rsidR="002D6EF4" w:rsidRPr="002D6EF4" w:rsidRDefault="00F75EA5" w:rsidP="002E5B9D">
      <w:pPr>
        <w:pStyle w:val="ListParagraph"/>
        <w:jc w:val="both"/>
        <w:rPr>
          <w:lang w:eastAsia="zh-CN"/>
        </w:rPr>
      </w:pPr>
      <w:r w:rsidRPr="002D6EF4">
        <w:rPr>
          <w:lang w:eastAsia="zh-CN"/>
        </w:rPr>
        <w:t>Introducing a new type of agreement between a notifying administration of a national allotment and of an</w:t>
      </w:r>
      <w:r w:rsidR="002D6EF4">
        <w:rPr>
          <w:lang w:eastAsia="zh-CN"/>
        </w:rPr>
        <w:t xml:space="preserve"> </w:t>
      </w:r>
      <w:r w:rsidRPr="002D6EF4">
        <w:rPr>
          <w:lang w:eastAsia="zh-CN"/>
        </w:rPr>
        <w:t>assignment, respectively. Pursuant to that agreement, the national allotment administration allows the</w:t>
      </w:r>
      <w:r w:rsidR="002D6EF4" w:rsidRPr="002D6EF4">
        <w:rPr>
          <w:lang w:eastAsia="zh-CN"/>
        </w:rPr>
        <w:t xml:space="preserve"> </w:t>
      </w:r>
      <w:r w:rsidRPr="002D6EF4">
        <w:rPr>
          <w:lang w:eastAsia="zh-CN"/>
        </w:rPr>
        <w:t xml:space="preserve">assignment to function </w:t>
      </w:r>
      <w:r w:rsidRPr="002D6EF4">
        <w:t>until</w:t>
      </w:r>
      <w:r w:rsidRPr="002D6EF4">
        <w:rPr>
          <w:lang w:eastAsia="zh-CN"/>
        </w:rPr>
        <w:t xml:space="preserve"> the commissioning of its national allotment. At that time, the administration of the</w:t>
      </w:r>
      <w:r w:rsidR="002D6EF4" w:rsidRPr="002D6EF4">
        <w:rPr>
          <w:lang w:eastAsia="zh-CN"/>
        </w:rPr>
        <w:t xml:space="preserve"> </w:t>
      </w:r>
      <w:r w:rsidRPr="002D6EF4">
        <w:rPr>
          <w:lang w:eastAsia="zh-CN"/>
        </w:rPr>
        <w:t xml:space="preserve">assignment undertakes to respect the </w:t>
      </w:r>
      <w:proofErr w:type="spellStart"/>
      <w:r w:rsidRPr="002D6EF4">
        <w:rPr>
          <w:lang w:eastAsia="zh-CN"/>
        </w:rPr>
        <w:t>pfd</w:t>
      </w:r>
      <w:proofErr w:type="spellEnd"/>
      <w:r w:rsidRPr="002D6EF4">
        <w:rPr>
          <w:lang w:eastAsia="zh-CN"/>
        </w:rPr>
        <w:t xml:space="preserve"> levels of section 2.2 of Annex 4 in the territory of the national</w:t>
      </w:r>
      <w:r w:rsidR="002D6EF4" w:rsidRPr="002D6EF4">
        <w:rPr>
          <w:lang w:eastAsia="zh-CN"/>
        </w:rPr>
        <w:t xml:space="preserve"> </w:t>
      </w:r>
      <w:r w:rsidRPr="002D6EF4">
        <w:rPr>
          <w:lang w:eastAsia="zh-CN"/>
        </w:rPr>
        <w:t>assignment.</w:t>
      </w:r>
    </w:p>
    <w:p w14:paraId="5BDD3302" w14:textId="5F59FAF9" w:rsidR="000A7305" w:rsidRPr="002D6EF4" w:rsidRDefault="00F75EA5" w:rsidP="002E5B9D">
      <w:pPr>
        <w:pStyle w:val="ListParagraph"/>
        <w:jc w:val="both"/>
        <w:rPr>
          <w:lang w:eastAsia="zh-CN"/>
        </w:rPr>
      </w:pPr>
      <w:r w:rsidRPr="002D6EF4">
        <w:rPr>
          <w:lang w:eastAsia="zh-CN"/>
        </w:rPr>
        <w:t>Adding a new Resolution [7(I)-SPECIAL-AGREEMENT] allowing the notifying administration of a national</w:t>
      </w:r>
      <w:r w:rsidR="002D6EF4" w:rsidRPr="002D6EF4">
        <w:rPr>
          <w:lang w:eastAsia="zh-CN"/>
        </w:rPr>
        <w:t xml:space="preserve"> </w:t>
      </w:r>
      <w:r w:rsidRPr="002D6EF4">
        <w:rPr>
          <w:lang w:eastAsia="zh-CN"/>
        </w:rPr>
        <w:t>allotment to sign the new type of agreement referred to above, to request the BR to update the reference</w:t>
      </w:r>
      <w:r w:rsidR="002D6EF4" w:rsidRPr="002D6EF4">
        <w:rPr>
          <w:lang w:eastAsia="zh-CN"/>
        </w:rPr>
        <w:t xml:space="preserve"> </w:t>
      </w:r>
      <w:r w:rsidRPr="002D6EF4">
        <w:rPr>
          <w:lang w:eastAsia="zh-CN"/>
        </w:rPr>
        <w:t xml:space="preserve">situation without reviewing the previous examinations and to request the notifying </w:t>
      </w:r>
      <w:r w:rsidRPr="002D6EF4">
        <w:t>administrations</w:t>
      </w:r>
      <w:r w:rsidRPr="002D6EF4">
        <w:rPr>
          <w:lang w:eastAsia="zh-CN"/>
        </w:rPr>
        <w:t xml:space="preserve"> for which the</w:t>
      </w:r>
      <w:r w:rsidR="002D6EF4" w:rsidRPr="002D6EF4">
        <w:rPr>
          <w:lang w:eastAsia="zh-CN"/>
        </w:rPr>
        <w:t xml:space="preserve"> </w:t>
      </w:r>
      <w:r w:rsidRPr="002D6EF4">
        <w:rPr>
          <w:lang w:eastAsia="zh-CN"/>
        </w:rPr>
        <w:t>procedures of Article 6 of RR Appendix 30B have not yet been completed and which have been examined by</w:t>
      </w:r>
      <w:r w:rsidR="002D6EF4" w:rsidRPr="002D6EF4">
        <w:rPr>
          <w:lang w:eastAsia="zh-CN"/>
        </w:rPr>
        <w:t xml:space="preserve"> </w:t>
      </w:r>
      <w:r w:rsidRPr="002D6EF4">
        <w:rPr>
          <w:lang w:eastAsia="zh-CN"/>
        </w:rPr>
        <w:t>the BR before the signature of such agreement to make their utmost efforts to take into account the new</w:t>
      </w:r>
      <w:r w:rsidR="002D6EF4" w:rsidRPr="002D6EF4">
        <w:rPr>
          <w:lang w:eastAsia="zh-CN"/>
        </w:rPr>
        <w:t xml:space="preserve"> </w:t>
      </w:r>
      <w:r w:rsidRPr="002D6EF4">
        <w:rPr>
          <w:lang w:eastAsia="zh-CN"/>
        </w:rPr>
        <w:t>reference situation of this national allotment, based on Method I2 of the CPM report for Topic I.</w:t>
      </w:r>
    </w:p>
    <w:p w14:paraId="19FE06B7" w14:textId="77777777" w:rsidR="002D6EF4" w:rsidRPr="00BA28B2" w:rsidRDefault="002D6EF4" w:rsidP="002E5B9D">
      <w:pPr>
        <w:pStyle w:val="ListParagraph"/>
        <w:numPr>
          <w:ilvl w:val="0"/>
          <w:numId w:val="0"/>
        </w:numPr>
        <w:ind w:left="720"/>
        <w:jc w:val="both"/>
        <w:rPr>
          <w:lang w:eastAsia="zh-CN"/>
        </w:rPr>
      </w:pPr>
    </w:p>
    <w:p w14:paraId="42E0B837" w14:textId="77777777" w:rsidR="00832B66" w:rsidRPr="00BA28B2" w:rsidRDefault="00832B66" w:rsidP="002E5B9D">
      <w:pPr>
        <w:pStyle w:val="H3"/>
      </w:pPr>
      <w:r w:rsidRPr="00BA28B2">
        <w:t>7.1.5</w:t>
      </w:r>
      <w:r w:rsidRPr="00BA28B2">
        <w:tab/>
        <w:t xml:space="preserve">RCC – Document </w:t>
      </w:r>
      <w:r>
        <w:t>APG23-6/</w:t>
      </w:r>
      <w:hyperlink r:id="rId41" w:history="1">
        <w:r w:rsidRPr="00F75EA5">
          <w:rPr>
            <w:rStyle w:val="Hyperlink"/>
          </w:rPr>
          <w:t>IN</w:t>
        </w:r>
        <w:r>
          <w:rPr>
            <w:rStyle w:val="Hyperlink"/>
          </w:rPr>
          <w:t>F</w:t>
        </w:r>
        <w:r w:rsidRPr="00F75EA5">
          <w:rPr>
            <w:rStyle w:val="Hyperlink"/>
          </w:rPr>
          <w:t>-45</w:t>
        </w:r>
      </w:hyperlink>
    </w:p>
    <w:p w14:paraId="6791900A" w14:textId="77777777" w:rsidR="002D6EF4" w:rsidRDefault="00764C3B" w:rsidP="002E5B9D">
      <w:pPr>
        <w:pStyle w:val="ListParagraph"/>
        <w:jc w:val="both"/>
        <w:rPr>
          <w:lang w:eastAsia="zh-CN"/>
        </w:rPr>
      </w:pPr>
      <w:r w:rsidRPr="002D6EF4">
        <w:rPr>
          <w:lang w:eastAsia="zh-CN"/>
        </w:rPr>
        <w:t xml:space="preserve">No objection to </w:t>
      </w:r>
      <w:proofErr w:type="gramStart"/>
      <w:r w:rsidRPr="002D6EF4">
        <w:rPr>
          <w:lang w:eastAsia="zh-CN"/>
        </w:rPr>
        <w:t>develop</w:t>
      </w:r>
      <w:proofErr w:type="gramEnd"/>
      <w:r w:rsidRPr="002D6EF4">
        <w:rPr>
          <w:lang w:eastAsia="zh-CN"/>
        </w:rPr>
        <w:t xml:space="preserve"> regulatory provisions to RR Appendix 30B, allowing administrations to conclude special agreements in accordance with § 6.5 of RR Appendix 30B, with respect to their allotments in the Plan. Special agreement should remain in force until the national allotment is brought into use, whereby the administration of the proposed assignment undertakes to comply with Section 2.2 of Annex 4 of RR Appendix 30B on </w:t>
      </w:r>
      <w:proofErr w:type="spellStart"/>
      <w:r w:rsidRPr="002D6EF4">
        <w:rPr>
          <w:lang w:eastAsia="zh-CN"/>
        </w:rPr>
        <w:t>pfd</w:t>
      </w:r>
      <w:proofErr w:type="spellEnd"/>
      <w:r w:rsidRPr="002D6EF4">
        <w:rPr>
          <w:lang w:eastAsia="zh-CN"/>
        </w:rPr>
        <w:t xml:space="preserve"> levels in the territory of the national allotment since the national allotment has been brought into use. </w:t>
      </w:r>
    </w:p>
    <w:p w14:paraId="0AEA9AE7" w14:textId="59069C61" w:rsidR="008406E5" w:rsidRDefault="00764C3B" w:rsidP="002E5B9D">
      <w:pPr>
        <w:pStyle w:val="ListParagraph"/>
        <w:jc w:val="both"/>
        <w:rPr>
          <w:lang w:eastAsia="zh-CN"/>
        </w:rPr>
      </w:pPr>
      <w:r w:rsidRPr="002D6EF4">
        <w:rPr>
          <w:lang w:eastAsia="zh-CN"/>
        </w:rPr>
        <w:t xml:space="preserve">Support the method based on </w:t>
      </w:r>
      <w:r w:rsidR="002D6EF4" w:rsidRPr="002D6EF4">
        <w:rPr>
          <w:lang w:eastAsia="zh-CN"/>
        </w:rPr>
        <w:t>Method</w:t>
      </w:r>
      <w:r w:rsidRPr="002D6EF4">
        <w:rPr>
          <w:lang w:eastAsia="zh-CN"/>
        </w:rPr>
        <w:t xml:space="preserve"> I2 of the CPM Report.</w:t>
      </w:r>
    </w:p>
    <w:p w14:paraId="6A51D6BE" w14:textId="77777777" w:rsidR="002D6EF4" w:rsidRPr="002D6EF4" w:rsidRDefault="002D6EF4" w:rsidP="002E5B9D">
      <w:pPr>
        <w:pStyle w:val="ListParagraph"/>
        <w:numPr>
          <w:ilvl w:val="0"/>
          <w:numId w:val="0"/>
        </w:numPr>
        <w:ind w:left="720"/>
        <w:jc w:val="both"/>
        <w:rPr>
          <w:lang w:eastAsia="zh-CN"/>
        </w:rPr>
      </w:pPr>
    </w:p>
    <w:p w14:paraId="3860C654" w14:textId="77777777" w:rsidR="003A0585" w:rsidRPr="00BA28B2" w:rsidRDefault="003A0585" w:rsidP="002E5B9D">
      <w:pPr>
        <w:pStyle w:val="H3"/>
      </w:pPr>
      <w:r w:rsidRPr="00BA28B2">
        <w:t>7.2.</w:t>
      </w:r>
      <w:r w:rsidRPr="00BA28B2">
        <w:tab/>
        <w:t>Position of International Organizations (if available)</w:t>
      </w:r>
    </w:p>
    <w:p w14:paraId="73A5695E" w14:textId="77777777" w:rsidR="003A0585" w:rsidRPr="00BA28B2" w:rsidRDefault="003A0585" w:rsidP="002E5B9D">
      <w:pPr>
        <w:pStyle w:val="H3"/>
      </w:pPr>
      <w:r w:rsidRPr="00BA28B2">
        <w:t>7.2.1</w:t>
      </w:r>
      <w:r w:rsidRPr="00BA28B2">
        <w:tab/>
        <w:t xml:space="preserve">IARU R3 (as of </w:t>
      </w:r>
      <w:r>
        <w:t>August</w:t>
      </w:r>
      <w:r w:rsidRPr="00BA28B2">
        <w:t xml:space="preserve"> 2023)</w:t>
      </w:r>
    </w:p>
    <w:p w14:paraId="2BC827B9" w14:textId="77777777" w:rsidR="003A0585" w:rsidRPr="00BA28B2" w:rsidRDefault="003A0585" w:rsidP="002E5B9D">
      <w:pPr>
        <w:pStyle w:val="ListParagraph"/>
        <w:jc w:val="both"/>
        <w:rPr>
          <w:lang w:val="en-NZ"/>
        </w:rPr>
      </w:pPr>
      <w:r w:rsidRPr="00BA28B2">
        <w:t>None</w:t>
      </w:r>
      <w:r w:rsidRPr="00BA28B2">
        <w:rPr>
          <w:rFonts w:eastAsia="Calibri"/>
        </w:rPr>
        <w:t xml:space="preserve">. </w:t>
      </w:r>
    </w:p>
    <w:p w14:paraId="38A89F54" w14:textId="77777777" w:rsidR="003A0585" w:rsidRPr="00BA28B2" w:rsidRDefault="003A0585" w:rsidP="002E5B9D">
      <w:pPr>
        <w:pStyle w:val="ListParagraph"/>
        <w:numPr>
          <w:ilvl w:val="0"/>
          <w:numId w:val="0"/>
        </w:numPr>
        <w:ind w:left="720"/>
        <w:jc w:val="both"/>
        <w:rPr>
          <w:lang w:val="en-NZ"/>
        </w:rPr>
      </w:pPr>
    </w:p>
    <w:p w14:paraId="37F5190E" w14:textId="77777777" w:rsidR="003A0585" w:rsidRPr="00BA28B2" w:rsidRDefault="003A0585" w:rsidP="002E5B9D">
      <w:pPr>
        <w:pStyle w:val="H3"/>
      </w:pPr>
      <w:r w:rsidRPr="00BA28B2">
        <w:t>7.2.2</w:t>
      </w:r>
      <w:r w:rsidRPr="00BA28B2">
        <w:tab/>
        <w:t>ICAO – Document WRC-23-IRW-22/</w:t>
      </w:r>
      <w:hyperlink r:id="rId42" w:history="1">
        <w:r w:rsidRPr="003A0585">
          <w:rPr>
            <w:rStyle w:val="Hyperlink"/>
          </w:rPr>
          <w:t>8</w:t>
        </w:r>
      </w:hyperlink>
      <w:r w:rsidRPr="00BA28B2">
        <w:t xml:space="preserve"> </w:t>
      </w:r>
    </w:p>
    <w:p w14:paraId="50CF0920" w14:textId="77777777" w:rsidR="003A0585" w:rsidRPr="00BA28B2" w:rsidRDefault="003A0585" w:rsidP="002E5B9D">
      <w:pPr>
        <w:pStyle w:val="ListParagraph"/>
        <w:numPr>
          <w:ilvl w:val="0"/>
          <w:numId w:val="2"/>
        </w:numPr>
      </w:pPr>
      <w:r w:rsidRPr="00BA28B2">
        <w:rPr>
          <w:lang w:eastAsia="zh-CN"/>
        </w:rPr>
        <w:t>None</w:t>
      </w:r>
      <w:r w:rsidRPr="00BA28B2">
        <w:t>.</w:t>
      </w:r>
    </w:p>
    <w:p w14:paraId="671F3F9F" w14:textId="77777777" w:rsidR="003E4DD1" w:rsidRPr="00BA28B2" w:rsidRDefault="003E4DD1" w:rsidP="002E5B9D">
      <w:pPr>
        <w:rPr>
          <w:b/>
          <w:bCs/>
          <w:lang w:val="en-NZ" w:eastAsia="ko-KR"/>
        </w:rPr>
      </w:pPr>
    </w:p>
    <w:p w14:paraId="024E4AB7" w14:textId="26C7A94F" w:rsidR="00B93203" w:rsidRDefault="00C7012B" w:rsidP="002E5B9D">
      <w:pPr>
        <w:widowControl w:val="0"/>
        <w:autoSpaceDE w:val="0"/>
        <w:autoSpaceDN w:val="0"/>
        <w:spacing w:before="480" w:after="240"/>
        <w:ind w:left="360"/>
        <w:jc w:val="center"/>
        <w:rPr>
          <w:lang w:val="en-NZ"/>
        </w:rPr>
      </w:pPr>
      <w:r w:rsidRPr="00BA28B2">
        <w:rPr>
          <w:lang w:val="en-NZ"/>
        </w:rPr>
        <w:t>_______________________</w:t>
      </w:r>
    </w:p>
    <w:sectPr w:rsidR="00B93203" w:rsidSect="00277D4C">
      <w:headerReference w:type="default" r:id="rId43"/>
      <w:footerReference w:type="even" r:id="rId44"/>
      <w:footerReference w:type="default" r:id="rId45"/>
      <w:footerReference w:type="first" r:id="rId4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DE158" w14:textId="77777777" w:rsidR="004E08DA" w:rsidRDefault="004E08DA">
      <w:r>
        <w:separator/>
      </w:r>
    </w:p>
    <w:p w14:paraId="2F5AD01A" w14:textId="77777777" w:rsidR="004E08DA" w:rsidRDefault="004E08DA"/>
    <w:p w14:paraId="49EE34D6" w14:textId="77777777" w:rsidR="004E08DA" w:rsidRDefault="004E08DA" w:rsidP="007A47CA"/>
  </w:endnote>
  <w:endnote w:type="continuationSeparator" w:id="0">
    <w:p w14:paraId="57D8AEC9" w14:textId="77777777" w:rsidR="004E08DA" w:rsidRDefault="004E08DA">
      <w:r>
        <w:continuationSeparator/>
      </w:r>
    </w:p>
    <w:p w14:paraId="2EB63873" w14:textId="77777777" w:rsidR="004E08DA" w:rsidRDefault="004E08DA"/>
    <w:p w14:paraId="1FA06F0B" w14:textId="77777777" w:rsidR="004E08DA" w:rsidRDefault="004E08DA"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72254675" w:rsidR="001700D1" w:rsidRDefault="001700D1" w:rsidP="00C02622">
    <w:pPr>
      <w:pStyle w:val="Footer"/>
      <w:spacing w:before="240"/>
    </w:pPr>
    <w:r>
      <w:t>APG23-</w:t>
    </w:r>
    <w:r w:rsidR="00ED4232">
      <w:t>6</w:t>
    </w:r>
    <w:r>
      <w:t>/</w:t>
    </w:r>
    <w:r w:rsidR="001E3231">
      <w:t>OUT-49</w:t>
    </w:r>
    <w:r>
      <w:tab/>
    </w:r>
    <w:r>
      <w:tab/>
      <w:t xml:space="preserve">Page </w:t>
    </w:r>
    <w:r>
      <w:rPr>
        <w:b/>
        <w:bCs/>
      </w:rPr>
      <w:fldChar w:fldCharType="begin"/>
    </w:r>
    <w:r>
      <w:rPr>
        <w:b/>
        <w:bCs/>
      </w:rPr>
      <w:instrText xml:space="preserve"> PAGE  \* Arabic  \* MERGEFORMAT </w:instrText>
    </w:r>
    <w:r>
      <w:rPr>
        <w:b/>
        <w:bCs/>
      </w:rPr>
      <w:fldChar w:fldCharType="separate"/>
    </w:r>
    <w:r w:rsidR="00103DBE">
      <w:rPr>
        <w:b/>
        <w:bCs/>
        <w:noProof/>
      </w:rPr>
      <w:t>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03DBE">
      <w:rPr>
        <w:b/>
        <w:bCs/>
        <w:noProof/>
      </w:rPr>
      <w:t>6</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77777777" w:rsidR="003A0FC0" w:rsidRPr="00EF1D3B" w:rsidRDefault="003A0FC0" w:rsidP="003A0FC0">
          <w:pPr>
            <w:pStyle w:val="Equation"/>
            <w:tabs>
              <w:tab w:val="clear" w:pos="794"/>
              <w:tab w:val="clear" w:pos="4820"/>
              <w:tab w:val="clear" w:pos="9639"/>
            </w:tabs>
            <w:spacing w:beforeLines="0"/>
            <w:rPr>
              <w:rFonts w:eastAsia="Batang"/>
            </w:rPr>
          </w:pPr>
          <w:r>
            <w:rPr>
              <w:rFonts w:eastAsia="Batang"/>
              <w:i/>
              <w:iCs/>
            </w:rPr>
            <w:t>DG-7B: for</w:t>
          </w:r>
          <w:r w:rsidRPr="000227B3">
            <w:rPr>
              <w:rFonts w:eastAsia="Batang"/>
              <w:i/>
              <w:iCs/>
            </w:rPr>
            <w:t xml:space="preserve"> Topics </w:t>
          </w:r>
          <w:r>
            <w:rPr>
              <w:rFonts w:eastAsia="Batang"/>
              <w:i/>
              <w:iCs/>
            </w:rPr>
            <w:t>C, D,</w:t>
          </w:r>
          <w:r w:rsidRPr="000227B3">
            <w:rPr>
              <w:rFonts w:eastAsia="Batang"/>
              <w:i/>
              <w:iCs/>
            </w:rPr>
            <w:t xml:space="preserve"> </w:t>
          </w:r>
          <w:r>
            <w:rPr>
              <w:rFonts w:eastAsia="Batang"/>
              <w:i/>
              <w:iCs/>
            </w:rPr>
            <w:t>E, I, J &amp; K</w:t>
          </w:r>
          <w:r>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77777777" w:rsidR="003A0FC0" w:rsidRDefault="003A0FC0" w:rsidP="003A0FC0">
          <w:pPr>
            <w:pStyle w:val="Equation"/>
            <w:tabs>
              <w:tab w:val="clear" w:pos="794"/>
              <w:tab w:val="clear" w:pos="4820"/>
              <w:tab w:val="clear" w:pos="9639"/>
            </w:tabs>
            <w:spacing w:beforeLines="0"/>
            <w:rPr>
              <w:rFonts w:eastAsia="Batang"/>
            </w:rPr>
          </w:pPr>
          <w:r>
            <w:rPr>
              <w:rFonts w:eastAsia="Batang"/>
            </w:rPr>
            <w:t>Geetha Remy Vincent</w:t>
          </w:r>
          <w:r>
            <w:rPr>
              <w:rFonts w:eastAsia="Batang"/>
              <w:i/>
              <w:iCs/>
            </w:rPr>
            <w:t xml:space="preserve"> </w:t>
          </w:r>
        </w:p>
        <w:p w14:paraId="3D8230DF" w14:textId="77777777" w:rsidR="003A0FC0" w:rsidRDefault="003A0FC0" w:rsidP="003A0FC0">
          <w:pPr>
            <w:pStyle w:val="Equation"/>
            <w:tabs>
              <w:tab w:val="clear" w:pos="794"/>
              <w:tab w:val="clear" w:pos="4820"/>
              <w:tab w:val="clear" w:pos="9639"/>
            </w:tabs>
            <w:spacing w:beforeLines="0"/>
            <w:rPr>
              <w:rFonts w:eastAsia="Batang"/>
              <w:i/>
              <w:iCs/>
            </w:rPr>
          </w:pPr>
          <w:r>
            <w:rPr>
              <w:rFonts w:eastAsia="Batang"/>
            </w:rPr>
            <w:t>MEASAT, Malaysia</w:t>
          </w:r>
        </w:p>
      </w:tc>
      <w:tc>
        <w:tcPr>
          <w:tcW w:w="3024" w:type="dxa"/>
        </w:tcPr>
        <w:p w14:paraId="4699AFC1" w14:textId="7777777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Pr="005E7E9E">
              <w:rPr>
                <w:rStyle w:val="Hyperlink"/>
                <w:rFonts w:eastAsia="Batang"/>
              </w:rPr>
              <w:t>geetha@measat.com</w:t>
            </w:r>
          </w:hyperlink>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F482D" w14:textId="77777777" w:rsidR="004E08DA" w:rsidRDefault="004E08DA">
      <w:r>
        <w:separator/>
      </w:r>
    </w:p>
    <w:p w14:paraId="1720C416" w14:textId="77777777" w:rsidR="004E08DA" w:rsidRDefault="004E08DA"/>
    <w:p w14:paraId="5F0F3C62" w14:textId="77777777" w:rsidR="004E08DA" w:rsidRDefault="004E08DA" w:rsidP="007A47CA"/>
  </w:footnote>
  <w:footnote w:type="continuationSeparator" w:id="0">
    <w:p w14:paraId="3306C715" w14:textId="77777777" w:rsidR="004E08DA" w:rsidRDefault="004E08DA">
      <w:r>
        <w:continuationSeparator/>
      </w:r>
    </w:p>
    <w:p w14:paraId="26104513" w14:textId="77777777" w:rsidR="004E08DA" w:rsidRDefault="004E08DA"/>
    <w:p w14:paraId="5936B893" w14:textId="77777777" w:rsidR="004E08DA" w:rsidRDefault="004E08DA"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947D8"/>
    <w:multiLevelType w:val="hybridMultilevel"/>
    <w:tmpl w:val="815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1BBF"/>
    <w:multiLevelType w:val="hybridMultilevel"/>
    <w:tmpl w:val="64F443EA"/>
    <w:lvl w:ilvl="0" w:tplc="FFFFFFFF">
      <w:start w:val="1"/>
      <w:numFmt w:val="bullet"/>
      <w:lvlText w:val="-"/>
      <w:lvlJc w:val="left"/>
      <w:pPr>
        <w:ind w:left="720" w:hanging="360"/>
      </w:pPr>
      <w:rPr>
        <w:rFonts w:ascii="Malgun Gothic" w:eastAsia="Malgun Gothic" w:hAnsi="Malgun Gothic" w:cstheme="minorBidi" w:hint="eastAsia"/>
      </w:rPr>
    </w:lvl>
    <w:lvl w:ilvl="1" w:tplc="A114EBFA">
      <w:start w:val="1"/>
      <w:numFmt w:val="bullet"/>
      <w:lvlText w:val="-"/>
      <w:lvlJc w:val="left"/>
      <w:pPr>
        <w:ind w:left="1440" w:hanging="360"/>
      </w:pPr>
      <w:rPr>
        <w:rFonts w:ascii="Malgun Gothic" w:eastAsia="Malgun Gothic" w:hAnsi="Malgun Gothic" w:cstheme="minorBidi" w:hint="eastAsia"/>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6E0FA1"/>
    <w:multiLevelType w:val="hybridMultilevel"/>
    <w:tmpl w:val="8E2CAB38"/>
    <w:lvl w:ilvl="0" w:tplc="1A7EB94E">
      <w:start w:val="1"/>
      <w:numFmt w:val="bullet"/>
      <w:lvlText w:val=""/>
      <w:lvlJc w:val="left"/>
      <w:pPr>
        <w:ind w:left="2880" w:hanging="360"/>
      </w:pPr>
      <w:rPr>
        <w:rFonts w:ascii="Wingdings" w:hAnsi="Wingdings" w:hint="default"/>
        <w:sz w:val="16"/>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17491"/>
    <w:multiLevelType w:val="hybridMultilevel"/>
    <w:tmpl w:val="C70A6104"/>
    <w:lvl w:ilvl="0" w:tplc="5560C194">
      <w:start w:val="1"/>
      <w:numFmt w:val="bullet"/>
      <w:lvlText w:val=""/>
      <w:lvlJc w:val="left"/>
      <w:pPr>
        <w:ind w:left="2880" w:hanging="360"/>
      </w:pPr>
      <w:rPr>
        <w:rFonts w:ascii="Wingdings" w:hAnsi="Wingdings" w:hint="default"/>
        <w:sz w:val="24"/>
        <w:szCs w:val="4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00BFF"/>
    <w:multiLevelType w:val="hybridMultilevel"/>
    <w:tmpl w:val="6CE86310"/>
    <w:lvl w:ilvl="0" w:tplc="FFFFFFFF">
      <w:start w:val="1"/>
      <w:numFmt w:val="bullet"/>
      <w:lvlText w:val=""/>
      <w:lvlJc w:val="left"/>
      <w:pPr>
        <w:ind w:left="720" w:hanging="360"/>
      </w:pPr>
      <w:rPr>
        <w:rFonts w:ascii="Symbol" w:hAnsi="Symbol" w:hint="default"/>
      </w:rPr>
    </w:lvl>
    <w:lvl w:ilvl="1" w:tplc="A114EBFA">
      <w:start w:val="1"/>
      <w:numFmt w:val="bullet"/>
      <w:lvlText w:val="-"/>
      <w:lvlJc w:val="left"/>
      <w:pPr>
        <w:ind w:left="720" w:hanging="360"/>
      </w:pPr>
      <w:rPr>
        <w:rFonts w:ascii="Malgun Gothic" w:eastAsia="Malgun Gothic" w:hAnsi="Malgun Gothic" w:cstheme="minorBid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7710DC"/>
    <w:multiLevelType w:val="hybridMultilevel"/>
    <w:tmpl w:val="E4F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4073E09"/>
    <w:multiLevelType w:val="hybridMultilevel"/>
    <w:tmpl w:val="89040A4C"/>
    <w:lvl w:ilvl="0" w:tplc="5A12C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30AFB"/>
    <w:multiLevelType w:val="hybridMultilevel"/>
    <w:tmpl w:val="4A04CC58"/>
    <w:lvl w:ilvl="0" w:tplc="B12C5B1A">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9894669">
    <w:abstractNumId w:val="4"/>
  </w:num>
  <w:num w:numId="2" w16cid:durableId="1339385951">
    <w:abstractNumId w:val="7"/>
  </w:num>
  <w:num w:numId="3" w16cid:durableId="1046295964">
    <w:abstractNumId w:val="10"/>
  </w:num>
  <w:num w:numId="4" w16cid:durableId="1534030704">
    <w:abstractNumId w:val="0"/>
  </w:num>
  <w:num w:numId="5" w16cid:durableId="1265263468">
    <w:abstractNumId w:val="5"/>
  </w:num>
  <w:num w:numId="6" w16cid:durableId="2010251355">
    <w:abstractNumId w:val="3"/>
  </w:num>
  <w:num w:numId="7" w16cid:durableId="2141873230">
    <w:abstractNumId w:val="6"/>
  </w:num>
  <w:num w:numId="8" w16cid:durableId="815418013">
    <w:abstractNumId w:val="12"/>
  </w:num>
  <w:num w:numId="9" w16cid:durableId="497188552">
    <w:abstractNumId w:val="2"/>
  </w:num>
  <w:num w:numId="10" w16cid:durableId="181013624">
    <w:abstractNumId w:val="4"/>
  </w:num>
  <w:num w:numId="11" w16cid:durableId="98569182">
    <w:abstractNumId w:val="4"/>
  </w:num>
  <w:num w:numId="12" w16cid:durableId="389546535">
    <w:abstractNumId w:val="4"/>
  </w:num>
  <w:num w:numId="13" w16cid:durableId="1565019717">
    <w:abstractNumId w:val="4"/>
  </w:num>
  <w:num w:numId="14" w16cid:durableId="1574965858">
    <w:abstractNumId w:val="4"/>
  </w:num>
  <w:num w:numId="15" w16cid:durableId="1434396754">
    <w:abstractNumId w:val="4"/>
  </w:num>
  <w:num w:numId="16" w16cid:durableId="1132669339">
    <w:abstractNumId w:val="4"/>
  </w:num>
  <w:num w:numId="17" w16cid:durableId="2007707566">
    <w:abstractNumId w:val="4"/>
  </w:num>
  <w:num w:numId="18" w16cid:durableId="1291790704">
    <w:abstractNumId w:val="4"/>
  </w:num>
  <w:num w:numId="19" w16cid:durableId="1928881470">
    <w:abstractNumId w:val="4"/>
  </w:num>
  <w:num w:numId="20" w16cid:durableId="985164468">
    <w:abstractNumId w:val="4"/>
  </w:num>
  <w:num w:numId="21" w16cid:durableId="1070926895">
    <w:abstractNumId w:val="4"/>
  </w:num>
  <w:num w:numId="22" w16cid:durableId="905188989">
    <w:abstractNumId w:val="4"/>
  </w:num>
  <w:num w:numId="23" w16cid:durableId="1270088238">
    <w:abstractNumId w:val="4"/>
  </w:num>
  <w:num w:numId="24" w16cid:durableId="1419522071">
    <w:abstractNumId w:val="4"/>
  </w:num>
  <w:num w:numId="25" w16cid:durableId="1986397476">
    <w:abstractNumId w:val="4"/>
  </w:num>
  <w:num w:numId="26" w16cid:durableId="1912084465">
    <w:abstractNumId w:val="8"/>
  </w:num>
  <w:num w:numId="27" w16cid:durableId="429935395">
    <w:abstractNumId w:val="4"/>
  </w:num>
  <w:num w:numId="28" w16cid:durableId="1495728230">
    <w:abstractNumId w:val="4"/>
  </w:num>
  <w:num w:numId="29" w16cid:durableId="680820127">
    <w:abstractNumId w:val="4"/>
  </w:num>
  <w:num w:numId="30" w16cid:durableId="160658639">
    <w:abstractNumId w:val="1"/>
  </w:num>
  <w:num w:numId="31" w16cid:durableId="2066250430">
    <w:abstractNumId w:val="11"/>
  </w:num>
  <w:num w:numId="32" w16cid:durableId="1606769668">
    <w:abstractNumId w:val="4"/>
  </w:num>
  <w:num w:numId="33" w16cid:durableId="1899974019">
    <w:abstractNumId w:val="4"/>
  </w:num>
  <w:num w:numId="34" w16cid:durableId="433288781">
    <w:abstractNumId w:val="4"/>
  </w:num>
  <w:num w:numId="35" w16cid:durableId="1037463495">
    <w:abstractNumId w:val="4"/>
  </w:num>
  <w:num w:numId="36" w16cid:durableId="632566869">
    <w:abstractNumId w:val="4"/>
  </w:num>
  <w:num w:numId="37" w16cid:durableId="2040230397">
    <w:abstractNumId w:val="4"/>
  </w:num>
  <w:num w:numId="38" w16cid:durableId="1109854723">
    <w:abstractNumId w:val="4"/>
  </w:num>
  <w:num w:numId="39" w16cid:durableId="31734982">
    <w:abstractNumId w:val="4"/>
  </w:num>
  <w:num w:numId="40" w16cid:durableId="787240400">
    <w:abstractNumId w:val="4"/>
  </w:num>
  <w:num w:numId="41" w16cid:durableId="1373648111">
    <w:abstractNumId w:val="4"/>
  </w:num>
  <w:num w:numId="42" w16cid:durableId="51582192">
    <w:abstractNumId w:val="4"/>
  </w:num>
  <w:num w:numId="43" w16cid:durableId="115879881">
    <w:abstractNumId w:val="4"/>
  </w:num>
  <w:num w:numId="44" w16cid:durableId="476066809">
    <w:abstractNumId w:val="4"/>
  </w:num>
  <w:num w:numId="45" w16cid:durableId="1500466356">
    <w:abstractNumId w:val="4"/>
  </w:num>
  <w:num w:numId="46" w16cid:durableId="565148220">
    <w:abstractNumId w:val="4"/>
  </w:num>
  <w:num w:numId="47" w16cid:durableId="1254969659">
    <w:abstractNumId w:val="4"/>
  </w:num>
  <w:num w:numId="48" w16cid:durableId="433670736">
    <w:abstractNumId w:val="4"/>
  </w:num>
  <w:num w:numId="49" w16cid:durableId="1570070447">
    <w:abstractNumId w:val="4"/>
  </w:num>
  <w:num w:numId="50" w16cid:durableId="1550461678">
    <w:abstractNumId w:val="4"/>
  </w:num>
  <w:num w:numId="51" w16cid:durableId="1109277573">
    <w:abstractNumId w:val="4"/>
  </w:num>
  <w:num w:numId="52" w16cid:durableId="1950812920">
    <w:abstractNumId w:val="4"/>
  </w:num>
  <w:num w:numId="53" w16cid:durableId="890769966">
    <w:abstractNumId w:val="4"/>
  </w:num>
  <w:num w:numId="54" w16cid:durableId="886836207">
    <w:abstractNumId w:val="4"/>
  </w:num>
  <w:num w:numId="55" w16cid:durableId="1742632393">
    <w:abstractNumId w:val="4"/>
  </w:num>
  <w:num w:numId="56" w16cid:durableId="1517617363">
    <w:abstractNumId w:val="4"/>
  </w:num>
  <w:num w:numId="57" w16cid:durableId="1753354596">
    <w:abstractNumId w:val="4"/>
  </w:num>
  <w:num w:numId="58" w16cid:durableId="1992126536">
    <w:abstractNumId w:val="4"/>
  </w:num>
  <w:num w:numId="59" w16cid:durableId="1232810250">
    <w:abstractNumId w:val="4"/>
  </w:num>
  <w:num w:numId="60" w16cid:durableId="1524368355">
    <w:abstractNumId w:val="4"/>
  </w:num>
  <w:num w:numId="61" w16cid:durableId="449515299">
    <w:abstractNumId w:val="4"/>
  </w:num>
  <w:num w:numId="62" w16cid:durableId="1533575120">
    <w:abstractNumId w:val="4"/>
  </w:num>
  <w:num w:numId="63" w16cid:durableId="1310748336">
    <w:abstractNumId w:val="4"/>
  </w:num>
  <w:num w:numId="64" w16cid:durableId="1712264375">
    <w:abstractNumId w:val="4"/>
  </w:num>
  <w:num w:numId="65" w16cid:durableId="1007169927">
    <w:abstractNumId w:val="4"/>
  </w:num>
  <w:num w:numId="66" w16cid:durableId="769931111">
    <w:abstractNumId w:val="4"/>
  </w:num>
  <w:num w:numId="67" w16cid:durableId="816216771">
    <w:abstractNumId w:val="4"/>
  </w:num>
  <w:num w:numId="68" w16cid:durableId="1525972779">
    <w:abstractNumId w:val="4"/>
  </w:num>
  <w:num w:numId="69" w16cid:durableId="963922573">
    <w:abstractNumId w:val="4"/>
  </w:num>
  <w:num w:numId="70" w16cid:durableId="448547477">
    <w:abstractNumId w:val="4"/>
  </w:num>
  <w:num w:numId="71" w16cid:durableId="1796366226">
    <w:abstractNumId w:val="4"/>
  </w:num>
  <w:num w:numId="72" w16cid:durableId="1749184165">
    <w:abstractNumId w:val="4"/>
  </w:num>
  <w:num w:numId="73" w16cid:durableId="382369744">
    <w:abstractNumId w:val="4"/>
  </w:num>
  <w:num w:numId="74" w16cid:durableId="859011621">
    <w:abstractNumId w:val="4"/>
  </w:num>
  <w:num w:numId="75" w16cid:durableId="299923399">
    <w:abstractNumId w:val="4"/>
  </w:num>
  <w:num w:numId="76" w16cid:durableId="243535980">
    <w:abstractNumId w:val="4"/>
  </w:num>
  <w:num w:numId="77" w16cid:durableId="1150706092">
    <w:abstractNumId w:val="4"/>
  </w:num>
  <w:num w:numId="78" w16cid:durableId="2022394856">
    <w:abstractNumId w:val="4"/>
  </w:num>
  <w:num w:numId="79" w16cid:durableId="1032152580">
    <w:abstractNumId w:val="4"/>
  </w:num>
  <w:num w:numId="80" w16cid:durableId="1794902424">
    <w:abstractNumId w:val="4"/>
  </w:num>
  <w:num w:numId="81" w16cid:durableId="416560771">
    <w:abstractNumId w:val="4"/>
  </w:num>
  <w:num w:numId="82" w16cid:durableId="818234271">
    <w:abstractNumId w:val="4"/>
  </w:num>
  <w:num w:numId="83" w16cid:durableId="972903157">
    <w:abstractNumId w:val="4"/>
  </w:num>
  <w:num w:numId="84" w16cid:durableId="1128278791">
    <w:abstractNumId w:val="4"/>
  </w:num>
  <w:num w:numId="85" w16cid:durableId="1848907169">
    <w:abstractNumId w:val="4"/>
  </w:num>
  <w:num w:numId="86" w16cid:durableId="861868353">
    <w:abstractNumId w:val="4"/>
  </w:num>
  <w:num w:numId="87" w16cid:durableId="2096437926">
    <w:abstractNumId w:val="4"/>
  </w:num>
  <w:num w:numId="88" w16cid:durableId="495611931">
    <w:abstractNumId w:val="4"/>
  </w:num>
  <w:num w:numId="89" w16cid:durableId="1724790433">
    <w:abstractNumId w:val="9"/>
  </w:num>
  <w:num w:numId="90" w16cid:durableId="1313291135">
    <w:abstractNumId w:val="4"/>
  </w:num>
  <w:num w:numId="91" w16cid:durableId="564418388">
    <w:abstractNumId w:val="4"/>
  </w:num>
  <w:num w:numId="92" w16cid:durableId="812789576">
    <w:abstractNumId w:val="4"/>
  </w:num>
  <w:num w:numId="93" w16cid:durableId="137259913">
    <w:abstractNumId w:val="4"/>
  </w:num>
  <w:num w:numId="94" w16cid:durableId="1901745862">
    <w:abstractNumId w:val="4"/>
  </w:num>
  <w:num w:numId="95" w16cid:durableId="112215304">
    <w:abstractNumId w:val="4"/>
  </w:num>
  <w:num w:numId="96" w16cid:durableId="1572346647">
    <w:abstractNumId w:val="4"/>
  </w:num>
  <w:num w:numId="97" w16cid:durableId="17782638">
    <w:abstractNumId w:val="4"/>
  </w:num>
  <w:num w:numId="98" w16cid:durableId="1562207781">
    <w:abstractNumId w:val="4"/>
  </w:num>
  <w:num w:numId="99" w16cid:durableId="1899239566">
    <w:abstractNumId w:val="4"/>
  </w:num>
  <w:num w:numId="100" w16cid:durableId="966011801">
    <w:abstractNumId w:val="4"/>
  </w:num>
  <w:num w:numId="101" w16cid:durableId="1825777244">
    <w:abstractNumId w:val="4"/>
  </w:num>
  <w:num w:numId="102" w16cid:durableId="1232738194">
    <w:abstractNumId w:val="4"/>
  </w:num>
  <w:num w:numId="103" w16cid:durableId="619071995">
    <w:abstractNumId w:val="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946"/>
    <w:rsid w:val="00005E24"/>
    <w:rsid w:val="00010A9A"/>
    <w:rsid w:val="0001334E"/>
    <w:rsid w:val="00013C08"/>
    <w:rsid w:val="000151FA"/>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3DBE"/>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6FED"/>
    <w:rsid w:val="0018114D"/>
    <w:rsid w:val="00182399"/>
    <w:rsid w:val="001832C2"/>
    <w:rsid w:val="00186B26"/>
    <w:rsid w:val="0019090D"/>
    <w:rsid w:val="00190A21"/>
    <w:rsid w:val="00191037"/>
    <w:rsid w:val="001923E8"/>
    <w:rsid w:val="00192DD3"/>
    <w:rsid w:val="00194C82"/>
    <w:rsid w:val="00196568"/>
    <w:rsid w:val="00197B92"/>
    <w:rsid w:val="001A27F4"/>
    <w:rsid w:val="001A2BD4"/>
    <w:rsid w:val="001A2F16"/>
    <w:rsid w:val="001A34FF"/>
    <w:rsid w:val="001B0741"/>
    <w:rsid w:val="001B18C2"/>
    <w:rsid w:val="001C0A50"/>
    <w:rsid w:val="001C46D3"/>
    <w:rsid w:val="001C5F31"/>
    <w:rsid w:val="001C7B2B"/>
    <w:rsid w:val="001D4F08"/>
    <w:rsid w:val="001D5D7E"/>
    <w:rsid w:val="001D7036"/>
    <w:rsid w:val="001E1432"/>
    <w:rsid w:val="001E241B"/>
    <w:rsid w:val="001E2501"/>
    <w:rsid w:val="001E3231"/>
    <w:rsid w:val="001E345E"/>
    <w:rsid w:val="001F0363"/>
    <w:rsid w:val="001F3309"/>
    <w:rsid w:val="001F4CA3"/>
    <w:rsid w:val="001F5947"/>
    <w:rsid w:val="001F5F7D"/>
    <w:rsid w:val="001F711F"/>
    <w:rsid w:val="001F754C"/>
    <w:rsid w:val="00201AE1"/>
    <w:rsid w:val="00202EB0"/>
    <w:rsid w:val="0020500C"/>
    <w:rsid w:val="002055E4"/>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77D4C"/>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6EF4"/>
    <w:rsid w:val="002D7A38"/>
    <w:rsid w:val="002E4CC5"/>
    <w:rsid w:val="002E58A9"/>
    <w:rsid w:val="002E5B9D"/>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14375"/>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3F39"/>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08DA"/>
    <w:rsid w:val="004E45E0"/>
    <w:rsid w:val="004E477E"/>
    <w:rsid w:val="004E6872"/>
    <w:rsid w:val="004F0D74"/>
    <w:rsid w:val="004F4D2B"/>
    <w:rsid w:val="004F733C"/>
    <w:rsid w:val="0050057B"/>
    <w:rsid w:val="00500AE0"/>
    <w:rsid w:val="00500F23"/>
    <w:rsid w:val="0050234B"/>
    <w:rsid w:val="00502F41"/>
    <w:rsid w:val="00511969"/>
    <w:rsid w:val="00512F9B"/>
    <w:rsid w:val="00515050"/>
    <w:rsid w:val="0051686D"/>
    <w:rsid w:val="00516B4D"/>
    <w:rsid w:val="00516ECD"/>
    <w:rsid w:val="005201CA"/>
    <w:rsid w:val="00521BF0"/>
    <w:rsid w:val="005263C8"/>
    <w:rsid w:val="00530E8C"/>
    <w:rsid w:val="005351E0"/>
    <w:rsid w:val="00535D22"/>
    <w:rsid w:val="005424F5"/>
    <w:rsid w:val="00542DF4"/>
    <w:rsid w:val="005442A4"/>
    <w:rsid w:val="00544715"/>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EB6"/>
    <w:rsid w:val="005D3914"/>
    <w:rsid w:val="005D3EC5"/>
    <w:rsid w:val="005D41BE"/>
    <w:rsid w:val="005D6B2F"/>
    <w:rsid w:val="005D7451"/>
    <w:rsid w:val="005E3896"/>
    <w:rsid w:val="005E39BD"/>
    <w:rsid w:val="005E508C"/>
    <w:rsid w:val="005E6C90"/>
    <w:rsid w:val="005F499B"/>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2BE5"/>
    <w:rsid w:val="00683879"/>
    <w:rsid w:val="006843DA"/>
    <w:rsid w:val="00684A8A"/>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86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11E9"/>
    <w:rsid w:val="008144FF"/>
    <w:rsid w:val="008148E1"/>
    <w:rsid w:val="00816F4E"/>
    <w:rsid w:val="00831716"/>
    <w:rsid w:val="008319BF"/>
    <w:rsid w:val="00832B66"/>
    <w:rsid w:val="008335BE"/>
    <w:rsid w:val="008337EA"/>
    <w:rsid w:val="00833966"/>
    <w:rsid w:val="008406E5"/>
    <w:rsid w:val="00842CF5"/>
    <w:rsid w:val="00843068"/>
    <w:rsid w:val="00843C3F"/>
    <w:rsid w:val="00843D73"/>
    <w:rsid w:val="00845884"/>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326B"/>
    <w:rsid w:val="008950FB"/>
    <w:rsid w:val="008965A9"/>
    <w:rsid w:val="00897849"/>
    <w:rsid w:val="008A423E"/>
    <w:rsid w:val="008A6099"/>
    <w:rsid w:val="008A73CD"/>
    <w:rsid w:val="008B2F38"/>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0B41"/>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20980"/>
    <w:rsid w:val="00A25613"/>
    <w:rsid w:val="00A25713"/>
    <w:rsid w:val="00A31185"/>
    <w:rsid w:val="00A3312C"/>
    <w:rsid w:val="00A36605"/>
    <w:rsid w:val="00A431A4"/>
    <w:rsid w:val="00A447A3"/>
    <w:rsid w:val="00A45329"/>
    <w:rsid w:val="00A46049"/>
    <w:rsid w:val="00A47777"/>
    <w:rsid w:val="00A5133F"/>
    <w:rsid w:val="00A51B59"/>
    <w:rsid w:val="00A52B54"/>
    <w:rsid w:val="00A554E6"/>
    <w:rsid w:val="00A561F1"/>
    <w:rsid w:val="00A61885"/>
    <w:rsid w:val="00A61D16"/>
    <w:rsid w:val="00A63E76"/>
    <w:rsid w:val="00A641C0"/>
    <w:rsid w:val="00A64EBE"/>
    <w:rsid w:val="00A6737B"/>
    <w:rsid w:val="00A679E8"/>
    <w:rsid w:val="00A71136"/>
    <w:rsid w:val="00A8000A"/>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C7A"/>
    <w:rsid w:val="00AE0EA2"/>
    <w:rsid w:val="00AE15FC"/>
    <w:rsid w:val="00AE2D20"/>
    <w:rsid w:val="00AE5C70"/>
    <w:rsid w:val="00AE6BEF"/>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E5E"/>
    <w:rsid w:val="00B42F48"/>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377E"/>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0A6F"/>
    <w:rsid w:val="00C933B8"/>
    <w:rsid w:val="00C978A4"/>
    <w:rsid w:val="00CA12D5"/>
    <w:rsid w:val="00CA15C5"/>
    <w:rsid w:val="00CA22D1"/>
    <w:rsid w:val="00CA3271"/>
    <w:rsid w:val="00CB0E22"/>
    <w:rsid w:val="00CB0FBC"/>
    <w:rsid w:val="00CB6F9A"/>
    <w:rsid w:val="00CC47C2"/>
    <w:rsid w:val="00CC56C6"/>
    <w:rsid w:val="00CC5EF8"/>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0CD9"/>
    <w:rsid w:val="00D02429"/>
    <w:rsid w:val="00D050C9"/>
    <w:rsid w:val="00D0602C"/>
    <w:rsid w:val="00D06742"/>
    <w:rsid w:val="00D10F72"/>
    <w:rsid w:val="00D1252E"/>
    <w:rsid w:val="00D12C0F"/>
    <w:rsid w:val="00D12CE1"/>
    <w:rsid w:val="00D23595"/>
    <w:rsid w:val="00D2444D"/>
    <w:rsid w:val="00D31452"/>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A3CC4"/>
    <w:rsid w:val="00DA7595"/>
    <w:rsid w:val="00DA7E6F"/>
    <w:rsid w:val="00DB0698"/>
    <w:rsid w:val="00DB0A68"/>
    <w:rsid w:val="00DB13B0"/>
    <w:rsid w:val="00DB28C8"/>
    <w:rsid w:val="00DB29B9"/>
    <w:rsid w:val="00DB4A1C"/>
    <w:rsid w:val="00DC175D"/>
    <w:rsid w:val="00DC4251"/>
    <w:rsid w:val="00DC43A3"/>
    <w:rsid w:val="00DC4921"/>
    <w:rsid w:val="00DC5D69"/>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CA9"/>
    <w:rsid w:val="00E27D47"/>
    <w:rsid w:val="00E3278B"/>
    <w:rsid w:val="00E32823"/>
    <w:rsid w:val="00E37AB2"/>
    <w:rsid w:val="00E37F7F"/>
    <w:rsid w:val="00E403B9"/>
    <w:rsid w:val="00E41BE2"/>
    <w:rsid w:val="00E45C8D"/>
    <w:rsid w:val="00E475FF"/>
    <w:rsid w:val="00E5341E"/>
    <w:rsid w:val="00E53B0F"/>
    <w:rsid w:val="00E545D9"/>
    <w:rsid w:val="00E57AD4"/>
    <w:rsid w:val="00E60871"/>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A0BBD"/>
    <w:rsid w:val="00EA2574"/>
    <w:rsid w:val="00EA406E"/>
    <w:rsid w:val="00EA6257"/>
    <w:rsid w:val="00EA7027"/>
    <w:rsid w:val="00EB07F2"/>
    <w:rsid w:val="00EB2081"/>
    <w:rsid w:val="00EB2EA8"/>
    <w:rsid w:val="00EB5239"/>
    <w:rsid w:val="00EC00AA"/>
    <w:rsid w:val="00EC1301"/>
    <w:rsid w:val="00EC249E"/>
    <w:rsid w:val="00EC4897"/>
    <w:rsid w:val="00ED4232"/>
    <w:rsid w:val="00EE129A"/>
    <w:rsid w:val="00EE17A0"/>
    <w:rsid w:val="00EE2D3E"/>
    <w:rsid w:val="00EE3496"/>
    <w:rsid w:val="00EF0DFA"/>
    <w:rsid w:val="00EF0E8B"/>
    <w:rsid w:val="00EF10D0"/>
    <w:rsid w:val="00EF1798"/>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uiPriority w:val="99"/>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styleId="LineNumber">
    <w:name w:val="line number"/>
    <w:basedOn w:val="DefaultParagraphFont"/>
    <w:semiHidden/>
    <w:unhideWhenUsed/>
    <w:rsid w:val="00EB2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68_Iran_WP4_Preliminary_Views_on_WRC-23_Agenda_Items.docx" TargetMode="External"/><Relationship Id="rId18" Type="http://schemas.openxmlformats.org/officeDocument/2006/relationships/hyperlink" Target="https://www.apt.int/sites/default/files/2023/08/APG23-6-INP-120_VietNam_WP4_PACP_WRC-23_Agenda_Items.docx" TargetMode="External"/><Relationship Id="rId26" Type="http://schemas.openxmlformats.org/officeDocument/2006/relationships/package" Target="embeddings/Microsoft_Word_Document.docx"/><Relationship Id="rId39" Type="http://schemas.openxmlformats.org/officeDocument/2006/relationships/hyperlink" Target="https://www.apt.int/sites/default/files/2023/08/APG23-6-INF-46_Status_of_CEPT_preparation_for_WRC-23_and_RA-23.pdf" TargetMode="External"/><Relationship Id="rId21" Type="http://schemas.openxmlformats.org/officeDocument/2006/relationships/hyperlink" Target="https://www.apt.int/sites/default/files/2023/08/APG23-6-INF-46_Status_of_CEPT_preparation_for_WRC-23_and_RA-23.pdf" TargetMode="External"/><Relationship Id="rId34" Type="http://schemas.openxmlformats.org/officeDocument/2006/relationships/hyperlink" Target="https://www.apt.int/sites/default/files/2023/08/APG23-6-INP-120_VietNam_WP4_PACP_WRC-23_Agenda_Items.docx" TargetMode="External"/><Relationship Id="rId42" Type="http://schemas.openxmlformats.org/officeDocument/2006/relationships/hyperlink" Target="https://www.itu.int/md/meetingdoc.asp?lang=en&amp;parent=R19-2WSHWRC23-C-0008"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8/APG23-6-INP-106_China_WP4_PACP_WRC-23_Agenda_Items.docx" TargetMode="External"/><Relationship Id="rId29"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39_Japan_WP4_Views_WRC-23_Agenda_Item_7.docx" TargetMode="External"/><Relationship Id="rId24" Type="http://schemas.openxmlformats.org/officeDocument/2006/relationships/hyperlink" Target="https://www.apt.int/sites/default/files/2023/08/APG23-6-INP-61_Thailand_WP4_PACP_WRC-23_Agenda_Items.docx" TargetMode="External"/><Relationship Id="rId32" Type="http://schemas.openxmlformats.org/officeDocument/2006/relationships/hyperlink" Target="https://www.apt.int/sites/default/files/2023/08/APG23-6-INP-106_China_WP4_PACP_WRC-23_Agenda_Items.docx" TargetMode="External"/><Relationship Id="rId37" Type="http://schemas.openxmlformats.org/officeDocument/2006/relationships/hyperlink" Target="https://www.itu.int/md/meetingdoc.asp?lang=en&amp;parent=R19-2WSHWRC23-C-0005" TargetMode="External"/><Relationship Id="rId40" Type="http://schemas.openxmlformats.org/officeDocument/2006/relationships/hyperlink" Target="https://www.apt.int/sites/default/files/2023/08/APG23-6-INF-52_CITEL_preparation_for_WRC-23.pdf"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apt.int/sites/default/files/2023/08/APG23-6-INP-90R1_KOR_WP4_PACP_WRC-23_Agenda_Items.docx" TargetMode="External"/><Relationship Id="rId23" Type="http://schemas.openxmlformats.org/officeDocument/2006/relationships/hyperlink" Target="https://www.apt.int/sites/default/files/2023/08/APG23-6-INP-39_Japan_WP4_Views_WRC-23_Agenda_Item_7.docx" TargetMode="External"/><Relationship Id="rId28" Type="http://schemas.openxmlformats.org/officeDocument/2006/relationships/image" Target="media/image3.emf"/><Relationship Id="rId36" Type="http://schemas.openxmlformats.org/officeDocument/2006/relationships/package" Target="embeddings/Microsoft_Word_Document2.docx"/><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F-35_Brief_on_AI_7.docx" TargetMode="External"/><Relationship Id="rId31" Type="http://schemas.openxmlformats.org/officeDocument/2006/relationships/hyperlink" Target="https://www.apt.int/sites/default/files/2023/08/APG23-6-INP-90R1_KOR_WP4_PACP_WRC-23_Agenda_Items.docx"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tu.int/dms_ties/itu-r/md/19/wp4a/c/R19-WP4A-C-0856!N34!MSW-E.docx" TargetMode="External"/><Relationship Id="rId14" Type="http://schemas.openxmlformats.org/officeDocument/2006/relationships/hyperlink" Target="https://www.apt.int/sites/default/files/2023/08/APG23-6-INP-83_Australia_WP4_PACP_WRC-23_Agenda_Items.docx" TargetMode="External"/><Relationship Id="rId22" Type="http://schemas.openxmlformats.org/officeDocument/2006/relationships/hyperlink" Target="https://www.apt.int/sites/default/files/2023/08/APG23-6-INF-52_CITEL_preparation_for_WRC-23.pdf" TargetMode="External"/><Relationship Id="rId27" Type="http://schemas.openxmlformats.org/officeDocument/2006/relationships/hyperlink" Target="https://www.apt.int/sites/default/files/2023/08/APG23-6-INP-68_Iran_WP4_Preliminary_Views_on_WRC-23_Agenda_Items.docx" TargetMode="External"/><Relationship Id="rId30" Type="http://schemas.openxmlformats.org/officeDocument/2006/relationships/hyperlink" Target="https://www.apt.int/sites/default/files/2023/08/APG23-6-INP-83_Australia_WP4_PACP_WRC-23_Agenda_Items.docx" TargetMode="External"/><Relationship Id="rId35" Type="http://schemas.openxmlformats.org/officeDocument/2006/relationships/image" Target="media/image4.emf"/><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8/APG23-6-INP-61_Thailand_WP4_PACP_WRC-23_Agenda_Items.docx" TargetMode="External"/><Relationship Id="rId17" Type="http://schemas.openxmlformats.org/officeDocument/2006/relationships/hyperlink" Target="https://www.apt.int/sites/default/files/2023/08/APG23-6-INP-112_Malaysia_WP4_PACP_WRC-23_Agenda_Items.docx" TargetMode="External"/><Relationship Id="rId25" Type="http://schemas.openxmlformats.org/officeDocument/2006/relationships/image" Target="media/image2.emf"/><Relationship Id="rId33" Type="http://schemas.openxmlformats.org/officeDocument/2006/relationships/hyperlink" Target="https://www.apt.int/sites/default/files/2023/08/APG23-6-INP-112_Malaysia_WP4_PACP_WRC-23_Agenda_Items.docx" TargetMode="External"/><Relationship Id="rId38" Type="http://schemas.openxmlformats.org/officeDocument/2006/relationships/hyperlink" Target="https://www.itu.int/md/meetingdoc.asp?lang=en&amp;parent=R19-2WSHWRC23-C-0002" TargetMode="External"/><Relationship Id="rId46" Type="http://schemas.openxmlformats.org/officeDocument/2006/relationships/footer" Target="footer3.xml"/><Relationship Id="rId20" Type="http://schemas.openxmlformats.org/officeDocument/2006/relationships/hyperlink" Target="https://www.apt.int/sites/default/files/2023/08/APG23-6-INF-45_Status_of_RCC_preparation_to_WRC-23.pdf" TargetMode="External"/><Relationship Id="rId41" Type="http://schemas.openxmlformats.org/officeDocument/2006/relationships/hyperlink" Target="https://www.apt.int/sites/default/files/2023/08/APG23-6-INF-45_Status_of_RCC_preparation_to_WRC-23.pdf"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geetha@meas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50DBA-615A-40CA-B736-690F0663B852}">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10</TotalTime>
  <Pages>6</Pages>
  <Words>2494</Words>
  <Characters>14216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11</cp:revision>
  <cp:lastPrinted>2004-07-28T02:14:00Z</cp:lastPrinted>
  <dcterms:created xsi:type="dcterms:W3CDTF">2023-08-16T06:54:00Z</dcterms:created>
  <dcterms:modified xsi:type="dcterms:W3CDTF">2023-08-18T14:39:00Z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