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AB113A">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AB113A">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AB113A">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AB113A"/>
        </w:tc>
        <w:tc>
          <w:tcPr>
            <w:tcW w:w="5760" w:type="dxa"/>
            <w:vAlign w:val="center"/>
          </w:tcPr>
          <w:p w14:paraId="7A2E7755" w14:textId="77777777" w:rsidR="00D4428A" w:rsidRPr="00891D0B" w:rsidRDefault="00D4428A" w:rsidP="00AB113A">
            <w:pPr>
              <w:spacing w:before="40"/>
            </w:pPr>
            <w:r>
              <w:rPr>
                <w:b/>
              </w:rPr>
              <w:t>The 6th Meeting of the APT Conference Preparatory Group for WRC-23 (APG23-6)</w:t>
            </w:r>
          </w:p>
        </w:tc>
        <w:tc>
          <w:tcPr>
            <w:tcW w:w="2160" w:type="dxa"/>
          </w:tcPr>
          <w:p w14:paraId="63A4FC33" w14:textId="24509398" w:rsidR="00D4428A" w:rsidRDefault="00D4428A" w:rsidP="00AB113A">
            <w:pPr>
              <w:spacing w:before="40"/>
              <w:rPr>
                <w:b/>
                <w:bCs/>
                <w:lang w:val="fr-FR"/>
              </w:rPr>
            </w:pPr>
            <w:r>
              <w:rPr>
                <w:b/>
                <w:bCs/>
                <w:lang w:val="fr-FR"/>
              </w:rPr>
              <w:t>APG23-6/</w:t>
            </w:r>
            <w:r w:rsidR="008F10AE">
              <w:rPr>
                <w:b/>
                <w:bCs/>
                <w:lang w:val="fr-FR"/>
              </w:rPr>
              <w:t>OUT-</w:t>
            </w:r>
            <w:r w:rsidR="00FC4182">
              <w:rPr>
                <w:b/>
                <w:bCs/>
                <w:lang w:val="fr-FR"/>
              </w:rPr>
              <w:t>51</w:t>
            </w:r>
          </w:p>
          <w:p w14:paraId="4B6C2856" w14:textId="77777777" w:rsidR="00D4428A" w:rsidRPr="007E1FDD" w:rsidRDefault="00D4428A" w:rsidP="00AB113A">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AB113A">
            <w:pPr>
              <w:rPr>
                <w:lang w:val="en-GB"/>
              </w:rPr>
            </w:pPr>
          </w:p>
        </w:tc>
        <w:tc>
          <w:tcPr>
            <w:tcW w:w="5760" w:type="dxa"/>
            <w:vAlign w:val="bottom"/>
          </w:tcPr>
          <w:p w14:paraId="521A308B" w14:textId="77777777" w:rsidR="00D4428A" w:rsidRPr="00712451" w:rsidRDefault="00D4428A" w:rsidP="00AB113A">
            <w:pPr>
              <w:spacing w:before="40"/>
              <w:rPr>
                <w:b/>
              </w:rPr>
            </w:pPr>
            <w:r>
              <w:t>14 – 19 August 2023</w:t>
            </w:r>
            <w:r w:rsidRPr="00891D0B">
              <w:t xml:space="preserve">, </w:t>
            </w:r>
            <w:r>
              <w:t>Brisbane, Australia</w:t>
            </w:r>
          </w:p>
        </w:tc>
        <w:tc>
          <w:tcPr>
            <w:tcW w:w="2160" w:type="dxa"/>
            <w:vAlign w:val="bottom"/>
          </w:tcPr>
          <w:p w14:paraId="51C51B0A" w14:textId="6764C0FA" w:rsidR="00D4428A" w:rsidRPr="007E1FDD" w:rsidRDefault="008F10AE" w:rsidP="00AB113A">
            <w:pPr>
              <w:spacing w:before="40"/>
              <w:rPr>
                <w:bCs/>
              </w:rPr>
            </w:pPr>
            <w:r>
              <w:rPr>
                <w:bCs/>
              </w:rPr>
              <w:t>19</w:t>
            </w:r>
            <w:r w:rsidR="00673586">
              <w:rPr>
                <w:bCs/>
              </w:rPr>
              <w:t xml:space="preserve"> 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AB113A">
      <w:pPr>
        <w:rPr>
          <w:lang w:eastAsia="ko-KR"/>
        </w:rPr>
      </w:pPr>
    </w:p>
    <w:p w14:paraId="416BBD44" w14:textId="77777777" w:rsidR="00FF72BB" w:rsidRPr="00F62F74" w:rsidRDefault="00FF72BB" w:rsidP="00AB113A">
      <w:pPr>
        <w:rPr>
          <w:lang w:eastAsia="ko-KR"/>
        </w:rPr>
      </w:pPr>
    </w:p>
    <w:p w14:paraId="18E541A6" w14:textId="5B80D1D9" w:rsidR="00786FE2" w:rsidRPr="006E4CC4" w:rsidRDefault="00786FE2" w:rsidP="00AB113A">
      <w:pPr>
        <w:jc w:val="center"/>
        <w:rPr>
          <w:lang w:eastAsia="ko-KR"/>
        </w:rPr>
      </w:pPr>
      <w:r>
        <w:rPr>
          <w:lang w:eastAsia="ko-KR"/>
        </w:rPr>
        <w:t>Working Party 4</w:t>
      </w:r>
      <w:r w:rsidRPr="006E4CC4">
        <w:rPr>
          <w:lang w:eastAsia="ko-KR"/>
        </w:rPr>
        <w:t xml:space="preserve"> </w:t>
      </w:r>
    </w:p>
    <w:p w14:paraId="2E144E62" w14:textId="77777777" w:rsidR="00786FE2" w:rsidRPr="00635753" w:rsidRDefault="00786FE2" w:rsidP="00AB113A">
      <w:pPr>
        <w:contextualSpacing/>
        <w:jc w:val="center"/>
        <w:rPr>
          <w:bCs/>
          <w:caps/>
          <w:lang w:val="en-NZ"/>
        </w:rPr>
      </w:pPr>
    </w:p>
    <w:p w14:paraId="5C0FBE3F" w14:textId="656098DD" w:rsidR="00786FE2" w:rsidRDefault="00786FE2" w:rsidP="00AB113A">
      <w:pPr>
        <w:jc w:val="center"/>
        <w:rPr>
          <w:b/>
          <w:bCs/>
          <w:caps/>
          <w:lang w:val="en-NZ"/>
        </w:rPr>
      </w:pPr>
      <w:r>
        <w:rPr>
          <w:b/>
          <w:bCs/>
          <w:caps/>
          <w:lang w:val="en-NZ"/>
        </w:rPr>
        <w:t xml:space="preserve">APT VIEW and Preliminary APT Common Proposal </w:t>
      </w:r>
    </w:p>
    <w:p w14:paraId="63025D03" w14:textId="10819657" w:rsidR="00786FE2" w:rsidRDefault="00786FE2" w:rsidP="00AB113A">
      <w:pPr>
        <w:contextualSpacing/>
        <w:jc w:val="center"/>
        <w:rPr>
          <w:b/>
          <w:bCs/>
          <w:caps/>
        </w:rPr>
      </w:pPr>
      <w:r>
        <w:rPr>
          <w:b/>
          <w:bCs/>
          <w:caps/>
          <w:lang w:val="en-NZ"/>
        </w:rPr>
        <w:t>on WRC-23 agenda item</w:t>
      </w:r>
      <w:r w:rsidRPr="00635753">
        <w:rPr>
          <w:b/>
          <w:bCs/>
          <w:caps/>
          <w:lang w:val="en-NZ"/>
        </w:rPr>
        <w:t xml:space="preserve"> 7 </w:t>
      </w:r>
      <w:r w:rsidR="00904CA2">
        <w:rPr>
          <w:b/>
          <w:bCs/>
          <w:caps/>
          <w:lang w:val="en-NZ"/>
        </w:rPr>
        <w:t>(</w:t>
      </w:r>
      <w:r w:rsidRPr="00635753">
        <w:rPr>
          <w:b/>
          <w:bCs/>
          <w:caps/>
          <w:lang w:val="en-NZ"/>
        </w:rPr>
        <w:t>TOPIC</w:t>
      </w:r>
      <w:r>
        <w:rPr>
          <w:b/>
          <w:bCs/>
          <w:caps/>
          <w:lang w:val="en-NZ"/>
        </w:rPr>
        <w:t xml:space="preserve"> </w:t>
      </w:r>
      <w:r w:rsidRPr="00635753">
        <w:rPr>
          <w:b/>
          <w:bCs/>
          <w:caps/>
        </w:rPr>
        <w:t>K</w:t>
      </w:r>
      <w:r w:rsidR="00904CA2">
        <w:rPr>
          <w:b/>
          <w:bCs/>
          <w:caps/>
        </w:rPr>
        <w:t>)</w:t>
      </w:r>
    </w:p>
    <w:p w14:paraId="18C90095" w14:textId="77777777" w:rsidR="00786FE2" w:rsidRPr="00635753" w:rsidRDefault="00786FE2" w:rsidP="00AB113A">
      <w:pPr>
        <w:spacing w:after="120"/>
        <w:jc w:val="center"/>
        <w:rPr>
          <w:b/>
          <w:bCs/>
          <w:caps/>
          <w:lang w:eastAsia="ko-KR"/>
        </w:rPr>
      </w:pPr>
    </w:p>
    <w:p w14:paraId="0CF04251" w14:textId="77777777" w:rsidR="00904CA2" w:rsidRPr="00F62F74" w:rsidRDefault="00904CA2" w:rsidP="00AB113A">
      <w:pPr>
        <w:spacing w:after="120"/>
        <w:jc w:val="both"/>
        <w:rPr>
          <w:lang w:val="en-NZ"/>
        </w:rPr>
      </w:pPr>
      <w:r w:rsidRPr="00F62F74">
        <w:rPr>
          <w:b/>
          <w:lang w:val="en-NZ"/>
        </w:rPr>
        <w:t xml:space="preserve">Agenda Item 7: </w:t>
      </w:r>
    </w:p>
    <w:p w14:paraId="782CD04D" w14:textId="77777777" w:rsidR="00904CA2" w:rsidRDefault="00904CA2" w:rsidP="00AB113A">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xml:space="preserve">, </w:t>
      </w:r>
      <w:proofErr w:type="gramStart"/>
      <w:r w:rsidRPr="00F62F74">
        <w:rPr>
          <w:i/>
          <w:lang w:val="en-NZ"/>
        </w:rPr>
        <w:t>in order to</w:t>
      </w:r>
      <w:proofErr w:type="gramEnd"/>
      <w:r w:rsidRPr="00F62F74">
        <w:rPr>
          <w:i/>
          <w:lang w:val="en-NZ"/>
        </w:rPr>
        <w:t xml:space="preserve"> facilitate the rational, efficient and economical use of radio frequencies and any associated orbits, including the geostationary-satellite orbit.</w:t>
      </w:r>
    </w:p>
    <w:p w14:paraId="6A385C9B" w14:textId="17753668" w:rsidR="00191037" w:rsidRPr="00BA28B2" w:rsidRDefault="00191037" w:rsidP="00AB113A">
      <w:pPr>
        <w:pStyle w:val="Heading1"/>
        <w:spacing w:before="240"/>
        <w:rPr>
          <w:rFonts w:ascii="Times New Roman" w:hAnsi="Times New Roman"/>
        </w:rPr>
      </w:pPr>
      <w:r w:rsidRPr="00D4428A">
        <w:rPr>
          <w:rFonts w:ascii="Times New Roman" w:hAnsi="Times New Roman"/>
        </w:rPr>
        <w:t>Topic K</w:t>
      </w:r>
      <w:r w:rsidR="009738A8" w:rsidRPr="00D4428A">
        <w:rPr>
          <w:rFonts w:ascii="Times New Roman" w:hAnsi="Times New Roman"/>
        </w:rPr>
        <w:t xml:space="preserve">: </w:t>
      </w:r>
      <w:r w:rsidRPr="00D4428A">
        <w:rPr>
          <w:rFonts w:ascii="Times New Roman" w:hAnsi="Times New Roman"/>
        </w:rPr>
        <w:t>MODs to Res. 553 (Rev.WRC-15)</w:t>
      </w:r>
    </w:p>
    <w:p w14:paraId="79451A45" w14:textId="6E52FE7A" w:rsidR="00D4428A" w:rsidRPr="00F62F74" w:rsidRDefault="00C7012B" w:rsidP="00AB113A">
      <w:pPr>
        <w:pStyle w:val="Style1H2"/>
      </w:pPr>
      <w:r>
        <w:t xml:space="preserve">1. </w:t>
      </w:r>
      <w:r>
        <w:tab/>
      </w:r>
      <w:r w:rsidR="00D4428A" w:rsidRPr="00F62F74">
        <w:t>Background Information</w:t>
      </w:r>
    </w:p>
    <w:p w14:paraId="6B0DC06D" w14:textId="77777777" w:rsidR="00D4428A" w:rsidRDefault="00D4428A" w:rsidP="00AB113A">
      <w:pPr>
        <w:pStyle w:val="ListParagraph"/>
        <w:jc w:val="both"/>
        <w:rPr>
          <w:lang w:eastAsia="ja-JP"/>
        </w:rPr>
      </w:pPr>
      <w:r w:rsidRPr="009B6FEE">
        <w:rPr>
          <w:lang w:eastAsia="ja-JP"/>
        </w:rPr>
        <w:t xml:space="preserve">Resolution </w:t>
      </w:r>
      <w:r w:rsidRPr="009B6FEE">
        <w:rPr>
          <w:b/>
          <w:bCs/>
          <w:lang w:eastAsia="ja-JP"/>
        </w:rPr>
        <w:t xml:space="preserve">553 (Rev.WRC-15) </w:t>
      </w:r>
      <w:r w:rsidRPr="009B6FEE">
        <w:rPr>
          <w:lang w:eastAsia="ja-JP"/>
        </w:rPr>
        <w:t xml:space="preserve">titled </w:t>
      </w:r>
      <w:r w:rsidRPr="009B6FEE">
        <w:rPr>
          <w:i/>
          <w:iCs/>
          <w:lang w:eastAsia="ja-JP"/>
        </w:rPr>
        <w:t>Additional regulatory measures for broadcasting-satellite networks in the frequency band 21.4-22 GHz in Regions 1 and 3</w:t>
      </w:r>
      <w:r w:rsidRPr="009B6FEE">
        <w:rPr>
          <w:lang w:eastAsia="ja-JP"/>
        </w:rPr>
        <w:t xml:space="preserve"> has been adopted to enhance equitable access to this frequency band.</w:t>
      </w:r>
    </w:p>
    <w:p w14:paraId="099BFD14" w14:textId="77777777" w:rsidR="00D4428A" w:rsidRPr="004E32DF" w:rsidRDefault="00D4428A" w:rsidP="00AB113A">
      <w:pPr>
        <w:pStyle w:val="ListParagraph"/>
        <w:jc w:val="both"/>
        <w:rPr>
          <w:lang w:eastAsia="ja-JP"/>
        </w:rPr>
      </w:pPr>
      <w:r w:rsidRPr="009B6FEE">
        <w:rPr>
          <w:lang w:eastAsia="ja-JP"/>
        </w:rPr>
        <w:t xml:space="preserve">Resolution </w:t>
      </w:r>
      <w:r w:rsidRPr="009B6FEE">
        <w:rPr>
          <w:b/>
          <w:bCs/>
          <w:lang w:eastAsia="ja-JP"/>
        </w:rPr>
        <w:t>553 (Rev.WRC-15)</w:t>
      </w:r>
      <w:r w:rsidRPr="009B6FEE">
        <w:rPr>
          <w:lang w:eastAsia="ja-JP"/>
        </w:rPr>
        <w:t xml:space="preserve"> </w:t>
      </w:r>
      <w:r w:rsidRPr="009B6FEE" w:rsidDel="009C18FD">
        <w:rPr>
          <w:lang w:eastAsia="zh-CN"/>
        </w:rPr>
        <w:t xml:space="preserve">was adopted to provide a better situation regarding equitable access compared with the </w:t>
      </w:r>
      <w:r w:rsidRPr="009B6FEE">
        <w:rPr>
          <w:lang w:eastAsia="zh-CN"/>
        </w:rPr>
        <w:t>p</w:t>
      </w:r>
      <w:r w:rsidRPr="009B6FEE" w:rsidDel="009C18FD">
        <w:rPr>
          <w:lang w:eastAsia="zh-CN"/>
        </w:rPr>
        <w:t xml:space="preserve">lanning </w:t>
      </w:r>
      <w:r w:rsidRPr="009B6FEE">
        <w:rPr>
          <w:lang w:eastAsia="zh-CN"/>
        </w:rPr>
        <w:t>a</w:t>
      </w:r>
      <w:r w:rsidRPr="009B6FEE" w:rsidDel="009C18FD">
        <w:rPr>
          <w:lang w:eastAsia="zh-CN"/>
        </w:rPr>
        <w:t xml:space="preserve">pproach. As stated </w:t>
      </w:r>
      <w:r w:rsidRPr="009B6FEE" w:rsidDel="009C18FD">
        <w:rPr>
          <w:color w:val="000000" w:themeColor="text1"/>
          <w:lang w:eastAsia="zh-CN"/>
        </w:rPr>
        <w:t xml:space="preserve">in </w:t>
      </w:r>
      <w:r w:rsidRPr="009B6FEE" w:rsidDel="009C18FD">
        <w:rPr>
          <w:i/>
          <w:iCs/>
        </w:rPr>
        <w:t>considering further</w:t>
      </w:r>
      <w:r>
        <w:rPr>
          <w:i/>
          <w:iCs/>
        </w:rPr>
        <w:t xml:space="preserve"> </w:t>
      </w:r>
      <w:r w:rsidRPr="009B6FEE" w:rsidDel="009C18FD">
        <w:rPr>
          <w:i/>
          <w:iCs/>
          <w:lang w:eastAsia="zh-CN"/>
        </w:rPr>
        <w:t>a</w:t>
      </w:r>
      <w:r w:rsidRPr="009B6FEE">
        <w:rPr>
          <w:i/>
          <w:iCs/>
          <w:lang w:eastAsia="zh-CN"/>
        </w:rPr>
        <w:t>)</w:t>
      </w:r>
      <w:r w:rsidRPr="009B6FEE" w:rsidDel="009C18FD">
        <w:rPr>
          <w:color w:val="000000" w:themeColor="text1"/>
          <w:lang w:eastAsia="zh-CN"/>
        </w:rPr>
        <w:t xml:space="preserve"> </w:t>
      </w:r>
      <w:r w:rsidRPr="009B6FEE" w:rsidDel="009C18FD">
        <w:rPr>
          <w:lang w:eastAsia="zh-CN"/>
        </w:rPr>
        <w:t xml:space="preserve">to this Resolution a priori </w:t>
      </w:r>
      <w:r w:rsidRPr="004E32DF" w:rsidDel="009C18FD">
        <w:rPr>
          <w:lang w:eastAsia="zh-CN"/>
        </w:rPr>
        <w:t xml:space="preserve">planning for BSS networks in this frequency band was avoided </w:t>
      </w:r>
      <w:r w:rsidRPr="004E32DF">
        <w:rPr>
          <w:lang w:eastAsia="ja-JP"/>
        </w:rPr>
        <w:t xml:space="preserve">as it </w:t>
      </w:r>
      <w:r w:rsidRPr="00BA4DBD">
        <w:rPr>
          <w:i/>
          <w:iCs/>
          <w:lang w:eastAsia="ja-JP"/>
        </w:rPr>
        <w:t xml:space="preserve">“freezes access according to technological assumptions at the time of planning and then prevents flexible use taking account of </w:t>
      </w:r>
      <w:proofErr w:type="gramStart"/>
      <w:r w:rsidRPr="00BA4DBD">
        <w:rPr>
          <w:i/>
          <w:iCs/>
          <w:lang w:eastAsia="ja-JP"/>
        </w:rPr>
        <w:t>real world</w:t>
      </w:r>
      <w:proofErr w:type="gramEnd"/>
      <w:r w:rsidRPr="00BA4DBD">
        <w:rPr>
          <w:i/>
          <w:iCs/>
          <w:lang w:eastAsia="ja-JP"/>
        </w:rPr>
        <w:t xml:space="preserve"> demand and technical developments”.</w:t>
      </w:r>
    </w:p>
    <w:p w14:paraId="404895E6" w14:textId="77777777" w:rsidR="00D4428A" w:rsidRDefault="00D4428A" w:rsidP="00AB113A">
      <w:pPr>
        <w:pStyle w:val="ListParagraph"/>
        <w:jc w:val="both"/>
        <w:rPr>
          <w:lang w:eastAsia="ja-JP"/>
        </w:rPr>
      </w:pPr>
      <w:r w:rsidRPr="00F62F74">
        <w:rPr>
          <w:lang w:eastAsia="ja-JP"/>
        </w:rPr>
        <w:t xml:space="preserve">Unfortunately, the current provisions contradict the above objective of the Resolution and can </w:t>
      </w:r>
      <w:r w:rsidRPr="00F62F74">
        <w:t>permanently</w:t>
      </w:r>
      <w:r w:rsidRPr="00F62F74">
        <w:rPr>
          <w:lang w:eastAsia="ja-JP"/>
        </w:rPr>
        <w:t xml:space="preserve"> deprive administrations of being effectively benefited from the Resolution without even once having a notified network in this frequency band. </w:t>
      </w:r>
    </w:p>
    <w:p w14:paraId="3BAB63C9" w14:textId="77777777" w:rsidR="00D4428A" w:rsidRDefault="00D4428A" w:rsidP="00AB113A">
      <w:pPr>
        <w:pStyle w:val="ListParagraph"/>
        <w:rPr>
          <w:lang w:bidi="fa-IR"/>
        </w:rPr>
      </w:pPr>
      <w:r w:rsidRPr="009B6FEE">
        <w:t xml:space="preserve">Topic K under agenda item 7 of WRC-23 was established </w:t>
      </w:r>
      <w:r w:rsidRPr="009B6FEE">
        <w:rPr>
          <w:lang w:eastAsia="ja-JP"/>
        </w:rPr>
        <w:t xml:space="preserve">to remove </w:t>
      </w:r>
      <w:r w:rsidRPr="009B6FEE">
        <w:t xml:space="preserve">certain restrictions in </w:t>
      </w:r>
      <w:bookmarkStart w:id="1" w:name="_Hlk111126610"/>
      <w:r w:rsidRPr="009B6FEE">
        <w:rPr>
          <w:lang w:eastAsia="ja-JP"/>
        </w:rPr>
        <w:t>Resolution</w:t>
      </w:r>
      <w:r>
        <w:rPr>
          <w:lang w:eastAsia="ja-JP"/>
        </w:rPr>
        <w:t> </w:t>
      </w:r>
      <w:r w:rsidRPr="009B6FEE">
        <w:rPr>
          <w:b/>
          <w:bCs/>
          <w:lang w:eastAsia="ja-JP"/>
        </w:rPr>
        <w:t>553 (Rev.WRC-15)</w:t>
      </w:r>
      <w:bookmarkEnd w:id="1"/>
      <w:r w:rsidRPr="009B6FEE">
        <w:rPr>
          <w:lang w:eastAsia="ja-JP"/>
        </w:rPr>
        <w:t xml:space="preserve"> </w:t>
      </w:r>
      <w:r w:rsidRPr="009B6FEE">
        <w:t>that could prevent administrations from effectively using the Resolution. The</w:t>
      </w:r>
      <w:r w:rsidRPr="009B6FEE">
        <w:rPr>
          <w:lang w:bidi="fa-IR"/>
        </w:rPr>
        <w:t>se restrictions can be summarized as follows:</w:t>
      </w:r>
    </w:p>
    <w:p w14:paraId="391FD795" w14:textId="77777777" w:rsidR="00D4428A" w:rsidRDefault="00D4428A" w:rsidP="00AB113A">
      <w:pPr>
        <w:pStyle w:val="ListParagraph"/>
        <w:numPr>
          <w:ilvl w:val="0"/>
          <w:numId w:val="3"/>
        </w:numPr>
        <w:ind w:left="1440"/>
        <w:jc w:val="both"/>
      </w:pPr>
      <w:r w:rsidRPr="009B6FEE">
        <w:t>The restriction that makes the Resolution applicable only once by an administration regardless of whether that administration has succeeded in notifying the intended network.</w:t>
      </w:r>
      <w:bookmarkStart w:id="2" w:name="_Hlk112908472"/>
    </w:p>
    <w:p w14:paraId="159E4680" w14:textId="77777777" w:rsidR="00D4428A" w:rsidRDefault="00D4428A" w:rsidP="00AB113A">
      <w:pPr>
        <w:pStyle w:val="ListParagraph"/>
        <w:numPr>
          <w:ilvl w:val="0"/>
          <w:numId w:val="3"/>
        </w:numPr>
        <w:ind w:left="1440"/>
        <w:jc w:val="both"/>
      </w:pPr>
      <w:r w:rsidRPr="009B6FEE">
        <w:t>The restriction that prevents an administration to apply the Resolution if it has even one pending request under the normal procedure of coordination in the relevant frequency band.</w:t>
      </w:r>
    </w:p>
    <w:bookmarkEnd w:id="2"/>
    <w:p w14:paraId="74034808" w14:textId="44BF843E" w:rsidR="00D4428A" w:rsidRDefault="00D4428A" w:rsidP="00AB113A">
      <w:pPr>
        <w:ind w:left="720" w:hanging="360"/>
        <w:jc w:val="both"/>
        <w:rPr>
          <w:lang w:eastAsia="ja-JP"/>
        </w:rPr>
      </w:pPr>
    </w:p>
    <w:p w14:paraId="02411A77" w14:textId="16A0F5D7" w:rsidR="004E4EE8" w:rsidRDefault="004E4EE8" w:rsidP="00AB113A">
      <w:pPr>
        <w:ind w:left="720" w:hanging="360"/>
        <w:jc w:val="both"/>
        <w:rPr>
          <w:lang w:eastAsia="ja-JP"/>
        </w:rPr>
      </w:pPr>
    </w:p>
    <w:p w14:paraId="3803EBD6" w14:textId="77777777" w:rsidR="004E4EE8" w:rsidRDefault="004E4EE8" w:rsidP="00AB113A">
      <w:pPr>
        <w:ind w:left="720" w:hanging="360"/>
        <w:jc w:val="both"/>
        <w:rPr>
          <w:lang w:eastAsia="ja-JP"/>
        </w:rPr>
      </w:pPr>
    </w:p>
    <w:p w14:paraId="42D811C1" w14:textId="46F685F7" w:rsidR="00D4428A" w:rsidRPr="008C0F80" w:rsidRDefault="00D4428A" w:rsidP="00AB113A">
      <w:pPr>
        <w:pStyle w:val="ListParagraph"/>
        <w:numPr>
          <w:ilvl w:val="0"/>
          <w:numId w:val="0"/>
        </w:numPr>
        <w:ind w:left="720"/>
        <w:jc w:val="both"/>
        <w:rPr>
          <w:b/>
          <w:bCs/>
        </w:rPr>
      </w:pPr>
      <w:r w:rsidRPr="008C0F80">
        <w:rPr>
          <w:b/>
          <w:bCs/>
        </w:rPr>
        <w:lastRenderedPageBreak/>
        <w:t>Information on on-going ITU-R Study</w:t>
      </w:r>
    </w:p>
    <w:p w14:paraId="762DE5FD" w14:textId="0A8867C8" w:rsidR="00D4428A" w:rsidRDefault="00D4428A" w:rsidP="00AB113A">
      <w:pPr>
        <w:pStyle w:val="ListParagraph"/>
        <w:jc w:val="both"/>
      </w:pPr>
      <w:r>
        <w:t xml:space="preserve">The CPM23-2 meeting (27 March – 6 April 2023) </w:t>
      </w:r>
      <w:r w:rsidRPr="00F62F74">
        <w:t xml:space="preserve">considered </w:t>
      </w:r>
      <w:r>
        <w:t>one</w:t>
      </w:r>
      <w:r w:rsidRPr="00F62F74">
        <w:t xml:space="preserve"> input </w:t>
      </w:r>
      <w:r>
        <w:t xml:space="preserve">contribution </w:t>
      </w:r>
      <w:r w:rsidRPr="00F62F74">
        <w:t xml:space="preserve">towards the </w:t>
      </w:r>
      <w:r>
        <w:rPr>
          <w:lang w:eastAsia="zh-CN"/>
        </w:rPr>
        <w:t xml:space="preserve">finalization of the </w:t>
      </w:r>
      <w:r>
        <w:t>draft CPM text</w:t>
      </w:r>
      <w:r w:rsidRPr="00612E33">
        <w:t xml:space="preserve"> </w:t>
      </w:r>
      <w:r w:rsidRPr="00F62F74">
        <w:t xml:space="preserve">as Annex </w:t>
      </w:r>
      <w:r>
        <w:t>36</w:t>
      </w:r>
      <w:r w:rsidRPr="00F62F74">
        <w:t xml:space="preserve"> to Chairman’s Report (Document </w:t>
      </w:r>
      <w:r>
        <w:t xml:space="preserve">4A/856 </w:t>
      </w:r>
      <w:hyperlink r:id="rId9" w:history="1">
        <w:r w:rsidRPr="00802A2A">
          <w:rPr>
            <w:rStyle w:val="Hyperlink"/>
          </w:rPr>
          <w:t>Annex 36</w:t>
        </w:r>
      </w:hyperlink>
      <w:r>
        <w:t xml:space="preserve">) that proposed modifications to Method K2 to allow administrations apply </w:t>
      </w:r>
      <w:r w:rsidRPr="006D06ED">
        <w:t xml:space="preserve">Resolution </w:t>
      </w:r>
      <w:r w:rsidRPr="006D06ED">
        <w:rPr>
          <w:b/>
          <w:bCs/>
        </w:rPr>
        <w:t>553 (Rev.WRC-15)</w:t>
      </w:r>
      <w:r>
        <w:rPr>
          <w:b/>
          <w:bCs/>
        </w:rPr>
        <w:t xml:space="preserve"> </w:t>
      </w:r>
      <w:r w:rsidRPr="00842E0A">
        <w:t>through withdrawal or modification of the previous submissions.</w:t>
      </w:r>
    </w:p>
    <w:p w14:paraId="2E02279E" w14:textId="77777777" w:rsidR="00904CA2" w:rsidRDefault="00904CA2" w:rsidP="00AB113A">
      <w:pPr>
        <w:jc w:val="both"/>
      </w:pPr>
    </w:p>
    <w:p w14:paraId="59DD02AF" w14:textId="77777777" w:rsidR="00D4428A" w:rsidRDefault="00D4428A" w:rsidP="00AB113A">
      <w:pPr>
        <w:pStyle w:val="ListParagraph"/>
        <w:jc w:val="both"/>
      </w:pPr>
      <w:r>
        <w:t xml:space="preserve">The </w:t>
      </w:r>
      <w:r>
        <w:rPr>
          <w:lang w:eastAsia="zh-CN"/>
        </w:rPr>
        <w:t xml:space="preserve">meeting agreed to the proposal to modify </w:t>
      </w:r>
      <w:r w:rsidRPr="00F06E20">
        <w:rPr>
          <w:lang w:eastAsia="zh-CN"/>
        </w:rPr>
        <w:t xml:space="preserve">Method </w:t>
      </w:r>
      <w:r>
        <w:rPr>
          <w:lang w:eastAsia="zh-CN"/>
        </w:rPr>
        <w:t xml:space="preserve">K2 and </w:t>
      </w:r>
      <w:r>
        <w:t xml:space="preserve">finalized the two methods to address this topic as contained in the </w:t>
      </w:r>
      <w:hyperlink r:id="rId10" w:history="1">
        <w:r w:rsidRPr="00F169CD">
          <w:rPr>
            <w:rStyle w:val="Hyperlink"/>
          </w:rPr>
          <w:t>final CPM Report</w:t>
        </w:r>
      </w:hyperlink>
      <w:r>
        <w:t xml:space="preserve">, as follows: </w:t>
      </w:r>
    </w:p>
    <w:p w14:paraId="0EBCE372" w14:textId="77777777" w:rsidR="00D4428A" w:rsidRDefault="00D4428A" w:rsidP="00AB113A">
      <w:pPr>
        <w:ind w:left="720"/>
        <w:jc w:val="both"/>
        <w:rPr>
          <w:b/>
          <w:bCs/>
        </w:rPr>
      </w:pPr>
    </w:p>
    <w:p w14:paraId="7F6E4728" w14:textId="77777777" w:rsidR="00D4428A" w:rsidRDefault="00D4428A" w:rsidP="00AB113A">
      <w:pPr>
        <w:ind w:left="720"/>
        <w:jc w:val="both"/>
        <w:rPr>
          <w:b/>
          <w:bCs/>
        </w:rPr>
      </w:pPr>
      <w:r w:rsidRPr="002519AF">
        <w:rPr>
          <w:b/>
          <w:bCs/>
        </w:rPr>
        <w:t>Method</w:t>
      </w:r>
      <w:r w:rsidRPr="006D06ED">
        <w:t xml:space="preserve"> </w:t>
      </w:r>
      <w:r w:rsidRPr="006D06ED">
        <w:rPr>
          <w:b/>
          <w:bCs/>
        </w:rPr>
        <w:t>K1</w:t>
      </w:r>
      <w:r w:rsidRPr="006D06ED">
        <w:tab/>
        <w:t xml:space="preserve">No changes to Resolution </w:t>
      </w:r>
      <w:r w:rsidRPr="006D06ED">
        <w:rPr>
          <w:b/>
          <w:bCs/>
        </w:rPr>
        <w:t>553 (Rev.WRC-15).</w:t>
      </w:r>
    </w:p>
    <w:p w14:paraId="44ACB2F5" w14:textId="77777777" w:rsidR="00D4428A" w:rsidRPr="006D06ED" w:rsidRDefault="00D4428A" w:rsidP="00AB113A">
      <w:pPr>
        <w:ind w:left="720"/>
        <w:jc w:val="both"/>
      </w:pPr>
    </w:p>
    <w:p w14:paraId="305A2A5C" w14:textId="77777777" w:rsidR="00D4428A" w:rsidRPr="006D06ED" w:rsidRDefault="00D4428A" w:rsidP="00AB113A">
      <w:pPr>
        <w:ind w:left="2160" w:hanging="1440"/>
        <w:jc w:val="both"/>
      </w:pPr>
      <w:r w:rsidRPr="002519AF">
        <w:rPr>
          <w:b/>
          <w:bCs/>
        </w:rPr>
        <w:t>Method</w:t>
      </w:r>
      <w:r w:rsidRPr="006D06ED">
        <w:t xml:space="preserve"> </w:t>
      </w:r>
      <w:r w:rsidRPr="006D06ED">
        <w:rPr>
          <w:b/>
          <w:bCs/>
        </w:rPr>
        <w:t>K2</w:t>
      </w:r>
      <w:r w:rsidRPr="006D06ED">
        <w:tab/>
        <w:t xml:space="preserve">This method proposes to modify paragraphs 1 and 2 of the Attachment to Resolution </w:t>
      </w:r>
      <w:r w:rsidRPr="006D06ED">
        <w:rPr>
          <w:b/>
          <w:bCs/>
        </w:rPr>
        <w:t>553 (Rev.WRC-15)</w:t>
      </w:r>
      <w:r w:rsidRPr="006D06ED">
        <w:t xml:space="preserve"> to remove the intended restrictions in the Resolution.</w:t>
      </w:r>
    </w:p>
    <w:p w14:paraId="0E17DE98" w14:textId="77777777" w:rsidR="00D4428A" w:rsidRDefault="00D4428A" w:rsidP="00AB113A">
      <w:pPr>
        <w:jc w:val="both"/>
      </w:pPr>
    </w:p>
    <w:p w14:paraId="09D66994" w14:textId="77777777" w:rsidR="00626891" w:rsidRPr="00BA28B2" w:rsidRDefault="00626891" w:rsidP="00AB113A">
      <w:pPr>
        <w:pStyle w:val="ListParagraph"/>
        <w:numPr>
          <w:ilvl w:val="0"/>
          <w:numId w:val="0"/>
        </w:numPr>
        <w:ind w:left="1440"/>
        <w:jc w:val="both"/>
      </w:pPr>
    </w:p>
    <w:p w14:paraId="1414AFB1" w14:textId="77777777" w:rsidR="000968B6" w:rsidRPr="00BA28B2" w:rsidRDefault="000968B6" w:rsidP="00AB113A">
      <w:pPr>
        <w:pStyle w:val="Style1H2"/>
      </w:pPr>
      <w:r w:rsidRPr="00BA28B2">
        <w:t xml:space="preserve">2. </w:t>
      </w:r>
      <w:r w:rsidRPr="00BA28B2">
        <w:tab/>
        <w:t>Documents</w:t>
      </w:r>
    </w:p>
    <w:p w14:paraId="78A4E3A0" w14:textId="143D28DB" w:rsidR="000968B6" w:rsidRPr="00BA28B2" w:rsidRDefault="000968B6" w:rsidP="00AB113A">
      <w:pPr>
        <w:pStyle w:val="ListParagraph"/>
        <w:contextualSpacing/>
        <w:jc w:val="both"/>
      </w:pPr>
      <w:r w:rsidRPr="00162C3F">
        <w:rPr>
          <w:b/>
          <w:bCs/>
          <w:lang w:val="en-NZ"/>
        </w:rPr>
        <w:t>Input Document(s):</w:t>
      </w:r>
      <w:r w:rsidRPr="001F711F">
        <w:rPr>
          <w:rFonts w:eastAsiaTheme="minorEastAsia"/>
          <w:lang w:eastAsia="ja-JP"/>
        </w:rPr>
        <w:t xml:space="preserve"> </w:t>
      </w:r>
      <w:hyperlink r:id="rId11" w:history="1">
        <w:r w:rsidRPr="001F711F">
          <w:rPr>
            <w:rStyle w:val="Hyperlink"/>
            <w:rFonts w:eastAsiaTheme="minorEastAsia"/>
            <w:lang w:eastAsia="ja-JP"/>
          </w:rPr>
          <w:t>INP-39</w:t>
        </w:r>
      </w:hyperlink>
      <w:r w:rsidRPr="001F711F">
        <w:rPr>
          <w:rFonts w:eastAsiaTheme="minorEastAsia"/>
          <w:lang w:eastAsia="ja-JP"/>
        </w:rPr>
        <w:t xml:space="preserve"> (</w:t>
      </w:r>
      <w:r w:rsidRPr="001F711F">
        <w:t>J)</w:t>
      </w:r>
      <w:r>
        <w:t xml:space="preserve">, </w:t>
      </w:r>
      <w:hyperlink r:id="rId12" w:history="1">
        <w:r w:rsidRPr="001F711F">
          <w:rPr>
            <w:rStyle w:val="Hyperlink"/>
          </w:rPr>
          <w:t>INP-61</w:t>
        </w:r>
      </w:hyperlink>
      <w:r>
        <w:t xml:space="preserve"> (THA), </w:t>
      </w:r>
      <w:hyperlink r:id="rId13" w:history="1">
        <w:r w:rsidRPr="001F711F">
          <w:rPr>
            <w:rStyle w:val="Hyperlink"/>
          </w:rPr>
          <w:t>INP-68</w:t>
        </w:r>
      </w:hyperlink>
      <w:r>
        <w:t xml:space="preserve"> (IRN), </w:t>
      </w:r>
      <w:hyperlink r:id="rId14" w:history="1">
        <w:r w:rsidRPr="001F711F">
          <w:rPr>
            <w:rStyle w:val="Hyperlink"/>
          </w:rPr>
          <w:t>INP-83</w:t>
        </w:r>
      </w:hyperlink>
      <w:r>
        <w:t xml:space="preserve"> (AUS), </w:t>
      </w:r>
      <w:hyperlink r:id="rId15" w:history="1">
        <w:r w:rsidRPr="001F711F">
          <w:rPr>
            <w:rStyle w:val="Hyperlink"/>
          </w:rPr>
          <w:t>INP-90 Rev.1</w:t>
        </w:r>
      </w:hyperlink>
      <w:r>
        <w:t xml:space="preserve"> (KOR), </w:t>
      </w:r>
      <w:hyperlink r:id="rId16" w:history="1">
        <w:r w:rsidRPr="001F711F">
          <w:rPr>
            <w:rStyle w:val="Hyperlink"/>
          </w:rPr>
          <w:t>INP-106</w:t>
        </w:r>
      </w:hyperlink>
      <w:r>
        <w:t xml:space="preserve"> (CHN), </w:t>
      </w:r>
      <w:hyperlink r:id="rId17" w:history="1">
        <w:r w:rsidR="00B97359" w:rsidRPr="004B2603">
          <w:rPr>
            <w:rStyle w:val="Hyperlink"/>
          </w:rPr>
          <w:t>INP-112</w:t>
        </w:r>
      </w:hyperlink>
      <w:r w:rsidR="00B97359">
        <w:t xml:space="preserve"> (MLA), </w:t>
      </w:r>
      <w:hyperlink r:id="rId18" w:history="1">
        <w:r w:rsidRPr="00BB220A">
          <w:rPr>
            <w:rStyle w:val="Hyperlink"/>
          </w:rPr>
          <w:t>INP-120</w:t>
        </w:r>
      </w:hyperlink>
      <w:r>
        <w:t xml:space="preserve"> (VTN)</w:t>
      </w:r>
    </w:p>
    <w:p w14:paraId="6D620545" w14:textId="0A589C84" w:rsidR="00F75EA5" w:rsidRPr="00F75EA5" w:rsidRDefault="00F75EA5" w:rsidP="00AB113A">
      <w:pPr>
        <w:pStyle w:val="ListParagraph"/>
        <w:contextualSpacing/>
        <w:jc w:val="both"/>
        <w:rPr>
          <w:bCs/>
          <w:lang w:val="en-NZ"/>
        </w:rPr>
      </w:pPr>
      <w:r w:rsidRPr="00162C3F">
        <w:rPr>
          <w:b/>
          <w:bCs/>
          <w:lang w:val="en-NZ"/>
        </w:rPr>
        <w:t>Information Document(s):</w:t>
      </w:r>
      <w:r w:rsidRPr="00F75EA5">
        <w:t xml:space="preserve"> </w:t>
      </w:r>
      <w:hyperlink r:id="rId19" w:history="1">
        <w:r w:rsidRPr="00F75EA5">
          <w:rPr>
            <w:rStyle w:val="Hyperlink"/>
          </w:rPr>
          <w:t>INF-35</w:t>
        </w:r>
      </w:hyperlink>
      <w:r w:rsidRPr="00F75EA5">
        <w:t xml:space="preserve"> (DG 7 Chairs), </w:t>
      </w:r>
      <w:hyperlink r:id="rId20" w:history="1">
        <w:r w:rsidRPr="00F75EA5">
          <w:rPr>
            <w:rStyle w:val="Hyperlink"/>
          </w:rPr>
          <w:t>INP-45</w:t>
        </w:r>
      </w:hyperlink>
      <w:r w:rsidRPr="00F75EA5">
        <w:t xml:space="preserve"> (RCC), </w:t>
      </w:r>
      <w:hyperlink r:id="rId21" w:history="1">
        <w:r w:rsidRPr="00F75EA5">
          <w:rPr>
            <w:rStyle w:val="Hyperlink"/>
          </w:rPr>
          <w:t>INF-46</w:t>
        </w:r>
      </w:hyperlink>
      <w:r w:rsidRPr="00F75EA5">
        <w:t xml:space="preserve"> (CEPT)</w:t>
      </w:r>
    </w:p>
    <w:p w14:paraId="47C568D9" w14:textId="77777777" w:rsidR="000968B6" w:rsidRDefault="000968B6" w:rsidP="00AB113A">
      <w:pPr>
        <w:pStyle w:val="ListParagraph"/>
        <w:numPr>
          <w:ilvl w:val="0"/>
          <w:numId w:val="0"/>
        </w:numPr>
        <w:ind w:left="720"/>
        <w:rPr>
          <w:b/>
          <w:lang w:val="en-NZ" w:eastAsia="ko-KR"/>
        </w:rPr>
      </w:pPr>
    </w:p>
    <w:p w14:paraId="459FD7A1" w14:textId="77777777" w:rsidR="00626891" w:rsidRPr="00BA28B2" w:rsidRDefault="00626891" w:rsidP="00AB113A">
      <w:pPr>
        <w:pStyle w:val="ListParagraph"/>
        <w:numPr>
          <w:ilvl w:val="0"/>
          <w:numId w:val="0"/>
        </w:numPr>
        <w:ind w:left="720"/>
        <w:jc w:val="both"/>
        <w:rPr>
          <w:b/>
          <w:lang w:val="en-NZ" w:eastAsia="ko-KR"/>
        </w:rPr>
      </w:pPr>
    </w:p>
    <w:p w14:paraId="1770A1E4" w14:textId="77777777" w:rsidR="00FE1489" w:rsidRPr="00BA28B2" w:rsidRDefault="00FE1489" w:rsidP="00AB113A">
      <w:pPr>
        <w:pStyle w:val="Style1H2"/>
      </w:pPr>
      <w:r w:rsidRPr="00BA28B2">
        <w:t xml:space="preserve">3. </w:t>
      </w:r>
      <w:r w:rsidRPr="00BA28B2">
        <w:tab/>
        <w:t>Summary of discussions</w:t>
      </w:r>
    </w:p>
    <w:p w14:paraId="56FF69B0" w14:textId="77777777" w:rsidR="00FE1489" w:rsidRPr="00BA28B2" w:rsidRDefault="00FE1489" w:rsidP="00AB113A">
      <w:pPr>
        <w:pStyle w:val="H3"/>
      </w:pPr>
      <w:r w:rsidRPr="00BA28B2">
        <w:t>3.1</w:t>
      </w:r>
      <w:r w:rsidRPr="00BA28B2">
        <w:tab/>
        <w:t>Summary of APT Members’ views</w:t>
      </w:r>
    </w:p>
    <w:p w14:paraId="4F4853E6" w14:textId="77777777" w:rsidR="009806E3" w:rsidRPr="00427519" w:rsidRDefault="009806E3" w:rsidP="00AB113A">
      <w:pPr>
        <w:pStyle w:val="Style1"/>
        <w:spacing w:after="120"/>
        <w:rPr>
          <w:rFonts w:ascii="Times New Roman" w:hAnsi="Times New Roman" w:cs="Times New Roman"/>
        </w:rPr>
      </w:pPr>
      <w:r w:rsidRPr="00427519">
        <w:rPr>
          <w:rFonts w:ascii="Times New Roman" w:hAnsi="Times New Roman" w:cs="Times New Roman"/>
          <w:color w:val="auto"/>
        </w:rPr>
        <w:t>3.1.</w:t>
      </w:r>
      <w:r>
        <w:rPr>
          <w:rFonts w:ascii="Times New Roman" w:hAnsi="Times New Roman" w:cs="Times New Roman"/>
          <w:color w:val="auto"/>
        </w:rPr>
        <w:t>1</w:t>
      </w:r>
      <w:r w:rsidRPr="00427519">
        <w:rPr>
          <w:rFonts w:ascii="Times New Roman" w:hAnsi="Times New Roman" w:cs="Times New Roman"/>
          <w:color w:val="auto"/>
        </w:rPr>
        <w:tab/>
        <w:t>Japan - Document APG23-6/</w:t>
      </w:r>
      <w:hyperlink r:id="rId22" w:history="1">
        <w:r w:rsidRPr="00427519">
          <w:rPr>
            <w:rStyle w:val="Hyperlink"/>
            <w:rFonts w:ascii="Times New Roman" w:eastAsiaTheme="minorEastAsia" w:hAnsi="Times New Roman" w:cs="Times New Roman"/>
            <w:lang w:eastAsia="ja-JP"/>
          </w:rPr>
          <w:t>INP-39</w:t>
        </w:r>
      </w:hyperlink>
    </w:p>
    <w:p w14:paraId="14905EC9" w14:textId="6FF1E8EB" w:rsidR="009806E3" w:rsidRPr="0075353E" w:rsidRDefault="00CC47C2" w:rsidP="00AB113A">
      <w:pPr>
        <w:pStyle w:val="ListParagraph"/>
        <w:contextualSpacing/>
        <w:jc w:val="both"/>
      </w:pPr>
      <w:r w:rsidRPr="00BB4124">
        <w:t>Japan support</w:t>
      </w:r>
      <w:r>
        <w:t>s</w:t>
      </w:r>
      <w:r w:rsidRPr="00BB4124">
        <w:t xml:space="preserve"> </w:t>
      </w:r>
      <w:r w:rsidRPr="0075353E">
        <w:rPr>
          <w:rFonts w:eastAsia="SimSun"/>
          <w:lang w:eastAsia="zh-CN"/>
        </w:rPr>
        <w:t>Method</w:t>
      </w:r>
      <w:r w:rsidRPr="0075353E">
        <w:t xml:space="preserve"> K2</w:t>
      </w:r>
      <w:r w:rsidRPr="00BB4124">
        <w:t xml:space="preserve"> in the CPM Report</w:t>
      </w:r>
      <w:r w:rsidRPr="0075353E">
        <w:t>.</w:t>
      </w:r>
    </w:p>
    <w:p w14:paraId="2E81656D" w14:textId="77777777" w:rsidR="00CC47C2" w:rsidRPr="009C07B0" w:rsidRDefault="00CC47C2" w:rsidP="00AB113A">
      <w:pPr>
        <w:ind w:left="360"/>
        <w:jc w:val="both"/>
        <w:rPr>
          <w:lang w:val="en-GB"/>
        </w:rPr>
      </w:pPr>
    </w:p>
    <w:p w14:paraId="019113B3" w14:textId="46B018DD" w:rsidR="009806E3" w:rsidRPr="00427519" w:rsidRDefault="009806E3" w:rsidP="00AB113A">
      <w:pPr>
        <w:pStyle w:val="Style1"/>
        <w:spacing w:after="120"/>
        <w:rPr>
          <w:rFonts w:ascii="Times New Roman" w:hAnsi="Times New Roman" w:cs="Times New Roman"/>
          <w:color w:val="auto"/>
        </w:rPr>
      </w:pPr>
      <w:r w:rsidRPr="00427519">
        <w:rPr>
          <w:rFonts w:ascii="Times New Roman" w:hAnsi="Times New Roman" w:cs="Times New Roman"/>
          <w:color w:val="auto"/>
        </w:rPr>
        <w:t>3.1.</w:t>
      </w:r>
      <w:r w:rsidR="00C90A6F">
        <w:rPr>
          <w:rFonts w:ascii="Times New Roman" w:hAnsi="Times New Roman" w:cs="Times New Roman"/>
          <w:color w:val="auto"/>
        </w:rPr>
        <w:t>2</w:t>
      </w:r>
      <w:r w:rsidRPr="00427519">
        <w:rPr>
          <w:rFonts w:ascii="Times New Roman" w:hAnsi="Times New Roman" w:cs="Times New Roman"/>
          <w:color w:val="auto"/>
        </w:rPr>
        <w:tab/>
        <w:t>Thailand (Kingdom of) - Document APG23-6/</w:t>
      </w:r>
      <w:hyperlink r:id="rId23" w:history="1">
        <w:r w:rsidRPr="00427519">
          <w:rPr>
            <w:rStyle w:val="Hyperlink"/>
            <w:rFonts w:ascii="Times New Roman" w:hAnsi="Times New Roman" w:cs="Times New Roman"/>
          </w:rPr>
          <w:t>INP-61</w:t>
        </w:r>
      </w:hyperlink>
    </w:p>
    <w:p w14:paraId="1738C39D" w14:textId="77777777" w:rsidR="00CC47C2" w:rsidRPr="00FA2AB9" w:rsidRDefault="00CC47C2" w:rsidP="00AB113A">
      <w:pPr>
        <w:pStyle w:val="ListParagraph"/>
        <w:contextualSpacing/>
        <w:jc w:val="both"/>
        <w:rPr>
          <w:color w:val="000000" w:themeColor="text1"/>
          <w:szCs w:val="32"/>
        </w:rPr>
      </w:pPr>
      <w:r w:rsidRPr="00FA2AB9">
        <w:rPr>
          <w:szCs w:val="32"/>
        </w:rPr>
        <w:t xml:space="preserve">Thailand </w:t>
      </w:r>
      <w:r w:rsidRPr="0075353E">
        <w:rPr>
          <w:rFonts w:eastAsia="SimSun"/>
          <w:lang w:eastAsia="zh-CN"/>
        </w:rPr>
        <w:t>supports</w:t>
      </w:r>
      <w:r w:rsidRPr="00FA2AB9">
        <w:rPr>
          <w:szCs w:val="32"/>
        </w:rPr>
        <w:t xml:space="preserve"> Method K2 in the CPM Report </w:t>
      </w:r>
      <w:r w:rsidRPr="00FA2AB9">
        <w:rPr>
          <w:rFonts w:eastAsia="Calibri"/>
          <w:szCs w:val="32"/>
        </w:rPr>
        <w:t xml:space="preserve">to modify paragraphs 1 and 2 of the Attachment to Resolution </w:t>
      </w:r>
      <w:r w:rsidRPr="00FA2AB9">
        <w:rPr>
          <w:rFonts w:eastAsia="Calibri"/>
          <w:b/>
          <w:bCs/>
          <w:szCs w:val="32"/>
        </w:rPr>
        <w:t>553 (Rev.WRC-15)</w:t>
      </w:r>
      <w:r w:rsidRPr="00FA2AB9">
        <w:rPr>
          <w:rFonts w:eastAsia="Calibri"/>
          <w:szCs w:val="32"/>
        </w:rPr>
        <w:t xml:space="preserve"> to remove the intended restrictions in this Resolution.</w:t>
      </w:r>
    </w:p>
    <w:bookmarkStart w:id="3" w:name="_MON_1747047603"/>
    <w:bookmarkEnd w:id="3"/>
    <w:p w14:paraId="79BDF121" w14:textId="77777777" w:rsidR="00CC47C2" w:rsidRPr="0075353E" w:rsidRDefault="00CC47C2" w:rsidP="00AB113A">
      <w:pPr>
        <w:ind w:left="720"/>
        <w:contextualSpacing/>
        <w:jc w:val="both"/>
        <w:rPr>
          <w:lang w:val="en-NZ"/>
        </w:rPr>
      </w:pPr>
      <w:r w:rsidRPr="0075353E">
        <w:rPr>
          <w:lang w:val="en-NZ"/>
        </w:rPr>
        <w:object w:dxaOrig="1543" w:dyaOrig="991" w14:anchorId="1F017D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5pt;height:48.45pt" o:ole="">
            <v:imagedata r:id="rId24" o:title=""/>
          </v:shape>
          <o:OLEObject Type="Embed" ProgID="Word.Document.12" ShapeID="_x0000_i1025" DrawAspect="Icon" ObjectID="_1753910804" r:id="rId25">
            <o:FieldCodes>\s</o:FieldCodes>
          </o:OLEObject>
        </w:object>
      </w:r>
    </w:p>
    <w:p w14:paraId="57B691E6" w14:textId="77777777" w:rsidR="009806E3" w:rsidRDefault="009806E3" w:rsidP="00AB113A">
      <w:pPr>
        <w:pStyle w:val="ListParagraph"/>
        <w:numPr>
          <w:ilvl w:val="0"/>
          <w:numId w:val="0"/>
        </w:numPr>
        <w:ind w:left="720"/>
        <w:jc w:val="both"/>
        <w:rPr>
          <w:bCs/>
          <w:lang w:val="en-GB"/>
        </w:rPr>
      </w:pPr>
    </w:p>
    <w:p w14:paraId="12081327" w14:textId="01E35E34" w:rsidR="009806E3" w:rsidRPr="00427519" w:rsidRDefault="009806E3" w:rsidP="00AB113A">
      <w:pPr>
        <w:pStyle w:val="Style1"/>
        <w:spacing w:after="120"/>
        <w:rPr>
          <w:rStyle w:val="Hyperlink"/>
          <w:rFonts w:ascii="Times New Roman" w:hAnsi="Times New Roman" w:cs="Times New Roman"/>
        </w:rPr>
      </w:pPr>
      <w:r w:rsidRPr="00427519">
        <w:rPr>
          <w:rFonts w:ascii="Times New Roman" w:hAnsi="Times New Roman" w:cs="Times New Roman"/>
          <w:color w:val="auto"/>
        </w:rPr>
        <w:t>3.1.</w:t>
      </w:r>
      <w:r w:rsidR="00C90A6F">
        <w:rPr>
          <w:rFonts w:ascii="Times New Roman" w:hAnsi="Times New Roman" w:cs="Times New Roman"/>
          <w:color w:val="auto"/>
        </w:rPr>
        <w:t>3</w:t>
      </w:r>
      <w:r w:rsidRPr="00427519">
        <w:rPr>
          <w:rFonts w:ascii="Times New Roman" w:hAnsi="Times New Roman" w:cs="Times New Roman"/>
          <w:color w:val="auto"/>
        </w:rPr>
        <w:tab/>
        <w:t>Iran (Islamic Republic of) - Document APG23-</w:t>
      </w:r>
      <w:r>
        <w:rPr>
          <w:rFonts w:ascii="Times New Roman" w:hAnsi="Times New Roman" w:cs="Times New Roman"/>
          <w:color w:val="auto"/>
        </w:rPr>
        <w:t>6</w:t>
      </w:r>
      <w:r w:rsidRPr="00427519">
        <w:rPr>
          <w:rFonts w:ascii="Times New Roman" w:hAnsi="Times New Roman" w:cs="Times New Roman"/>
          <w:color w:val="auto"/>
        </w:rPr>
        <w:t>/</w:t>
      </w:r>
      <w:hyperlink r:id="rId26" w:history="1">
        <w:r w:rsidRPr="00427519">
          <w:rPr>
            <w:rStyle w:val="Hyperlink"/>
            <w:rFonts w:ascii="Times New Roman" w:hAnsi="Times New Roman" w:cs="Times New Roman"/>
          </w:rPr>
          <w:t>INP-68</w:t>
        </w:r>
      </w:hyperlink>
    </w:p>
    <w:p w14:paraId="1E1E3EE0" w14:textId="77777777" w:rsidR="00CC47C2" w:rsidRPr="0075353E" w:rsidRDefault="00CC47C2" w:rsidP="00AB113A">
      <w:pPr>
        <w:pStyle w:val="ListParagraph"/>
        <w:contextualSpacing/>
        <w:jc w:val="both"/>
        <w:rPr>
          <w:rFonts w:eastAsia="SimSun"/>
          <w:lang w:eastAsia="zh-CN"/>
        </w:rPr>
      </w:pPr>
      <w:r w:rsidRPr="005E5354">
        <w:rPr>
          <w:lang w:val="en-NZ"/>
        </w:rPr>
        <w:t xml:space="preserve">Islamic </w:t>
      </w:r>
      <w:r w:rsidRPr="0075353E">
        <w:rPr>
          <w:rFonts w:eastAsia="SimSun"/>
          <w:lang w:eastAsia="zh-CN"/>
        </w:rPr>
        <w:t>Republic of Iran supports Method K2 in the CPM Report to address this topic.</w:t>
      </w:r>
    </w:p>
    <w:p w14:paraId="095EEB73" w14:textId="77777777" w:rsidR="00CC47C2" w:rsidRPr="0075353E" w:rsidRDefault="00CC47C2" w:rsidP="00AB113A">
      <w:pPr>
        <w:pStyle w:val="ListParagraph"/>
        <w:contextualSpacing/>
        <w:jc w:val="both"/>
        <w:rPr>
          <w:rFonts w:eastAsia="SimSun"/>
          <w:lang w:eastAsia="zh-CN"/>
        </w:rPr>
      </w:pPr>
      <w:r w:rsidRPr="0075353E">
        <w:rPr>
          <w:rFonts w:eastAsia="SimSun"/>
          <w:lang w:eastAsia="zh-CN"/>
        </w:rPr>
        <w:t xml:space="preserve">Islamic Republic of Iran is of the view that the modifications proposed to satisfy Topic </w:t>
      </w:r>
      <w:bookmarkStart w:id="4" w:name="_Hlk101043741"/>
      <w:r w:rsidRPr="0075353E">
        <w:rPr>
          <w:rFonts w:eastAsia="SimSun"/>
          <w:lang w:eastAsia="zh-CN"/>
        </w:rPr>
        <w:t xml:space="preserve">K will enhance equitable access to the frequency band 21.4-22 </w:t>
      </w:r>
      <w:bookmarkEnd w:id="4"/>
      <w:r w:rsidRPr="0075353E">
        <w:rPr>
          <w:rFonts w:eastAsia="SimSun"/>
          <w:lang w:eastAsia="zh-CN"/>
        </w:rPr>
        <w:t>GHz.</w:t>
      </w:r>
    </w:p>
    <w:p w14:paraId="197B469D" w14:textId="77777777" w:rsidR="00CC47C2" w:rsidRPr="005E5354" w:rsidRDefault="00CC47C2" w:rsidP="00AB113A">
      <w:pPr>
        <w:pStyle w:val="ListParagraph"/>
        <w:contextualSpacing/>
        <w:jc w:val="both"/>
      </w:pPr>
      <w:r w:rsidRPr="0075353E">
        <w:rPr>
          <w:rFonts w:eastAsia="SimSun"/>
          <w:lang w:eastAsia="zh-CN"/>
        </w:rPr>
        <w:lastRenderedPageBreak/>
        <w:t>Based on the result of the ITU-R studies, Islamic Republic of Iran is of the view that the proposed modifications will not adversely affect existing allocations and services due to the following reasons</w:t>
      </w:r>
      <w:r w:rsidRPr="005E5354">
        <w:t>:</w:t>
      </w:r>
    </w:p>
    <w:p w14:paraId="2950B27A" w14:textId="77777777" w:rsidR="00CC47C2" w:rsidRPr="0075353E" w:rsidRDefault="00CC47C2" w:rsidP="00AB113A">
      <w:pPr>
        <w:pStyle w:val="ListParagraph"/>
        <w:numPr>
          <w:ilvl w:val="1"/>
          <w:numId w:val="8"/>
        </w:numPr>
        <w:jc w:val="both"/>
        <w:rPr>
          <w:iCs/>
        </w:rPr>
      </w:pPr>
      <w:bookmarkStart w:id="5" w:name="_Hlk113050198"/>
      <w:r w:rsidRPr="0075353E">
        <w:rPr>
          <w:iCs/>
        </w:rPr>
        <w:t>According to the current provisions, an administration can notify a maximum of one network under the special procedure and this limitation will remain.</w:t>
      </w:r>
    </w:p>
    <w:p w14:paraId="17DBCA10" w14:textId="77777777" w:rsidR="00CC47C2" w:rsidRPr="0075353E" w:rsidRDefault="00CC47C2" w:rsidP="00AB113A">
      <w:pPr>
        <w:pStyle w:val="ListParagraph"/>
        <w:numPr>
          <w:ilvl w:val="1"/>
          <w:numId w:val="8"/>
        </w:numPr>
        <w:jc w:val="both"/>
        <w:rPr>
          <w:iCs/>
        </w:rPr>
      </w:pPr>
      <w:r w:rsidRPr="0075353E">
        <w:rPr>
          <w:iCs/>
        </w:rPr>
        <w:t>According to the current provisions, administrations with notified networks in the relevant frequency band are not eligible to apply the Resolution and this limitation will remain.</w:t>
      </w:r>
      <w:bookmarkEnd w:id="5"/>
    </w:p>
    <w:p w14:paraId="65E3962F" w14:textId="77777777" w:rsidR="00CC47C2" w:rsidRPr="005E5354" w:rsidRDefault="00CC47C2" w:rsidP="00AB113A">
      <w:pPr>
        <w:pStyle w:val="ListParagraph"/>
        <w:contextualSpacing/>
        <w:jc w:val="both"/>
      </w:pPr>
      <w:r w:rsidRPr="0075353E">
        <w:rPr>
          <w:rFonts w:eastAsia="SimSun"/>
          <w:lang w:eastAsia="zh-CN"/>
        </w:rPr>
        <w:t>Islamic</w:t>
      </w:r>
      <w:r w:rsidRPr="005E5354">
        <w:rPr>
          <w:lang w:val="en-NZ"/>
        </w:rPr>
        <w:t xml:space="preserve"> Republic of Iran proposes a Preliminary APT Common Proposal for Method K2 in the CPM Report as follows:</w:t>
      </w:r>
    </w:p>
    <w:bookmarkStart w:id="6" w:name="_MON_1749042699"/>
    <w:bookmarkEnd w:id="6"/>
    <w:p w14:paraId="5A6A7AB9" w14:textId="77777777" w:rsidR="00CC47C2" w:rsidRPr="00833966" w:rsidRDefault="00CC47C2" w:rsidP="00AB113A">
      <w:pPr>
        <w:ind w:left="720"/>
        <w:contextualSpacing/>
        <w:jc w:val="both"/>
        <w:rPr>
          <w:lang w:val="en-NZ"/>
        </w:rPr>
      </w:pPr>
      <w:r w:rsidRPr="005E5354">
        <w:rPr>
          <w:lang w:val="en-NZ"/>
        </w:rPr>
        <w:object w:dxaOrig="1551" w:dyaOrig="1004" w14:anchorId="1105947D">
          <v:shape id="_x0000_i1026" type="#_x0000_t75" style="width:76.55pt;height:52.45pt" o:ole="">
            <v:imagedata r:id="rId27" o:title=""/>
          </v:shape>
          <o:OLEObject Type="Embed" ProgID="Word.Document.12" ShapeID="_x0000_i1026" DrawAspect="Icon" ObjectID="_1753910805" r:id="rId28">
            <o:FieldCodes>\s</o:FieldCodes>
          </o:OLEObject>
        </w:object>
      </w:r>
    </w:p>
    <w:p w14:paraId="51E3E976" w14:textId="77777777" w:rsidR="009806E3" w:rsidRPr="00624DBA" w:rsidRDefault="009806E3" w:rsidP="00AB113A">
      <w:pPr>
        <w:ind w:left="360"/>
      </w:pPr>
    </w:p>
    <w:p w14:paraId="2F8044C9" w14:textId="4734C18C" w:rsidR="009806E3" w:rsidRPr="00A25613" w:rsidRDefault="009806E3" w:rsidP="00AB113A">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C90A6F">
        <w:rPr>
          <w:rFonts w:ascii="Times New Roman" w:hAnsi="Times New Roman" w:cs="Times New Roman"/>
          <w:color w:val="auto"/>
        </w:rPr>
        <w:t>4</w:t>
      </w:r>
      <w:r w:rsidRPr="00A25613">
        <w:rPr>
          <w:rFonts w:ascii="Times New Roman" w:hAnsi="Times New Roman" w:cs="Times New Roman"/>
          <w:color w:val="auto"/>
        </w:rPr>
        <w:t xml:space="preserve"> </w:t>
      </w:r>
      <w:r w:rsidRPr="00A25613">
        <w:rPr>
          <w:rFonts w:ascii="Times New Roman" w:hAnsi="Times New Roman" w:cs="Times New Roman"/>
          <w:color w:val="auto"/>
        </w:rPr>
        <w:tab/>
        <w:t>Australia - Document APG23-6/</w:t>
      </w:r>
      <w:hyperlink r:id="rId29" w:history="1">
        <w:r w:rsidRPr="00A25613">
          <w:rPr>
            <w:rStyle w:val="Hyperlink"/>
            <w:rFonts w:ascii="Times New Roman" w:hAnsi="Times New Roman" w:cs="Times New Roman"/>
          </w:rPr>
          <w:t>INP-83</w:t>
        </w:r>
      </w:hyperlink>
    </w:p>
    <w:p w14:paraId="4B220521" w14:textId="77777777" w:rsidR="00CC47C2" w:rsidRDefault="00CC47C2" w:rsidP="00AB113A">
      <w:pPr>
        <w:pStyle w:val="ListParagraph"/>
        <w:contextualSpacing/>
        <w:jc w:val="both"/>
      </w:pPr>
      <w:r w:rsidRPr="00537506">
        <w:t>Australia can accept additional flexibility in access to Resolution 553 procedure for administrations that have not completed the procedure successfully, provided unintentional consequences are avoided.</w:t>
      </w:r>
    </w:p>
    <w:p w14:paraId="732BA12C" w14:textId="77777777" w:rsidR="00CC47C2" w:rsidRDefault="00CC47C2" w:rsidP="00AB113A">
      <w:pPr>
        <w:pStyle w:val="ListParagraph"/>
        <w:contextualSpacing/>
        <w:jc w:val="both"/>
      </w:pPr>
      <w:r w:rsidRPr="002A01BB">
        <w:t xml:space="preserve">Australia does not propose a Preliminary APT Common Proposal for this </w:t>
      </w:r>
      <w:r>
        <w:t>topic</w:t>
      </w:r>
      <w:r w:rsidRPr="002A01BB">
        <w:t>.</w:t>
      </w:r>
    </w:p>
    <w:p w14:paraId="07630697" w14:textId="77777777" w:rsidR="009806E3" w:rsidRPr="00427519" w:rsidRDefault="009806E3" w:rsidP="00AB113A">
      <w:pPr>
        <w:pStyle w:val="ListParagraph"/>
        <w:numPr>
          <w:ilvl w:val="0"/>
          <w:numId w:val="0"/>
        </w:numPr>
        <w:ind w:left="720"/>
        <w:contextualSpacing/>
        <w:jc w:val="both"/>
      </w:pPr>
    </w:p>
    <w:p w14:paraId="7D00901D" w14:textId="7584CAD0" w:rsidR="009806E3" w:rsidRPr="00A25613" w:rsidRDefault="009806E3" w:rsidP="00AB113A">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C90A6F">
        <w:rPr>
          <w:rFonts w:ascii="Times New Roman" w:hAnsi="Times New Roman" w:cs="Times New Roman"/>
          <w:color w:val="auto"/>
        </w:rPr>
        <w:t>5</w:t>
      </w:r>
      <w:r w:rsidRPr="00A25613">
        <w:rPr>
          <w:rFonts w:ascii="Times New Roman" w:hAnsi="Times New Roman" w:cs="Times New Roman"/>
          <w:color w:val="auto"/>
        </w:rPr>
        <w:t xml:space="preserve"> </w:t>
      </w:r>
      <w:r w:rsidRPr="00A25613">
        <w:rPr>
          <w:rFonts w:ascii="Times New Roman" w:hAnsi="Times New Roman" w:cs="Times New Roman"/>
          <w:color w:val="auto"/>
        </w:rPr>
        <w:tab/>
        <w:t>Korea (Republic of) - Document APG23-6/</w:t>
      </w:r>
      <w:hyperlink r:id="rId30" w:history="1">
        <w:r w:rsidRPr="00A25613">
          <w:rPr>
            <w:rStyle w:val="Hyperlink"/>
            <w:rFonts w:ascii="Times New Roman" w:hAnsi="Times New Roman" w:cs="Times New Roman"/>
          </w:rPr>
          <w:t>INP-90 Rev.1</w:t>
        </w:r>
      </w:hyperlink>
    </w:p>
    <w:p w14:paraId="1B1114AA" w14:textId="77777777" w:rsidR="00CC47C2" w:rsidRPr="004E5FFF" w:rsidRDefault="00CC47C2" w:rsidP="00AB113A">
      <w:pPr>
        <w:pStyle w:val="ListParagraph"/>
        <w:contextualSpacing/>
        <w:jc w:val="both"/>
        <w:rPr>
          <w:lang w:val="en-CA"/>
        </w:rPr>
      </w:pPr>
      <w:r>
        <w:t xml:space="preserve">As </w:t>
      </w:r>
      <w:r w:rsidRPr="0075353E">
        <w:rPr>
          <w:rFonts w:eastAsia="SimSun"/>
          <w:lang w:eastAsia="zh-CN"/>
        </w:rPr>
        <w:t>the</w:t>
      </w:r>
      <w:r>
        <w:t xml:space="preserve"> Republic of Korea </w:t>
      </w:r>
      <w:r w:rsidRPr="00746FF0">
        <w:t>suppor</w:t>
      </w:r>
      <w:r>
        <w:t xml:space="preserve">ts modifications to </w:t>
      </w:r>
      <w:r w:rsidRPr="00051ED3">
        <w:rPr>
          <w:lang w:val="en-CA"/>
        </w:rPr>
        <w:t xml:space="preserve">Resolution </w:t>
      </w:r>
      <w:r w:rsidRPr="001648FB">
        <w:rPr>
          <w:b/>
          <w:bCs/>
          <w:lang w:val="en-CA"/>
        </w:rPr>
        <w:t>553 (Rev. WRC-15)</w:t>
      </w:r>
      <w:r w:rsidRPr="00051ED3">
        <w:rPr>
          <w:lang w:val="en-CA"/>
        </w:rPr>
        <w:t xml:space="preserve"> </w:t>
      </w:r>
      <w:r w:rsidRPr="004E5FFF">
        <w:rPr>
          <w:lang w:val="en-CA"/>
        </w:rPr>
        <w:t>to remove certain restrictions that prevent administrations from taking effective advantage of the Resolution</w:t>
      </w:r>
      <w:r>
        <w:rPr>
          <w:lang w:val="en-CA"/>
        </w:rPr>
        <w:t xml:space="preserve">, </w:t>
      </w:r>
      <w:r>
        <w:rPr>
          <w:lang w:eastAsia="ko-KR"/>
        </w:rPr>
        <w:t xml:space="preserve">among the methods presented in the CPM Report, </w:t>
      </w:r>
      <w:r>
        <w:t xml:space="preserve">Method K2 </w:t>
      </w:r>
      <w:r>
        <w:rPr>
          <w:lang w:eastAsia="ko-KR"/>
        </w:rPr>
        <w:t>is supported.</w:t>
      </w:r>
    </w:p>
    <w:p w14:paraId="047ABEA6" w14:textId="77777777" w:rsidR="009806E3" w:rsidRPr="00CC47C2" w:rsidRDefault="009806E3" w:rsidP="00AB113A">
      <w:pPr>
        <w:contextualSpacing/>
        <w:jc w:val="both"/>
        <w:rPr>
          <w:lang w:val="en-CA"/>
        </w:rPr>
      </w:pPr>
    </w:p>
    <w:p w14:paraId="73F0944F" w14:textId="60454B8C" w:rsidR="009806E3" w:rsidRPr="00A25613" w:rsidRDefault="009806E3" w:rsidP="00AB113A">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C90A6F">
        <w:rPr>
          <w:rFonts w:ascii="Times New Roman" w:hAnsi="Times New Roman" w:cs="Times New Roman"/>
          <w:color w:val="auto"/>
        </w:rPr>
        <w:t>6</w:t>
      </w:r>
      <w:r w:rsidRPr="00A25613">
        <w:rPr>
          <w:rFonts w:ascii="Times New Roman" w:hAnsi="Times New Roman" w:cs="Times New Roman"/>
          <w:color w:val="auto"/>
        </w:rPr>
        <w:t xml:space="preserve"> </w:t>
      </w:r>
      <w:r w:rsidRPr="00A25613">
        <w:rPr>
          <w:rFonts w:ascii="Times New Roman" w:hAnsi="Times New Roman" w:cs="Times New Roman"/>
          <w:color w:val="auto"/>
        </w:rPr>
        <w:tab/>
        <w:t>China (People’s Republic of) - Document APG23-6/</w:t>
      </w:r>
      <w:hyperlink r:id="rId31" w:history="1">
        <w:r w:rsidRPr="00A25613">
          <w:rPr>
            <w:rStyle w:val="Hyperlink"/>
            <w:rFonts w:ascii="Times New Roman" w:hAnsi="Times New Roman" w:cs="Times New Roman"/>
          </w:rPr>
          <w:t>INP-106</w:t>
        </w:r>
      </w:hyperlink>
    </w:p>
    <w:p w14:paraId="4997E376" w14:textId="77777777" w:rsidR="00CC47C2" w:rsidRDefault="00CC47C2" w:rsidP="00AB113A">
      <w:pPr>
        <w:pStyle w:val="ListParagraph"/>
        <w:contextualSpacing/>
        <w:jc w:val="both"/>
      </w:pPr>
      <w:r>
        <w:rPr>
          <w:rFonts w:eastAsia="Times New Roman"/>
          <w:color w:val="000000" w:themeColor="text1"/>
        </w:rPr>
        <w:t xml:space="preserve">China </w:t>
      </w:r>
      <w:r w:rsidRPr="0075353E">
        <w:rPr>
          <w:lang w:eastAsia="ko-KR"/>
        </w:rPr>
        <w:t>supports</w:t>
      </w:r>
      <w:r>
        <w:rPr>
          <w:rFonts w:eastAsia="Times New Roman"/>
          <w:color w:val="000000" w:themeColor="text1"/>
        </w:rPr>
        <w:t xml:space="preserve"> the modification of the Attachment to Resolution </w:t>
      </w:r>
      <w:r>
        <w:rPr>
          <w:rFonts w:eastAsia="Times New Roman"/>
          <w:b/>
          <w:bCs/>
          <w:color w:val="000000" w:themeColor="text1"/>
        </w:rPr>
        <w:t>553 (Rev.WRC-15)</w:t>
      </w:r>
      <w:r>
        <w:rPr>
          <w:rFonts w:eastAsia="Times New Roman"/>
          <w:color w:val="000000" w:themeColor="text1"/>
        </w:rPr>
        <w:t xml:space="preserve"> to remove </w:t>
      </w:r>
      <w:r>
        <w:rPr>
          <w:rFonts w:eastAsia="SimSun"/>
          <w:lang w:eastAsia="zh-CN"/>
        </w:rPr>
        <w:t>certain</w:t>
      </w:r>
      <w:r>
        <w:rPr>
          <w:rFonts w:eastAsia="Times New Roman"/>
          <w:color w:val="000000" w:themeColor="text1"/>
        </w:rPr>
        <w:t xml:space="preserve"> </w:t>
      </w:r>
      <w:r>
        <w:t>restrictions</w:t>
      </w:r>
      <w:r>
        <w:rPr>
          <w:rFonts w:eastAsia="Times New Roman"/>
          <w:color w:val="000000" w:themeColor="text1"/>
        </w:rPr>
        <w:t xml:space="preserve"> in the Resolution that could prevent administrations from effectively using the Resolution, under </w:t>
      </w:r>
      <w:r>
        <w:rPr>
          <w:rFonts w:eastAsia="Times New Roman"/>
          <w:b/>
          <w:bCs/>
          <w:color w:val="000000" w:themeColor="text1"/>
        </w:rPr>
        <w:t>Method K2</w:t>
      </w:r>
      <w:r>
        <w:rPr>
          <w:rFonts w:eastAsia="Times New Roman"/>
          <w:color w:val="000000" w:themeColor="text1"/>
        </w:rPr>
        <w:t>.</w:t>
      </w:r>
      <w:r>
        <w:rPr>
          <w:rFonts w:eastAsia="SimSun"/>
          <w:lang w:eastAsia="zh-CN"/>
        </w:rPr>
        <w:t xml:space="preserve"> </w:t>
      </w:r>
    </w:p>
    <w:p w14:paraId="3169C0F6" w14:textId="77777777" w:rsidR="009806E3" w:rsidRDefault="009806E3" w:rsidP="00AB113A">
      <w:pPr>
        <w:contextualSpacing/>
        <w:jc w:val="both"/>
        <w:rPr>
          <w:rStyle w:val="Hyperlink"/>
          <w:bCs/>
        </w:rPr>
      </w:pPr>
    </w:p>
    <w:p w14:paraId="3213898E" w14:textId="2B8FF5B4" w:rsidR="007324E2" w:rsidRPr="007B7A9B" w:rsidRDefault="007324E2" w:rsidP="00AB113A">
      <w:pPr>
        <w:pStyle w:val="Style1"/>
        <w:spacing w:after="120"/>
        <w:rPr>
          <w:rStyle w:val="Hyperlink"/>
          <w:rFonts w:ascii="Times New Roman" w:hAnsi="Times New Roman" w:cs="Times New Roman"/>
        </w:rPr>
      </w:pPr>
      <w:r w:rsidRPr="007B7A9B">
        <w:rPr>
          <w:rFonts w:ascii="Times New Roman" w:hAnsi="Times New Roman" w:cs="Times New Roman"/>
          <w:color w:val="auto"/>
        </w:rPr>
        <w:t>3.1.</w:t>
      </w:r>
      <w:r w:rsidR="00C90A6F">
        <w:rPr>
          <w:rFonts w:ascii="Times New Roman" w:hAnsi="Times New Roman" w:cs="Times New Roman"/>
          <w:color w:val="auto"/>
        </w:rPr>
        <w:t>7</w:t>
      </w:r>
      <w:r w:rsidRPr="007B7A9B">
        <w:rPr>
          <w:rFonts w:ascii="Times New Roman" w:hAnsi="Times New Roman" w:cs="Times New Roman"/>
          <w:color w:val="auto"/>
        </w:rPr>
        <w:t xml:space="preserve"> </w:t>
      </w:r>
      <w:r w:rsidRPr="007B7A9B">
        <w:rPr>
          <w:rFonts w:ascii="Times New Roman" w:hAnsi="Times New Roman" w:cs="Times New Roman"/>
          <w:color w:val="auto"/>
        </w:rPr>
        <w:tab/>
        <w:t>Malaysia - Document APG23-6/</w:t>
      </w:r>
      <w:hyperlink r:id="rId32" w:history="1">
        <w:r w:rsidRPr="007B7A9B">
          <w:rPr>
            <w:rStyle w:val="Hyperlink"/>
            <w:rFonts w:ascii="Times New Roman" w:hAnsi="Times New Roman" w:cs="Times New Roman"/>
          </w:rPr>
          <w:t>INP-112</w:t>
        </w:r>
      </w:hyperlink>
    </w:p>
    <w:p w14:paraId="7BE9BEBA" w14:textId="77777777" w:rsidR="007324E2" w:rsidRPr="00AF7407" w:rsidRDefault="007324E2" w:rsidP="00AB113A">
      <w:pPr>
        <w:pStyle w:val="ListParagraph"/>
        <w:contextualSpacing/>
        <w:jc w:val="both"/>
        <w:rPr>
          <w:b/>
          <w:iCs/>
          <w:lang w:val="en-GB"/>
        </w:rPr>
      </w:pPr>
      <w:r w:rsidRPr="00AF7407">
        <w:rPr>
          <w:rFonts w:eastAsia="Times New Roman"/>
        </w:rPr>
        <w:t xml:space="preserve">Malaysia </w:t>
      </w:r>
      <w:r w:rsidRPr="007324E2">
        <w:rPr>
          <w:lang w:eastAsia="ja-JP"/>
        </w:rPr>
        <w:t>supports</w:t>
      </w:r>
      <w:r w:rsidRPr="00AF7407">
        <w:rPr>
          <w:rFonts w:eastAsia="Times New Roman"/>
        </w:rPr>
        <w:t xml:space="preserve"> </w:t>
      </w:r>
      <w:r w:rsidRPr="003301BC">
        <w:rPr>
          <w:rFonts w:eastAsia="Times New Roman"/>
          <w:b/>
          <w:bCs/>
        </w:rPr>
        <w:t>Method K2</w:t>
      </w:r>
      <w:r w:rsidRPr="00AF7407">
        <w:rPr>
          <w:rFonts w:eastAsia="Times New Roman"/>
        </w:rPr>
        <w:t xml:space="preserve"> for the modification to Resolution </w:t>
      </w:r>
      <w:r w:rsidRPr="00DF1C8C">
        <w:rPr>
          <w:rFonts w:eastAsia="Times New Roman"/>
          <w:b/>
          <w:bCs/>
        </w:rPr>
        <w:t>553 (Rev.WRC-15)</w:t>
      </w:r>
      <w:r w:rsidRPr="00AF7407">
        <w:rPr>
          <w:rFonts w:eastAsia="Times New Roman"/>
        </w:rPr>
        <w:t xml:space="preserve"> to remove certain restrictions in the Resolution that could prevent administrations from effectively using the Resolution.</w:t>
      </w:r>
    </w:p>
    <w:p w14:paraId="7ACDE1D0" w14:textId="77777777" w:rsidR="007324E2" w:rsidRPr="007324E2" w:rsidRDefault="007324E2" w:rsidP="00AB113A">
      <w:pPr>
        <w:pStyle w:val="ListParagraph"/>
        <w:numPr>
          <w:ilvl w:val="0"/>
          <w:numId w:val="0"/>
        </w:numPr>
        <w:ind w:left="720"/>
        <w:jc w:val="both"/>
        <w:rPr>
          <w:lang w:val="en-GB"/>
        </w:rPr>
      </w:pPr>
    </w:p>
    <w:p w14:paraId="475CD210" w14:textId="017178AC" w:rsidR="007324E2" w:rsidRPr="00374FE5" w:rsidRDefault="007324E2" w:rsidP="00AB113A">
      <w:pPr>
        <w:pStyle w:val="Style1"/>
        <w:spacing w:after="120"/>
        <w:rPr>
          <w:rFonts w:ascii="Times New Roman" w:hAnsi="Times New Roman" w:cs="Times New Roman"/>
          <w:color w:val="auto"/>
        </w:rPr>
      </w:pPr>
      <w:r w:rsidRPr="00A25613">
        <w:rPr>
          <w:rFonts w:ascii="Times New Roman" w:hAnsi="Times New Roman" w:cs="Times New Roman"/>
          <w:color w:val="auto"/>
        </w:rPr>
        <w:t>3.1.</w:t>
      </w:r>
      <w:r w:rsidR="00C90A6F">
        <w:rPr>
          <w:rFonts w:ascii="Times New Roman" w:hAnsi="Times New Roman" w:cs="Times New Roman"/>
          <w:color w:val="auto"/>
        </w:rPr>
        <w:t>8</w:t>
      </w:r>
      <w:r w:rsidRPr="00A25613">
        <w:rPr>
          <w:rFonts w:ascii="Times New Roman" w:hAnsi="Times New Roman" w:cs="Times New Roman"/>
          <w:color w:val="auto"/>
        </w:rPr>
        <w:t xml:space="preserve"> </w:t>
      </w:r>
      <w:r w:rsidRPr="00A25613">
        <w:rPr>
          <w:rFonts w:ascii="Times New Roman" w:hAnsi="Times New Roman" w:cs="Times New Roman"/>
          <w:color w:val="auto"/>
        </w:rPr>
        <w:tab/>
      </w:r>
      <w:r w:rsidRPr="00374FE5">
        <w:rPr>
          <w:rFonts w:ascii="Times New Roman" w:hAnsi="Times New Roman" w:cs="Times New Roman"/>
          <w:color w:val="auto"/>
        </w:rPr>
        <w:t>Vietnam (Socialist Republic of)</w:t>
      </w:r>
      <w:r w:rsidRPr="00A25613">
        <w:rPr>
          <w:rFonts w:ascii="Times New Roman" w:hAnsi="Times New Roman" w:cs="Times New Roman"/>
          <w:color w:val="auto"/>
        </w:rPr>
        <w:t xml:space="preserve"> - </w:t>
      </w:r>
      <w:r w:rsidRPr="00374FE5">
        <w:rPr>
          <w:rFonts w:ascii="Times New Roman" w:hAnsi="Times New Roman" w:cs="Times New Roman"/>
          <w:color w:val="auto"/>
        </w:rPr>
        <w:t>Document APG23-6/</w:t>
      </w:r>
      <w:hyperlink r:id="rId33" w:history="1">
        <w:r w:rsidRPr="00374FE5">
          <w:rPr>
            <w:rStyle w:val="Hyperlink"/>
            <w:rFonts w:ascii="Times New Roman" w:hAnsi="Times New Roman" w:cs="Times New Roman"/>
          </w:rPr>
          <w:t>INP-120</w:t>
        </w:r>
      </w:hyperlink>
    </w:p>
    <w:p w14:paraId="5972F350" w14:textId="77777777" w:rsidR="00CC47C2" w:rsidRDefault="00CC47C2" w:rsidP="00AB113A">
      <w:pPr>
        <w:pStyle w:val="ListParagraph"/>
        <w:contextualSpacing/>
        <w:jc w:val="both"/>
      </w:pPr>
      <w:r>
        <w:t xml:space="preserve">Vietnam </w:t>
      </w:r>
      <w:r w:rsidRPr="0075353E">
        <w:rPr>
          <w:rFonts w:eastAsia="SimSun"/>
          <w:lang w:eastAsia="zh-CN"/>
        </w:rPr>
        <w:t>supports</w:t>
      </w:r>
      <w:r>
        <w:t xml:space="preserve"> method K2 which </w:t>
      </w:r>
      <w:r w:rsidRPr="005D50A0">
        <w:t xml:space="preserve">proposes to modify paragraphs 1 and 2 of the Attachment to </w:t>
      </w:r>
      <w:r w:rsidRPr="005D50A0">
        <w:rPr>
          <w:lang w:eastAsia="ja-JP"/>
        </w:rPr>
        <w:t xml:space="preserve">Resolution </w:t>
      </w:r>
      <w:r w:rsidRPr="005D50A0">
        <w:rPr>
          <w:b/>
          <w:bCs/>
          <w:lang w:eastAsia="ja-JP"/>
        </w:rPr>
        <w:t>553 (Rev.WRC-15)</w:t>
      </w:r>
      <w:r w:rsidRPr="005D50A0">
        <w:t xml:space="preserve"> to remove the intended restrictions in the Resolution.</w:t>
      </w:r>
    </w:p>
    <w:p w14:paraId="29ED34E8" w14:textId="77777777" w:rsidR="00CC47C2" w:rsidRPr="00247889" w:rsidRDefault="00CC47C2" w:rsidP="00AB113A">
      <w:pPr>
        <w:pStyle w:val="ListParagraph"/>
        <w:contextualSpacing/>
        <w:jc w:val="both"/>
        <w:rPr>
          <w:i/>
        </w:rPr>
      </w:pPr>
      <w:r w:rsidRPr="0075353E">
        <w:rPr>
          <w:i/>
          <w:iCs/>
        </w:rPr>
        <w:t>Reason</w:t>
      </w:r>
      <w:r w:rsidRPr="00247889">
        <w:rPr>
          <w:i/>
        </w:rPr>
        <w:t>: To remove the difficulties and restrictions</w:t>
      </w:r>
      <w:r>
        <w:rPr>
          <w:i/>
        </w:rPr>
        <w:t xml:space="preserve"> when applies this Resolution</w:t>
      </w:r>
      <w:r w:rsidRPr="00247889">
        <w:rPr>
          <w:i/>
        </w:rPr>
        <w:t xml:space="preserve">: </w:t>
      </w:r>
    </w:p>
    <w:p w14:paraId="0C1370E4" w14:textId="77777777" w:rsidR="00CC47C2" w:rsidRPr="00247889" w:rsidRDefault="00CC47C2" w:rsidP="00AB113A">
      <w:pPr>
        <w:pStyle w:val="ListParagraph"/>
        <w:numPr>
          <w:ilvl w:val="1"/>
          <w:numId w:val="8"/>
        </w:numPr>
        <w:jc w:val="both"/>
        <w:rPr>
          <w:i/>
        </w:rPr>
      </w:pPr>
      <w:r w:rsidRPr="00247889">
        <w:rPr>
          <w:i/>
        </w:rPr>
        <w:lastRenderedPageBreak/>
        <w:t>restriction prevents an administration from applying the Resolution if it had already a submission under the Resolution that was not notified before the ITU deadline.</w:t>
      </w:r>
    </w:p>
    <w:p w14:paraId="60DE8EAD" w14:textId="77777777" w:rsidR="00CC47C2" w:rsidRPr="00247889" w:rsidRDefault="00CC47C2" w:rsidP="00AB113A">
      <w:pPr>
        <w:pStyle w:val="ListParagraph"/>
        <w:numPr>
          <w:ilvl w:val="1"/>
          <w:numId w:val="8"/>
        </w:numPr>
        <w:jc w:val="both"/>
        <w:rPr>
          <w:i/>
        </w:rPr>
      </w:pPr>
      <w:r w:rsidRPr="00247889">
        <w:rPr>
          <w:i/>
          <w:lang w:eastAsia="ja-JP"/>
        </w:rPr>
        <w:t xml:space="preserve">restriction makes Resolution </w:t>
      </w:r>
      <w:r w:rsidRPr="00247889">
        <w:rPr>
          <w:b/>
          <w:bCs/>
          <w:i/>
          <w:lang w:eastAsia="ja-JP"/>
        </w:rPr>
        <w:t xml:space="preserve">553 (Rev.WRC-15) </w:t>
      </w:r>
      <w:r w:rsidRPr="00247889">
        <w:rPr>
          <w:i/>
          <w:lang w:eastAsia="ja-JP"/>
        </w:rPr>
        <w:t xml:space="preserve">not applicable by an administration that has networks successfully examined under RR No. </w:t>
      </w:r>
      <w:r w:rsidRPr="00247889">
        <w:rPr>
          <w:b/>
          <w:bCs/>
          <w:i/>
          <w:lang w:eastAsia="ja-JP"/>
        </w:rPr>
        <w:t>9.34</w:t>
      </w:r>
      <w:r w:rsidRPr="00247889">
        <w:rPr>
          <w:i/>
          <w:lang w:eastAsia="ja-JP"/>
        </w:rPr>
        <w:t xml:space="preserve"> and published under RR No. </w:t>
      </w:r>
      <w:r w:rsidRPr="00247889">
        <w:rPr>
          <w:b/>
          <w:bCs/>
          <w:i/>
          <w:lang w:eastAsia="ja-JP"/>
        </w:rPr>
        <w:t>9.38</w:t>
      </w:r>
      <w:r w:rsidRPr="00247889">
        <w:rPr>
          <w:i/>
          <w:lang w:eastAsia="ja-JP"/>
        </w:rPr>
        <w:t xml:space="preserve"> in the relevant frequency band.</w:t>
      </w:r>
    </w:p>
    <w:p w14:paraId="5514775C" w14:textId="74F68EA0" w:rsidR="00CC47C2" w:rsidRDefault="00CC47C2" w:rsidP="00AB113A">
      <w:pPr>
        <w:jc w:val="both"/>
      </w:pPr>
    </w:p>
    <w:p w14:paraId="6FB32DA5" w14:textId="77777777" w:rsidR="009806E3" w:rsidRPr="00BA28B2" w:rsidRDefault="009806E3" w:rsidP="00AB113A">
      <w:pPr>
        <w:pStyle w:val="H3"/>
      </w:pPr>
      <w:r w:rsidRPr="00FA4FD8">
        <w:t xml:space="preserve">3.2 </w:t>
      </w:r>
      <w:r w:rsidRPr="00FA4FD8">
        <w:tab/>
        <w:t xml:space="preserve">Summary of issues raised during the </w:t>
      </w:r>
      <w:proofErr w:type="gramStart"/>
      <w:r w:rsidRPr="00FA4FD8">
        <w:t>meeting</w:t>
      </w:r>
      <w:proofErr w:type="gramEnd"/>
    </w:p>
    <w:p w14:paraId="01CE55A3" w14:textId="61D55434" w:rsidR="00626891" w:rsidRDefault="001F5F7D" w:rsidP="00AB113A">
      <w:pPr>
        <w:pStyle w:val="ListParagraph"/>
        <w:contextualSpacing/>
        <w:jc w:val="both"/>
        <w:rPr>
          <w:lang w:val="en-NZ"/>
        </w:rPr>
      </w:pPr>
      <w:r>
        <w:rPr>
          <w:lang w:val="en-NZ"/>
        </w:rPr>
        <w:t xml:space="preserve">Some </w:t>
      </w:r>
      <w:r w:rsidRPr="004E6872">
        <w:rPr>
          <w:lang w:val="en-NZ"/>
        </w:rPr>
        <w:t xml:space="preserve">APT Members can accept additional flexibility in access to Resolution </w:t>
      </w:r>
      <w:r w:rsidRPr="007F50E0">
        <w:rPr>
          <w:b/>
          <w:bCs/>
          <w:iCs/>
          <w:lang w:eastAsia="ja-JP"/>
        </w:rPr>
        <w:t>553 (Rev.WRC-15)</w:t>
      </w:r>
      <w:r w:rsidRPr="00247889">
        <w:rPr>
          <w:b/>
          <w:bCs/>
          <w:i/>
          <w:lang w:eastAsia="ja-JP"/>
        </w:rPr>
        <w:t xml:space="preserve"> </w:t>
      </w:r>
      <w:r w:rsidRPr="004E6872">
        <w:rPr>
          <w:lang w:val="en-NZ"/>
        </w:rPr>
        <w:t>procedure for administrations</w:t>
      </w:r>
      <w:r w:rsidRPr="00537506">
        <w:t xml:space="preserve"> that have not completed the procedure successfully, provided unintentional consequences are avoided.</w:t>
      </w:r>
    </w:p>
    <w:p w14:paraId="47AC60E7" w14:textId="500C389D" w:rsidR="00FE5F6F" w:rsidRDefault="00FE5F6F" w:rsidP="00AB113A">
      <w:pPr>
        <w:ind w:left="348"/>
        <w:contextualSpacing/>
        <w:jc w:val="both"/>
        <w:rPr>
          <w:lang w:val="en-NZ"/>
        </w:rPr>
      </w:pPr>
    </w:p>
    <w:p w14:paraId="7FE4C42F" w14:textId="77777777" w:rsidR="004E4EE8" w:rsidRDefault="004E4EE8" w:rsidP="00AB113A">
      <w:pPr>
        <w:ind w:left="348"/>
        <w:contextualSpacing/>
        <w:jc w:val="both"/>
        <w:rPr>
          <w:lang w:val="en-NZ"/>
        </w:rPr>
      </w:pPr>
    </w:p>
    <w:p w14:paraId="0C0B5065" w14:textId="26660D90" w:rsidR="00FE1489" w:rsidRPr="00AC5C5C" w:rsidRDefault="00FE1489" w:rsidP="00AB113A">
      <w:pPr>
        <w:pStyle w:val="Style1H2"/>
      </w:pPr>
      <w:bookmarkStart w:id="7" w:name="_Hlk143164712"/>
      <w:r w:rsidRPr="00AC5C5C">
        <w:t xml:space="preserve">4. </w:t>
      </w:r>
      <w:r w:rsidRPr="00AC5C5C">
        <w:tab/>
        <w:t>APT View(s)</w:t>
      </w:r>
    </w:p>
    <w:p w14:paraId="778F8A50" w14:textId="495C419F" w:rsidR="004E4EE8" w:rsidRDefault="004E4EE8" w:rsidP="00AB113A">
      <w:pPr>
        <w:pStyle w:val="ListParagraph"/>
        <w:jc w:val="both"/>
        <w:rPr>
          <w:lang w:val="en-NZ"/>
        </w:rPr>
      </w:pPr>
      <w:r w:rsidRPr="00576D85">
        <w:rPr>
          <w:lang w:val="en-NZ"/>
        </w:rPr>
        <w:t xml:space="preserve">The APT has considered Agenda Item 7 Topic </w:t>
      </w:r>
      <w:r>
        <w:rPr>
          <w:lang w:val="en-NZ"/>
        </w:rPr>
        <w:t>K</w:t>
      </w:r>
      <w:r w:rsidRPr="00576D85">
        <w:rPr>
          <w:lang w:val="en-NZ"/>
        </w:rPr>
        <w:t xml:space="preserve"> and drafted a Preliminary APT Common Proposal on the matter.</w:t>
      </w:r>
      <w:r w:rsidR="00660D9E" w:rsidRPr="00660D9E">
        <w:rPr>
          <w:lang w:val="en-NZ"/>
        </w:rPr>
        <w:t xml:space="preserve"> </w:t>
      </w:r>
      <w:r w:rsidR="00660D9E">
        <w:rPr>
          <w:lang w:val="en-NZ"/>
        </w:rPr>
        <w:t xml:space="preserve">In addition, the APT has </w:t>
      </w:r>
      <w:r w:rsidR="009E24FA">
        <w:rPr>
          <w:lang w:val="en-NZ"/>
        </w:rPr>
        <w:t>agreed on</w:t>
      </w:r>
      <w:r w:rsidR="00660D9E">
        <w:rPr>
          <w:lang w:val="en-NZ"/>
        </w:rPr>
        <w:t xml:space="preserve"> the following views on </w:t>
      </w:r>
      <w:r w:rsidR="00660D9E" w:rsidRPr="00576D85">
        <w:rPr>
          <w:lang w:val="en-NZ"/>
        </w:rPr>
        <w:t xml:space="preserve">Agenda Item 7 Topic </w:t>
      </w:r>
      <w:r w:rsidR="009E24FA">
        <w:rPr>
          <w:lang w:val="en-NZ"/>
        </w:rPr>
        <w:t>K</w:t>
      </w:r>
      <w:r w:rsidR="00660D9E">
        <w:rPr>
          <w:lang w:val="en-NZ"/>
        </w:rPr>
        <w:t>.</w:t>
      </w:r>
    </w:p>
    <w:p w14:paraId="621F517D" w14:textId="1DA8ADF4" w:rsidR="004E6872" w:rsidRDefault="004E6872" w:rsidP="00AB113A">
      <w:pPr>
        <w:pStyle w:val="ListParagraph"/>
        <w:contextualSpacing/>
        <w:jc w:val="both"/>
        <w:rPr>
          <w:lang w:val="en-NZ"/>
        </w:rPr>
      </w:pPr>
      <w:r w:rsidRPr="004E6872">
        <w:rPr>
          <w:lang w:val="en-NZ"/>
        </w:rPr>
        <w:t>APT Members supports Method K2 in the CPM Report to address this topic.</w:t>
      </w:r>
    </w:p>
    <w:bookmarkEnd w:id="7"/>
    <w:p w14:paraId="12C3A9DE" w14:textId="58A0E375" w:rsidR="00FE1489" w:rsidRDefault="00FE1489" w:rsidP="00AB113A">
      <w:pPr>
        <w:pStyle w:val="ListParagraph"/>
        <w:numPr>
          <w:ilvl w:val="0"/>
          <w:numId w:val="0"/>
        </w:numPr>
        <w:ind w:left="720"/>
        <w:contextualSpacing/>
        <w:jc w:val="both"/>
        <w:rPr>
          <w:rFonts w:eastAsia="MS Mincho"/>
          <w:lang w:eastAsia="ja-JP"/>
        </w:rPr>
      </w:pPr>
    </w:p>
    <w:p w14:paraId="752E6AFB" w14:textId="77777777" w:rsidR="004E6872" w:rsidRDefault="004E6872" w:rsidP="00AB113A">
      <w:pPr>
        <w:pStyle w:val="ListParagraph"/>
        <w:numPr>
          <w:ilvl w:val="0"/>
          <w:numId w:val="0"/>
        </w:numPr>
        <w:ind w:left="720"/>
        <w:contextualSpacing/>
        <w:jc w:val="both"/>
        <w:rPr>
          <w:rFonts w:eastAsia="MS Mincho"/>
          <w:lang w:eastAsia="ja-JP"/>
        </w:rPr>
      </w:pPr>
    </w:p>
    <w:p w14:paraId="397E2B25" w14:textId="77777777" w:rsidR="0085798D" w:rsidRPr="004B63AB" w:rsidRDefault="0085798D" w:rsidP="00AB113A">
      <w:pPr>
        <w:pStyle w:val="Style1H2"/>
      </w:pPr>
      <w:r>
        <w:t xml:space="preserve">5. </w:t>
      </w:r>
      <w:r>
        <w:tab/>
        <w:t>Preliminary APT Common Proposal</w:t>
      </w:r>
    </w:p>
    <w:bookmarkStart w:id="8" w:name="_MON_1753777721"/>
    <w:bookmarkEnd w:id="8"/>
    <w:p w14:paraId="2F0C7DA3" w14:textId="12FE9AAB" w:rsidR="004E4EE8" w:rsidRDefault="00AB113A" w:rsidP="00AB113A">
      <w:pPr>
        <w:pStyle w:val="ListParagraph"/>
        <w:numPr>
          <w:ilvl w:val="0"/>
          <w:numId w:val="0"/>
        </w:numPr>
        <w:ind w:left="720"/>
        <w:contextualSpacing/>
        <w:jc w:val="both"/>
        <w:rPr>
          <w:lang w:val="en-NZ"/>
        </w:rPr>
      </w:pPr>
      <w:r>
        <w:rPr>
          <w:lang w:val="en-NZ"/>
        </w:rPr>
        <w:object w:dxaOrig="1534" w:dyaOrig="991" w14:anchorId="3046462B">
          <v:shape id="_x0000_i1027" type="#_x0000_t75" style="width:76.55pt;height:49.5pt" o:ole="">
            <v:imagedata r:id="rId34" o:title=""/>
          </v:shape>
          <o:OLEObject Type="Embed" ProgID="Word.Document.12" ShapeID="_x0000_i1027" DrawAspect="Icon" ObjectID="_1753910806" r:id="rId35">
            <o:FieldCodes>\s</o:FieldCodes>
          </o:OLEObject>
        </w:object>
      </w:r>
    </w:p>
    <w:p w14:paraId="677531B8" w14:textId="77777777" w:rsidR="004E4EE8" w:rsidRPr="0085798D" w:rsidRDefault="004E4EE8" w:rsidP="00AB113A">
      <w:pPr>
        <w:pStyle w:val="ListParagraph"/>
        <w:numPr>
          <w:ilvl w:val="0"/>
          <w:numId w:val="0"/>
        </w:numPr>
        <w:ind w:left="720"/>
        <w:contextualSpacing/>
        <w:jc w:val="both"/>
        <w:rPr>
          <w:lang w:val="en-NZ"/>
        </w:rPr>
      </w:pPr>
    </w:p>
    <w:p w14:paraId="2FD2FA43" w14:textId="77777777" w:rsidR="0085798D" w:rsidRPr="00BA28B2" w:rsidRDefault="0085798D" w:rsidP="00AB113A">
      <w:pPr>
        <w:pStyle w:val="Style1H2"/>
      </w:pPr>
      <w:r w:rsidRPr="00FA4FD8">
        <w:t xml:space="preserve">6. </w:t>
      </w:r>
      <w:r w:rsidRPr="00FA4FD8">
        <w:tab/>
        <w:t xml:space="preserve">Issues for Consideration </w:t>
      </w:r>
      <w:r w:rsidRPr="0085798D">
        <w:t>at APG Coordination Meeting at WRC-23 (if any)</w:t>
      </w:r>
    </w:p>
    <w:p w14:paraId="598BC137" w14:textId="77777777" w:rsidR="004E6872" w:rsidRDefault="004E6872" w:rsidP="00AB113A">
      <w:pPr>
        <w:pStyle w:val="ListParagraph"/>
        <w:contextualSpacing/>
        <w:jc w:val="both"/>
        <w:rPr>
          <w:lang w:val="en-NZ"/>
        </w:rPr>
      </w:pPr>
      <w:r>
        <w:t>None.</w:t>
      </w:r>
    </w:p>
    <w:p w14:paraId="631415FF" w14:textId="13702CE2" w:rsidR="00626891" w:rsidRDefault="00626891" w:rsidP="00AB113A">
      <w:pPr>
        <w:contextualSpacing/>
        <w:rPr>
          <w:lang w:val="en-NZ"/>
        </w:rPr>
      </w:pPr>
    </w:p>
    <w:p w14:paraId="51769D50" w14:textId="77777777" w:rsidR="00BE67FF" w:rsidRPr="00BA28B2" w:rsidRDefault="00BE67FF" w:rsidP="00AB113A">
      <w:pPr>
        <w:contextualSpacing/>
        <w:rPr>
          <w:lang w:val="en-NZ"/>
        </w:rPr>
      </w:pPr>
    </w:p>
    <w:p w14:paraId="2B80F49E" w14:textId="77777777" w:rsidR="00FE1489" w:rsidRPr="00BA28B2" w:rsidRDefault="00FE1489" w:rsidP="00AB113A">
      <w:pPr>
        <w:pStyle w:val="Style1H2"/>
      </w:pPr>
      <w:r w:rsidRPr="00BA28B2">
        <w:t xml:space="preserve">7. </w:t>
      </w:r>
      <w:r w:rsidRPr="00BA28B2">
        <w:tab/>
        <w:t xml:space="preserve">Views from Other Organisations </w:t>
      </w:r>
    </w:p>
    <w:p w14:paraId="0D351836" w14:textId="2EC9249F" w:rsidR="00FE1489" w:rsidRPr="00BA28B2" w:rsidRDefault="00FE1489" w:rsidP="00AB113A">
      <w:pPr>
        <w:pStyle w:val="H3"/>
      </w:pPr>
      <w:r w:rsidRPr="00BA28B2">
        <w:t xml:space="preserve">7.1 </w:t>
      </w:r>
      <w:r w:rsidRPr="00BA28B2">
        <w:tab/>
        <w:t>Regional Groups</w:t>
      </w:r>
    </w:p>
    <w:p w14:paraId="5EA85ABF" w14:textId="77777777" w:rsidR="00606D39" w:rsidRPr="00BA28B2" w:rsidRDefault="00606D39" w:rsidP="00AB113A">
      <w:pPr>
        <w:pStyle w:val="H3"/>
      </w:pPr>
      <w:r w:rsidRPr="00BA28B2">
        <w:t>7.1.1</w:t>
      </w:r>
      <w:r w:rsidRPr="00BA28B2">
        <w:tab/>
        <w:t>ASMG – Document WRC-23-IRW-22/</w:t>
      </w:r>
      <w:hyperlink r:id="rId36" w:history="1">
        <w:r w:rsidRPr="00606D39">
          <w:rPr>
            <w:rStyle w:val="Hyperlink"/>
          </w:rPr>
          <w:t>5</w:t>
        </w:r>
      </w:hyperlink>
      <w:r w:rsidRPr="00BA28B2">
        <w:t xml:space="preserve"> (</w:t>
      </w:r>
      <w:r w:rsidRPr="00A46049">
        <w:t>as</w:t>
      </w:r>
      <w:r w:rsidRPr="00BA28B2">
        <w:t xml:space="preserve"> of December 2022) </w:t>
      </w:r>
    </w:p>
    <w:p w14:paraId="7496BBE7" w14:textId="77777777" w:rsidR="00100B64" w:rsidRPr="00BA28B2" w:rsidRDefault="00100B64" w:rsidP="00AB113A">
      <w:pPr>
        <w:pStyle w:val="ListParagraph"/>
        <w:jc w:val="both"/>
      </w:pPr>
      <w:r w:rsidRPr="00BA28B2">
        <w:t xml:space="preserve">Follow-up studies to modify Resolution </w:t>
      </w:r>
      <w:r w:rsidRPr="00BA28B2">
        <w:rPr>
          <w:b/>
          <w:bCs/>
        </w:rPr>
        <w:t>553 (Rev.WRC-15)</w:t>
      </w:r>
      <w:r w:rsidRPr="00BA28B2">
        <w:t xml:space="preserve"> to ensure equitable access to the 22- 21.4 GHz frequency band.</w:t>
      </w:r>
    </w:p>
    <w:p w14:paraId="55B37046" w14:textId="77777777" w:rsidR="00100B64" w:rsidRPr="00BA28B2" w:rsidRDefault="00100B64" w:rsidP="00AB113A">
      <w:pPr>
        <w:pStyle w:val="ListParagraph"/>
        <w:numPr>
          <w:ilvl w:val="0"/>
          <w:numId w:val="0"/>
        </w:numPr>
        <w:ind w:left="720"/>
        <w:jc w:val="both"/>
      </w:pPr>
    </w:p>
    <w:p w14:paraId="5FE701DF" w14:textId="1FC9AFAE" w:rsidR="00100B64" w:rsidRPr="00BA28B2" w:rsidRDefault="00100B64" w:rsidP="00AB113A">
      <w:pPr>
        <w:pStyle w:val="H3"/>
      </w:pPr>
      <w:r w:rsidRPr="00BA28B2">
        <w:t>7.1.2</w:t>
      </w:r>
      <w:r w:rsidRPr="00BA28B2">
        <w:tab/>
        <w:t>ATU – Document WRC-23-</w:t>
      </w:r>
      <w:r w:rsidR="0029250D" w:rsidRPr="0029250D">
        <w:t xml:space="preserve"> </w:t>
      </w:r>
      <w:r w:rsidR="0029250D" w:rsidRPr="00BA28B2">
        <w:t>IRW-22/</w:t>
      </w:r>
      <w:hyperlink r:id="rId37" w:history="1">
        <w:r w:rsidR="0029250D" w:rsidRPr="0029250D">
          <w:rPr>
            <w:rStyle w:val="Hyperlink"/>
          </w:rPr>
          <w:t>2</w:t>
        </w:r>
      </w:hyperlink>
      <w:r w:rsidR="0029250D" w:rsidRPr="00BA28B2">
        <w:t xml:space="preserve"> (as of December 2022)</w:t>
      </w:r>
    </w:p>
    <w:p w14:paraId="3C3FBD0D" w14:textId="77777777" w:rsidR="00100B64" w:rsidRPr="00BA28B2" w:rsidRDefault="00100B64" w:rsidP="00AB113A">
      <w:pPr>
        <w:pStyle w:val="ListParagraph"/>
        <w:jc w:val="both"/>
      </w:pPr>
      <w:r w:rsidRPr="00BA28B2">
        <w:t>Support the proposals mentioned in the current working document.</w:t>
      </w:r>
    </w:p>
    <w:p w14:paraId="74446AEB" w14:textId="77777777" w:rsidR="00100B64" w:rsidRPr="00BA28B2" w:rsidRDefault="00100B64" w:rsidP="00AB113A">
      <w:pPr>
        <w:pStyle w:val="ListParagraph"/>
        <w:jc w:val="both"/>
      </w:pPr>
      <w:r w:rsidRPr="00BA28B2">
        <w:t>Examine the Resolution 553 (Rev. WRC-15) with a view of finding any other modification which can help African countries to benefit from the Resolution.</w:t>
      </w:r>
    </w:p>
    <w:p w14:paraId="7FC6B958" w14:textId="16015256" w:rsidR="00100B64" w:rsidRDefault="00100B64" w:rsidP="00AB113A">
      <w:pPr>
        <w:pStyle w:val="ListParagraph"/>
        <w:numPr>
          <w:ilvl w:val="0"/>
          <w:numId w:val="0"/>
        </w:numPr>
        <w:ind w:left="720"/>
        <w:jc w:val="both"/>
      </w:pPr>
    </w:p>
    <w:p w14:paraId="4BC075B3" w14:textId="77777777" w:rsidR="004E4EE8" w:rsidRPr="00BA28B2" w:rsidRDefault="004E4EE8" w:rsidP="00AB113A">
      <w:pPr>
        <w:pStyle w:val="ListParagraph"/>
        <w:numPr>
          <w:ilvl w:val="0"/>
          <w:numId w:val="0"/>
        </w:numPr>
        <w:ind w:left="720"/>
        <w:jc w:val="both"/>
      </w:pPr>
    </w:p>
    <w:p w14:paraId="796B1C69" w14:textId="77777777" w:rsidR="00C43C25" w:rsidRPr="00BA28B2" w:rsidRDefault="00C43C25" w:rsidP="00AB113A">
      <w:pPr>
        <w:pStyle w:val="H3"/>
      </w:pPr>
      <w:r w:rsidRPr="00BA28B2">
        <w:lastRenderedPageBreak/>
        <w:t>7.1.3</w:t>
      </w:r>
      <w:r w:rsidRPr="00BA28B2">
        <w:tab/>
        <w:t xml:space="preserve">CEPT – Document </w:t>
      </w:r>
      <w:r>
        <w:t>APG23-6/</w:t>
      </w:r>
      <w:hyperlink r:id="rId38" w:history="1">
        <w:r w:rsidRPr="00F75EA5">
          <w:rPr>
            <w:rStyle w:val="Hyperlink"/>
          </w:rPr>
          <w:t>INF-46</w:t>
        </w:r>
      </w:hyperlink>
    </w:p>
    <w:p w14:paraId="5B7393F8" w14:textId="77777777" w:rsidR="00764C3B" w:rsidRPr="00764C3B" w:rsidRDefault="00764C3B" w:rsidP="00AB113A">
      <w:pPr>
        <w:pStyle w:val="ListParagraph"/>
        <w:jc w:val="both"/>
      </w:pPr>
      <w:r w:rsidRPr="00764C3B">
        <w:t xml:space="preserve">CEPT supports the possibility </w:t>
      </w:r>
      <w:proofErr w:type="gramStart"/>
      <w:r w:rsidRPr="00764C3B">
        <w:t>to apply</w:t>
      </w:r>
      <w:proofErr w:type="gramEnd"/>
      <w:r w:rsidRPr="00764C3B">
        <w:t xml:space="preserve"> the special procedure of Resolution </w:t>
      </w:r>
      <w:r w:rsidRPr="00764C3B">
        <w:rPr>
          <w:b/>
          <w:bCs/>
        </w:rPr>
        <w:t>553 (Rev. WRC-15)</w:t>
      </w:r>
      <w:r w:rsidRPr="00764C3B">
        <w:t xml:space="preserve"> again if the requesting administration fails to bring into use a network even if the special procedure of Resolution </w:t>
      </w:r>
      <w:r w:rsidRPr="00764C3B">
        <w:rPr>
          <w:b/>
          <w:bCs/>
        </w:rPr>
        <w:t>553 (Rev. WRC-15)</w:t>
      </w:r>
      <w:r w:rsidRPr="00764C3B">
        <w:t xml:space="preserve"> was previously requested.</w:t>
      </w:r>
    </w:p>
    <w:p w14:paraId="341340FD" w14:textId="24C7FABD" w:rsidR="005E39BD" w:rsidRDefault="00764C3B" w:rsidP="00AB113A">
      <w:pPr>
        <w:pStyle w:val="ListParagraph"/>
        <w:jc w:val="both"/>
      </w:pPr>
      <w:r w:rsidRPr="00833966">
        <w:t xml:space="preserve">CEPT supports the possibility to also apply the special procedure of Resolution </w:t>
      </w:r>
      <w:r w:rsidRPr="00833966">
        <w:rPr>
          <w:b/>
          <w:bCs/>
        </w:rPr>
        <w:t>553 (Rev. WRC-15)</w:t>
      </w:r>
      <w:r w:rsidRPr="00833966">
        <w:t xml:space="preserve"> once if the requesting administration has at maximum one network successfully examined under No. </w:t>
      </w:r>
      <w:r w:rsidRPr="00833966">
        <w:rPr>
          <w:b/>
          <w:bCs/>
        </w:rPr>
        <w:t>9.34</w:t>
      </w:r>
      <w:r w:rsidRPr="00833966">
        <w:t xml:space="preserve"> and published under No. </w:t>
      </w:r>
      <w:r w:rsidRPr="00833966">
        <w:rPr>
          <w:b/>
          <w:bCs/>
        </w:rPr>
        <w:t>9.38</w:t>
      </w:r>
      <w:r w:rsidRPr="00833966">
        <w:t xml:space="preserve"> for the frequency band 21.4-22 GHz and at the same orbital position(s) as the network to which the special procedure is to be applied.</w:t>
      </w:r>
    </w:p>
    <w:p w14:paraId="26EAF104" w14:textId="77777777" w:rsidR="00833966" w:rsidRPr="00BA28B2" w:rsidRDefault="00833966" w:rsidP="00AB113A">
      <w:pPr>
        <w:pStyle w:val="ListParagraph"/>
        <w:numPr>
          <w:ilvl w:val="0"/>
          <w:numId w:val="0"/>
        </w:numPr>
        <w:ind w:left="720"/>
        <w:jc w:val="both"/>
      </w:pPr>
    </w:p>
    <w:p w14:paraId="63CDF22D" w14:textId="77777777" w:rsidR="00C43C25" w:rsidRPr="00BA28B2" w:rsidRDefault="00C43C25" w:rsidP="00AB113A">
      <w:pPr>
        <w:pStyle w:val="H3"/>
      </w:pPr>
      <w:r w:rsidRPr="00BA28B2">
        <w:t>7.1.4</w:t>
      </w:r>
      <w:r w:rsidRPr="00BA28B2">
        <w:tab/>
        <w:t>CITEL – Document</w:t>
      </w:r>
      <w:r w:rsidRPr="00832B66">
        <w:t xml:space="preserve"> </w:t>
      </w:r>
      <w:r>
        <w:t>APG23-6/</w:t>
      </w:r>
      <w:hyperlink r:id="rId39" w:history="1">
        <w:r w:rsidRPr="00F75EA5">
          <w:rPr>
            <w:rStyle w:val="Hyperlink"/>
          </w:rPr>
          <w:t>INF-52</w:t>
        </w:r>
      </w:hyperlink>
    </w:p>
    <w:p w14:paraId="3FC42E82" w14:textId="77777777" w:rsidR="00100B64" w:rsidRPr="00BA28B2" w:rsidRDefault="00100B64" w:rsidP="00AB113A">
      <w:pPr>
        <w:pStyle w:val="ListParagraph"/>
        <w:numPr>
          <w:ilvl w:val="0"/>
          <w:numId w:val="2"/>
        </w:numPr>
        <w:jc w:val="both"/>
        <w:rPr>
          <w:lang w:val="en-NZ"/>
        </w:rPr>
      </w:pPr>
      <w:r w:rsidRPr="00BA28B2">
        <w:rPr>
          <w:lang w:eastAsia="zh-CN"/>
        </w:rPr>
        <w:t>None</w:t>
      </w:r>
      <w:r w:rsidRPr="00BA28B2">
        <w:rPr>
          <w:lang w:val="en-NZ"/>
        </w:rPr>
        <w:t xml:space="preserve">. </w:t>
      </w:r>
    </w:p>
    <w:p w14:paraId="6438FF9A" w14:textId="77777777" w:rsidR="00100B64" w:rsidRPr="00BA28B2" w:rsidRDefault="00100B64" w:rsidP="00AB113A">
      <w:pPr>
        <w:jc w:val="both"/>
      </w:pPr>
    </w:p>
    <w:p w14:paraId="4CB65128" w14:textId="77777777" w:rsidR="00C43C25" w:rsidRPr="00BA28B2" w:rsidRDefault="00C43C25" w:rsidP="00AB113A">
      <w:pPr>
        <w:pStyle w:val="H3"/>
      </w:pPr>
      <w:r w:rsidRPr="00BA28B2">
        <w:t>7.1.5</w:t>
      </w:r>
      <w:r w:rsidRPr="00BA28B2">
        <w:tab/>
        <w:t xml:space="preserve">RCC – Document </w:t>
      </w:r>
      <w:r>
        <w:t>APG23-6/</w:t>
      </w:r>
      <w:hyperlink r:id="rId40" w:history="1">
        <w:r w:rsidRPr="00F75EA5">
          <w:rPr>
            <w:rStyle w:val="Hyperlink"/>
          </w:rPr>
          <w:t>IN</w:t>
        </w:r>
        <w:r>
          <w:rPr>
            <w:rStyle w:val="Hyperlink"/>
          </w:rPr>
          <w:t>F</w:t>
        </w:r>
        <w:r w:rsidRPr="00F75EA5">
          <w:rPr>
            <w:rStyle w:val="Hyperlink"/>
          </w:rPr>
          <w:t>-45</w:t>
        </w:r>
      </w:hyperlink>
    </w:p>
    <w:p w14:paraId="1210FE9B" w14:textId="3E20D0A8" w:rsidR="00764C3B" w:rsidRPr="00764C3B" w:rsidRDefault="00764C3B" w:rsidP="00AB113A">
      <w:pPr>
        <w:pStyle w:val="ListParagraph"/>
        <w:jc w:val="both"/>
      </w:pPr>
      <w:r w:rsidRPr="00764C3B">
        <w:t xml:space="preserve">Modifications to Resolution </w:t>
      </w:r>
      <w:r w:rsidRPr="00764C3B">
        <w:rPr>
          <w:b/>
          <w:bCs/>
        </w:rPr>
        <w:t>553 (Rev. WRC-15)</w:t>
      </w:r>
      <w:r w:rsidRPr="00764C3B">
        <w:t xml:space="preserve"> to eliminate some restrictions that prevent the effective use of this Resolution by </w:t>
      </w:r>
      <w:proofErr w:type="gramStart"/>
      <w:r w:rsidRPr="00764C3B">
        <w:t>administrations</w:t>
      </w:r>
      <w:proofErr w:type="gramEnd"/>
      <w:r w:rsidR="00833966">
        <w:t>.</w:t>
      </w:r>
    </w:p>
    <w:p w14:paraId="758EB8E8" w14:textId="0BF190BB" w:rsidR="00100B64" w:rsidRDefault="00764C3B" w:rsidP="00AB113A">
      <w:pPr>
        <w:pStyle w:val="ListParagraph"/>
        <w:jc w:val="both"/>
      </w:pPr>
      <w:r w:rsidRPr="00833966">
        <w:t xml:space="preserve">Support Method K2 of the CPM Report and do not oppose </w:t>
      </w:r>
      <w:proofErr w:type="gramStart"/>
      <w:r w:rsidRPr="00833966">
        <w:t>to modify</w:t>
      </w:r>
      <w:proofErr w:type="gramEnd"/>
      <w:r w:rsidRPr="00833966">
        <w:t xml:space="preserve"> Resolution </w:t>
      </w:r>
      <w:r w:rsidRPr="00833966">
        <w:rPr>
          <w:b/>
          <w:bCs/>
        </w:rPr>
        <w:t>553 (WRC-15)</w:t>
      </w:r>
      <w:r w:rsidRPr="00833966">
        <w:t xml:space="preserve"> to ensure equitable access to the frequency band 21.4–22 GHz.</w:t>
      </w:r>
    </w:p>
    <w:p w14:paraId="4D4A054A" w14:textId="77777777" w:rsidR="00833966" w:rsidRPr="00833966" w:rsidRDefault="00833966" w:rsidP="00AB113A">
      <w:pPr>
        <w:pStyle w:val="ListParagraph"/>
        <w:numPr>
          <w:ilvl w:val="0"/>
          <w:numId w:val="0"/>
        </w:numPr>
        <w:ind w:left="720"/>
        <w:jc w:val="both"/>
      </w:pPr>
    </w:p>
    <w:p w14:paraId="319DDEB4" w14:textId="77777777" w:rsidR="003A0585" w:rsidRPr="00BA28B2" w:rsidRDefault="003A0585" w:rsidP="00AB113A">
      <w:pPr>
        <w:pStyle w:val="H3"/>
      </w:pPr>
      <w:r w:rsidRPr="00BA28B2">
        <w:t>7.2.</w:t>
      </w:r>
      <w:r w:rsidRPr="00BA28B2">
        <w:tab/>
        <w:t>Position of International Organizations (if available)</w:t>
      </w:r>
    </w:p>
    <w:p w14:paraId="10755D36" w14:textId="77777777" w:rsidR="003A0585" w:rsidRPr="00BA28B2" w:rsidRDefault="003A0585" w:rsidP="00AB113A">
      <w:pPr>
        <w:pStyle w:val="H3"/>
      </w:pPr>
      <w:r w:rsidRPr="00BA28B2">
        <w:t>7.2.1</w:t>
      </w:r>
      <w:r w:rsidRPr="00BA28B2">
        <w:tab/>
        <w:t xml:space="preserve">IARU R3 (as of </w:t>
      </w:r>
      <w:r>
        <w:t>August</w:t>
      </w:r>
      <w:r w:rsidRPr="00BA28B2">
        <w:t xml:space="preserve"> 2023)</w:t>
      </w:r>
    </w:p>
    <w:p w14:paraId="01858E7A" w14:textId="77777777" w:rsidR="003A0585" w:rsidRPr="00BA28B2" w:rsidRDefault="003A0585" w:rsidP="00AB113A">
      <w:pPr>
        <w:pStyle w:val="ListParagraph"/>
        <w:jc w:val="both"/>
        <w:rPr>
          <w:lang w:val="en-NZ"/>
        </w:rPr>
      </w:pPr>
      <w:r w:rsidRPr="00BA28B2">
        <w:t>None</w:t>
      </w:r>
      <w:r w:rsidRPr="00BA28B2">
        <w:rPr>
          <w:rFonts w:eastAsia="Calibri"/>
        </w:rPr>
        <w:t xml:space="preserve">. </w:t>
      </w:r>
    </w:p>
    <w:p w14:paraId="7BB79816" w14:textId="77777777" w:rsidR="003A0585" w:rsidRPr="00BA28B2" w:rsidRDefault="003A0585" w:rsidP="00AB113A">
      <w:pPr>
        <w:pStyle w:val="ListParagraph"/>
        <w:numPr>
          <w:ilvl w:val="0"/>
          <w:numId w:val="0"/>
        </w:numPr>
        <w:ind w:left="720"/>
        <w:jc w:val="both"/>
        <w:rPr>
          <w:lang w:val="en-NZ"/>
        </w:rPr>
      </w:pPr>
    </w:p>
    <w:p w14:paraId="4D5285EB" w14:textId="77777777" w:rsidR="003A0585" w:rsidRPr="00BA28B2" w:rsidRDefault="003A0585" w:rsidP="00AB113A">
      <w:pPr>
        <w:pStyle w:val="H3"/>
      </w:pPr>
      <w:r w:rsidRPr="00BA28B2">
        <w:t>7.2.2</w:t>
      </w:r>
      <w:r w:rsidRPr="00BA28B2">
        <w:tab/>
        <w:t>ICAO – Document WRC-23-IRW-22/</w:t>
      </w:r>
      <w:hyperlink r:id="rId41" w:history="1">
        <w:r w:rsidRPr="003A0585">
          <w:rPr>
            <w:rStyle w:val="Hyperlink"/>
          </w:rPr>
          <w:t>8</w:t>
        </w:r>
      </w:hyperlink>
      <w:r w:rsidRPr="00BA28B2">
        <w:t xml:space="preserve"> </w:t>
      </w:r>
    </w:p>
    <w:p w14:paraId="71E86C66" w14:textId="77777777" w:rsidR="003A0585" w:rsidRPr="00BA28B2" w:rsidRDefault="003A0585" w:rsidP="00AB113A">
      <w:pPr>
        <w:pStyle w:val="ListParagraph"/>
        <w:numPr>
          <w:ilvl w:val="0"/>
          <w:numId w:val="2"/>
        </w:numPr>
      </w:pPr>
      <w:r w:rsidRPr="00BA28B2">
        <w:rPr>
          <w:lang w:eastAsia="zh-CN"/>
        </w:rPr>
        <w:t>None</w:t>
      </w:r>
      <w:r w:rsidRPr="00BA28B2">
        <w:t>.</w:t>
      </w:r>
    </w:p>
    <w:p w14:paraId="2481149D" w14:textId="3D8A6B97" w:rsidR="00AE0EA2" w:rsidRDefault="00AE0ADE" w:rsidP="00AB113A">
      <w:pPr>
        <w:widowControl w:val="0"/>
        <w:autoSpaceDE w:val="0"/>
        <w:autoSpaceDN w:val="0"/>
        <w:spacing w:before="480" w:after="240"/>
        <w:ind w:left="360"/>
        <w:jc w:val="center"/>
        <w:rPr>
          <w:lang w:val="en-NZ"/>
        </w:rPr>
      </w:pPr>
      <w:r w:rsidRPr="00BA28B2">
        <w:rPr>
          <w:lang w:val="en-NZ"/>
        </w:rPr>
        <w:t>_______________________</w:t>
      </w:r>
    </w:p>
    <w:p w14:paraId="024E4AB7" w14:textId="2ED014BF" w:rsidR="00B93203" w:rsidRDefault="00B93203" w:rsidP="00AB113A">
      <w:pPr>
        <w:rPr>
          <w:lang w:val="en-NZ"/>
        </w:rPr>
      </w:pPr>
    </w:p>
    <w:sectPr w:rsidR="00B93203" w:rsidSect="004E4EE8">
      <w:headerReference w:type="default" r:id="rId42"/>
      <w:footerReference w:type="even" r:id="rId43"/>
      <w:footerReference w:type="default" r:id="rId44"/>
      <w:footerReference w:type="first" r:id="rId4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8DBC1" w14:textId="77777777" w:rsidR="00FF78A9" w:rsidRDefault="00FF78A9">
      <w:r>
        <w:separator/>
      </w:r>
    </w:p>
    <w:p w14:paraId="6ED32F30" w14:textId="77777777" w:rsidR="00FF78A9" w:rsidRDefault="00FF78A9"/>
    <w:p w14:paraId="36C6277E" w14:textId="77777777" w:rsidR="00FF78A9" w:rsidRDefault="00FF78A9" w:rsidP="007A47CA"/>
  </w:endnote>
  <w:endnote w:type="continuationSeparator" w:id="0">
    <w:p w14:paraId="11905DEA" w14:textId="77777777" w:rsidR="00FF78A9" w:rsidRDefault="00FF78A9">
      <w:r>
        <w:continuationSeparator/>
      </w:r>
    </w:p>
    <w:p w14:paraId="6A6FA7DB" w14:textId="77777777" w:rsidR="00FF78A9" w:rsidRDefault="00FF78A9"/>
    <w:p w14:paraId="58877232" w14:textId="77777777" w:rsidR="00FF78A9" w:rsidRDefault="00FF78A9"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2695BAF6" w:rsidR="001700D1" w:rsidRDefault="001700D1" w:rsidP="00C02622">
    <w:pPr>
      <w:pStyle w:val="Footer"/>
      <w:spacing w:before="240"/>
    </w:pPr>
    <w:r>
      <w:t>APG23-</w:t>
    </w:r>
    <w:r w:rsidR="00ED4232">
      <w:t>6</w:t>
    </w:r>
    <w:r>
      <w:t>/</w:t>
    </w:r>
    <w:r w:rsidR="00FC4182">
      <w:t>OUT-51</w:t>
    </w:r>
    <w:r>
      <w:tab/>
    </w:r>
    <w:r>
      <w:tab/>
      <w:t xml:space="preserve">Page </w:t>
    </w:r>
    <w:r>
      <w:rPr>
        <w:b/>
        <w:bCs/>
      </w:rPr>
      <w:fldChar w:fldCharType="begin"/>
    </w:r>
    <w:r>
      <w:rPr>
        <w:b/>
        <w:bCs/>
      </w:rPr>
      <w:instrText xml:space="preserve"> PAGE  \* Arabic  \* MERGEFORMAT </w:instrText>
    </w:r>
    <w:r>
      <w:rPr>
        <w:b/>
        <w:bCs/>
      </w:rPr>
      <w:fldChar w:fldCharType="separate"/>
    </w:r>
    <w:r w:rsidR="008F10AE">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F10AE">
      <w:rPr>
        <w:b/>
        <w:bCs/>
        <w:noProof/>
      </w:rPr>
      <w:t>5</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9CF6" w14:textId="77777777" w:rsidR="00FF78A9" w:rsidRDefault="00FF78A9">
      <w:r>
        <w:separator/>
      </w:r>
    </w:p>
    <w:p w14:paraId="62755977" w14:textId="77777777" w:rsidR="00FF78A9" w:rsidRDefault="00FF78A9"/>
    <w:p w14:paraId="4AF60ABD" w14:textId="77777777" w:rsidR="00FF78A9" w:rsidRDefault="00FF78A9" w:rsidP="007A47CA"/>
  </w:footnote>
  <w:footnote w:type="continuationSeparator" w:id="0">
    <w:p w14:paraId="0BE7D947" w14:textId="77777777" w:rsidR="00FF78A9" w:rsidRDefault="00FF78A9">
      <w:r>
        <w:continuationSeparator/>
      </w:r>
    </w:p>
    <w:p w14:paraId="588741FF" w14:textId="77777777" w:rsidR="00FF78A9" w:rsidRDefault="00FF78A9"/>
    <w:p w14:paraId="57FBBF3C" w14:textId="77777777" w:rsidR="00FF78A9" w:rsidRDefault="00FF78A9"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C70A6104"/>
    <w:lvl w:ilvl="0" w:tplc="5560C194">
      <w:start w:val="1"/>
      <w:numFmt w:val="bullet"/>
      <w:lvlText w:val=""/>
      <w:lvlJc w:val="left"/>
      <w:pPr>
        <w:ind w:left="2880" w:hanging="360"/>
      </w:pPr>
      <w:rPr>
        <w:rFonts w:ascii="Wingdings" w:hAnsi="Wingdings"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23562">
    <w:abstractNumId w:val="4"/>
  </w:num>
  <w:num w:numId="2" w16cid:durableId="1698849278">
    <w:abstractNumId w:val="7"/>
  </w:num>
  <w:num w:numId="3" w16cid:durableId="1358461521">
    <w:abstractNumId w:val="10"/>
  </w:num>
  <w:num w:numId="4" w16cid:durableId="907149928">
    <w:abstractNumId w:val="0"/>
  </w:num>
  <w:num w:numId="5" w16cid:durableId="1711491988">
    <w:abstractNumId w:val="5"/>
  </w:num>
  <w:num w:numId="6" w16cid:durableId="2097437833">
    <w:abstractNumId w:val="3"/>
  </w:num>
  <w:num w:numId="7" w16cid:durableId="512382126">
    <w:abstractNumId w:val="6"/>
  </w:num>
  <w:num w:numId="8" w16cid:durableId="359668754">
    <w:abstractNumId w:val="12"/>
  </w:num>
  <w:num w:numId="9" w16cid:durableId="473375272">
    <w:abstractNumId w:val="2"/>
  </w:num>
  <w:num w:numId="10" w16cid:durableId="1935236170">
    <w:abstractNumId w:val="4"/>
  </w:num>
  <w:num w:numId="11" w16cid:durableId="1787890660">
    <w:abstractNumId w:val="4"/>
  </w:num>
  <w:num w:numId="12" w16cid:durableId="1406604576">
    <w:abstractNumId w:val="4"/>
  </w:num>
  <w:num w:numId="13" w16cid:durableId="374356583">
    <w:abstractNumId w:val="4"/>
  </w:num>
  <w:num w:numId="14" w16cid:durableId="1637644108">
    <w:abstractNumId w:val="4"/>
  </w:num>
  <w:num w:numId="15" w16cid:durableId="790317264">
    <w:abstractNumId w:val="4"/>
  </w:num>
  <w:num w:numId="16" w16cid:durableId="1275092343">
    <w:abstractNumId w:val="4"/>
  </w:num>
  <w:num w:numId="17" w16cid:durableId="1437869293">
    <w:abstractNumId w:val="4"/>
  </w:num>
  <w:num w:numId="18" w16cid:durableId="1350597185">
    <w:abstractNumId w:val="4"/>
  </w:num>
  <w:num w:numId="19" w16cid:durableId="1456873504">
    <w:abstractNumId w:val="4"/>
  </w:num>
  <w:num w:numId="20" w16cid:durableId="932663607">
    <w:abstractNumId w:val="4"/>
  </w:num>
  <w:num w:numId="21" w16cid:durableId="1091123501">
    <w:abstractNumId w:val="4"/>
  </w:num>
  <w:num w:numId="22" w16cid:durableId="1137456681">
    <w:abstractNumId w:val="4"/>
  </w:num>
  <w:num w:numId="23" w16cid:durableId="1962418779">
    <w:abstractNumId w:val="4"/>
  </w:num>
  <w:num w:numId="24" w16cid:durableId="1748383748">
    <w:abstractNumId w:val="4"/>
  </w:num>
  <w:num w:numId="25" w16cid:durableId="1821070368">
    <w:abstractNumId w:val="4"/>
  </w:num>
  <w:num w:numId="26" w16cid:durableId="537015970">
    <w:abstractNumId w:val="8"/>
  </w:num>
  <w:num w:numId="27" w16cid:durableId="1916698420">
    <w:abstractNumId w:val="4"/>
  </w:num>
  <w:num w:numId="28" w16cid:durableId="2089110513">
    <w:abstractNumId w:val="4"/>
  </w:num>
  <w:num w:numId="29" w16cid:durableId="1661497986">
    <w:abstractNumId w:val="4"/>
  </w:num>
  <w:num w:numId="30" w16cid:durableId="1792631192">
    <w:abstractNumId w:val="1"/>
  </w:num>
  <w:num w:numId="31" w16cid:durableId="1149637126">
    <w:abstractNumId w:val="11"/>
  </w:num>
  <w:num w:numId="32" w16cid:durableId="719979666">
    <w:abstractNumId w:val="4"/>
  </w:num>
  <w:num w:numId="33" w16cid:durableId="2059431734">
    <w:abstractNumId w:val="4"/>
  </w:num>
  <w:num w:numId="34" w16cid:durableId="1404254247">
    <w:abstractNumId w:val="4"/>
  </w:num>
  <w:num w:numId="35" w16cid:durableId="1651786256">
    <w:abstractNumId w:val="4"/>
  </w:num>
  <w:num w:numId="36" w16cid:durableId="160699858">
    <w:abstractNumId w:val="4"/>
  </w:num>
  <w:num w:numId="37" w16cid:durableId="1211070309">
    <w:abstractNumId w:val="4"/>
  </w:num>
  <w:num w:numId="38" w16cid:durableId="557593595">
    <w:abstractNumId w:val="4"/>
  </w:num>
  <w:num w:numId="39" w16cid:durableId="34887007">
    <w:abstractNumId w:val="4"/>
  </w:num>
  <w:num w:numId="40" w16cid:durableId="1605460959">
    <w:abstractNumId w:val="4"/>
  </w:num>
  <w:num w:numId="41" w16cid:durableId="2066023981">
    <w:abstractNumId w:val="4"/>
  </w:num>
  <w:num w:numId="42" w16cid:durableId="961962948">
    <w:abstractNumId w:val="4"/>
  </w:num>
  <w:num w:numId="43" w16cid:durableId="1955475984">
    <w:abstractNumId w:val="4"/>
  </w:num>
  <w:num w:numId="44" w16cid:durableId="1453552402">
    <w:abstractNumId w:val="4"/>
  </w:num>
  <w:num w:numId="45" w16cid:durableId="1075934158">
    <w:abstractNumId w:val="4"/>
  </w:num>
  <w:num w:numId="46" w16cid:durableId="149055845">
    <w:abstractNumId w:val="4"/>
  </w:num>
  <w:num w:numId="47" w16cid:durableId="1815291129">
    <w:abstractNumId w:val="4"/>
  </w:num>
  <w:num w:numId="48" w16cid:durableId="384794244">
    <w:abstractNumId w:val="4"/>
  </w:num>
  <w:num w:numId="49" w16cid:durableId="1103113290">
    <w:abstractNumId w:val="4"/>
  </w:num>
  <w:num w:numId="50" w16cid:durableId="1550217145">
    <w:abstractNumId w:val="4"/>
  </w:num>
  <w:num w:numId="51" w16cid:durableId="352271393">
    <w:abstractNumId w:val="4"/>
  </w:num>
  <w:num w:numId="52" w16cid:durableId="1088040676">
    <w:abstractNumId w:val="4"/>
  </w:num>
  <w:num w:numId="53" w16cid:durableId="2005274279">
    <w:abstractNumId w:val="4"/>
  </w:num>
  <w:num w:numId="54" w16cid:durableId="1356033830">
    <w:abstractNumId w:val="4"/>
  </w:num>
  <w:num w:numId="55" w16cid:durableId="1359507756">
    <w:abstractNumId w:val="4"/>
  </w:num>
  <w:num w:numId="56" w16cid:durableId="40135323">
    <w:abstractNumId w:val="4"/>
  </w:num>
  <w:num w:numId="57" w16cid:durableId="1053540">
    <w:abstractNumId w:val="4"/>
  </w:num>
  <w:num w:numId="58" w16cid:durableId="1310938416">
    <w:abstractNumId w:val="4"/>
  </w:num>
  <w:num w:numId="59" w16cid:durableId="204758181">
    <w:abstractNumId w:val="4"/>
  </w:num>
  <w:num w:numId="60" w16cid:durableId="588975012">
    <w:abstractNumId w:val="4"/>
  </w:num>
  <w:num w:numId="61" w16cid:durableId="864833700">
    <w:abstractNumId w:val="4"/>
  </w:num>
  <w:num w:numId="62" w16cid:durableId="648093747">
    <w:abstractNumId w:val="4"/>
  </w:num>
  <w:num w:numId="63" w16cid:durableId="642078864">
    <w:abstractNumId w:val="4"/>
  </w:num>
  <w:num w:numId="64" w16cid:durableId="1747724018">
    <w:abstractNumId w:val="4"/>
  </w:num>
  <w:num w:numId="65" w16cid:durableId="913511233">
    <w:abstractNumId w:val="4"/>
  </w:num>
  <w:num w:numId="66" w16cid:durableId="1995839518">
    <w:abstractNumId w:val="4"/>
  </w:num>
  <w:num w:numId="67" w16cid:durableId="284387804">
    <w:abstractNumId w:val="4"/>
  </w:num>
  <w:num w:numId="68" w16cid:durableId="1459646516">
    <w:abstractNumId w:val="4"/>
  </w:num>
  <w:num w:numId="69" w16cid:durableId="1234389580">
    <w:abstractNumId w:val="4"/>
  </w:num>
  <w:num w:numId="70" w16cid:durableId="2077362921">
    <w:abstractNumId w:val="4"/>
  </w:num>
  <w:num w:numId="71" w16cid:durableId="568467989">
    <w:abstractNumId w:val="4"/>
  </w:num>
  <w:num w:numId="72" w16cid:durableId="7568416">
    <w:abstractNumId w:val="4"/>
  </w:num>
  <w:num w:numId="73" w16cid:durableId="1528984289">
    <w:abstractNumId w:val="4"/>
  </w:num>
  <w:num w:numId="74" w16cid:durableId="1903980005">
    <w:abstractNumId w:val="4"/>
  </w:num>
  <w:num w:numId="75" w16cid:durableId="1310213024">
    <w:abstractNumId w:val="4"/>
  </w:num>
  <w:num w:numId="76" w16cid:durableId="315497252">
    <w:abstractNumId w:val="4"/>
  </w:num>
  <w:num w:numId="77" w16cid:durableId="237330556">
    <w:abstractNumId w:val="4"/>
  </w:num>
  <w:num w:numId="78" w16cid:durableId="2103067150">
    <w:abstractNumId w:val="4"/>
  </w:num>
  <w:num w:numId="79" w16cid:durableId="412246028">
    <w:abstractNumId w:val="4"/>
  </w:num>
  <w:num w:numId="80" w16cid:durableId="1010595563">
    <w:abstractNumId w:val="4"/>
  </w:num>
  <w:num w:numId="81" w16cid:durableId="891162817">
    <w:abstractNumId w:val="4"/>
  </w:num>
  <w:num w:numId="82" w16cid:durableId="1393768712">
    <w:abstractNumId w:val="4"/>
  </w:num>
  <w:num w:numId="83" w16cid:durableId="1797213238">
    <w:abstractNumId w:val="4"/>
  </w:num>
  <w:num w:numId="84" w16cid:durableId="612631824">
    <w:abstractNumId w:val="4"/>
  </w:num>
  <w:num w:numId="85" w16cid:durableId="1020618165">
    <w:abstractNumId w:val="4"/>
  </w:num>
  <w:num w:numId="86" w16cid:durableId="756754942">
    <w:abstractNumId w:val="4"/>
  </w:num>
  <w:num w:numId="87" w16cid:durableId="1756323991">
    <w:abstractNumId w:val="4"/>
  </w:num>
  <w:num w:numId="88" w16cid:durableId="383069225">
    <w:abstractNumId w:val="4"/>
  </w:num>
  <w:num w:numId="89" w16cid:durableId="267542250">
    <w:abstractNumId w:val="9"/>
  </w:num>
  <w:num w:numId="90" w16cid:durableId="927226707">
    <w:abstractNumId w:val="4"/>
  </w:num>
  <w:num w:numId="91" w16cid:durableId="1879465209">
    <w:abstractNumId w:val="4"/>
  </w:num>
  <w:num w:numId="92" w16cid:durableId="1286699382">
    <w:abstractNumId w:val="4"/>
  </w:num>
  <w:num w:numId="93" w16cid:durableId="565800775">
    <w:abstractNumId w:val="4"/>
  </w:num>
  <w:num w:numId="94" w16cid:durableId="493225726">
    <w:abstractNumId w:val="4"/>
  </w:num>
  <w:num w:numId="95" w16cid:durableId="684675599">
    <w:abstractNumId w:val="4"/>
  </w:num>
  <w:num w:numId="96" w16cid:durableId="2109502045">
    <w:abstractNumId w:val="4"/>
  </w:num>
  <w:num w:numId="97" w16cid:durableId="2063672727">
    <w:abstractNumId w:val="4"/>
  </w:num>
  <w:num w:numId="98" w16cid:durableId="1965580050">
    <w:abstractNumId w:val="4"/>
  </w:num>
  <w:num w:numId="99" w16cid:durableId="2004233661">
    <w:abstractNumId w:val="4"/>
  </w:num>
  <w:num w:numId="100" w16cid:durableId="1938370606">
    <w:abstractNumId w:val="4"/>
  </w:num>
  <w:num w:numId="101" w16cid:durableId="1005977822">
    <w:abstractNumId w:val="4"/>
  </w:num>
  <w:num w:numId="102" w16cid:durableId="234248897">
    <w:abstractNumId w:val="4"/>
  </w:num>
  <w:num w:numId="103" w16cid:durableId="1322780014">
    <w:abstractNumId w:val="4"/>
  </w:num>
  <w:num w:numId="104" w16cid:durableId="198472891">
    <w:abstractNumId w:val="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946"/>
    <w:rsid w:val="00005E24"/>
    <w:rsid w:val="00010A9A"/>
    <w:rsid w:val="0001334E"/>
    <w:rsid w:val="00013C08"/>
    <w:rsid w:val="000151FA"/>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6FED"/>
    <w:rsid w:val="0018114D"/>
    <w:rsid w:val="00182399"/>
    <w:rsid w:val="001832C2"/>
    <w:rsid w:val="00186B26"/>
    <w:rsid w:val="0019090D"/>
    <w:rsid w:val="00190A21"/>
    <w:rsid w:val="00191037"/>
    <w:rsid w:val="001923E8"/>
    <w:rsid w:val="00192DD3"/>
    <w:rsid w:val="00194C82"/>
    <w:rsid w:val="00196568"/>
    <w:rsid w:val="00197B92"/>
    <w:rsid w:val="001A27F4"/>
    <w:rsid w:val="001A2BD4"/>
    <w:rsid w:val="001A2F16"/>
    <w:rsid w:val="001A34FF"/>
    <w:rsid w:val="001B0741"/>
    <w:rsid w:val="001B18C2"/>
    <w:rsid w:val="001C0A50"/>
    <w:rsid w:val="001C46D3"/>
    <w:rsid w:val="001C5F31"/>
    <w:rsid w:val="001C7B2B"/>
    <w:rsid w:val="001D5D7E"/>
    <w:rsid w:val="001D7036"/>
    <w:rsid w:val="001E1432"/>
    <w:rsid w:val="001E241B"/>
    <w:rsid w:val="001E2501"/>
    <w:rsid w:val="001E345E"/>
    <w:rsid w:val="001F0363"/>
    <w:rsid w:val="001F3309"/>
    <w:rsid w:val="001F4CA3"/>
    <w:rsid w:val="001F5947"/>
    <w:rsid w:val="001F5F7D"/>
    <w:rsid w:val="001F711F"/>
    <w:rsid w:val="001F754C"/>
    <w:rsid w:val="00201AE1"/>
    <w:rsid w:val="00202EB0"/>
    <w:rsid w:val="0020500C"/>
    <w:rsid w:val="002055E4"/>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14375"/>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3F39"/>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4EE8"/>
    <w:rsid w:val="004E6872"/>
    <w:rsid w:val="004F0D74"/>
    <w:rsid w:val="004F4D2B"/>
    <w:rsid w:val="004F733C"/>
    <w:rsid w:val="0050057B"/>
    <w:rsid w:val="00500AE0"/>
    <w:rsid w:val="00500F23"/>
    <w:rsid w:val="0050234B"/>
    <w:rsid w:val="00502F41"/>
    <w:rsid w:val="00511969"/>
    <w:rsid w:val="00512F9B"/>
    <w:rsid w:val="00515050"/>
    <w:rsid w:val="0051686D"/>
    <w:rsid w:val="00516B4D"/>
    <w:rsid w:val="00516ECD"/>
    <w:rsid w:val="005201CA"/>
    <w:rsid w:val="00521BF0"/>
    <w:rsid w:val="005263C8"/>
    <w:rsid w:val="00530E8C"/>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0D9E"/>
    <w:rsid w:val="0066388B"/>
    <w:rsid w:val="00664462"/>
    <w:rsid w:val="00667229"/>
    <w:rsid w:val="00673586"/>
    <w:rsid w:val="00675C31"/>
    <w:rsid w:val="00675DA7"/>
    <w:rsid w:val="006769C2"/>
    <w:rsid w:val="00682BE5"/>
    <w:rsid w:val="00683879"/>
    <w:rsid w:val="006843DA"/>
    <w:rsid w:val="00684A8A"/>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86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31716"/>
    <w:rsid w:val="008319BF"/>
    <w:rsid w:val="00832B66"/>
    <w:rsid w:val="008335BE"/>
    <w:rsid w:val="008337EA"/>
    <w:rsid w:val="00833966"/>
    <w:rsid w:val="008406E5"/>
    <w:rsid w:val="00842CF5"/>
    <w:rsid w:val="00843068"/>
    <w:rsid w:val="00843C3F"/>
    <w:rsid w:val="00843D73"/>
    <w:rsid w:val="00845884"/>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6099"/>
    <w:rsid w:val="008A73CD"/>
    <w:rsid w:val="008B2F38"/>
    <w:rsid w:val="008C06AC"/>
    <w:rsid w:val="008C0F80"/>
    <w:rsid w:val="008C159D"/>
    <w:rsid w:val="008C1F87"/>
    <w:rsid w:val="008C230B"/>
    <w:rsid w:val="008D084B"/>
    <w:rsid w:val="008D0E09"/>
    <w:rsid w:val="008D39D6"/>
    <w:rsid w:val="008D5CBA"/>
    <w:rsid w:val="008E3638"/>
    <w:rsid w:val="008E3821"/>
    <w:rsid w:val="008E597E"/>
    <w:rsid w:val="008E791D"/>
    <w:rsid w:val="008F10AE"/>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0B41"/>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24FA"/>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31A4"/>
    <w:rsid w:val="00A447A3"/>
    <w:rsid w:val="00A45329"/>
    <w:rsid w:val="00A46049"/>
    <w:rsid w:val="00A47777"/>
    <w:rsid w:val="00A5133F"/>
    <w:rsid w:val="00A51B59"/>
    <w:rsid w:val="00A52B54"/>
    <w:rsid w:val="00A554E6"/>
    <w:rsid w:val="00A561F1"/>
    <w:rsid w:val="00A61885"/>
    <w:rsid w:val="00A61D16"/>
    <w:rsid w:val="00A63E76"/>
    <w:rsid w:val="00A641C0"/>
    <w:rsid w:val="00A64EBE"/>
    <w:rsid w:val="00A6737B"/>
    <w:rsid w:val="00A679E8"/>
    <w:rsid w:val="00A71136"/>
    <w:rsid w:val="00A8000A"/>
    <w:rsid w:val="00A8041E"/>
    <w:rsid w:val="00A92FB9"/>
    <w:rsid w:val="00A97D61"/>
    <w:rsid w:val="00AA2B66"/>
    <w:rsid w:val="00AA2D8E"/>
    <w:rsid w:val="00AA474C"/>
    <w:rsid w:val="00AB0EAD"/>
    <w:rsid w:val="00AB113A"/>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C7A"/>
    <w:rsid w:val="00AE0EA2"/>
    <w:rsid w:val="00AE0F64"/>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5C24"/>
    <w:rsid w:val="00B36E5E"/>
    <w:rsid w:val="00B42F48"/>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377E"/>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0A6F"/>
    <w:rsid w:val="00C933B8"/>
    <w:rsid w:val="00C978A4"/>
    <w:rsid w:val="00CA12D5"/>
    <w:rsid w:val="00CA15C5"/>
    <w:rsid w:val="00CA22D1"/>
    <w:rsid w:val="00CA3271"/>
    <w:rsid w:val="00CB0E22"/>
    <w:rsid w:val="00CB0FBC"/>
    <w:rsid w:val="00CB6F9A"/>
    <w:rsid w:val="00CC47C2"/>
    <w:rsid w:val="00CC56C6"/>
    <w:rsid w:val="00CC5EF8"/>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0CD9"/>
    <w:rsid w:val="00D02429"/>
    <w:rsid w:val="00D03516"/>
    <w:rsid w:val="00D050C9"/>
    <w:rsid w:val="00D0602C"/>
    <w:rsid w:val="00D06742"/>
    <w:rsid w:val="00D10F72"/>
    <w:rsid w:val="00D1252E"/>
    <w:rsid w:val="00D12C0F"/>
    <w:rsid w:val="00D12CE1"/>
    <w:rsid w:val="00D23595"/>
    <w:rsid w:val="00D2444D"/>
    <w:rsid w:val="00D31452"/>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0871"/>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A0BBD"/>
    <w:rsid w:val="00EA2574"/>
    <w:rsid w:val="00EA406E"/>
    <w:rsid w:val="00EA6257"/>
    <w:rsid w:val="00EA7027"/>
    <w:rsid w:val="00EB07F2"/>
    <w:rsid w:val="00EB2081"/>
    <w:rsid w:val="00EB2EA8"/>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4182"/>
    <w:rsid w:val="00FC571B"/>
    <w:rsid w:val="00FC5E72"/>
    <w:rsid w:val="00FC7A38"/>
    <w:rsid w:val="00FD11DF"/>
    <w:rsid w:val="00FD57EE"/>
    <w:rsid w:val="00FD67DC"/>
    <w:rsid w:val="00FE0E34"/>
    <w:rsid w:val="00FE1489"/>
    <w:rsid w:val="00FE3DE5"/>
    <w:rsid w:val="00FE4D73"/>
    <w:rsid w:val="00FE5F6F"/>
    <w:rsid w:val="00FE6E8F"/>
    <w:rsid w:val="00FF02FB"/>
    <w:rsid w:val="00FF72BB"/>
    <w:rsid w:val="00FF78A9"/>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styleId="LineNumber">
    <w:name w:val="line number"/>
    <w:basedOn w:val="DefaultParagraphFont"/>
    <w:semiHidden/>
    <w:unhideWhenUsed/>
    <w:rsid w:val="00EB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P-120_VietNam_WP4_PACP_WRC-23_Agenda_Items.docx" TargetMode="External"/><Relationship Id="rId26" Type="http://schemas.openxmlformats.org/officeDocument/2006/relationships/hyperlink" Target="https://www.apt.int/sites/default/files/2023/08/APG23-6-INP-68_Iran_WP4_Preliminary_Views_on_WRC-23_Agenda_Items.docx" TargetMode="External"/><Relationship Id="rId39" Type="http://schemas.openxmlformats.org/officeDocument/2006/relationships/hyperlink" Target="https://www.apt.int/sites/default/files/2023/08/APG23-6-INF-52_CITEL_preparation_for_WRC-23.pdf" TargetMode="External"/><Relationship Id="rId21" Type="http://schemas.openxmlformats.org/officeDocument/2006/relationships/hyperlink" Target="https://www.apt.int/sites/default/files/2023/08/APG23-6-INF-46_Status_of_CEPT_preparation_for_WRC-23_and_RA-23.pdf" TargetMode="External"/><Relationship Id="rId34" Type="http://schemas.openxmlformats.org/officeDocument/2006/relationships/image" Target="media/image4.emf"/><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8/APG23-6-INP-106_China_WP4_PACP_WRC-23_Agenda_Items.docx" TargetMode="External"/><Relationship Id="rId29" Type="http://schemas.openxmlformats.org/officeDocument/2006/relationships/hyperlink" Target="https://www.apt.int/sites/default/files/2023/08/APG23-6-INP-83_Australia_WP4_PACP_WRC-23_Agenda_Item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39_Japan_WP4_Views_WRC-23_Agenda_Item_7.docx" TargetMode="External"/><Relationship Id="rId24" Type="http://schemas.openxmlformats.org/officeDocument/2006/relationships/image" Target="media/image2.emf"/><Relationship Id="rId32" Type="http://schemas.openxmlformats.org/officeDocument/2006/relationships/hyperlink" Target="https://www.apt.int/sites/default/files/2023/08/APG23-6-INP-112_Malaysia_WP4_PACP_WRC-23_Agenda_Items.docx" TargetMode="External"/><Relationship Id="rId37" Type="http://schemas.openxmlformats.org/officeDocument/2006/relationships/hyperlink" Target="https://www.itu.int/md/meetingdoc.asp?lang=en&amp;parent=R19-2WSHWRC23-C-0002" TargetMode="External"/><Relationship Id="rId40" Type="http://schemas.openxmlformats.org/officeDocument/2006/relationships/hyperlink" Target="https://www.apt.int/sites/default/files/2023/08/APG23-6-INF-45_Status_of_RCC_preparation_to_WRC-23.pdf"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pt.int/sites/default/files/2023/08/APG23-6-INP-90R1_KOR_WP4_PACP_WRC-23_Agenda_Items.docx" TargetMode="External"/><Relationship Id="rId23" Type="http://schemas.openxmlformats.org/officeDocument/2006/relationships/hyperlink" Target="https://www.apt.int/sites/default/files/2023/08/APG23-6-INP-61_Thailand_WP4_PACP_WRC-23_Agenda_Items.docx" TargetMode="External"/><Relationship Id="rId28" Type="http://schemas.openxmlformats.org/officeDocument/2006/relationships/package" Target="embeddings/Microsoft_Word_Document1.docx"/><Relationship Id="rId36" Type="http://schemas.openxmlformats.org/officeDocument/2006/relationships/hyperlink" Target="https://www.itu.int/md/meetingdoc.asp?lang=en&amp;parent=R19-2WSHWRC23-C-0005" TargetMode="Externa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F-35_Brief_on_AI_7.docx" TargetMode="External"/><Relationship Id="rId31" Type="http://schemas.openxmlformats.org/officeDocument/2006/relationships/hyperlink" Target="https://www.apt.int/sites/default/files/2023/08/APG23-6-INP-106_China_WP4_PACP_WRC-23_Agenda_Items.docx"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dms_ties/itu-r/md/19/wp4a/c/R19-WP4A-C-0856!N36!MSW-E.docx" TargetMode="External"/><Relationship Id="rId14" Type="http://schemas.openxmlformats.org/officeDocument/2006/relationships/hyperlink" Target="https://www.apt.int/sites/default/files/2023/08/APG23-6-INP-83_Australia_WP4_PACP_WRC-23_Agenda_Items.docx" TargetMode="External"/><Relationship Id="rId22" Type="http://schemas.openxmlformats.org/officeDocument/2006/relationships/hyperlink" Target="https://www.apt.int/sites/default/files/2023/08/APG23-6-INP-39_Japan_WP4_Views_WRC-23_Agenda_Item_7.docx" TargetMode="External"/><Relationship Id="rId27" Type="http://schemas.openxmlformats.org/officeDocument/2006/relationships/image" Target="media/image3.emf"/><Relationship Id="rId30" Type="http://schemas.openxmlformats.org/officeDocument/2006/relationships/hyperlink" Target="https://www.apt.int/sites/default/files/2023/08/APG23-6-INP-90R1_KOR_WP4_PACP_WRC-23_Agenda_Items.docx" TargetMode="External"/><Relationship Id="rId35" Type="http://schemas.openxmlformats.org/officeDocument/2006/relationships/package" Target="embeddings/Microsoft_Word_Document2.docx"/><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25" Type="http://schemas.openxmlformats.org/officeDocument/2006/relationships/package" Target="embeddings/Microsoft_Word_Document.docx"/><Relationship Id="rId33" Type="http://schemas.openxmlformats.org/officeDocument/2006/relationships/hyperlink" Target="https://www.apt.int/sites/default/files/2023/08/APG23-6-INP-120_VietNam_WP4_PACP_WRC-23_Agenda_Items.docx" TargetMode="External"/><Relationship Id="rId38" Type="http://schemas.openxmlformats.org/officeDocument/2006/relationships/hyperlink" Target="https://www.apt.int/sites/default/files/2023/08/APG23-6-INF-46_Status_of_CEPT_preparation_for_WRC-23_and_RA-23.pdf" TargetMode="External"/><Relationship Id="rId46" Type="http://schemas.openxmlformats.org/officeDocument/2006/relationships/fontTable" Target="fontTable.xml"/><Relationship Id="rId20" Type="http://schemas.openxmlformats.org/officeDocument/2006/relationships/hyperlink" Target="https://www.apt.int/sites/default/files/2023/08/APG23-6-INF-45_Status_of_RCC_preparation_to_WRC-23.pdf" TargetMode="External"/><Relationship Id="rId41" Type="http://schemas.openxmlformats.org/officeDocument/2006/relationships/hyperlink" Target="https://www.itu.int/md/meetingdoc.asp?lang=en&amp;parent=R19-2WSHWRC23-C-0008"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2B4A3-19F5-4285-8781-2F416C5DA2EC}">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8</TotalTime>
  <Pages>5</Pages>
  <Words>1814</Words>
  <Characters>10343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cp:revision>
  <cp:lastPrinted>2004-07-28T02:14:00Z</cp:lastPrinted>
  <dcterms:created xsi:type="dcterms:W3CDTF">2023-08-16T06:54:00Z</dcterms:created>
  <dcterms:modified xsi:type="dcterms:W3CDTF">2023-08-18T14:40:00Z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