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8C230B">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8C230B">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8C230B">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8C230B"/>
        </w:tc>
        <w:tc>
          <w:tcPr>
            <w:tcW w:w="5760" w:type="dxa"/>
            <w:vAlign w:val="center"/>
          </w:tcPr>
          <w:p w14:paraId="7A2E7755" w14:textId="77777777" w:rsidR="00D4428A" w:rsidRPr="00891D0B" w:rsidRDefault="00D4428A" w:rsidP="008C230B">
            <w:pPr>
              <w:spacing w:before="40"/>
            </w:pPr>
            <w:r>
              <w:rPr>
                <w:b/>
              </w:rPr>
              <w:t>The 6th Meeting of the APT Conference Preparatory Group for WRC-23 (APG23-6)</w:t>
            </w:r>
          </w:p>
        </w:tc>
        <w:tc>
          <w:tcPr>
            <w:tcW w:w="2160" w:type="dxa"/>
          </w:tcPr>
          <w:p w14:paraId="63A4FC33" w14:textId="08AA4B4E" w:rsidR="00D4428A" w:rsidRDefault="00D4428A" w:rsidP="008C230B">
            <w:pPr>
              <w:spacing w:before="40"/>
              <w:rPr>
                <w:b/>
                <w:bCs/>
                <w:lang w:val="fr-FR"/>
              </w:rPr>
            </w:pPr>
            <w:r>
              <w:rPr>
                <w:b/>
                <w:bCs/>
                <w:lang w:val="fr-FR"/>
              </w:rPr>
              <w:t>APG23-6/</w:t>
            </w:r>
            <w:r w:rsidR="006556E8">
              <w:rPr>
                <w:b/>
                <w:bCs/>
                <w:lang w:val="fr-FR"/>
              </w:rPr>
              <w:t>OUT-</w:t>
            </w:r>
            <w:r w:rsidR="006F563B">
              <w:rPr>
                <w:b/>
                <w:bCs/>
                <w:lang w:val="fr-FR"/>
              </w:rPr>
              <w:t>46</w:t>
            </w:r>
          </w:p>
          <w:p w14:paraId="4B6C2856" w14:textId="77777777" w:rsidR="00D4428A" w:rsidRPr="007E1FDD" w:rsidRDefault="00D4428A" w:rsidP="008C230B">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8C230B">
            <w:pPr>
              <w:rPr>
                <w:lang w:val="en-GB"/>
              </w:rPr>
            </w:pPr>
          </w:p>
        </w:tc>
        <w:tc>
          <w:tcPr>
            <w:tcW w:w="5760" w:type="dxa"/>
            <w:vAlign w:val="bottom"/>
          </w:tcPr>
          <w:p w14:paraId="521A308B" w14:textId="77777777" w:rsidR="00D4428A" w:rsidRPr="00712451" w:rsidRDefault="00D4428A" w:rsidP="008C230B">
            <w:pPr>
              <w:spacing w:before="40"/>
              <w:rPr>
                <w:b/>
              </w:rPr>
            </w:pPr>
            <w:r>
              <w:t>14 – 19 August 2023</w:t>
            </w:r>
            <w:r w:rsidRPr="00891D0B">
              <w:t xml:space="preserve">, </w:t>
            </w:r>
            <w:r>
              <w:t>Brisbane, Australia</w:t>
            </w:r>
          </w:p>
        </w:tc>
        <w:tc>
          <w:tcPr>
            <w:tcW w:w="2160" w:type="dxa"/>
            <w:vAlign w:val="bottom"/>
          </w:tcPr>
          <w:p w14:paraId="51C51B0A" w14:textId="2C298FFD" w:rsidR="00D4428A" w:rsidRPr="007E1FDD" w:rsidRDefault="005C59A3" w:rsidP="008C230B">
            <w:pPr>
              <w:spacing w:before="40"/>
              <w:rPr>
                <w:bCs/>
              </w:rPr>
            </w:pPr>
            <w:r>
              <w:rPr>
                <w:bCs/>
              </w:rPr>
              <w:t>1</w:t>
            </w:r>
            <w:r w:rsidR="006556E8">
              <w:rPr>
                <w:bCs/>
              </w:rPr>
              <w:t>9</w:t>
            </w:r>
            <w:r w:rsidR="00D4428A">
              <w:rPr>
                <w:bCs/>
              </w:rPr>
              <w:t xml:space="preserve"> </w:t>
            </w:r>
            <w:r w:rsidR="00FD504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8C230B">
      <w:pPr>
        <w:rPr>
          <w:lang w:eastAsia="ko-KR"/>
        </w:rPr>
      </w:pPr>
    </w:p>
    <w:p w14:paraId="416BBD44" w14:textId="77777777" w:rsidR="00FF72BB" w:rsidRPr="00F62F74" w:rsidRDefault="00FF72BB" w:rsidP="008C230B">
      <w:pPr>
        <w:rPr>
          <w:lang w:eastAsia="ko-KR"/>
        </w:rPr>
      </w:pPr>
    </w:p>
    <w:p w14:paraId="5C1C62F2" w14:textId="61EE2070" w:rsidR="006E4CC4" w:rsidRPr="006E4CC4" w:rsidRDefault="006E252A" w:rsidP="00EA6F85">
      <w:pPr>
        <w:jc w:val="center"/>
        <w:rPr>
          <w:lang w:eastAsia="ko-KR"/>
        </w:rPr>
      </w:pPr>
      <w:r>
        <w:rPr>
          <w:lang w:eastAsia="ko-KR"/>
        </w:rPr>
        <w:t>Working Party 4</w:t>
      </w:r>
      <w:r w:rsidR="006E4CC4" w:rsidRPr="006E4CC4">
        <w:rPr>
          <w:lang w:eastAsia="ko-KR"/>
        </w:rPr>
        <w:t xml:space="preserve"> </w:t>
      </w:r>
    </w:p>
    <w:p w14:paraId="480CBFFF" w14:textId="77777777" w:rsidR="006E4CC4" w:rsidRPr="00635753" w:rsidRDefault="006E4CC4" w:rsidP="00EA6F85">
      <w:pPr>
        <w:contextualSpacing/>
        <w:jc w:val="center"/>
        <w:rPr>
          <w:bCs/>
          <w:caps/>
          <w:lang w:val="en-NZ"/>
        </w:rPr>
      </w:pPr>
    </w:p>
    <w:p w14:paraId="2C68AABB" w14:textId="6C78E1D7" w:rsidR="006E252A" w:rsidRDefault="006E252A" w:rsidP="00EA6F85">
      <w:pPr>
        <w:contextualSpacing/>
        <w:jc w:val="center"/>
        <w:rPr>
          <w:b/>
          <w:bCs/>
          <w:caps/>
          <w:lang w:val="en-NZ"/>
        </w:rPr>
      </w:pPr>
      <w:r>
        <w:rPr>
          <w:b/>
          <w:bCs/>
          <w:caps/>
          <w:lang w:val="en-NZ"/>
        </w:rPr>
        <w:t xml:space="preserve">APT VIEW and Preliminary APT Common Proposal </w:t>
      </w:r>
    </w:p>
    <w:p w14:paraId="0BBAD063" w14:textId="2C5FA801" w:rsidR="006E4CC4" w:rsidRPr="00635753" w:rsidRDefault="006E252A" w:rsidP="00EA6F85">
      <w:pPr>
        <w:contextualSpacing/>
        <w:jc w:val="center"/>
        <w:rPr>
          <w:b/>
          <w:bCs/>
          <w:caps/>
          <w:lang w:eastAsia="ko-KR"/>
        </w:rPr>
      </w:pPr>
      <w:r>
        <w:rPr>
          <w:b/>
          <w:bCs/>
          <w:caps/>
          <w:lang w:val="en-NZ"/>
        </w:rPr>
        <w:t>on WRC-23 agenda item</w:t>
      </w:r>
      <w:r w:rsidR="006E4CC4" w:rsidRPr="00635753">
        <w:rPr>
          <w:b/>
          <w:bCs/>
          <w:caps/>
          <w:lang w:val="en-NZ"/>
        </w:rPr>
        <w:t xml:space="preserve"> 7 </w:t>
      </w:r>
      <w:r w:rsidR="00904CA2">
        <w:rPr>
          <w:b/>
          <w:bCs/>
          <w:caps/>
          <w:lang w:val="en-NZ"/>
        </w:rPr>
        <w:t>(</w:t>
      </w:r>
      <w:r w:rsidR="006E4CC4" w:rsidRPr="00635753">
        <w:rPr>
          <w:b/>
          <w:bCs/>
          <w:caps/>
          <w:lang w:val="en-NZ"/>
        </w:rPr>
        <w:t xml:space="preserve">TOPIC </w:t>
      </w:r>
      <w:r w:rsidR="006819B0">
        <w:rPr>
          <w:b/>
          <w:bCs/>
          <w:caps/>
        </w:rPr>
        <w:t>F</w:t>
      </w:r>
      <w:r w:rsidR="00904CA2">
        <w:rPr>
          <w:b/>
          <w:bCs/>
          <w:caps/>
        </w:rPr>
        <w:t>)</w:t>
      </w:r>
    </w:p>
    <w:p w14:paraId="18D910AD" w14:textId="77777777" w:rsidR="006E4CC4" w:rsidRPr="00635753" w:rsidRDefault="006E4CC4" w:rsidP="00EA6F85">
      <w:pPr>
        <w:contextualSpacing/>
        <w:jc w:val="both"/>
        <w:rPr>
          <w:bCs/>
        </w:rPr>
      </w:pPr>
    </w:p>
    <w:p w14:paraId="4E1693DC" w14:textId="71697B65" w:rsidR="00615999" w:rsidRPr="00F62F74" w:rsidRDefault="00615999" w:rsidP="00EA6F85">
      <w:pPr>
        <w:spacing w:after="120"/>
        <w:jc w:val="both"/>
        <w:rPr>
          <w:lang w:val="en-NZ"/>
        </w:rPr>
      </w:pPr>
      <w:r w:rsidRPr="00F62F74">
        <w:rPr>
          <w:b/>
          <w:lang w:val="en-NZ"/>
        </w:rPr>
        <w:t xml:space="preserve">Agenda Item </w:t>
      </w:r>
      <w:r w:rsidR="00AB1EA6" w:rsidRPr="00F62F74">
        <w:rPr>
          <w:b/>
          <w:lang w:val="en-NZ"/>
        </w:rPr>
        <w:t>7</w:t>
      </w:r>
      <w:r w:rsidRPr="00F62F74">
        <w:rPr>
          <w:b/>
          <w:lang w:val="en-NZ"/>
        </w:rPr>
        <w:t xml:space="preserve">: </w:t>
      </w:r>
    </w:p>
    <w:p w14:paraId="58E799BF" w14:textId="63E28489" w:rsidR="00AB1EA6" w:rsidRDefault="00AB1EA6" w:rsidP="00EA6F85">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in order to facilitate the rational, efficient and economical use of radio frequencies and any associated orbits, including the geostationary-satellite orbit</w:t>
      </w:r>
      <w:r w:rsidR="007A47CA" w:rsidRPr="00F62F74">
        <w:rPr>
          <w:i/>
          <w:lang w:val="en-NZ"/>
        </w:rPr>
        <w:t>.</w:t>
      </w:r>
    </w:p>
    <w:p w14:paraId="3F86E87F" w14:textId="57826904" w:rsidR="0054484B" w:rsidRPr="0054484B" w:rsidRDefault="006819B0" w:rsidP="006819B0">
      <w:pPr>
        <w:pStyle w:val="Heading1"/>
      </w:pPr>
      <w:r w:rsidRPr="00693499">
        <w:t>Topic F: Exclusion of feeder-link/uplink service &amp; coverage areas in AP30A/30B</w:t>
      </w:r>
    </w:p>
    <w:p w14:paraId="3626E914" w14:textId="77777777" w:rsidR="00CC26BE" w:rsidRPr="00CC26BE" w:rsidRDefault="00CC26BE" w:rsidP="00CC26BE">
      <w:pPr>
        <w:widowControl w:val="0"/>
        <w:wordWrap w:val="0"/>
        <w:autoSpaceDE w:val="0"/>
        <w:autoSpaceDN w:val="0"/>
        <w:ind w:left="360"/>
        <w:jc w:val="both"/>
      </w:pPr>
    </w:p>
    <w:p w14:paraId="0F677295"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t>1.</w:t>
      </w:r>
      <w:r w:rsidRPr="006819B0">
        <w:rPr>
          <w:rFonts w:eastAsiaTheme="majorEastAsia"/>
          <w:b/>
          <w:lang w:val="en-NZ" w:eastAsia="ko-KR"/>
        </w:rPr>
        <w:tab/>
        <w:t xml:space="preserve">Background </w:t>
      </w:r>
    </w:p>
    <w:p w14:paraId="0EA36E9C" w14:textId="77777777" w:rsidR="006819B0" w:rsidRPr="006819B0" w:rsidRDefault="006819B0" w:rsidP="006819B0">
      <w:pPr>
        <w:numPr>
          <w:ilvl w:val="0"/>
          <w:numId w:val="1"/>
        </w:numPr>
        <w:jc w:val="both"/>
      </w:pPr>
      <w:r w:rsidRPr="006819B0">
        <w:t xml:space="preserve">Provision 3.4 of Article 3 of RR Appendix </w:t>
      </w:r>
      <w:r w:rsidRPr="006819B0">
        <w:rPr>
          <w:b/>
          <w:bCs/>
        </w:rPr>
        <w:t>30A</w:t>
      </w:r>
      <w:r w:rsidRPr="006819B0">
        <w:t xml:space="preserve"> stipulates that: “The Regions 1 and 3 feeder-link Plan is based on national coverage from the geostationary-satellite orbit. The associated procedures contained in this Appendix are intended to promote long-term flexibility of the Plan and to avoid monopolization of the planned bands and orbit by a country or a group of countries”.</w:t>
      </w:r>
    </w:p>
    <w:p w14:paraId="2ED71E28" w14:textId="77777777" w:rsidR="006819B0" w:rsidRPr="006819B0" w:rsidRDefault="006819B0" w:rsidP="006819B0">
      <w:pPr>
        <w:numPr>
          <w:ilvl w:val="0"/>
          <w:numId w:val="1"/>
        </w:numPr>
        <w:jc w:val="both"/>
      </w:pPr>
      <w:r w:rsidRPr="006819B0">
        <w:t xml:space="preserve">Provision 2.6bis of RR Appendix </w:t>
      </w:r>
      <w:r w:rsidRPr="006819B0">
        <w:rPr>
          <w:b/>
          <w:bCs/>
        </w:rPr>
        <w:t>30B</w:t>
      </w:r>
      <w:r w:rsidRPr="006819B0">
        <w:t xml:space="preserve"> stipulates that: “When submitting additional system(s), administrations shall fully comply with the requirements stipulated in Article 44 of the ITU Constitution. In particular, these administrations shall limit the number of orbital positions and associated spectrum so that:</w:t>
      </w:r>
    </w:p>
    <w:p w14:paraId="0DACA2F3" w14:textId="77777777" w:rsidR="006819B0" w:rsidRPr="006819B0" w:rsidRDefault="006819B0" w:rsidP="006819B0">
      <w:pPr>
        <w:numPr>
          <w:ilvl w:val="0"/>
          <w:numId w:val="19"/>
        </w:numPr>
        <w:ind w:left="1440"/>
        <w:jc w:val="both"/>
      </w:pPr>
      <w:r w:rsidRPr="006819B0">
        <w:t>the orbital/spectrum natural resources are used rationally, efficiently and economically; and</w:t>
      </w:r>
    </w:p>
    <w:p w14:paraId="32F40385" w14:textId="77777777" w:rsidR="006819B0" w:rsidRPr="006819B0" w:rsidRDefault="006819B0" w:rsidP="006819B0">
      <w:pPr>
        <w:numPr>
          <w:ilvl w:val="0"/>
          <w:numId w:val="19"/>
        </w:numPr>
        <w:ind w:left="1440"/>
        <w:jc w:val="both"/>
      </w:pPr>
      <w:r w:rsidRPr="006819B0">
        <w:t>the use of multiple orbital locations to cover the same service area is avoided.       (WRC</w:t>
      </w:r>
      <w:r w:rsidRPr="006819B0">
        <w:noBreakHyphen/>
        <w:t>07)”.</w:t>
      </w:r>
    </w:p>
    <w:p w14:paraId="5637C47B" w14:textId="77777777" w:rsidR="006819B0" w:rsidRPr="006819B0" w:rsidRDefault="006819B0" w:rsidP="006819B0">
      <w:pPr>
        <w:numPr>
          <w:ilvl w:val="0"/>
          <w:numId w:val="1"/>
        </w:numPr>
        <w:jc w:val="both"/>
      </w:pPr>
      <w:r w:rsidRPr="006819B0">
        <w:t>In view of the purpose of the planned space services together with their associated procedures, the intent of this Topic is to address the issue of submissions with global uplink coverage area or the coverage area extending beyond the service area which poses an obstacle for an administration or a group of named administrations to deploy its national system or their sub-regional systems.</w:t>
      </w:r>
    </w:p>
    <w:p w14:paraId="3479813E" w14:textId="77777777" w:rsidR="006819B0" w:rsidRPr="006819B0" w:rsidRDefault="006819B0" w:rsidP="006819B0">
      <w:pPr>
        <w:numPr>
          <w:ilvl w:val="0"/>
          <w:numId w:val="1"/>
        </w:numPr>
        <w:jc w:val="both"/>
      </w:pPr>
      <w:r w:rsidRPr="006819B0">
        <w:rPr>
          <w:lang w:eastAsia="zh-CN"/>
        </w:rPr>
        <w:t xml:space="preserve">With regard to the downlink service area of the interfered-with network situated outside the excluded territories of notifying administration(s), shaped beam technology could be applied to meet the protection criteria with respect to the interfered-with network (existing). The shaped beam is to be applicable to the satellite network of those </w:t>
      </w:r>
      <w:r w:rsidRPr="006819B0">
        <w:rPr>
          <w:lang w:eastAsia="zh-CN"/>
        </w:rPr>
        <w:lastRenderedPageBreak/>
        <w:t>notifying administrations and is thus independent of the administration of the interfered-with satellite network (existing).</w:t>
      </w:r>
    </w:p>
    <w:p w14:paraId="34600A34" w14:textId="77777777" w:rsidR="006819B0" w:rsidRPr="006819B0" w:rsidRDefault="006819B0" w:rsidP="006819B0">
      <w:pPr>
        <w:numPr>
          <w:ilvl w:val="0"/>
          <w:numId w:val="1"/>
        </w:numPr>
        <w:jc w:val="both"/>
      </w:pPr>
      <w:r w:rsidRPr="006819B0">
        <w:rPr>
          <w:lang w:eastAsia="zh-CN"/>
        </w:rPr>
        <w:t>With regard to the feeder-link/uplink, the interference is normally calculated at the output of receiving satellite antenna of an interfered-with satellite network. It is therefore dependent on the satellite receiving antenna coverage of the interfered-with satellite and the location of interfering earth stations of the other satellite network.</w:t>
      </w:r>
    </w:p>
    <w:p w14:paraId="63744F32" w14:textId="77777777" w:rsidR="006819B0" w:rsidRPr="006819B0" w:rsidRDefault="006819B0" w:rsidP="006819B0">
      <w:pPr>
        <w:numPr>
          <w:ilvl w:val="0"/>
          <w:numId w:val="1"/>
        </w:numPr>
        <w:jc w:val="both"/>
      </w:pPr>
      <w:r w:rsidRPr="006819B0">
        <w:t xml:space="preserve">There are 4 methods shown in Section 4/7/6.4 of the </w:t>
      </w:r>
      <w:hyperlink r:id="rId9" w:history="1">
        <w:r w:rsidRPr="006819B0">
          <w:rPr>
            <w:color w:val="0000FF" w:themeColor="hyperlink"/>
            <w:u w:val="single"/>
          </w:rPr>
          <w:t>final CPM Report</w:t>
        </w:r>
      </w:hyperlink>
      <w:r w:rsidRPr="006819B0">
        <w:t>:</w:t>
      </w:r>
    </w:p>
    <w:p w14:paraId="000F16FF" w14:textId="77777777" w:rsidR="006819B0" w:rsidRPr="006819B0" w:rsidRDefault="006819B0" w:rsidP="006819B0">
      <w:pPr>
        <w:numPr>
          <w:ilvl w:val="0"/>
          <w:numId w:val="17"/>
        </w:numPr>
        <w:ind w:left="1440"/>
        <w:jc w:val="both"/>
      </w:pPr>
      <w:r w:rsidRPr="006819B0">
        <w:t>Method F1: No change to the Radio Regulations.</w:t>
      </w:r>
    </w:p>
    <w:p w14:paraId="5DF1E257" w14:textId="77777777" w:rsidR="006819B0" w:rsidRPr="006819B0" w:rsidRDefault="006819B0" w:rsidP="006819B0">
      <w:pPr>
        <w:numPr>
          <w:ilvl w:val="0"/>
          <w:numId w:val="17"/>
        </w:numPr>
        <w:ind w:left="1440"/>
        <w:jc w:val="both"/>
      </w:pPr>
      <w:r w:rsidRPr="006819B0">
        <w:t>Method F2: making amendments to provisions of Appendix 30A/Appendix 30B to request notifying administration of network with high receiving sensitivity (relative satellite antenna gain of at least -20 dB) over territory of other administration to accept uplink interference coming from territory of other administration, and to remove right to claim protection from harmful interference, from territory of administration that has not agreed to be included in service area</w:t>
      </w:r>
    </w:p>
    <w:p w14:paraId="23851C2B" w14:textId="77777777" w:rsidR="006819B0" w:rsidRPr="006819B0" w:rsidRDefault="006819B0" w:rsidP="006819B0">
      <w:pPr>
        <w:numPr>
          <w:ilvl w:val="0"/>
          <w:numId w:val="17"/>
        </w:numPr>
        <w:ind w:left="1440"/>
        <w:jc w:val="both"/>
      </w:pPr>
      <w:r w:rsidRPr="006819B0">
        <w:t xml:space="preserve">Method F3: making amendments to provisions of Appendix 30A/Appendix 30B to allow relocation of test points from excluded territory to new location, and to request notifying administration of a satellite network having relative satellite antenna gain derived from the minimum ellipse required to cover the service area of equal to or less than -20 dB over territory of other administration, to accept uplink interference coming from territory of other administration </w:t>
      </w:r>
    </w:p>
    <w:p w14:paraId="449668B3" w14:textId="77777777" w:rsidR="006819B0" w:rsidRPr="006819B0" w:rsidRDefault="006819B0" w:rsidP="006819B0">
      <w:pPr>
        <w:numPr>
          <w:ilvl w:val="0"/>
          <w:numId w:val="17"/>
        </w:numPr>
        <w:ind w:left="1440"/>
        <w:jc w:val="both"/>
      </w:pPr>
      <w:r w:rsidRPr="006819B0">
        <w:t>Method F4: to allow an administration to request the exclusion of its territory from the feeder-link service area of a satellite network of other administrations under Appendix 30A, and to include definition of feeder link coverage area in Annex 3 of Appendix 30A. In this Method the Bureau will generate coverage diagrams for List assignments based on the minimum ellipse determined by the set of test points of the satellite network</w:t>
      </w:r>
      <w:r w:rsidRPr="006819B0">
        <w:rPr>
          <w:vertAlign w:val="superscript"/>
        </w:rPr>
        <w:footnoteReference w:customMarkFollows="1" w:id="1"/>
        <w:t>36, </w:t>
      </w:r>
      <w:r w:rsidRPr="006819B0">
        <w:rPr>
          <w:vertAlign w:val="superscript"/>
        </w:rPr>
        <w:footnoteReference w:customMarkFollows="1" w:id="2"/>
        <w:t>37</w:t>
      </w:r>
      <w:r w:rsidRPr="006819B0">
        <w:t xml:space="preserve"> and the reference antenna patterns used for replanning at WRC 97 of § 3.7.3 of Annex 3 to this Appendix, using the relevant BR software applications</w:t>
      </w:r>
    </w:p>
    <w:p w14:paraId="593B7504" w14:textId="77777777" w:rsidR="006819B0" w:rsidRPr="006819B0" w:rsidRDefault="006819B0" w:rsidP="006819B0">
      <w:pPr>
        <w:jc w:val="both"/>
        <w:rPr>
          <w:rFonts w:ascii="TimesNewRomanPS-BoldMT" w:hAnsi="TimesNewRomanPS-BoldMT" w:cs="TimesNewRomanPS-BoldMT"/>
          <w:b/>
          <w:bCs/>
          <w:sz w:val="20"/>
          <w:lang w:eastAsia="zh-CN"/>
        </w:rPr>
      </w:pPr>
    </w:p>
    <w:p w14:paraId="5904FA0F" w14:textId="77777777" w:rsidR="006819B0" w:rsidRPr="006819B0" w:rsidRDefault="006819B0" w:rsidP="006819B0"/>
    <w:p w14:paraId="2EFA08F6"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t xml:space="preserve">2. </w:t>
      </w:r>
      <w:r w:rsidRPr="006819B0">
        <w:rPr>
          <w:rFonts w:eastAsiaTheme="majorEastAsia"/>
          <w:b/>
          <w:lang w:val="en-NZ" w:eastAsia="ko-KR"/>
        </w:rPr>
        <w:tab/>
        <w:t>Documents</w:t>
      </w:r>
    </w:p>
    <w:p w14:paraId="49369457" w14:textId="77777777" w:rsidR="006819B0" w:rsidRPr="006819B0" w:rsidRDefault="006819B0" w:rsidP="006819B0">
      <w:pPr>
        <w:numPr>
          <w:ilvl w:val="0"/>
          <w:numId w:val="1"/>
        </w:numPr>
        <w:jc w:val="both"/>
      </w:pPr>
      <w:r w:rsidRPr="006819B0">
        <w:t>Input</w:t>
      </w:r>
      <w:r w:rsidRPr="006819B0">
        <w:rPr>
          <w:lang w:val="fr-FR"/>
        </w:rPr>
        <w:t xml:space="preserve"> Documents </w:t>
      </w:r>
      <w:r w:rsidRPr="006819B0">
        <w:t>AP23-6/</w:t>
      </w:r>
      <w:hyperlink r:id="rId10" w:history="1">
        <w:r w:rsidRPr="006819B0">
          <w:rPr>
            <w:color w:val="0000FF" w:themeColor="hyperlink"/>
            <w:u w:val="single"/>
          </w:rPr>
          <w:t>INP-39(J)</w:t>
        </w:r>
      </w:hyperlink>
      <w:r w:rsidRPr="006819B0">
        <w:t xml:space="preserve">, </w:t>
      </w:r>
      <w:hyperlink r:id="rId11" w:history="1">
        <w:r w:rsidRPr="006819B0">
          <w:rPr>
            <w:color w:val="0000FF" w:themeColor="hyperlink"/>
            <w:u w:val="single"/>
          </w:rPr>
          <w:t>INP-56(SNG)</w:t>
        </w:r>
      </w:hyperlink>
      <w:r w:rsidRPr="006819B0">
        <w:t xml:space="preserve">, </w:t>
      </w:r>
      <w:hyperlink r:id="rId12" w:history="1">
        <w:r w:rsidRPr="006819B0">
          <w:rPr>
            <w:color w:val="0000FF" w:themeColor="hyperlink"/>
            <w:u w:val="single"/>
          </w:rPr>
          <w:t>INP-61(THA)</w:t>
        </w:r>
      </w:hyperlink>
      <w:r w:rsidRPr="006819B0">
        <w:t xml:space="preserve">, </w:t>
      </w:r>
      <w:hyperlink r:id="rId13" w:history="1">
        <w:r w:rsidRPr="006819B0">
          <w:rPr>
            <w:color w:val="0000FF" w:themeColor="hyperlink"/>
            <w:u w:val="single"/>
          </w:rPr>
          <w:t>INP-68(IRN)</w:t>
        </w:r>
      </w:hyperlink>
      <w:r w:rsidRPr="006819B0">
        <w:t xml:space="preserve">, </w:t>
      </w:r>
      <w:hyperlink r:id="rId14" w:history="1">
        <w:r w:rsidRPr="006819B0">
          <w:rPr>
            <w:color w:val="0000FF" w:themeColor="hyperlink"/>
            <w:u w:val="single"/>
          </w:rPr>
          <w:t>INP-83(AUS)</w:t>
        </w:r>
      </w:hyperlink>
      <w:r w:rsidRPr="006819B0">
        <w:t xml:space="preserve">, </w:t>
      </w:r>
      <w:hyperlink r:id="rId15" w:history="1">
        <w:r w:rsidRPr="006819B0">
          <w:rPr>
            <w:color w:val="0000FF" w:themeColor="hyperlink"/>
            <w:u w:val="single"/>
          </w:rPr>
          <w:t>INP-90(Rev.1)(KOR)</w:t>
        </w:r>
      </w:hyperlink>
      <w:r w:rsidRPr="006819B0">
        <w:t xml:space="preserve">, </w:t>
      </w:r>
      <w:hyperlink r:id="rId16" w:history="1">
        <w:r w:rsidRPr="006819B0">
          <w:rPr>
            <w:color w:val="0000FF" w:themeColor="hyperlink"/>
            <w:u w:val="single"/>
          </w:rPr>
          <w:t>INP-106(CHN)</w:t>
        </w:r>
      </w:hyperlink>
      <w:r w:rsidRPr="006819B0">
        <w:t xml:space="preserve">, </w:t>
      </w:r>
      <w:hyperlink r:id="rId17" w:history="1">
        <w:r w:rsidRPr="006819B0">
          <w:rPr>
            <w:color w:val="0000FF" w:themeColor="hyperlink"/>
            <w:u w:val="single"/>
          </w:rPr>
          <w:t>INP-112(MLA)</w:t>
        </w:r>
      </w:hyperlink>
      <w:r w:rsidRPr="006819B0">
        <w:t xml:space="preserve">, </w:t>
      </w:r>
      <w:hyperlink r:id="rId18" w:history="1">
        <w:r w:rsidRPr="006819B0">
          <w:rPr>
            <w:color w:val="0000FF" w:themeColor="hyperlink"/>
            <w:u w:val="single"/>
          </w:rPr>
          <w:t>INP-120(VTN)</w:t>
        </w:r>
      </w:hyperlink>
      <w:r w:rsidRPr="006819B0">
        <w:t xml:space="preserve">, </w:t>
      </w:r>
      <w:hyperlink r:id="rId19" w:history="1">
        <w:r w:rsidRPr="006819B0">
          <w:rPr>
            <w:color w:val="0000FF" w:themeColor="hyperlink"/>
            <w:u w:val="single"/>
          </w:rPr>
          <w:t>INP-123(MNG)</w:t>
        </w:r>
      </w:hyperlink>
    </w:p>
    <w:p w14:paraId="4DE5B8AD" w14:textId="77777777" w:rsidR="006819B0" w:rsidRPr="006819B0" w:rsidRDefault="006819B0" w:rsidP="006819B0">
      <w:pPr>
        <w:numPr>
          <w:ilvl w:val="0"/>
          <w:numId w:val="1"/>
        </w:numPr>
        <w:jc w:val="both"/>
        <w:rPr>
          <w:bCs/>
          <w:lang w:val="en-NZ"/>
        </w:rPr>
      </w:pPr>
      <w:r w:rsidRPr="006819B0">
        <w:t>Information</w:t>
      </w:r>
      <w:r w:rsidRPr="006819B0">
        <w:rPr>
          <w:lang w:val="en-NZ"/>
        </w:rPr>
        <w:t xml:space="preserve"> Documents </w:t>
      </w:r>
      <w:r w:rsidRPr="006819B0">
        <w:rPr>
          <w:bCs/>
          <w:lang w:val="en-NZ"/>
        </w:rPr>
        <w:t>APG23-6/</w:t>
      </w:r>
      <w:hyperlink r:id="rId20" w:history="1">
        <w:r w:rsidRPr="006819B0">
          <w:rPr>
            <w:bCs/>
            <w:color w:val="0000FF" w:themeColor="hyperlink"/>
            <w:u w:val="single"/>
            <w:lang w:val="en-NZ"/>
          </w:rPr>
          <w:t>INF-28(GSOA)</w:t>
        </w:r>
      </w:hyperlink>
      <w:r w:rsidRPr="006819B0">
        <w:rPr>
          <w:bCs/>
          <w:lang w:val="en-NZ"/>
        </w:rPr>
        <w:t xml:space="preserve">, </w:t>
      </w:r>
      <w:hyperlink r:id="rId21" w:history="1">
        <w:r w:rsidRPr="006819B0">
          <w:rPr>
            <w:bCs/>
            <w:color w:val="0000FF" w:themeColor="hyperlink"/>
            <w:u w:val="single"/>
            <w:lang w:val="en-NZ"/>
          </w:rPr>
          <w:t>INF-35(Chairs of DG 7)</w:t>
        </w:r>
      </w:hyperlink>
      <w:r w:rsidRPr="006819B0">
        <w:rPr>
          <w:bCs/>
          <w:lang w:val="en-NZ"/>
        </w:rPr>
        <w:t xml:space="preserve">, </w:t>
      </w:r>
      <w:hyperlink r:id="rId22" w:history="1">
        <w:r w:rsidRPr="006819B0">
          <w:rPr>
            <w:bCs/>
            <w:color w:val="0000FF" w:themeColor="hyperlink"/>
            <w:u w:val="single"/>
            <w:lang w:val="en-NZ"/>
          </w:rPr>
          <w:t>INF-45(RCC)</w:t>
        </w:r>
      </w:hyperlink>
      <w:r w:rsidRPr="006819B0">
        <w:rPr>
          <w:bCs/>
          <w:lang w:val="en-NZ"/>
        </w:rPr>
        <w:t xml:space="preserve">, </w:t>
      </w:r>
      <w:hyperlink r:id="rId23" w:history="1">
        <w:r w:rsidRPr="006819B0">
          <w:rPr>
            <w:bCs/>
            <w:color w:val="0000FF" w:themeColor="hyperlink"/>
            <w:u w:val="single"/>
            <w:lang w:val="en-NZ"/>
          </w:rPr>
          <w:t>INF-46(CEPT)</w:t>
        </w:r>
      </w:hyperlink>
      <w:r w:rsidRPr="006819B0">
        <w:rPr>
          <w:bCs/>
          <w:lang w:val="en-NZ"/>
        </w:rPr>
        <w:t xml:space="preserve">, </w:t>
      </w:r>
      <w:hyperlink r:id="rId24" w:history="1">
        <w:r w:rsidRPr="006819B0">
          <w:rPr>
            <w:bCs/>
            <w:color w:val="0000FF" w:themeColor="hyperlink"/>
            <w:u w:val="single"/>
            <w:lang w:val="en-NZ"/>
          </w:rPr>
          <w:t>INF-52(CITEL)</w:t>
        </w:r>
      </w:hyperlink>
      <w:r w:rsidRPr="006819B0">
        <w:rPr>
          <w:bCs/>
          <w:lang w:val="en-NZ"/>
        </w:rPr>
        <w:t xml:space="preserve"> </w:t>
      </w:r>
    </w:p>
    <w:p w14:paraId="00EAB458" w14:textId="77777777" w:rsidR="006819B0" w:rsidRPr="006819B0" w:rsidRDefault="006819B0" w:rsidP="006819B0">
      <w:pPr>
        <w:rPr>
          <w:lang w:val="en-NZ"/>
        </w:rPr>
      </w:pPr>
    </w:p>
    <w:p w14:paraId="4715523C" w14:textId="77777777" w:rsidR="006819B0" w:rsidRPr="006819B0" w:rsidRDefault="006819B0" w:rsidP="006819B0">
      <w:pPr>
        <w:rPr>
          <w:lang w:val="en-NZ"/>
        </w:rPr>
      </w:pPr>
    </w:p>
    <w:p w14:paraId="18009F78"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lastRenderedPageBreak/>
        <w:t xml:space="preserve">3. </w:t>
      </w:r>
      <w:r w:rsidRPr="006819B0">
        <w:rPr>
          <w:rFonts w:eastAsiaTheme="majorEastAsia"/>
          <w:b/>
          <w:lang w:val="en-NZ" w:eastAsia="ko-KR"/>
        </w:rPr>
        <w:tab/>
        <w:t>Summary of discussions</w:t>
      </w:r>
    </w:p>
    <w:p w14:paraId="6AF26B19" w14:textId="77777777" w:rsidR="006819B0" w:rsidRPr="006819B0" w:rsidRDefault="006819B0" w:rsidP="006819B0">
      <w:pPr>
        <w:spacing w:after="60" w:line="276" w:lineRule="auto"/>
        <w:outlineLvl w:val="2"/>
        <w:rPr>
          <w:bCs/>
          <w:lang w:val="en-NZ" w:eastAsia="ko-KR"/>
        </w:rPr>
      </w:pPr>
      <w:r w:rsidRPr="006819B0">
        <w:rPr>
          <w:b/>
          <w:bCs/>
          <w:lang w:val="en-NZ" w:eastAsia="ko-KR"/>
        </w:rPr>
        <w:t>3.1</w:t>
      </w:r>
      <w:r w:rsidRPr="006819B0">
        <w:rPr>
          <w:b/>
          <w:bCs/>
          <w:lang w:val="en-NZ" w:eastAsia="ko-KR"/>
        </w:rPr>
        <w:tab/>
        <w:t>S</w:t>
      </w:r>
      <w:r w:rsidRPr="006819B0">
        <w:rPr>
          <w:rFonts w:hint="eastAsia"/>
          <w:b/>
          <w:bCs/>
          <w:lang w:val="en-NZ" w:eastAsia="ko-KR"/>
        </w:rPr>
        <w:t xml:space="preserve">ummary </w:t>
      </w:r>
      <w:r w:rsidRPr="006819B0">
        <w:rPr>
          <w:b/>
          <w:bCs/>
          <w:lang w:val="en-NZ" w:eastAsia="ko-KR"/>
        </w:rPr>
        <w:t>of APT Members’ views</w:t>
      </w:r>
    </w:p>
    <w:p w14:paraId="71039A3C" w14:textId="77777777" w:rsidR="006819B0" w:rsidRPr="006819B0" w:rsidRDefault="006819B0" w:rsidP="006819B0">
      <w:pPr>
        <w:keepNext/>
        <w:keepLines/>
        <w:spacing w:after="120"/>
        <w:outlineLvl w:val="3"/>
        <w:rPr>
          <w:rFonts w:eastAsiaTheme="majorEastAsia"/>
          <w:bCs/>
          <w:iCs/>
          <w:lang w:val="en-NZ" w:eastAsia="ko-KR"/>
        </w:rPr>
      </w:pPr>
      <w:r w:rsidRPr="006819B0">
        <w:rPr>
          <w:rFonts w:eastAsiaTheme="majorEastAsia"/>
          <w:b/>
          <w:bCs/>
          <w:iCs/>
          <w:lang w:val="en-NZ" w:eastAsia="ko-KR"/>
        </w:rPr>
        <w:t xml:space="preserve">3.1.1 </w:t>
      </w:r>
      <w:r w:rsidRPr="006819B0">
        <w:rPr>
          <w:rFonts w:eastAsiaTheme="majorEastAsia"/>
          <w:b/>
          <w:bCs/>
          <w:iCs/>
          <w:lang w:val="en-NZ" w:eastAsia="ko-KR"/>
        </w:rPr>
        <w:tab/>
      </w:r>
      <w:r w:rsidRPr="006819B0">
        <w:rPr>
          <w:rFonts w:eastAsiaTheme="majorEastAsia"/>
          <w:b/>
          <w:bCs/>
          <w:iCs/>
        </w:rPr>
        <w:t>Japan</w:t>
      </w:r>
      <w:r w:rsidRPr="006819B0">
        <w:rPr>
          <w:rFonts w:eastAsiaTheme="majorEastAsia"/>
          <w:b/>
          <w:bCs/>
          <w:iCs/>
          <w:lang w:val="en-NZ" w:eastAsia="ko-KR"/>
        </w:rPr>
        <w:t xml:space="preserve"> </w:t>
      </w:r>
      <w:r w:rsidRPr="006819B0">
        <w:rPr>
          <w:rFonts w:eastAsiaTheme="majorEastAsia"/>
          <w:b/>
          <w:bCs/>
          <w:iCs/>
        </w:rPr>
        <w:t xml:space="preserve">- </w:t>
      </w:r>
      <w:r w:rsidRPr="006819B0">
        <w:rPr>
          <w:rFonts w:eastAsiaTheme="majorEastAsia"/>
          <w:b/>
          <w:bCs/>
          <w:iCs/>
          <w:lang w:val="en-NZ" w:eastAsia="ko-KR"/>
        </w:rPr>
        <w:t>Document APG23-6/INP-39</w:t>
      </w:r>
      <w:r w:rsidRPr="006819B0">
        <w:rPr>
          <w:rFonts w:eastAsiaTheme="majorEastAsia"/>
          <w:b/>
          <w:bCs/>
          <w:iCs/>
          <w:lang w:val="en-NZ" w:eastAsia="ko-KR"/>
        </w:rPr>
        <w:tab/>
        <w:t xml:space="preserve"> </w:t>
      </w:r>
    </w:p>
    <w:p w14:paraId="3240EF40" w14:textId="77777777" w:rsidR="006819B0" w:rsidRPr="006819B0" w:rsidRDefault="006819B0" w:rsidP="006819B0">
      <w:pPr>
        <w:numPr>
          <w:ilvl w:val="0"/>
          <w:numId w:val="1"/>
        </w:numPr>
        <w:jc w:val="both"/>
        <w:rPr>
          <w:lang w:eastAsia="ja-JP"/>
        </w:rPr>
      </w:pPr>
      <w:r w:rsidRPr="006819B0">
        <w:rPr>
          <w:lang w:eastAsia="ja-JP"/>
        </w:rPr>
        <w:t xml:space="preserve">For </w:t>
      </w:r>
      <w:r w:rsidRPr="006819B0">
        <w:rPr>
          <w:b/>
          <w:bCs/>
          <w:lang w:eastAsia="ja-JP"/>
        </w:rPr>
        <w:t>Topic F</w:t>
      </w:r>
      <w:r w:rsidRPr="006819B0">
        <w:rPr>
          <w:lang w:eastAsia="ja-JP"/>
        </w:rPr>
        <w:t xml:space="preserve">, Japan supports the subjects of excluding the territory of an administration from the uplink service area and defining </w:t>
      </w:r>
      <w:r w:rsidRPr="006819B0">
        <w:rPr>
          <w:rFonts w:eastAsiaTheme="majorEastAsia"/>
        </w:rPr>
        <w:t xml:space="preserve">the coverage area to be the smallest area which encompasses the service area </w:t>
      </w:r>
      <w:r w:rsidRPr="006819B0">
        <w:rPr>
          <w:lang w:eastAsia="ja-JP"/>
        </w:rPr>
        <w:t xml:space="preserve">in RR Appendix </w:t>
      </w:r>
      <w:r w:rsidRPr="006819B0">
        <w:rPr>
          <w:b/>
          <w:bCs/>
          <w:lang w:eastAsia="ja-JP"/>
        </w:rPr>
        <w:t>30A</w:t>
      </w:r>
      <w:r w:rsidRPr="006819B0">
        <w:rPr>
          <w:lang w:eastAsia="ja-JP"/>
        </w:rPr>
        <w:t xml:space="preserve"> for Regions 1 and 3, while Japan has no </w:t>
      </w:r>
      <w:r w:rsidRPr="006819B0">
        <w:rPr>
          <w:color w:val="000000" w:themeColor="text1"/>
        </w:rPr>
        <w:t>intention on</w:t>
      </w:r>
      <w:r w:rsidRPr="006819B0">
        <w:rPr>
          <w:lang w:eastAsia="ja-JP"/>
        </w:rPr>
        <w:t xml:space="preserve"> extending the latter idea to RR </w:t>
      </w:r>
      <w:r w:rsidRPr="006819B0">
        <w:rPr>
          <w:color w:val="000000" w:themeColor="text1"/>
        </w:rPr>
        <w:t xml:space="preserve">Appendix </w:t>
      </w:r>
      <w:r w:rsidRPr="006819B0">
        <w:rPr>
          <w:b/>
          <w:bCs/>
          <w:color w:val="000000" w:themeColor="text1"/>
        </w:rPr>
        <w:t>30B</w:t>
      </w:r>
      <w:r w:rsidRPr="006819B0">
        <w:rPr>
          <w:color w:val="000000" w:themeColor="text1"/>
        </w:rPr>
        <w:t>.</w:t>
      </w:r>
      <w:r w:rsidRPr="006819B0">
        <w:rPr>
          <w:lang w:eastAsia="ja-JP"/>
        </w:rPr>
        <w:t xml:space="preserve"> </w:t>
      </w:r>
    </w:p>
    <w:p w14:paraId="0027430B" w14:textId="77777777" w:rsidR="006819B0" w:rsidRPr="006819B0" w:rsidRDefault="006819B0" w:rsidP="006819B0">
      <w:pPr>
        <w:numPr>
          <w:ilvl w:val="0"/>
          <w:numId w:val="1"/>
        </w:numPr>
        <w:jc w:val="both"/>
        <w:rPr>
          <w:rFonts w:eastAsia="MS Mincho"/>
          <w:lang w:eastAsia="ja-JP"/>
        </w:rPr>
      </w:pPr>
      <w:r w:rsidRPr="006819B0">
        <w:rPr>
          <w:lang w:eastAsia="ja-JP"/>
        </w:rPr>
        <w:t xml:space="preserve">Japan supports </w:t>
      </w:r>
      <w:r w:rsidRPr="006819B0">
        <w:rPr>
          <w:u w:val="single"/>
          <w:lang w:eastAsia="ja-JP"/>
        </w:rPr>
        <w:t>Method</w:t>
      </w:r>
      <w:r w:rsidRPr="006819B0">
        <w:rPr>
          <w:rFonts w:eastAsia="MS Mincho"/>
          <w:u w:val="single"/>
          <w:lang w:eastAsia="ja-JP"/>
        </w:rPr>
        <w:t xml:space="preserve"> </w:t>
      </w:r>
      <w:r w:rsidRPr="006819B0">
        <w:rPr>
          <w:u w:val="single"/>
          <w:lang w:eastAsia="ja-JP"/>
        </w:rPr>
        <w:t>F4</w:t>
      </w:r>
      <w:r w:rsidRPr="006819B0">
        <w:rPr>
          <w:lang w:eastAsia="ja-JP"/>
        </w:rPr>
        <w:t xml:space="preserve"> in the CPM Report</w:t>
      </w:r>
      <w:r w:rsidRPr="006819B0">
        <w:rPr>
          <w:rFonts w:eastAsia="MS Mincho"/>
          <w:lang w:eastAsia="ja-JP"/>
        </w:rPr>
        <w:t>.</w:t>
      </w:r>
    </w:p>
    <w:p w14:paraId="7D43B9D6" w14:textId="77777777" w:rsidR="006819B0" w:rsidRPr="006819B0" w:rsidRDefault="006819B0" w:rsidP="006819B0">
      <w:pPr>
        <w:jc w:val="both"/>
        <w:rPr>
          <w:lang w:val="en-NZ"/>
        </w:rPr>
      </w:pPr>
    </w:p>
    <w:p w14:paraId="2A3D3377" w14:textId="77777777" w:rsidR="006819B0" w:rsidRPr="006819B0" w:rsidRDefault="006819B0" w:rsidP="006819B0">
      <w:pPr>
        <w:keepNext/>
        <w:keepLines/>
        <w:spacing w:after="120"/>
        <w:outlineLvl w:val="3"/>
        <w:rPr>
          <w:rFonts w:eastAsiaTheme="majorEastAsia"/>
          <w:bCs/>
          <w:iCs/>
          <w:lang w:val="en-NZ" w:eastAsia="ko-KR"/>
        </w:rPr>
      </w:pPr>
      <w:r w:rsidRPr="006819B0">
        <w:rPr>
          <w:rFonts w:eastAsiaTheme="majorEastAsia"/>
          <w:b/>
          <w:bCs/>
          <w:iCs/>
          <w:lang w:val="en-NZ" w:eastAsia="ko-KR"/>
        </w:rPr>
        <w:t xml:space="preserve">3.1.2 </w:t>
      </w:r>
      <w:r w:rsidRPr="006819B0">
        <w:rPr>
          <w:rFonts w:eastAsiaTheme="majorEastAsia"/>
          <w:b/>
          <w:bCs/>
          <w:iCs/>
          <w:lang w:val="en-NZ" w:eastAsia="ko-KR"/>
        </w:rPr>
        <w:tab/>
        <w:t>Singapore (Republic of) - Document APG23-6/INP-56</w:t>
      </w:r>
    </w:p>
    <w:p w14:paraId="08EC33AD" w14:textId="77777777" w:rsidR="006819B0" w:rsidRPr="006819B0" w:rsidRDefault="006819B0" w:rsidP="006819B0">
      <w:pPr>
        <w:numPr>
          <w:ilvl w:val="1"/>
          <w:numId w:val="20"/>
        </w:numPr>
        <w:tabs>
          <w:tab w:val="num" w:pos="720"/>
        </w:tabs>
        <w:ind w:left="720"/>
        <w:jc w:val="both"/>
        <w:rPr>
          <w:bCs/>
          <w:lang w:val="en-GB"/>
        </w:rPr>
      </w:pPr>
      <w:r w:rsidRPr="006819B0">
        <w:rPr>
          <w:bCs/>
          <w:lang w:val="en-GB"/>
        </w:rPr>
        <w:t>Supports developing specific measures to avoid creating obstacles to other administrations wishing to establish satellite networks over their territories, taking into account the need for the roll-off of the space station receive beam to be fully protected. The regulatory and technical solutions should be implementable and not unduly restrict the operations of other satellite networks, in particular those already in operation.</w:t>
      </w:r>
    </w:p>
    <w:p w14:paraId="68872659" w14:textId="77777777" w:rsidR="006819B0" w:rsidRPr="006819B0" w:rsidRDefault="006819B0" w:rsidP="006819B0">
      <w:pPr>
        <w:numPr>
          <w:ilvl w:val="1"/>
          <w:numId w:val="20"/>
        </w:numPr>
        <w:tabs>
          <w:tab w:val="num" w:pos="720"/>
        </w:tabs>
        <w:ind w:left="720"/>
        <w:jc w:val="both"/>
        <w:rPr>
          <w:bCs/>
          <w:lang w:val="en-GB"/>
        </w:rPr>
      </w:pPr>
      <w:r w:rsidRPr="006819B0">
        <w:rPr>
          <w:bCs/>
          <w:lang w:val="en-GB"/>
        </w:rPr>
        <w:t>It is noted that alignment of the coverage area with the service area is not always technically feasible.</w:t>
      </w:r>
    </w:p>
    <w:p w14:paraId="23D70E82" w14:textId="77777777" w:rsidR="006819B0" w:rsidRPr="006819B0" w:rsidRDefault="006819B0" w:rsidP="006819B0">
      <w:pPr>
        <w:numPr>
          <w:ilvl w:val="1"/>
          <w:numId w:val="20"/>
        </w:numPr>
        <w:tabs>
          <w:tab w:val="num" w:pos="720"/>
        </w:tabs>
        <w:ind w:left="720"/>
        <w:jc w:val="both"/>
        <w:rPr>
          <w:bCs/>
          <w:lang w:val="en-GB"/>
        </w:rPr>
      </w:pPr>
      <w:r w:rsidRPr="006819B0">
        <w:rPr>
          <w:bCs/>
          <w:lang w:val="en-GB"/>
        </w:rPr>
        <w:t xml:space="preserve">Supports Method F3 in </w:t>
      </w:r>
      <w:r w:rsidRPr="006819B0">
        <w:rPr>
          <w:bCs/>
        </w:rPr>
        <w:t xml:space="preserve">making amendments to provisions of Appendix </w:t>
      </w:r>
      <w:r w:rsidRPr="006819B0">
        <w:rPr>
          <w:b/>
          <w:bCs/>
        </w:rPr>
        <w:t>30A</w:t>
      </w:r>
      <w:r w:rsidRPr="006819B0">
        <w:rPr>
          <w:bCs/>
        </w:rPr>
        <w:t xml:space="preserve">/Appendix </w:t>
      </w:r>
      <w:r w:rsidRPr="006819B0">
        <w:rPr>
          <w:b/>
          <w:bCs/>
        </w:rPr>
        <w:t>30B</w:t>
      </w:r>
      <w:r w:rsidRPr="006819B0">
        <w:rPr>
          <w:bCs/>
        </w:rPr>
        <w:t xml:space="preserve"> to allow relocation of test points from excluded territory to new location, and to request </w:t>
      </w:r>
      <w:r w:rsidRPr="006819B0">
        <w:rPr>
          <w:bCs/>
          <w:lang w:val="en-GB"/>
        </w:rPr>
        <w:t>notifying administration of a satellite network having relative satellite antenna gain derived from the minimum ellipse required to cover the service area of equal to or less than −20 dB over territory of other administration, to accept uplink interference coming from territory of other administration.</w:t>
      </w:r>
    </w:p>
    <w:p w14:paraId="0C545377" w14:textId="77777777" w:rsidR="006819B0" w:rsidRPr="006819B0" w:rsidRDefault="006819B0" w:rsidP="006819B0">
      <w:pPr>
        <w:ind w:left="708"/>
        <w:jc w:val="both"/>
        <w:rPr>
          <w:lang w:val="en-NZ"/>
        </w:rPr>
      </w:pPr>
    </w:p>
    <w:p w14:paraId="1A12C597" w14:textId="77777777" w:rsidR="006819B0" w:rsidRPr="006819B0" w:rsidRDefault="006819B0" w:rsidP="006819B0">
      <w:pPr>
        <w:keepNext/>
        <w:keepLines/>
        <w:spacing w:after="120"/>
        <w:outlineLvl w:val="3"/>
        <w:rPr>
          <w:rFonts w:eastAsiaTheme="majorEastAsia"/>
          <w:bCs/>
          <w:iCs/>
          <w:lang w:val="en-NZ" w:eastAsia="ko-KR"/>
        </w:rPr>
      </w:pPr>
      <w:r w:rsidRPr="006819B0">
        <w:rPr>
          <w:rFonts w:eastAsiaTheme="majorEastAsia"/>
          <w:b/>
          <w:bCs/>
          <w:iCs/>
          <w:lang w:val="en-NZ" w:eastAsia="ko-KR"/>
        </w:rPr>
        <w:t>3.1.3</w:t>
      </w:r>
      <w:r w:rsidRPr="006819B0">
        <w:rPr>
          <w:rFonts w:eastAsiaTheme="majorEastAsia"/>
          <w:b/>
          <w:bCs/>
          <w:iCs/>
          <w:lang w:val="en-NZ" w:eastAsia="ko-KR"/>
        </w:rPr>
        <w:tab/>
      </w:r>
      <w:r w:rsidRPr="006819B0">
        <w:rPr>
          <w:rFonts w:eastAsiaTheme="majorEastAsia"/>
          <w:b/>
          <w:bCs/>
          <w:iCs/>
        </w:rPr>
        <w:t>Thailand</w:t>
      </w:r>
      <w:r w:rsidRPr="006819B0">
        <w:rPr>
          <w:rFonts w:eastAsiaTheme="majorEastAsia"/>
          <w:b/>
          <w:bCs/>
          <w:iCs/>
          <w:lang w:val="en-NZ" w:eastAsia="ko-KR"/>
        </w:rPr>
        <w:t xml:space="preserve"> (Kingdom of) – Document APG23-6/INP-61</w:t>
      </w:r>
    </w:p>
    <w:p w14:paraId="5D32DEA9" w14:textId="77777777" w:rsidR="006819B0" w:rsidRPr="006819B0" w:rsidRDefault="006819B0" w:rsidP="006819B0">
      <w:pPr>
        <w:numPr>
          <w:ilvl w:val="1"/>
          <w:numId w:val="20"/>
        </w:numPr>
        <w:tabs>
          <w:tab w:val="num" w:pos="720"/>
        </w:tabs>
        <w:ind w:left="720"/>
        <w:jc w:val="both"/>
      </w:pPr>
      <w:r w:rsidRPr="006819B0">
        <w:rPr>
          <w:spacing w:val="-2"/>
          <w:lang w:eastAsia="ja-JP"/>
        </w:rPr>
        <w:t xml:space="preserve">Thailand supports Method F3 in the CPM Report to exclude uplink service area in RR Appendix </w:t>
      </w:r>
      <w:r w:rsidRPr="006819B0">
        <w:rPr>
          <w:b/>
          <w:bCs/>
          <w:spacing w:val="-2"/>
          <w:lang w:eastAsia="ja-JP"/>
        </w:rPr>
        <w:t>30A</w:t>
      </w:r>
      <w:r w:rsidRPr="006819B0">
        <w:rPr>
          <w:spacing w:val="-2"/>
          <w:lang w:eastAsia="ja-JP"/>
        </w:rPr>
        <w:t xml:space="preserve"> for Regions 1 and 3 and RR Appendix </w:t>
      </w:r>
      <w:r w:rsidRPr="006819B0">
        <w:rPr>
          <w:b/>
          <w:bCs/>
          <w:spacing w:val="-2"/>
          <w:lang w:eastAsia="ja-JP"/>
        </w:rPr>
        <w:t>30B</w:t>
      </w:r>
      <w:r w:rsidRPr="006819B0">
        <w:rPr>
          <w:spacing w:val="-2"/>
          <w:lang w:eastAsia="ja-JP"/>
        </w:rPr>
        <w:t>.</w:t>
      </w:r>
    </w:p>
    <w:p w14:paraId="0394EB11" w14:textId="77777777" w:rsidR="006819B0" w:rsidRPr="006819B0" w:rsidRDefault="006819B0" w:rsidP="006819B0">
      <w:pPr>
        <w:jc w:val="thaiDistribute"/>
        <w:rPr>
          <w:lang w:val="en-GB"/>
        </w:rPr>
      </w:pPr>
    </w:p>
    <w:p w14:paraId="030A8D59" w14:textId="77777777" w:rsidR="006819B0" w:rsidRPr="006819B0" w:rsidRDefault="006819B0" w:rsidP="006819B0">
      <w:pPr>
        <w:ind w:left="720" w:hanging="360"/>
        <w:jc w:val="both"/>
        <w:rPr>
          <w:lang w:val="en-NZ"/>
        </w:rPr>
      </w:pPr>
      <w:r w:rsidRPr="006819B0">
        <w:rPr>
          <w:rFonts w:cstheme="minorBidi" w:hint="cs"/>
          <w:szCs w:val="30"/>
          <w:cs/>
          <w:lang w:val="en-GB" w:bidi="th-TH"/>
        </w:rPr>
        <w:t xml:space="preserve">      </w:t>
      </w:r>
      <w:bookmarkStart w:id="1" w:name="_MON_1747054593"/>
      <w:bookmarkEnd w:id="1"/>
      <w:r w:rsidRPr="006819B0">
        <w:rPr>
          <w:noProof/>
          <w:cs/>
          <w:lang w:val="th-TH" w:bidi="th-TH"/>
        </w:rPr>
        <w:object w:dxaOrig="1232" w:dyaOrig="797" w14:anchorId="6CD05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1.05pt;height:39.1pt;mso-width-percent:0;mso-height-percent:0;mso-width-percent:0;mso-height-percent:0" o:ole="">
            <v:imagedata r:id="rId25" o:title=""/>
          </v:shape>
          <o:OLEObject Type="Embed" ProgID="Word.Document.12" ShapeID="_x0000_i1025" DrawAspect="Icon" ObjectID="_1753911301" r:id="rId26">
            <o:FieldCodes>\s</o:FieldCodes>
          </o:OLEObject>
        </w:object>
      </w:r>
    </w:p>
    <w:p w14:paraId="46DD3C37" w14:textId="77777777" w:rsidR="006819B0" w:rsidRPr="006819B0" w:rsidRDefault="006819B0" w:rsidP="006819B0">
      <w:pPr>
        <w:jc w:val="both"/>
        <w:rPr>
          <w:lang w:val="en-NZ"/>
        </w:rPr>
      </w:pPr>
    </w:p>
    <w:p w14:paraId="305BDC41"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3.1.4</w:t>
      </w:r>
      <w:r w:rsidRPr="006819B0">
        <w:rPr>
          <w:rFonts w:eastAsiaTheme="majorEastAsia"/>
          <w:b/>
          <w:bCs/>
          <w:iCs/>
          <w:lang w:val="en-NZ" w:eastAsia="ko-KR"/>
        </w:rPr>
        <w:tab/>
        <w:t>Iran (Islamic Republic of) – Document APG23-6/INP-68</w:t>
      </w:r>
    </w:p>
    <w:p w14:paraId="4F1D8506" w14:textId="77777777" w:rsidR="006819B0" w:rsidRPr="006819B0" w:rsidRDefault="006819B0" w:rsidP="006819B0">
      <w:pPr>
        <w:numPr>
          <w:ilvl w:val="1"/>
          <w:numId w:val="20"/>
        </w:numPr>
        <w:tabs>
          <w:tab w:val="num" w:pos="720"/>
        </w:tabs>
        <w:ind w:left="720"/>
        <w:jc w:val="both"/>
        <w:rPr>
          <w:lang w:val="en-NZ"/>
        </w:rPr>
      </w:pPr>
      <w:r w:rsidRPr="006819B0">
        <w:rPr>
          <w:lang w:val="en-NZ"/>
        </w:rPr>
        <w:t xml:space="preserve">I.R. of Iran supports the exclusion of the territory of a country from the service area of feeder link of another country and the adjustment of coverage area to the smallest to be aligned with the service area of feeder link under RR AP </w:t>
      </w:r>
      <w:r w:rsidRPr="006819B0">
        <w:rPr>
          <w:b/>
          <w:bCs/>
          <w:lang w:val="en-NZ"/>
        </w:rPr>
        <w:t>30A</w:t>
      </w:r>
      <w:r w:rsidRPr="006819B0">
        <w:rPr>
          <w:lang w:val="en-NZ"/>
        </w:rPr>
        <w:t>.</w:t>
      </w:r>
    </w:p>
    <w:p w14:paraId="3A852819" w14:textId="77777777" w:rsidR="006819B0" w:rsidRPr="006819B0" w:rsidRDefault="006819B0" w:rsidP="006819B0">
      <w:pPr>
        <w:numPr>
          <w:ilvl w:val="1"/>
          <w:numId w:val="20"/>
        </w:numPr>
        <w:tabs>
          <w:tab w:val="num" w:pos="720"/>
        </w:tabs>
        <w:ind w:left="720"/>
        <w:jc w:val="both"/>
        <w:rPr>
          <w:lang w:val="en-NZ"/>
        </w:rPr>
      </w:pPr>
      <w:r w:rsidRPr="006819B0">
        <w:rPr>
          <w:rFonts w:eastAsia="TimesNewRoman,Bold"/>
          <w:bCs/>
          <w:lang w:eastAsia="zh-CN"/>
        </w:rPr>
        <w:t xml:space="preserve">I.R. of Iran supports developing specific measures to avoid creating obstacles to those administrations wishing to establish satellite networks of RR AP </w:t>
      </w:r>
      <w:r w:rsidRPr="006819B0">
        <w:rPr>
          <w:rFonts w:eastAsia="TimesNewRoman,Bold"/>
          <w:b/>
          <w:lang w:eastAsia="zh-CN"/>
        </w:rPr>
        <w:t>30B</w:t>
      </w:r>
      <w:r w:rsidRPr="006819B0">
        <w:rPr>
          <w:rFonts w:eastAsia="TimesNewRoman,Bold"/>
          <w:bCs/>
          <w:lang w:eastAsia="zh-CN"/>
        </w:rPr>
        <w:t xml:space="preserve"> over their territories, taking into account the </w:t>
      </w:r>
      <w:r w:rsidRPr="006819B0">
        <w:rPr>
          <w:lang w:val="en-NZ"/>
        </w:rPr>
        <w:t>roll</w:t>
      </w:r>
      <w:r w:rsidRPr="006819B0">
        <w:rPr>
          <w:rFonts w:eastAsia="TimesNewRoman,Bold"/>
          <w:bCs/>
          <w:lang w:eastAsia="zh-CN"/>
        </w:rPr>
        <w:t xml:space="preserve">-off of the receiving beams of adjacent satellite networks. </w:t>
      </w:r>
      <w:r w:rsidRPr="006819B0">
        <w:rPr>
          <w:rFonts w:eastAsia="SimSun"/>
          <w:lang w:eastAsia="zh-CN"/>
        </w:rPr>
        <w:t xml:space="preserve">Further studies on the adjustment of the coverage area to the smallest to be aligned with the service area of the RR AP </w:t>
      </w:r>
      <w:r w:rsidRPr="006819B0">
        <w:rPr>
          <w:rFonts w:eastAsia="SimSun"/>
          <w:b/>
          <w:lang w:eastAsia="zh-CN"/>
        </w:rPr>
        <w:t>30B</w:t>
      </w:r>
      <w:r w:rsidRPr="006819B0">
        <w:rPr>
          <w:rFonts w:eastAsia="SimSun"/>
          <w:lang w:eastAsia="zh-CN"/>
        </w:rPr>
        <w:t xml:space="preserve"> submissions under consideration </w:t>
      </w:r>
      <w:r w:rsidRPr="006819B0">
        <w:rPr>
          <w:rFonts w:eastAsia="SimSun" w:hint="eastAsia"/>
          <w:lang w:eastAsia="zh-CN"/>
        </w:rPr>
        <w:t>i</w:t>
      </w:r>
      <w:r w:rsidRPr="006819B0">
        <w:rPr>
          <w:rFonts w:eastAsia="SimSun"/>
          <w:lang w:eastAsia="zh-CN"/>
        </w:rPr>
        <w:t xml:space="preserve">s required, since </w:t>
      </w:r>
      <w:r w:rsidRPr="006819B0">
        <w:rPr>
          <w:color w:val="000000"/>
        </w:rPr>
        <w:t xml:space="preserve">the </w:t>
      </w:r>
      <w:r w:rsidRPr="006819B0">
        <w:rPr>
          <w:lang w:val="en-NZ"/>
        </w:rPr>
        <w:t xml:space="preserve">alignment of the coverage area with the service area may not be always feasible, especially when the satellite network is already in operation. </w:t>
      </w:r>
    </w:p>
    <w:p w14:paraId="216016A8" w14:textId="77777777" w:rsidR="006819B0" w:rsidRPr="006819B0" w:rsidRDefault="006819B0" w:rsidP="006819B0">
      <w:pPr>
        <w:numPr>
          <w:ilvl w:val="1"/>
          <w:numId w:val="20"/>
        </w:numPr>
        <w:tabs>
          <w:tab w:val="num" w:pos="720"/>
        </w:tabs>
        <w:ind w:left="720"/>
        <w:jc w:val="both"/>
        <w:rPr>
          <w:rFonts w:eastAsia="TimesNewRoman,Bold"/>
          <w:bCs/>
          <w:lang w:eastAsia="zh-CN"/>
        </w:rPr>
      </w:pPr>
      <w:r w:rsidRPr="006819B0">
        <w:rPr>
          <w:rFonts w:eastAsia="TimesNewRoman,Bold"/>
          <w:bCs/>
          <w:lang w:eastAsia="zh-CN"/>
        </w:rPr>
        <w:lastRenderedPageBreak/>
        <w:t xml:space="preserve">I.R. of Iran is of the view that relevant elements of provision 6.16 of RR Appendix </w:t>
      </w:r>
      <w:r w:rsidRPr="006819B0">
        <w:rPr>
          <w:rFonts w:eastAsia="TimesNewRoman,Bold"/>
          <w:b/>
          <w:lang w:eastAsia="zh-CN"/>
        </w:rPr>
        <w:t>30B</w:t>
      </w:r>
      <w:r w:rsidRPr="006819B0">
        <w:rPr>
          <w:rFonts w:eastAsia="TimesNewRoman,Bold"/>
          <w:bCs/>
          <w:lang w:eastAsia="zh-CN"/>
        </w:rPr>
        <w:t xml:space="preserve"> should also be included in the final method, allowing an administration that at any time before, during, or after the publication to request exclusion of its territory from the feeder-link service area of a satellite network of other administrations.</w:t>
      </w:r>
    </w:p>
    <w:p w14:paraId="7E52011F" w14:textId="77777777" w:rsidR="006819B0" w:rsidRPr="006819B0" w:rsidRDefault="006819B0" w:rsidP="006819B0">
      <w:pPr>
        <w:numPr>
          <w:ilvl w:val="1"/>
          <w:numId w:val="20"/>
        </w:numPr>
        <w:tabs>
          <w:tab w:val="num" w:pos="720"/>
        </w:tabs>
        <w:ind w:left="720"/>
        <w:jc w:val="both"/>
        <w:rPr>
          <w:rFonts w:eastAsia="TimesNewRoman,Bold"/>
          <w:bCs/>
          <w:lang w:eastAsia="zh-CN"/>
        </w:rPr>
      </w:pPr>
      <w:r w:rsidRPr="006819B0">
        <w:rPr>
          <w:rFonts w:eastAsia="TimesNewRoman,Bold"/>
          <w:bCs/>
          <w:lang w:eastAsia="zh-CN"/>
        </w:rPr>
        <w:t xml:space="preserve">Even if, an administration does not request coordination, that administration allow to ask exclusion under provision 6.16 of the Appendix </w:t>
      </w:r>
      <w:r w:rsidRPr="006819B0">
        <w:rPr>
          <w:rFonts w:eastAsia="TimesNewRoman,Bold"/>
          <w:b/>
          <w:lang w:eastAsia="zh-CN"/>
        </w:rPr>
        <w:t>30B</w:t>
      </w:r>
      <w:r w:rsidRPr="006819B0">
        <w:rPr>
          <w:rFonts w:eastAsia="TimesNewRoman,Bold"/>
          <w:bCs/>
          <w:lang w:eastAsia="zh-CN"/>
        </w:rPr>
        <w:t xml:space="preserve"> as stated in the following:</w:t>
      </w:r>
    </w:p>
    <w:p w14:paraId="2B01F727" w14:textId="77777777" w:rsidR="006819B0" w:rsidRPr="006819B0" w:rsidRDefault="006819B0" w:rsidP="006819B0">
      <w:pPr>
        <w:jc w:val="both"/>
      </w:pPr>
    </w:p>
    <w:p w14:paraId="0573546F" w14:textId="77777777" w:rsidR="006819B0" w:rsidRPr="006819B0" w:rsidRDefault="006819B0" w:rsidP="006819B0">
      <w:pPr>
        <w:jc w:val="both"/>
        <w:rPr>
          <w:b/>
          <w:bCs/>
          <w:i/>
          <w:iCs/>
          <w:u w:val="single"/>
        </w:rPr>
      </w:pPr>
      <w:r w:rsidRPr="006819B0">
        <w:rPr>
          <w:b/>
          <w:bCs/>
          <w:i/>
          <w:iCs/>
          <w:u w:val="single"/>
        </w:rPr>
        <w:t>Quote</w:t>
      </w:r>
    </w:p>
    <w:p w14:paraId="347AE1D1" w14:textId="77777777" w:rsidR="006819B0" w:rsidRPr="006819B0" w:rsidRDefault="006819B0" w:rsidP="006819B0">
      <w:pPr>
        <w:jc w:val="both"/>
        <w:rPr>
          <w:i/>
          <w:iCs/>
          <w:sz w:val="16"/>
        </w:rPr>
      </w:pPr>
      <w:r w:rsidRPr="006819B0">
        <w:rPr>
          <w:i/>
          <w:iCs/>
        </w:rPr>
        <w:t>“6.16 An administration may at any time during or after the above-mentioned four-month period inform the Bureau about its objection to being included in the service area of any assignment, even if this assignment has been entered in the List. The Bureau shall then inform the administration responsible for the assignment and exclude the territory and test points</w:t>
      </w:r>
      <w:r w:rsidRPr="006819B0">
        <w:rPr>
          <w:i/>
          <w:iCs/>
          <w:vertAlign w:val="superscript"/>
        </w:rPr>
        <w:footnoteReference w:customMarkFollows="1" w:id="3"/>
        <w:t>6bis</w:t>
      </w:r>
      <w:r w:rsidRPr="006819B0">
        <w:rPr>
          <w:i/>
          <w:iCs/>
        </w:rPr>
        <w:t xml:space="preserve"> that are within the territory of the objecting administration from the service area. The Bureau shall update the reference situation without reviewing the previous examinations.</w:t>
      </w:r>
      <w:r w:rsidRPr="006819B0">
        <w:rPr>
          <w:i/>
          <w:iCs/>
          <w:sz w:val="16"/>
        </w:rPr>
        <w:t>     (WRC</w:t>
      </w:r>
      <w:r w:rsidRPr="006819B0">
        <w:rPr>
          <w:i/>
          <w:iCs/>
          <w:sz w:val="16"/>
        </w:rPr>
        <w:noBreakHyphen/>
        <w:t>19)”</w:t>
      </w:r>
    </w:p>
    <w:p w14:paraId="6935F14E" w14:textId="77777777" w:rsidR="006819B0" w:rsidRPr="006819B0" w:rsidRDefault="006819B0" w:rsidP="006819B0">
      <w:pPr>
        <w:jc w:val="both"/>
        <w:rPr>
          <w:b/>
          <w:bCs/>
          <w:i/>
          <w:iCs/>
          <w:u w:val="single"/>
        </w:rPr>
      </w:pPr>
      <w:r w:rsidRPr="006819B0">
        <w:rPr>
          <w:b/>
          <w:bCs/>
          <w:i/>
          <w:iCs/>
          <w:u w:val="single"/>
        </w:rPr>
        <w:t>Unquote</w:t>
      </w:r>
    </w:p>
    <w:p w14:paraId="55772A21" w14:textId="77777777" w:rsidR="006819B0" w:rsidRPr="006819B0" w:rsidRDefault="006819B0" w:rsidP="006819B0">
      <w:pPr>
        <w:jc w:val="both"/>
        <w:rPr>
          <w:b/>
          <w:bCs/>
          <w:i/>
          <w:iCs/>
          <w:u w:val="single"/>
        </w:rPr>
      </w:pPr>
    </w:p>
    <w:p w14:paraId="57982A4D" w14:textId="77777777" w:rsidR="006819B0" w:rsidRPr="006819B0" w:rsidRDefault="006819B0" w:rsidP="006819B0">
      <w:pPr>
        <w:numPr>
          <w:ilvl w:val="0"/>
          <w:numId w:val="1"/>
        </w:numPr>
        <w:jc w:val="both"/>
        <w:rPr>
          <w:lang w:val="en-NZ"/>
        </w:rPr>
      </w:pPr>
      <w:r w:rsidRPr="006819B0">
        <w:rPr>
          <w:rFonts w:eastAsia="TimesNewRoman,Bold"/>
          <w:bCs/>
          <w:lang w:eastAsia="zh-CN"/>
        </w:rPr>
        <w:t>I.R. of Iran supports Method F2 as contain in draft CPM23-2 Report</w:t>
      </w:r>
    </w:p>
    <w:p w14:paraId="039B9E8C" w14:textId="77777777" w:rsidR="006819B0" w:rsidRPr="006819B0" w:rsidRDefault="006819B0" w:rsidP="006819B0">
      <w:pPr>
        <w:ind w:left="720"/>
        <w:jc w:val="both"/>
        <w:rPr>
          <w:lang w:val="en-NZ"/>
        </w:rPr>
      </w:pPr>
    </w:p>
    <w:p w14:paraId="041E1AC8"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3.1.5</w:t>
      </w:r>
      <w:r w:rsidRPr="006819B0">
        <w:rPr>
          <w:rFonts w:eastAsiaTheme="majorEastAsia"/>
          <w:b/>
          <w:bCs/>
          <w:iCs/>
          <w:lang w:val="en-NZ" w:eastAsia="ko-KR"/>
        </w:rPr>
        <w:tab/>
        <w:t>Australia – Document APG23-6/INP-83</w:t>
      </w:r>
    </w:p>
    <w:p w14:paraId="11F62DCC" w14:textId="77777777" w:rsidR="006819B0" w:rsidRPr="006819B0" w:rsidRDefault="006819B0" w:rsidP="006819B0">
      <w:pPr>
        <w:numPr>
          <w:ilvl w:val="0"/>
          <w:numId w:val="1"/>
        </w:numPr>
        <w:jc w:val="both"/>
        <w:rPr>
          <w:iCs/>
        </w:rPr>
      </w:pPr>
      <w:r w:rsidRPr="006819B0">
        <w:rPr>
          <w:iCs/>
        </w:rPr>
        <w:t xml:space="preserve">Australia is yet to arrive at a position on this agenda item. </w:t>
      </w:r>
    </w:p>
    <w:p w14:paraId="2C4794FF" w14:textId="77777777" w:rsidR="006819B0" w:rsidRPr="006819B0" w:rsidRDefault="006819B0" w:rsidP="006819B0">
      <w:pPr>
        <w:numPr>
          <w:ilvl w:val="0"/>
          <w:numId w:val="1"/>
        </w:numPr>
        <w:jc w:val="both"/>
      </w:pPr>
      <w:r w:rsidRPr="006819B0">
        <w:t>Australia does not propose a Preliminary APT Common Proposal for this topic.</w:t>
      </w:r>
    </w:p>
    <w:p w14:paraId="512BC2B8" w14:textId="77777777" w:rsidR="006819B0" w:rsidRPr="006819B0" w:rsidRDefault="006819B0" w:rsidP="006819B0">
      <w:pPr>
        <w:ind w:left="720" w:hanging="360"/>
        <w:jc w:val="both"/>
        <w:rPr>
          <w:lang w:val="en-NZ"/>
        </w:rPr>
      </w:pPr>
    </w:p>
    <w:p w14:paraId="16D9DCA5"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3.1.6</w:t>
      </w:r>
      <w:r w:rsidRPr="006819B0">
        <w:rPr>
          <w:rFonts w:eastAsiaTheme="majorEastAsia"/>
          <w:b/>
          <w:bCs/>
          <w:iCs/>
          <w:lang w:val="en-NZ" w:eastAsia="ko-KR"/>
        </w:rPr>
        <w:tab/>
        <w:t>Korea (Republic of) – Document APG23-6/INP-90(Rev.1)</w:t>
      </w:r>
    </w:p>
    <w:p w14:paraId="3EF26A93" w14:textId="77777777" w:rsidR="006819B0" w:rsidRPr="006819B0" w:rsidRDefault="006819B0" w:rsidP="006819B0">
      <w:pPr>
        <w:numPr>
          <w:ilvl w:val="0"/>
          <w:numId w:val="1"/>
        </w:numPr>
        <w:rPr>
          <w:lang w:eastAsia="ko-KR"/>
        </w:rPr>
      </w:pPr>
      <w:r w:rsidRPr="006819B0">
        <w:t>A</w:t>
      </w:r>
      <w:r w:rsidRPr="006819B0">
        <w:rPr>
          <w:lang w:eastAsia="ko-KR"/>
        </w:rPr>
        <w:t>s t</w:t>
      </w:r>
      <w:r w:rsidRPr="006819B0">
        <w:t xml:space="preserve">he Republic of Korea supports excluding the territory of a country from the service area of the feeder link of RR AP </w:t>
      </w:r>
      <w:r w:rsidRPr="006819B0">
        <w:rPr>
          <w:b/>
          <w:bCs/>
        </w:rPr>
        <w:t>30A</w:t>
      </w:r>
      <w:r w:rsidRPr="006819B0">
        <w:t xml:space="preserve"> and adjustment of coverage area of the feeder link to the smallest service area of that submission under RR AP </w:t>
      </w:r>
      <w:r w:rsidRPr="006819B0">
        <w:rPr>
          <w:b/>
          <w:bCs/>
        </w:rPr>
        <w:t>30A</w:t>
      </w:r>
      <w:r w:rsidRPr="006819B0">
        <w:t xml:space="preserve">, as well as adjustment of coverage area to the smallest to be aligned with the service area of the submissions under RR AP </w:t>
      </w:r>
      <w:r w:rsidRPr="006819B0">
        <w:rPr>
          <w:b/>
          <w:bCs/>
        </w:rPr>
        <w:t>30B</w:t>
      </w:r>
      <w:r w:rsidRPr="006819B0">
        <w:t xml:space="preserve">, </w:t>
      </w:r>
      <w:r w:rsidRPr="006819B0">
        <w:rPr>
          <w:lang w:eastAsia="ko-KR"/>
        </w:rPr>
        <w:t xml:space="preserve">among the methods presented in the CPM Report, </w:t>
      </w:r>
      <w:r w:rsidRPr="006819B0">
        <w:t>Methods F2 or F3</w:t>
      </w:r>
      <w:r w:rsidRPr="006819B0">
        <w:rPr>
          <w:rFonts w:hint="eastAsia"/>
          <w:lang w:eastAsia="ko-KR"/>
        </w:rPr>
        <w:t xml:space="preserve"> </w:t>
      </w:r>
      <w:r w:rsidRPr="006819B0">
        <w:rPr>
          <w:lang w:eastAsia="ko-KR"/>
        </w:rPr>
        <w:t>can be supported.</w:t>
      </w:r>
    </w:p>
    <w:p w14:paraId="74EF71ED" w14:textId="77777777" w:rsidR="006819B0" w:rsidRPr="006819B0" w:rsidRDefault="006819B0" w:rsidP="006819B0">
      <w:pPr>
        <w:ind w:left="360"/>
        <w:jc w:val="both"/>
        <w:rPr>
          <w:lang w:eastAsia="ko-KR"/>
        </w:rPr>
      </w:pPr>
      <w:r w:rsidRPr="006819B0">
        <w:t xml:space="preserve"> </w:t>
      </w:r>
    </w:p>
    <w:p w14:paraId="20F279DA"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3.1.7</w:t>
      </w:r>
      <w:r w:rsidRPr="006819B0">
        <w:rPr>
          <w:rFonts w:eastAsiaTheme="majorEastAsia"/>
          <w:b/>
          <w:bCs/>
          <w:iCs/>
          <w:lang w:val="en-NZ" w:eastAsia="ko-KR"/>
        </w:rPr>
        <w:tab/>
        <w:t>China (People’s Republic of) – Document APG23-6/INP-106</w:t>
      </w:r>
    </w:p>
    <w:p w14:paraId="11395147" w14:textId="77777777" w:rsidR="006819B0" w:rsidRPr="006819B0" w:rsidRDefault="006819B0" w:rsidP="006819B0">
      <w:pPr>
        <w:numPr>
          <w:ilvl w:val="0"/>
          <w:numId w:val="1"/>
        </w:numPr>
        <w:rPr>
          <w:lang w:val="en-NZ"/>
        </w:rPr>
      </w:pPr>
      <w:r w:rsidRPr="006819B0">
        <w:rPr>
          <w:lang w:val="en-NZ"/>
        </w:rPr>
        <w:t xml:space="preserve">China supports the exclusion of the territory of a country from the service area of feeder link of another country and the adjustment of coverage area to the smallest to be aligned with the service area of feeder link under RR AP </w:t>
      </w:r>
      <w:r w:rsidRPr="006819B0">
        <w:rPr>
          <w:b/>
          <w:bCs/>
          <w:lang w:val="en-NZ"/>
        </w:rPr>
        <w:t>30A</w:t>
      </w:r>
      <w:r w:rsidRPr="006819B0">
        <w:rPr>
          <w:lang w:val="en-NZ"/>
        </w:rPr>
        <w:t>.</w:t>
      </w:r>
    </w:p>
    <w:p w14:paraId="5EEFC34B" w14:textId="77777777" w:rsidR="006819B0" w:rsidRPr="006819B0" w:rsidRDefault="006819B0" w:rsidP="006819B0">
      <w:pPr>
        <w:numPr>
          <w:ilvl w:val="0"/>
          <w:numId w:val="1"/>
        </w:numPr>
        <w:rPr>
          <w:lang w:val="en-NZ"/>
        </w:rPr>
      </w:pPr>
      <w:r w:rsidRPr="006819B0">
        <w:rPr>
          <w:rFonts w:eastAsia="TimesNewRoman,Bold"/>
          <w:bCs/>
          <w:lang w:eastAsia="zh-CN"/>
        </w:rPr>
        <w:t xml:space="preserve">China also supports developing specific measures to avoid creating obstacles to those administrations wishing to establish satellite networks of RR AP </w:t>
      </w:r>
      <w:r w:rsidRPr="006819B0">
        <w:rPr>
          <w:rFonts w:eastAsia="TimesNewRoman,Bold"/>
          <w:b/>
          <w:lang w:eastAsia="zh-CN"/>
        </w:rPr>
        <w:t>30B</w:t>
      </w:r>
      <w:r w:rsidRPr="006819B0">
        <w:rPr>
          <w:rFonts w:eastAsia="TimesNewRoman,Bold"/>
          <w:bCs/>
          <w:lang w:eastAsia="zh-CN"/>
        </w:rPr>
        <w:t xml:space="preserve"> over their territories, taking into account the </w:t>
      </w:r>
      <w:r w:rsidRPr="006819B0">
        <w:rPr>
          <w:lang w:val="en-NZ"/>
        </w:rPr>
        <w:t>roll</w:t>
      </w:r>
      <w:r w:rsidRPr="006819B0">
        <w:rPr>
          <w:rFonts w:eastAsia="TimesNewRoman,Bold"/>
          <w:bCs/>
          <w:lang w:eastAsia="zh-CN"/>
        </w:rPr>
        <w:t xml:space="preserve">-off of the receiving beams of adjacent satellite networks. </w:t>
      </w:r>
      <w:r w:rsidRPr="006819B0">
        <w:rPr>
          <w:rFonts w:eastAsia="SimSun"/>
          <w:lang w:eastAsia="zh-CN"/>
        </w:rPr>
        <w:t xml:space="preserve">Further studies on the adjustment of the coverage area to the smallest to be aligned with the service area of the RR AP </w:t>
      </w:r>
      <w:r w:rsidRPr="006819B0">
        <w:rPr>
          <w:rFonts w:eastAsia="SimSun"/>
          <w:b/>
          <w:lang w:eastAsia="zh-CN"/>
        </w:rPr>
        <w:t>30B</w:t>
      </w:r>
      <w:r w:rsidRPr="006819B0">
        <w:rPr>
          <w:rFonts w:eastAsia="SimSun"/>
          <w:lang w:eastAsia="zh-CN"/>
        </w:rPr>
        <w:t xml:space="preserve"> submissions under consideration </w:t>
      </w:r>
      <w:r w:rsidRPr="006819B0">
        <w:rPr>
          <w:rFonts w:eastAsia="SimSun" w:hint="eastAsia"/>
          <w:lang w:eastAsia="zh-CN"/>
        </w:rPr>
        <w:t>i</w:t>
      </w:r>
      <w:r w:rsidRPr="006819B0">
        <w:rPr>
          <w:rFonts w:eastAsia="SimSun"/>
          <w:lang w:eastAsia="zh-CN"/>
        </w:rPr>
        <w:t xml:space="preserve">s </w:t>
      </w:r>
      <w:r w:rsidRPr="006819B0">
        <w:rPr>
          <w:rFonts w:eastAsia="SimSun"/>
          <w:lang w:eastAsia="zh-CN"/>
        </w:rPr>
        <w:lastRenderedPageBreak/>
        <w:t xml:space="preserve">required, since </w:t>
      </w:r>
      <w:r w:rsidRPr="006819B0">
        <w:rPr>
          <w:color w:val="000000"/>
        </w:rPr>
        <w:t xml:space="preserve">the </w:t>
      </w:r>
      <w:r w:rsidRPr="006819B0">
        <w:rPr>
          <w:lang w:val="en-NZ"/>
        </w:rPr>
        <w:t>alignment of the coverage area with the service area may not be always feasible, especially when the satellite network is already in operation</w:t>
      </w:r>
      <w:r w:rsidRPr="006819B0">
        <w:rPr>
          <w:rFonts w:eastAsia="SimSun"/>
          <w:lang w:eastAsia="zh-CN"/>
        </w:rPr>
        <w:t>.</w:t>
      </w:r>
      <w:r w:rsidRPr="006819B0">
        <w:t xml:space="preserve"> </w:t>
      </w:r>
    </w:p>
    <w:p w14:paraId="2F23FE6C" w14:textId="77777777" w:rsidR="006819B0" w:rsidRPr="006819B0" w:rsidRDefault="006819B0" w:rsidP="006819B0">
      <w:pPr>
        <w:ind w:left="720"/>
        <w:jc w:val="both"/>
        <w:rPr>
          <w:rFonts w:eastAsia="SimSun"/>
          <w:lang w:eastAsia="zh-CN"/>
        </w:rPr>
      </w:pPr>
    </w:p>
    <w:p w14:paraId="12E43779"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3.1.8</w:t>
      </w:r>
      <w:r w:rsidRPr="006819B0">
        <w:rPr>
          <w:rFonts w:eastAsiaTheme="majorEastAsia"/>
          <w:b/>
          <w:bCs/>
          <w:iCs/>
          <w:lang w:val="en-NZ" w:eastAsia="ko-KR"/>
        </w:rPr>
        <w:tab/>
        <w:t>Malaysia – Document APG23-6/INP-112</w:t>
      </w:r>
    </w:p>
    <w:p w14:paraId="5830E650" w14:textId="77777777" w:rsidR="006819B0" w:rsidRPr="006819B0" w:rsidRDefault="006819B0" w:rsidP="006819B0">
      <w:pPr>
        <w:numPr>
          <w:ilvl w:val="0"/>
          <w:numId w:val="1"/>
        </w:numPr>
        <w:rPr>
          <w:lang w:val="en-GB"/>
        </w:rPr>
      </w:pPr>
      <w:r w:rsidRPr="006819B0">
        <w:rPr>
          <w:lang w:val="en-GB"/>
        </w:rPr>
        <w:t xml:space="preserve">Malaysia supports development of appropriate regulatory measure for facilitation of equitable feeder-link/uplink spectrum access while taking into consideration existing assignment and allotments in RR Appendices </w:t>
      </w:r>
      <w:r w:rsidRPr="006819B0">
        <w:rPr>
          <w:b/>
          <w:bCs/>
          <w:lang w:val="en-GB"/>
        </w:rPr>
        <w:t>30A</w:t>
      </w:r>
      <w:r w:rsidRPr="006819B0">
        <w:rPr>
          <w:lang w:val="en-GB"/>
        </w:rPr>
        <w:t xml:space="preserve"> and </w:t>
      </w:r>
      <w:r w:rsidRPr="006819B0">
        <w:rPr>
          <w:b/>
          <w:bCs/>
          <w:lang w:val="en-GB"/>
        </w:rPr>
        <w:t>30B</w:t>
      </w:r>
      <w:r w:rsidRPr="006819B0">
        <w:rPr>
          <w:lang w:val="en-GB"/>
        </w:rPr>
        <w:t xml:space="preserve">. </w:t>
      </w:r>
    </w:p>
    <w:p w14:paraId="67005E3B" w14:textId="77777777" w:rsidR="006819B0" w:rsidRPr="006819B0" w:rsidRDefault="006819B0" w:rsidP="006819B0">
      <w:pPr>
        <w:numPr>
          <w:ilvl w:val="0"/>
          <w:numId w:val="1"/>
        </w:numPr>
        <w:rPr>
          <w:lang w:val="en-GB"/>
        </w:rPr>
      </w:pPr>
      <w:r w:rsidRPr="006819B0">
        <w:rPr>
          <w:lang w:val="en-GB"/>
        </w:rPr>
        <w:t xml:space="preserve">Malaysia further supports the development of a procedure that allows exclusion of the territory of an administration from the feeder-link service area of a satellite network of other administrations when requested. </w:t>
      </w:r>
    </w:p>
    <w:p w14:paraId="142BEF1A" w14:textId="77777777" w:rsidR="006819B0" w:rsidRPr="006819B0" w:rsidRDefault="006819B0" w:rsidP="006819B0">
      <w:pPr>
        <w:ind w:left="720"/>
        <w:jc w:val="both"/>
        <w:rPr>
          <w:rFonts w:eastAsia="SimSun"/>
          <w:lang w:eastAsia="zh-CN"/>
        </w:rPr>
      </w:pPr>
    </w:p>
    <w:p w14:paraId="748080F9"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3.1.9</w:t>
      </w:r>
      <w:r w:rsidRPr="006819B0">
        <w:rPr>
          <w:rFonts w:eastAsiaTheme="majorEastAsia"/>
          <w:b/>
          <w:bCs/>
          <w:iCs/>
          <w:lang w:val="en-NZ" w:eastAsia="ko-KR"/>
        </w:rPr>
        <w:tab/>
        <w:t>Viet Nam (Socialist Republic of) – Document APG23-6/INP-120</w:t>
      </w:r>
    </w:p>
    <w:p w14:paraId="00E0CA12" w14:textId="77777777" w:rsidR="006819B0" w:rsidRPr="006819B0" w:rsidRDefault="006819B0" w:rsidP="006819B0">
      <w:pPr>
        <w:numPr>
          <w:ilvl w:val="0"/>
          <w:numId w:val="1"/>
        </w:numPr>
        <w:rPr>
          <w:rFonts w:eastAsia="Times New Roman"/>
          <w:szCs w:val="20"/>
          <w:lang w:val="en-GB"/>
        </w:rPr>
      </w:pPr>
      <w:r w:rsidRPr="006819B0">
        <w:t xml:space="preserve">Vietnam is of the view to support method F4. </w:t>
      </w:r>
      <w:r w:rsidRPr="006819B0">
        <w:rPr>
          <w:rFonts w:eastAsia="Times New Roman"/>
          <w:szCs w:val="20"/>
          <w:lang w:val="en-GB"/>
        </w:rPr>
        <w:t>This method consists of two elements.</w:t>
      </w:r>
    </w:p>
    <w:p w14:paraId="4AB4C086" w14:textId="77777777" w:rsidR="006819B0" w:rsidRPr="006819B0" w:rsidRDefault="006819B0" w:rsidP="006819B0">
      <w:pPr>
        <w:numPr>
          <w:ilvl w:val="0"/>
          <w:numId w:val="1"/>
        </w:numPr>
        <w:rPr>
          <w:rFonts w:eastAsia="Times New Roman"/>
          <w:b/>
          <w:bCs/>
          <w:szCs w:val="20"/>
          <w:lang w:val="en-GB"/>
        </w:rPr>
      </w:pPr>
      <w:r w:rsidRPr="006819B0">
        <w:rPr>
          <w:rFonts w:eastAsia="Times New Roman"/>
          <w:szCs w:val="20"/>
          <w:lang w:val="en-GB"/>
        </w:rPr>
        <w:t xml:space="preserve">In respect of RR Appendix </w:t>
      </w:r>
      <w:r w:rsidRPr="006819B0">
        <w:rPr>
          <w:rFonts w:eastAsia="Times New Roman"/>
          <w:b/>
          <w:bCs/>
          <w:szCs w:val="20"/>
          <w:lang w:val="en-GB"/>
        </w:rPr>
        <w:t>30A</w:t>
      </w:r>
      <w:r w:rsidRPr="006819B0">
        <w:rPr>
          <w:rFonts w:eastAsia="Times New Roman"/>
          <w:szCs w:val="20"/>
          <w:lang w:val="en-GB"/>
        </w:rPr>
        <w:t>:</w:t>
      </w:r>
    </w:p>
    <w:p w14:paraId="134AA010" w14:textId="77777777" w:rsidR="006819B0" w:rsidRPr="006819B0" w:rsidRDefault="006819B0" w:rsidP="006819B0">
      <w:pPr>
        <w:numPr>
          <w:ilvl w:val="1"/>
          <w:numId w:val="17"/>
        </w:numPr>
        <w:tabs>
          <w:tab w:val="left" w:pos="1134"/>
          <w:tab w:val="left" w:pos="1871"/>
          <w:tab w:val="left" w:pos="2608"/>
          <w:tab w:val="left" w:pos="3345"/>
        </w:tabs>
        <w:overflowPunct w:val="0"/>
        <w:autoSpaceDE w:val="0"/>
        <w:autoSpaceDN w:val="0"/>
        <w:adjustRightInd w:val="0"/>
        <w:spacing w:before="80"/>
        <w:textAlignment w:val="baseline"/>
        <w:rPr>
          <w:rFonts w:eastAsia="Times New Roman"/>
          <w:szCs w:val="20"/>
          <w:lang w:val="en-GB"/>
        </w:rPr>
      </w:pPr>
      <w:r w:rsidRPr="006819B0">
        <w:rPr>
          <w:rFonts w:eastAsia="Times New Roman"/>
          <w:szCs w:val="20"/>
          <w:lang w:val="en-GB"/>
        </w:rPr>
        <w:t xml:space="preserve">a new provision under Article 4 of RR Appendix </w:t>
      </w:r>
      <w:r w:rsidRPr="006819B0">
        <w:rPr>
          <w:rFonts w:eastAsia="Times New Roman"/>
          <w:b/>
          <w:bCs/>
          <w:szCs w:val="20"/>
          <w:lang w:val="en-GB"/>
        </w:rPr>
        <w:t>30A</w:t>
      </w:r>
      <w:r w:rsidRPr="006819B0">
        <w:rPr>
          <w:rFonts w:eastAsia="Times New Roman"/>
          <w:szCs w:val="20"/>
          <w:lang w:val="en-GB"/>
        </w:rPr>
        <w:t xml:space="preserve"> to allow an administration to request the exclusion of its territory from the feeder-link service area of a satellite network of other administrations;</w:t>
      </w:r>
    </w:p>
    <w:p w14:paraId="30EB3A6A" w14:textId="77777777" w:rsidR="006819B0" w:rsidRPr="006819B0" w:rsidRDefault="006819B0" w:rsidP="006819B0">
      <w:pPr>
        <w:numPr>
          <w:ilvl w:val="1"/>
          <w:numId w:val="17"/>
        </w:numPr>
        <w:tabs>
          <w:tab w:val="left" w:pos="1134"/>
          <w:tab w:val="left" w:pos="1871"/>
          <w:tab w:val="left" w:pos="2608"/>
          <w:tab w:val="left" w:pos="3345"/>
        </w:tabs>
        <w:overflowPunct w:val="0"/>
        <w:autoSpaceDE w:val="0"/>
        <w:autoSpaceDN w:val="0"/>
        <w:adjustRightInd w:val="0"/>
        <w:spacing w:before="80"/>
        <w:textAlignment w:val="baseline"/>
        <w:rPr>
          <w:rFonts w:eastAsia="Times New Roman"/>
          <w:szCs w:val="20"/>
          <w:lang w:val="en-GB"/>
        </w:rPr>
      </w:pPr>
      <w:r w:rsidRPr="006819B0">
        <w:rPr>
          <w:rFonts w:eastAsia="Times New Roman"/>
          <w:szCs w:val="20"/>
          <w:lang w:val="en-GB"/>
        </w:rPr>
        <w:t xml:space="preserve">amend Annex 3 of RR Appendix </w:t>
      </w:r>
      <w:r w:rsidRPr="006819B0">
        <w:rPr>
          <w:rFonts w:eastAsia="Times New Roman"/>
          <w:b/>
          <w:bCs/>
          <w:szCs w:val="20"/>
          <w:lang w:val="en-GB"/>
        </w:rPr>
        <w:t>30A</w:t>
      </w:r>
      <w:r w:rsidRPr="006819B0">
        <w:rPr>
          <w:rFonts w:eastAsia="Times New Roman"/>
          <w:szCs w:val="20"/>
          <w:lang w:val="en-GB"/>
        </w:rPr>
        <w:t xml:space="preserve"> to include a definition of the feeder link coverage area.</w:t>
      </w:r>
    </w:p>
    <w:p w14:paraId="4B2CBB9D" w14:textId="77777777" w:rsidR="006819B0" w:rsidRPr="006819B0" w:rsidRDefault="006819B0" w:rsidP="006819B0">
      <w:pPr>
        <w:jc w:val="both"/>
        <w:rPr>
          <w:i/>
        </w:rPr>
      </w:pPr>
      <w:r w:rsidRPr="006819B0">
        <w:rPr>
          <w:i/>
        </w:rPr>
        <w:t>Reason:</w:t>
      </w:r>
      <w:r w:rsidRPr="006819B0">
        <w:rPr>
          <w:i/>
          <w:lang w:eastAsia="zh-CN"/>
        </w:rPr>
        <w:t xml:space="preserve"> to establish adequate mechanisms to prevent one administration from creating an obstacle to the establishment of space systems by other countries in the feeder-link.</w:t>
      </w:r>
    </w:p>
    <w:p w14:paraId="0E265E57" w14:textId="77777777" w:rsidR="006819B0" w:rsidRPr="006819B0" w:rsidRDefault="006819B0" w:rsidP="006819B0">
      <w:pPr>
        <w:jc w:val="both"/>
        <w:rPr>
          <w:rFonts w:eastAsia="SimSun"/>
          <w:lang w:eastAsia="zh-CN"/>
        </w:rPr>
      </w:pPr>
    </w:p>
    <w:p w14:paraId="70FDDD16" w14:textId="77777777" w:rsidR="006819B0" w:rsidRPr="006819B0" w:rsidRDefault="006819B0" w:rsidP="006819B0">
      <w:pPr>
        <w:keepNext/>
        <w:keepLines/>
        <w:spacing w:after="120"/>
        <w:outlineLvl w:val="3"/>
        <w:rPr>
          <w:rFonts w:eastAsiaTheme="majorEastAsia"/>
          <w:b/>
          <w:bCs/>
          <w:iCs/>
          <w:lang w:val="en-NZ"/>
        </w:rPr>
      </w:pPr>
      <w:r w:rsidRPr="006819B0">
        <w:rPr>
          <w:rFonts w:eastAsiaTheme="majorEastAsia"/>
          <w:b/>
          <w:bCs/>
          <w:iCs/>
          <w:lang w:val="en-NZ" w:eastAsia="ko-KR"/>
        </w:rPr>
        <w:t>3.1.10</w:t>
      </w:r>
      <w:r w:rsidRPr="006819B0">
        <w:rPr>
          <w:rFonts w:eastAsiaTheme="majorEastAsia"/>
          <w:b/>
          <w:bCs/>
          <w:iCs/>
          <w:lang w:val="en-NZ" w:eastAsia="ko-KR"/>
        </w:rPr>
        <w:tab/>
        <w:t>Mongolia – Document APG23-6/INP-123</w:t>
      </w:r>
    </w:p>
    <w:p w14:paraId="561778A5" w14:textId="77777777" w:rsidR="006819B0" w:rsidRPr="006819B0" w:rsidRDefault="006819B0" w:rsidP="006819B0">
      <w:pPr>
        <w:numPr>
          <w:ilvl w:val="0"/>
          <w:numId w:val="1"/>
        </w:numPr>
        <w:rPr>
          <w:lang w:val="mn-MN"/>
        </w:rPr>
      </w:pPr>
      <w:r w:rsidRPr="006819B0">
        <w:rPr>
          <w:lang w:val="mn-MN"/>
        </w:rPr>
        <w:t>Mongolia supports Method F4 of the CPM Report for Topic F.</w:t>
      </w:r>
    </w:p>
    <w:p w14:paraId="5D7C4242" w14:textId="77777777" w:rsidR="006819B0" w:rsidRPr="006819B0" w:rsidRDefault="006819B0" w:rsidP="006819B0">
      <w:pPr>
        <w:jc w:val="both"/>
        <w:rPr>
          <w:rFonts w:eastAsia="SimSun"/>
          <w:lang w:eastAsia="zh-CN"/>
        </w:rPr>
      </w:pPr>
    </w:p>
    <w:p w14:paraId="0306C289" w14:textId="77777777" w:rsidR="006819B0" w:rsidRPr="006819B0" w:rsidRDefault="006819B0" w:rsidP="006819B0">
      <w:pPr>
        <w:jc w:val="both"/>
        <w:rPr>
          <w:rFonts w:eastAsia="SimSun"/>
          <w:lang w:eastAsia="zh-CN"/>
        </w:rPr>
      </w:pPr>
    </w:p>
    <w:p w14:paraId="3561AC1B" w14:textId="77777777" w:rsidR="006819B0" w:rsidRPr="006819B0" w:rsidRDefault="006819B0" w:rsidP="006819B0">
      <w:pPr>
        <w:spacing w:after="60" w:line="276" w:lineRule="auto"/>
        <w:outlineLvl w:val="2"/>
        <w:rPr>
          <w:b/>
          <w:bCs/>
          <w:lang w:val="en-NZ" w:eastAsia="ko-KR"/>
        </w:rPr>
      </w:pPr>
      <w:bookmarkStart w:id="2" w:name="_Hlk87467395"/>
      <w:r w:rsidRPr="006819B0">
        <w:rPr>
          <w:b/>
          <w:bCs/>
          <w:lang w:val="en-NZ" w:eastAsia="ko-KR"/>
        </w:rPr>
        <w:t xml:space="preserve">3.2 </w:t>
      </w:r>
      <w:r w:rsidRPr="006819B0">
        <w:rPr>
          <w:b/>
          <w:bCs/>
          <w:lang w:val="en-NZ" w:eastAsia="ko-KR"/>
        </w:rPr>
        <w:tab/>
        <w:t>Summary of issues raised during the meeting</w:t>
      </w:r>
      <w:bookmarkEnd w:id="2"/>
    </w:p>
    <w:p w14:paraId="7F145356" w14:textId="77777777" w:rsidR="006819B0" w:rsidRPr="006819B0" w:rsidRDefault="006819B0" w:rsidP="006819B0">
      <w:pPr>
        <w:numPr>
          <w:ilvl w:val="0"/>
          <w:numId w:val="1"/>
        </w:numPr>
        <w:jc w:val="both"/>
      </w:pPr>
      <w:r w:rsidRPr="006819B0">
        <w:rPr>
          <w:lang w:eastAsia="zh-CN"/>
        </w:rPr>
        <w:t xml:space="preserve">Some APT Members are of the view that relevant elements of provision </w:t>
      </w:r>
      <w:r w:rsidRPr="006819B0">
        <w:rPr>
          <w:b/>
          <w:bCs/>
          <w:lang w:eastAsia="zh-CN"/>
        </w:rPr>
        <w:t>6.16</w:t>
      </w:r>
      <w:r w:rsidRPr="006819B0">
        <w:rPr>
          <w:lang w:eastAsia="zh-CN"/>
        </w:rPr>
        <w:t xml:space="preserve"> of RR Appendix </w:t>
      </w:r>
      <w:r w:rsidRPr="006819B0">
        <w:rPr>
          <w:b/>
          <w:bCs/>
          <w:lang w:eastAsia="zh-CN"/>
        </w:rPr>
        <w:t>30B</w:t>
      </w:r>
      <w:r w:rsidRPr="006819B0">
        <w:rPr>
          <w:lang w:eastAsia="zh-CN"/>
        </w:rPr>
        <w:t xml:space="preserve"> </w:t>
      </w:r>
      <w:r w:rsidRPr="006819B0">
        <w:rPr>
          <w:rFonts w:eastAsia="SimSun"/>
          <w:lang w:eastAsia="zh-CN"/>
        </w:rPr>
        <w:t>should</w:t>
      </w:r>
      <w:r w:rsidRPr="006819B0">
        <w:rPr>
          <w:lang w:eastAsia="zh-CN"/>
        </w:rPr>
        <w:t xml:space="preserve"> also be included in the final method of this Topic, allowing an administration that at any time before, during, or after the publication to request exclusion of its territory from the feeder-link service area of a satellite network of other administrations.</w:t>
      </w:r>
    </w:p>
    <w:p w14:paraId="7EB03D89" w14:textId="77777777" w:rsidR="006819B0" w:rsidRPr="006819B0" w:rsidRDefault="006819B0" w:rsidP="006819B0">
      <w:pPr>
        <w:jc w:val="both"/>
        <w:rPr>
          <w:lang w:val="en-NZ"/>
        </w:rPr>
      </w:pPr>
    </w:p>
    <w:p w14:paraId="4A35B94A"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t xml:space="preserve">4. </w:t>
      </w:r>
      <w:r w:rsidRPr="006819B0">
        <w:rPr>
          <w:rFonts w:eastAsiaTheme="majorEastAsia"/>
          <w:b/>
          <w:lang w:val="en-NZ" w:eastAsia="ko-KR"/>
        </w:rPr>
        <w:tab/>
        <w:t>APT View(s)</w:t>
      </w:r>
    </w:p>
    <w:p w14:paraId="0A1223ED" w14:textId="77777777" w:rsidR="006819B0" w:rsidRPr="006819B0" w:rsidRDefault="006819B0" w:rsidP="006819B0">
      <w:pPr>
        <w:numPr>
          <w:ilvl w:val="0"/>
          <w:numId w:val="1"/>
        </w:numPr>
        <w:jc w:val="both"/>
        <w:rPr>
          <w:lang w:val="en-NZ"/>
        </w:rPr>
      </w:pPr>
      <w:r w:rsidRPr="006819B0">
        <w:rPr>
          <w:lang w:val="en-NZ"/>
        </w:rPr>
        <w:t xml:space="preserve">APT Members support the exclusion of the territory of a country from the service area of feeder link of another country and the adjustment of coverage area to the smallest to be aligned with the service area of feeder link under RR AP </w:t>
      </w:r>
      <w:r w:rsidRPr="006819B0">
        <w:rPr>
          <w:b/>
          <w:bCs/>
          <w:lang w:val="en-NZ"/>
        </w:rPr>
        <w:t>30A</w:t>
      </w:r>
      <w:r w:rsidRPr="006819B0">
        <w:rPr>
          <w:lang w:val="en-NZ"/>
        </w:rPr>
        <w:t>.</w:t>
      </w:r>
    </w:p>
    <w:p w14:paraId="74F8FEFB" w14:textId="77777777" w:rsidR="006819B0" w:rsidRPr="006819B0" w:rsidRDefault="006819B0" w:rsidP="006819B0">
      <w:pPr>
        <w:numPr>
          <w:ilvl w:val="0"/>
          <w:numId w:val="1"/>
        </w:numPr>
        <w:jc w:val="both"/>
        <w:rPr>
          <w:lang w:val="en-NZ"/>
        </w:rPr>
      </w:pPr>
      <w:r w:rsidRPr="006819B0">
        <w:rPr>
          <w:rFonts w:eastAsia="TimesNewRoman,Bold"/>
          <w:bCs/>
          <w:lang w:eastAsia="zh-CN"/>
        </w:rPr>
        <w:t xml:space="preserve">APT Members support developing specific measures to avoid creating obstacles to those administrations wishing to establish satellite networks of RR AP </w:t>
      </w:r>
      <w:r w:rsidRPr="006819B0">
        <w:rPr>
          <w:rFonts w:eastAsia="TimesNewRoman,Bold"/>
          <w:b/>
          <w:lang w:eastAsia="zh-CN"/>
        </w:rPr>
        <w:t>30B</w:t>
      </w:r>
      <w:r w:rsidRPr="006819B0">
        <w:rPr>
          <w:rFonts w:eastAsia="TimesNewRoman,Bold"/>
          <w:bCs/>
          <w:lang w:eastAsia="zh-CN"/>
        </w:rPr>
        <w:t xml:space="preserve"> over their territories, taking into account the </w:t>
      </w:r>
      <w:r w:rsidRPr="006819B0">
        <w:rPr>
          <w:lang w:val="en-NZ"/>
        </w:rPr>
        <w:t>roll</w:t>
      </w:r>
      <w:r w:rsidRPr="006819B0">
        <w:rPr>
          <w:rFonts w:eastAsia="TimesNewRoman,Bold"/>
          <w:bCs/>
          <w:lang w:eastAsia="zh-CN"/>
        </w:rPr>
        <w:t xml:space="preserve">-off of the receiving beams of adjacent satellite networks. </w:t>
      </w:r>
      <w:r w:rsidRPr="006819B0">
        <w:rPr>
          <w:rFonts w:eastAsia="SimSun"/>
          <w:lang w:eastAsia="zh-CN"/>
        </w:rPr>
        <w:t xml:space="preserve">Further studies on the adjustment of the coverage area to the smallest to be aligned with the service area of the RR AP </w:t>
      </w:r>
      <w:r w:rsidRPr="006819B0">
        <w:rPr>
          <w:rFonts w:eastAsia="SimSun"/>
          <w:b/>
          <w:lang w:eastAsia="zh-CN"/>
        </w:rPr>
        <w:t>30B</w:t>
      </w:r>
      <w:r w:rsidRPr="006819B0">
        <w:rPr>
          <w:rFonts w:eastAsia="SimSun"/>
          <w:lang w:eastAsia="zh-CN"/>
        </w:rPr>
        <w:t xml:space="preserve"> submissions under consideration </w:t>
      </w:r>
      <w:r w:rsidRPr="006819B0">
        <w:rPr>
          <w:rFonts w:eastAsia="SimSun" w:hint="eastAsia"/>
          <w:lang w:eastAsia="zh-CN"/>
        </w:rPr>
        <w:t>i</w:t>
      </w:r>
      <w:r w:rsidRPr="006819B0">
        <w:rPr>
          <w:rFonts w:eastAsia="SimSun"/>
          <w:lang w:eastAsia="zh-CN"/>
        </w:rPr>
        <w:t xml:space="preserve">s </w:t>
      </w:r>
      <w:r w:rsidRPr="006819B0">
        <w:rPr>
          <w:rFonts w:eastAsia="SimSun"/>
          <w:lang w:eastAsia="zh-CN"/>
        </w:rPr>
        <w:lastRenderedPageBreak/>
        <w:t xml:space="preserve">required, since </w:t>
      </w:r>
      <w:r w:rsidRPr="006819B0">
        <w:rPr>
          <w:color w:val="000000"/>
        </w:rPr>
        <w:t xml:space="preserve">the </w:t>
      </w:r>
      <w:r w:rsidRPr="006819B0">
        <w:rPr>
          <w:lang w:val="en-NZ"/>
        </w:rPr>
        <w:t xml:space="preserve">alignment of the coverage area with the service area may not be always feasible, especially when the satellite network is already in operation. </w:t>
      </w:r>
    </w:p>
    <w:p w14:paraId="0F5AD2C1" w14:textId="77777777" w:rsidR="006819B0" w:rsidRPr="006819B0" w:rsidRDefault="006819B0" w:rsidP="006819B0">
      <w:pPr>
        <w:numPr>
          <w:ilvl w:val="0"/>
          <w:numId w:val="1"/>
        </w:numPr>
        <w:jc w:val="both"/>
        <w:rPr>
          <w:lang w:val="en-NZ"/>
        </w:rPr>
      </w:pPr>
      <w:r w:rsidRPr="006819B0">
        <w:rPr>
          <w:rFonts w:eastAsia="TimesNewRoman,Bold"/>
          <w:bCs/>
          <w:lang w:eastAsia="zh-CN"/>
        </w:rPr>
        <w:t>APT Members do not support Method F1 of the CPM Report.</w:t>
      </w:r>
    </w:p>
    <w:p w14:paraId="72E138BF" w14:textId="77777777" w:rsidR="006819B0" w:rsidRPr="006819B0" w:rsidRDefault="006819B0" w:rsidP="006819B0">
      <w:pPr>
        <w:jc w:val="both"/>
        <w:rPr>
          <w:lang w:val="en-NZ"/>
        </w:rPr>
      </w:pPr>
    </w:p>
    <w:p w14:paraId="454AE169"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t xml:space="preserve">5. </w:t>
      </w:r>
      <w:r w:rsidRPr="006819B0">
        <w:rPr>
          <w:rFonts w:eastAsiaTheme="majorEastAsia"/>
          <w:b/>
          <w:lang w:val="en-NZ" w:eastAsia="ko-KR"/>
        </w:rPr>
        <w:tab/>
        <w:t>Preliminary APT Common Proposal</w:t>
      </w:r>
    </w:p>
    <w:p w14:paraId="64B653E1" w14:textId="77777777" w:rsidR="006819B0" w:rsidRPr="006819B0" w:rsidRDefault="006819B0" w:rsidP="006819B0">
      <w:pPr>
        <w:numPr>
          <w:ilvl w:val="0"/>
          <w:numId w:val="1"/>
        </w:numPr>
        <w:jc w:val="both"/>
        <w:rPr>
          <w:lang w:val="en-NZ"/>
        </w:rPr>
      </w:pPr>
      <w:r w:rsidRPr="006819B0">
        <w:rPr>
          <w:lang w:val="en-NZ"/>
        </w:rPr>
        <w:t>None.</w:t>
      </w:r>
    </w:p>
    <w:p w14:paraId="0590B76D" w14:textId="77777777" w:rsidR="006819B0" w:rsidRPr="006819B0" w:rsidRDefault="006819B0" w:rsidP="006819B0">
      <w:pPr>
        <w:ind w:left="708"/>
        <w:jc w:val="both"/>
        <w:rPr>
          <w:lang w:val="en-NZ"/>
        </w:rPr>
      </w:pPr>
    </w:p>
    <w:p w14:paraId="1BD97CF5"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t xml:space="preserve">6. </w:t>
      </w:r>
      <w:r w:rsidRPr="006819B0">
        <w:rPr>
          <w:rFonts w:eastAsiaTheme="majorEastAsia"/>
          <w:b/>
          <w:lang w:val="en-NZ" w:eastAsia="ko-KR"/>
        </w:rPr>
        <w:tab/>
        <w:t>Issues for Consideration at APG Coordination Meeting at WRC-23 (if any)</w:t>
      </w:r>
    </w:p>
    <w:p w14:paraId="019B8ADD" w14:textId="77777777" w:rsidR="006819B0" w:rsidRPr="006819B0" w:rsidRDefault="006819B0" w:rsidP="006819B0">
      <w:pPr>
        <w:numPr>
          <w:ilvl w:val="0"/>
          <w:numId w:val="1"/>
        </w:numPr>
        <w:jc w:val="both"/>
        <w:rPr>
          <w:lang w:val="en-NZ"/>
        </w:rPr>
      </w:pPr>
      <w:r w:rsidRPr="006819B0">
        <w:rPr>
          <w:lang w:val="en-NZ"/>
        </w:rPr>
        <w:t>None.</w:t>
      </w:r>
    </w:p>
    <w:p w14:paraId="56F2E4B5" w14:textId="77777777" w:rsidR="006819B0" w:rsidRPr="006819B0" w:rsidRDefault="006819B0" w:rsidP="006819B0">
      <w:pPr>
        <w:ind w:left="720"/>
        <w:contextualSpacing/>
        <w:jc w:val="both"/>
        <w:rPr>
          <w:lang w:val="en-NZ"/>
        </w:rPr>
      </w:pPr>
    </w:p>
    <w:p w14:paraId="3F3CE69F" w14:textId="77777777" w:rsidR="006819B0" w:rsidRPr="006819B0" w:rsidRDefault="006819B0" w:rsidP="006819B0">
      <w:pPr>
        <w:keepNext/>
        <w:keepLines/>
        <w:spacing w:after="60" w:line="276" w:lineRule="auto"/>
        <w:jc w:val="both"/>
        <w:outlineLvl w:val="1"/>
        <w:rPr>
          <w:rFonts w:eastAsiaTheme="majorEastAsia"/>
          <w:b/>
          <w:lang w:val="en-NZ" w:eastAsia="ko-KR"/>
        </w:rPr>
      </w:pPr>
      <w:r w:rsidRPr="006819B0">
        <w:rPr>
          <w:rFonts w:eastAsiaTheme="majorEastAsia"/>
          <w:b/>
          <w:lang w:val="en-NZ" w:eastAsia="ko-KR"/>
        </w:rPr>
        <w:t xml:space="preserve">7. </w:t>
      </w:r>
      <w:r w:rsidRPr="006819B0">
        <w:rPr>
          <w:rFonts w:eastAsiaTheme="majorEastAsia"/>
          <w:b/>
          <w:lang w:val="en-NZ" w:eastAsia="ko-KR"/>
        </w:rPr>
        <w:tab/>
        <w:t xml:space="preserve">Views from Other Organisations </w:t>
      </w:r>
    </w:p>
    <w:p w14:paraId="1E6826B3" w14:textId="77777777" w:rsidR="006819B0" w:rsidRPr="006819B0" w:rsidRDefault="006819B0" w:rsidP="006819B0">
      <w:pPr>
        <w:spacing w:after="60" w:line="276" w:lineRule="auto"/>
        <w:outlineLvl w:val="2"/>
        <w:rPr>
          <w:b/>
          <w:bCs/>
          <w:lang w:val="en-NZ" w:eastAsia="ko-KR"/>
        </w:rPr>
      </w:pPr>
      <w:r w:rsidRPr="006819B0">
        <w:rPr>
          <w:b/>
          <w:bCs/>
          <w:lang w:val="en-NZ" w:eastAsia="ko-KR"/>
        </w:rPr>
        <w:t xml:space="preserve">7.1 </w:t>
      </w:r>
      <w:r w:rsidRPr="006819B0">
        <w:rPr>
          <w:b/>
          <w:bCs/>
          <w:lang w:val="en-NZ" w:eastAsia="ko-KR"/>
        </w:rPr>
        <w:tab/>
        <w:t>Regional Groups</w:t>
      </w:r>
    </w:p>
    <w:p w14:paraId="1CA158B4"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7.1.1</w:t>
      </w:r>
      <w:r w:rsidRPr="006819B0">
        <w:rPr>
          <w:rFonts w:eastAsiaTheme="majorEastAsia"/>
          <w:b/>
          <w:bCs/>
          <w:iCs/>
        </w:rPr>
        <w:tab/>
        <w:t xml:space="preserve">ASMG </w:t>
      </w:r>
      <w:r w:rsidRPr="006819B0">
        <w:rPr>
          <w:rFonts w:eastAsiaTheme="majorEastAsia"/>
          <w:b/>
          <w:bCs/>
          <w:iCs/>
          <w:lang w:val="en-NZ" w:eastAsia="ko-KR"/>
        </w:rPr>
        <w:t xml:space="preserve">– </w:t>
      </w:r>
      <w:r w:rsidRPr="006819B0">
        <w:rPr>
          <w:rFonts w:eastAsiaTheme="majorEastAsia"/>
          <w:b/>
          <w:bCs/>
          <w:iCs/>
        </w:rPr>
        <w:t xml:space="preserve">(as of February 2023) </w:t>
      </w:r>
    </w:p>
    <w:p w14:paraId="74D4A34A" w14:textId="77777777" w:rsidR="006819B0" w:rsidRPr="006819B0" w:rsidRDefault="006819B0" w:rsidP="006819B0">
      <w:pPr>
        <w:numPr>
          <w:ilvl w:val="0"/>
          <w:numId w:val="16"/>
        </w:numPr>
        <w:jc w:val="both"/>
        <w:rPr>
          <w:lang w:val="en-NZ"/>
        </w:rPr>
      </w:pPr>
      <w:r w:rsidRPr="006819B0">
        <w:t>Support the introduction of provisions in Appendices 30A and 30B to establish regulatory and technical measures that allow administrations to use their assignments and encourage progressive between notifying administrations. Notwithstanding, the deployment of national or sub-regional satellite networks in accordance with Appendices 30A and 30B shall not be impeded. Taking into account the current operational satellite networks.</w:t>
      </w:r>
    </w:p>
    <w:p w14:paraId="1C894D0A" w14:textId="77777777" w:rsidR="006819B0" w:rsidRPr="006819B0" w:rsidRDefault="006819B0" w:rsidP="006819B0">
      <w:pPr>
        <w:rPr>
          <w:b/>
          <w:bCs/>
          <w:lang w:val="en-NZ" w:eastAsia="ko-KR"/>
        </w:rPr>
      </w:pPr>
    </w:p>
    <w:p w14:paraId="5A5D358C"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7.1.2</w:t>
      </w:r>
      <w:r w:rsidRPr="006819B0">
        <w:rPr>
          <w:rFonts w:eastAsiaTheme="majorEastAsia"/>
          <w:b/>
          <w:bCs/>
          <w:iCs/>
        </w:rPr>
        <w:tab/>
        <w:t xml:space="preserve">ATU </w:t>
      </w:r>
      <w:r w:rsidRPr="006819B0">
        <w:rPr>
          <w:rFonts w:eastAsiaTheme="majorEastAsia"/>
          <w:b/>
          <w:bCs/>
          <w:iCs/>
          <w:lang w:val="en-NZ" w:eastAsia="ko-KR"/>
        </w:rPr>
        <w:t xml:space="preserve">– </w:t>
      </w:r>
      <w:r w:rsidRPr="006819B0">
        <w:rPr>
          <w:rFonts w:eastAsiaTheme="majorEastAsia"/>
          <w:b/>
          <w:bCs/>
          <w:iCs/>
        </w:rPr>
        <w:t xml:space="preserve">(as of February 2023) </w:t>
      </w:r>
    </w:p>
    <w:p w14:paraId="44DC2F8C" w14:textId="77777777" w:rsidR="006819B0" w:rsidRPr="006819B0" w:rsidRDefault="006819B0" w:rsidP="006819B0">
      <w:pPr>
        <w:numPr>
          <w:ilvl w:val="0"/>
          <w:numId w:val="1"/>
        </w:numPr>
        <w:jc w:val="both"/>
      </w:pPr>
      <w:r w:rsidRPr="006819B0">
        <w:t>Note that for the down-link, there are provisions that facilitate an Administration or a group of named Administrations to coordinate the downlink. Nevertheless, it has not yet been the case for the feeder-link/up-link. </w:t>
      </w:r>
    </w:p>
    <w:p w14:paraId="4E18F915" w14:textId="77777777" w:rsidR="006819B0" w:rsidRPr="006819B0" w:rsidRDefault="006819B0" w:rsidP="006819B0">
      <w:pPr>
        <w:numPr>
          <w:ilvl w:val="0"/>
          <w:numId w:val="1"/>
        </w:numPr>
        <w:jc w:val="both"/>
      </w:pPr>
      <w:r w:rsidRPr="006819B0">
        <w:t>Note that there is no provision for the feeder-link/uplink to prevent one Administration from creating an obstacle to the establishment of space systems by other countries in the feeder-link/uplink.</w:t>
      </w:r>
    </w:p>
    <w:p w14:paraId="2F1871B2" w14:textId="77777777" w:rsidR="006819B0" w:rsidRPr="006819B0" w:rsidRDefault="006819B0" w:rsidP="006819B0">
      <w:pPr>
        <w:numPr>
          <w:ilvl w:val="0"/>
          <w:numId w:val="1"/>
        </w:numPr>
        <w:jc w:val="both"/>
      </w:pPr>
      <w:r w:rsidRPr="006819B0">
        <w:t>Consider the following for satisfying this Topic: </w:t>
      </w:r>
    </w:p>
    <w:p w14:paraId="57CE960D" w14:textId="77777777" w:rsidR="006819B0" w:rsidRPr="006819B0" w:rsidRDefault="006819B0" w:rsidP="006819B0">
      <w:pPr>
        <w:numPr>
          <w:ilvl w:val="0"/>
          <w:numId w:val="18"/>
        </w:numPr>
        <w:jc w:val="both"/>
      </w:pPr>
      <w:r w:rsidRPr="006819B0">
        <w:t>Introducing a provision in RR Appendix 30A that allows an Administration to request the exclusion of its national territory from the service area of satellite networks of other Administrations.</w:t>
      </w:r>
    </w:p>
    <w:p w14:paraId="2B5F4924" w14:textId="77777777" w:rsidR="006819B0" w:rsidRPr="006819B0" w:rsidRDefault="006819B0" w:rsidP="006819B0">
      <w:pPr>
        <w:numPr>
          <w:ilvl w:val="0"/>
          <w:numId w:val="18"/>
        </w:numPr>
        <w:jc w:val="both"/>
      </w:pPr>
      <w:r w:rsidRPr="006819B0">
        <w:t>Adding a footnote to that new provision and § 6.16 of Article 6 of Appendix 30B to request a notifying administration of a satellite network having high receiving sensitivity (relative satellite antenna gain of at least -20 dB) over territory of other Administration to accept uplink interference emanating from the territory of other Administration if so requested.</w:t>
      </w:r>
    </w:p>
    <w:p w14:paraId="0185AA72" w14:textId="77777777" w:rsidR="006819B0" w:rsidRPr="006819B0" w:rsidRDefault="006819B0" w:rsidP="006819B0">
      <w:pPr>
        <w:numPr>
          <w:ilvl w:val="0"/>
          <w:numId w:val="1"/>
        </w:numPr>
        <w:jc w:val="both"/>
        <w:rPr>
          <w:lang w:val="en-NZ"/>
        </w:rPr>
      </w:pPr>
      <w:r w:rsidRPr="006819B0">
        <w:t>Mandate WG4B to prepare the common African contribution proposing CPM text of the Topic to the next Working Party 4A.</w:t>
      </w:r>
    </w:p>
    <w:p w14:paraId="7FE88C03" w14:textId="77777777" w:rsidR="006819B0" w:rsidRPr="006819B0" w:rsidRDefault="006819B0" w:rsidP="006819B0">
      <w:pPr>
        <w:jc w:val="both"/>
        <w:rPr>
          <w:lang w:val="en-NZ"/>
        </w:rPr>
      </w:pPr>
    </w:p>
    <w:p w14:paraId="17503C90" w14:textId="77777777" w:rsidR="006819B0" w:rsidRPr="006819B0" w:rsidRDefault="006819B0" w:rsidP="006819B0">
      <w:pPr>
        <w:keepNext/>
        <w:keepLines/>
        <w:numPr>
          <w:ilvl w:val="2"/>
          <w:numId w:val="21"/>
        </w:numPr>
        <w:spacing w:after="120"/>
        <w:outlineLvl w:val="3"/>
        <w:rPr>
          <w:rFonts w:eastAsiaTheme="majorEastAsia"/>
          <w:b/>
          <w:bCs/>
          <w:iCs/>
        </w:rPr>
      </w:pPr>
      <w:r w:rsidRPr="006819B0">
        <w:rPr>
          <w:rFonts w:eastAsiaTheme="majorEastAsia"/>
          <w:b/>
          <w:bCs/>
          <w:iCs/>
        </w:rPr>
        <w:lastRenderedPageBreak/>
        <w:t xml:space="preserve">CEPT </w:t>
      </w:r>
      <w:r w:rsidRPr="006819B0">
        <w:rPr>
          <w:rFonts w:eastAsiaTheme="majorEastAsia"/>
          <w:b/>
          <w:bCs/>
          <w:iCs/>
          <w:lang w:val="en-NZ" w:eastAsia="ko-KR"/>
        </w:rPr>
        <w:t>– Document APG23-6/INF 46</w:t>
      </w:r>
    </w:p>
    <w:p w14:paraId="7C302DDC" w14:textId="77777777" w:rsidR="006819B0" w:rsidRPr="006819B0" w:rsidRDefault="006819B0" w:rsidP="006819B0">
      <w:pPr>
        <w:numPr>
          <w:ilvl w:val="0"/>
          <w:numId w:val="1"/>
        </w:numPr>
        <w:jc w:val="both"/>
        <w:rPr>
          <w:szCs w:val="28"/>
        </w:rPr>
      </w:pPr>
      <w:r w:rsidRPr="006819B0">
        <w:rPr>
          <w:lang w:val="en-GB"/>
        </w:rPr>
        <w:t>Considering high level of completed coordination in Resolution 559 (WRC-19) between</w:t>
      </w:r>
      <w:r w:rsidRPr="006819B0">
        <w:rPr>
          <w:szCs w:val="28"/>
        </w:rPr>
        <w:t xml:space="preserve"> administrations, CEPT supports bilateral coordination solutions or national licensing conditions to address potential encountered problems on a case-by-case basis.</w:t>
      </w:r>
    </w:p>
    <w:p w14:paraId="5F5C510C" w14:textId="77777777" w:rsidR="006819B0" w:rsidRPr="006819B0" w:rsidRDefault="006819B0" w:rsidP="006819B0">
      <w:pPr>
        <w:numPr>
          <w:ilvl w:val="0"/>
          <w:numId w:val="1"/>
        </w:numPr>
        <w:jc w:val="both"/>
        <w:rPr>
          <w:szCs w:val="28"/>
        </w:rPr>
      </w:pPr>
      <w:r w:rsidRPr="006819B0">
        <w:rPr>
          <w:szCs w:val="28"/>
        </w:rPr>
        <w:t>CEPT considers that the current regulatory provisions are adequate to address this Topic and supports No Changes to the Radio Regulations.</w:t>
      </w:r>
    </w:p>
    <w:p w14:paraId="739E2A93" w14:textId="77777777" w:rsidR="006819B0" w:rsidRPr="006819B0" w:rsidRDefault="006819B0" w:rsidP="006819B0">
      <w:pPr>
        <w:numPr>
          <w:ilvl w:val="0"/>
          <w:numId w:val="1"/>
        </w:numPr>
        <w:jc w:val="both"/>
        <w:rPr>
          <w:szCs w:val="28"/>
        </w:rPr>
      </w:pPr>
      <w:r w:rsidRPr="006819B0">
        <w:rPr>
          <w:szCs w:val="28"/>
        </w:rPr>
        <w:t>CEPT notes that, as an example, aligning the coverage area with the service area is not always technically feasible.</w:t>
      </w:r>
    </w:p>
    <w:p w14:paraId="15D434DA" w14:textId="77777777" w:rsidR="006819B0" w:rsidRPr="006819B0" w:rsidRDefault="006819B0" w:rsidP="006819B0">
      <w:pPr>
        <w:numPr>
          <w:ilvl w:val="0"/>
          <w:numId w:val="1"/>
        </w:numPr>
        <w:jc w:val="both"/>
        <w:rPr>
          <w:szCs w:val="28"/>
        </w:rPr>
      </w:pPr>
      <w:r w:rsidRPr="006819B0">
        <w:rPr>
          <w:szCs w:val="28"/>
        </w:rPr>
        <w:t>CEPT encourages administrations involved in Resolution 559 (WRC-19) coordinations to make utmost efforts to communicate with requesting administrations and to timely reply in order to complete coordination.</w:t>
      </w:r>
    </w:p>
    <w:p w14:paraId="08FC54F5" w14:textId="77777777" w:rsidR="006819B0" w:rsidRPr="006819B0" w:rsidRDefault="006819B0" w:rsidP="006819B0">
      <w:pPr>
        <w:jc w:val="both"/>
        <w:rPr>
          <w:lang w:val="en-GB"/>
        </w:rPr>
      </w:pPr>
    </w:p>
    <w:p w14:paraId="5353F29A"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7.1.4</w:t>
      </w:r>
      <w:r w:rsidRPr="006819B0">
        <w:rPr>
          <w:rFonts w:eastAsiaTheme="majorEastAsia"/>
          <w:b/>
          <w:bCs/>
          <w:iCs/>
        </w:rPr>
        <w:tab/>
        <w:t>CITEL – Document APG23-6/INF-52</w:t>
      </w:r>
    </w:p>
    <w:p w14:paraId="568ECF3E" w14:textId="77777777" w:rsidR="006819B0" w:rsidRPr="006819B0" w:rsidRDefault="006819B0" w:rsidP="006819B0">
      <w:pPr>
        <w:autoSpaceDE w:val="0"/>
        <w:autoSpaceDN w:val="0"/>
        <w:adjustRightInd w:val="0"/>
        <w:rPr>
          <w:rFonts w:eastAsia="Batang"/>
          <w:b/>
          <w:bCs/>
          <w:lang w:val="en-GB"/>
        </w:rPr>
      </w:pPr>
      <w:r w:rsidRPr="006819B0">
        <w:rPr>
          <w:rFonts w:eastAsia="Batang"/>
          <w:b/>
          <w:bCs/>
          <w:lang w:val="en-GB"/>
        </w:rPr>
        <w:t>Preliminary Proposals (PP)</w:t>
      </w:r>
    </w:p>
    <w:p w14:paraId="3FB15A6F" w14:textId="77777777" w:rsidR="006819B0" w:rsidRPr="006819B0" w:rsidRDefault="006819B0" w:rsidP="006819B0">
      <w:pPr>
        <w:numPr>
          <w:ilvl w:val="0"/>
          <w:numId w:val="16"/>
        </w:numPr>
        <w:jc w:val="both"/>
        <w:rPr>
          <w:rFonts w:eastAsia="Batang"/>
          <w:lang w:val="en-GB"/>
        </w:rPr>
      </w:pPr>
      <w:r w:rsidRPr="006819B0">
        <w:rPr>
          <w:rFonts w:eastAsia="Batang"/>
          <w:lang w:val="en-GB"/>
        </w:rPr>
        <w:t>An Administration supports no change to the provisions of Appendix 30B based on Method F1 of the CPM report for Topic F.</w:t>
      </w:r>
    </w:p>
    <w:p w14:paraId="11E73728" w14:textId="77777777" w:rsidR="006819B0" w:rsidRPr="006819B0" w:rsidRDefault="006819B0" w:rsidP="006819B0">
      <w:pPr>
        <w:numPr>
          <w:ilvl w:val="0"/>
          <w:numId w:val="16"/>
        </w:numPr>
        <w:jc w:val="both"/>
        <w:rPr>
          <w:rFonts w:eastAsia="Batang"/>
          <w:lang w:val="en-GB"/>
        </w:rPr>
      </w:pPr>
      <w:r w:rsidRPr="006819B0">
        <w:rPr>
          <w:rFonts w:eastAsia="Batang"/>
          <w:lang w:val="en-GB"/>
        </w:rPr>
        <w:t>Another Administration supports:</w:t>
      </w:r>
    </w:p>
    <w:p w14:paraId="6E3BC368" w14:textId="77777777" w:rsidR="006819B0" w:rsidRPr="006819B0" w:rsidRDefault="006819B0" w:rsidP="006819B0">
      <w:pPr>
        <w:numPr>
          <w:ilvl w:val="1"/>
          <w:numId w:val="22"/>
        </w:numPr>
        <w:autoSpaceDE w:val="0"/>
        <w:autoSpaceDN w:val="0"/>
        <w:adjustRightInd w:val="0"/>
        <w:rPr>
          <w:rFonts w:eastAsia="Batang"/>
          <w:lang w:val="en-GB"/>
        </w:rPr>
      </w:pPr>
      <w:r w:rsidRPr="006819B0">
        <w:rPr>
          <w:rFonts w:eastAsia="Batang"/>
          <w:lang w:val="en-GB"/>
        </w:rPr>
        <w:t>The addition of a new provision in Article 4 of RR Appendix 30A to allow an Administration to request the exclusion of its territory from the feeder-link service area of a satellite network of other Administrations;</w:t>
      </w:r>
    </w:p>
    <w:p w14:paraId="05C470BC" w14:textId="77777777" w:rsidR="006819B0" w:rsidRPr="006819B0" w:rsidRDefault="006819B0" w:rsidP="006819B0">
      <w:pPr>
        <w:numPr>
          <w:ilvl w:val="1"/>
          <w:numId w:val="22"/>
        </w:numPr>
        <w:autoSpaceDE w:val="0"/>
        <w:autoSpaceDN w:val="0"/>
        <w:adjustRightInd w:val="0"/>
        <w:rPr>
          <w:rFonts w:eastAsia="Batang"/>
          <w:lang w:val="en-GB"/>
        </w:rPr>
      </w:pPr>
      <w:r w:rsidRPr="006819B0">
        <w:rPr>
          <w:rFonts w:eastAsia="Batang"/>
          <w:lang w:val="en-GB"/>
        </w:rPr>
        <w:t>The addition of a new footnote in Article 4 of RR Appendix 30A and the revision of an existing footnote in Article 6 of RR Appendix 30B to allow the relocation of test points from the excluded territory to a new location within the remaining part of the feeder-link service area, and</w:t>
      </w:r>
    </w:p>
    <w:p w14:paraId="5C258AD3" w14:textId="77777777" w:rsidR="006819B0" w:rsidRPr="006819B0" w:rsidRDefault="006819B0" w:rsidP="006819B0">
      <w:pPr>
        <w:numPr>
          <w:ilvl w:val="1"/>
          <w:numId w:val="22"/>
        </w:numPr>
        <w:autoSpaceDE w:val="0"/>
        <w:autoSpaceDN w:val="0"/>
        <w:adjustRightInd w:val="0"/>
        <w:rPr>
          <w:rFonts w:eastAsia="Batang"/>
          <w:lang w:val="en-GB"/>
        </w:rPr>
      </w:pPr>
      <w:r w:rsidRPr="006819B0">
        <w:rPr>
          <w:rFonts w:eastAsia="Batang"/>
          <w:lang w:val="en-GB"/>
        </w:rPr>
        <w:t>The addition of new provisions in Article 4 of RR Appendix 30A and Article 6 of Appendix 30B to request a notifying administration of a satellite network having relative satellite antenna gain equal to or less than -20 dB over territory of other Administration to accept uplink interference emanating from the territory of other Administration if so requested.</w:t>
      </w:r>
    </w:p>
    <w:p w14:paraId="274BB924" w14:textId="77777777" w:rsidR="006819B0" w:rsidRPr="006819B0" w:rsidRDefault="006819B0" w:rsidP="006819B0">
      <w:pPr>
        <w:jc w:val="both"/>
      </w:pPr>
    </w:p>
    <w:p w14:paraId="1F0A508E"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7.1.5</w:t>
      </w:r>
      <w:r w:rsidRPr="006819B0">
        <w:rPr>
          <w:rFonts w:eastAsiaTheme="majorEastAsia"/>
          <w:b/>
          <w:bCs/>
          <w:iCs/>
        </w:rPr>
        <w:tab/>
        <w:t>RCC – Document APG23-6/INF-45</w:t>
      </w:r>
    </w:p>
    <w:p w14:paraId="69C10D15" w14:textId="77777777" w:rsidR="006819B0" w:rsidRPr="006819B0" w:rsidRDefault="006819B0" w:rsidP="006819B0">
      <w:pPr>
        <w:numPr>
          <w:ilvl w:val="0"/>
          <w:numId w:val="16"/>
        </w:numPr>
        <w:jc w:val="both"/>
      </w:pPr>
      <w:r w:rsidRPr="006819B0">
        <w:t>Support further ITU-R studies on the impact of excluding feeder-link/up-link service and coverage areas in the bands subject to the RR Appendices 30A and 30B. No specific Method</w:t>
      </w:r>
    </w:p>
    <w:p w14:paraId="2E1FD2FE" w14:textId="77777777" w:rsidR="006819B0" w:rsidRPr="006819B0" w:rsidRDefault="006819B0" w:rsidP="006819B0">
      <w:pPr>
        <w:rPr>
          <w:lang w:val="en-NZ" w:eastAsia="ko-KR"/>
        </w:rPr>
      </w:pPr>
    </w:p>
    <w:p w14:paraId="15EE377D" w14:textId="77777777" w:rsidR="006819B0" w:rsidRPr="006819B0" w:rsidRDefault="006819B0" w:rsidP="006819B0">
      <w:pPr>
        <w:spacing w:after="60" w:line="276" w:lineRule="auto"/>
        <w:outlineLvl w:val="2"/>
        <w:rPr>
          <w:bCs/>
          <w:lang w:val="en-NZ" w:eastAsia="ko-KR"/>
        </w:rPr>
      </w:pPr>
      <w:r w:rsidRPr="006819B0">
        <w:rPr>
          <w:b/>
          <w:bCs/>
          <w:lang w:val="en-NZ" w:eastAsia="ko-KR"/>
        </w:rPr>
        <w:t xml:space="preserve">7.2 </w:t>
      </w:r>
      <w:r w:rsidRPr="006819B0">
        <w:rPr>
          <w:b/>
          <w:bCs/>
          <w:lang w:val="en-NZ" w:eastAsia="ko-KR"/>
        </w:rPr>
        <w:tab/>
        <w:t>International Organisations</w:t>
      </w:r>
    </w:p>
    <w:p w14:paraId="6ED36863" w14:textId="77777777" w:rsidR="006819B0" w:rsidRPr="006819B0" w:rsidRDefault="006819B0" w:rsidP="006819B0">
      <w:pPr>
        <w:keepNext/>
        <w:keepLines/>
        <w:spacing w:after="120"/>
        <w:outlineLvl w:val="3"/>
        <w:rPr>
          <w:rFonts w:eastAsiaTheme="majorEastAsia"/>
          <w:b/>
          <w:bCs/>
          <w:iCs/>
        </w:rPr>
      </w:pPr>
    </w:p>
    <w:p w14:paraId="3F587DB9"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7.2.1</w:t>
      </w:r>
      <w:r w:rsidRPr="006819B0">
        <w:rPr>
          <w:rFonts w:eastAsiaTheme="majorEastAsia"/>
          <w:b/>
          <w:bCs/>
          <w:iCs/>
        </w:rPr>
        <w:tab/>
        <w:t xml:space="preserve">IARU R3 </w:t>
      </w:r>
    </w:p>
    <w:p w14:paraId="40DC0171" w14:textId="77777777" w:rsidR="006819B0" w:rsidRPr="006819B0" w:rsidRDefault="006819B0" w:rsidP="006819B0">
      <w:pPr>
        <w:numPr>
          <w:ilvl w:val="0"/>
          <w:numId w:val="1"/>
        </w:numPr>
      </w:pPr>
      <w:r w:rsidRPr="006819B0">
        <w:t>None.</w:t>
      </w:r>
    </w:p>
    <w:p w14:paraId="533020B8" w14:textId="77777777" w:rsidR="006819B0" w:rsidRPr="006819B0" w:rsidRDefault="006819B0" w:rsidP="006819B0">
      <w:pPr>
        <w:ind w:left="720"/>
      </w:pPr>
    </w:p>
    <w:p w14:paraId="7864166C"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7.2.2</w:t>
      </w:r>
      <w:r w:rsidRPr="006819B0">
        <w:rPr>
          <w:rFonts w:eastAsiaTheme="majorEastAsia"/>
          <w:b/>
          <w:bCs/>
          <w:iCs/>
        </w:rPr>
        <w:tab/>
        <w:t>ICAO</w:t>
      </w:r>
    </w:p>
    <w:p w14:paraId="32BD166F" w14:textId="77777777" w:rsidR="006819B0" w:rsidRPr="006819B0" w:rsidRDefault="006819B0" w:rsidP="006819B0">
      <w:pPr>
        <w:numPr>
          <w:ilvl w:val="0"/>
          <w:numId w:val="1"/>
        </w:numPr>
      </w:pPr>
      <w:r w:rsidRPr="006819B0">
        <w:t>None.</w:t>
      </w:r>
    </w:p>
    <w:p w14:paraId="1B127B11" w14:textId="77777777" w:rsidR="006819B0" w:rsidRPr="006819B0" w:rsidRDefault="006819B0" w:rsidP="006819B0">
      <w:pPr>
        <w:widowControl w:val="0"/>
        <w:wordWrap w:val="0"/>
        <w:autoSpaceDE w:val="0"/>
        <w:autoSpaceDN w:val="0"/>
        <w:ind w:left="360"/>
        <w:jc w:val="both"/>
      </w:pPr>
    </w:p>
    <w:p w14:paraId="2F07ED61"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7.2.3</w:t>
      </w:r>
      <w:r w:rsidRPr="006819B0">
        <w:rPr>
          <w:rFonts w:eastAsiaTheme="majorEastAsia"/>
          <w:b/>
          <w:bCs/>
          <w:iCs/>
        </w:rPr>
        <w:tab/>
        <w:t xml:space="preserve">IMO </w:t>
      </w:r>
    </w:p>
    <w:p w14:paraId="5E2A7089" w14:textId="77777777" w:rsidR="006819B0" w:rsidRPr="006819B0" w:rsidRDefault="006819B0" w:rsidP="006819B0">
      <w:pPr>
        <w:numPr>
          <w:ilvl w:val="0"/>
          <w:numId w:val="1"/>
        </w:numPr>
      </w:pPr>
      <w:r w:rsidRPr="006819B0">
        <w:t>No</w:t>
      </w:r>
      <w:r w:rsidRPr="006819B0">
        <w:rPr>
          <w:lang w:val="en-NZ"/>
        </w:rPr>
        <w:t>ne</w:t>
      </w:r>
      <w:r w:rsidRPr="006819B0">
        <w:t xml:space="preserve">. </w:t>
      </w:r>
    </w:p>
    <w:p w14:paraId="1D2C30DB" w14:textId="77777777" w:rsidR="006819B0" w:rsidRPr="006819B0" w:rsidRDefault="006819B0" w:rsidP="006819B0">
      <w:pPr>
        <w:widowControl w:val="0"/>
        <w:wordWrap w:val="0"/>
        <w:autoSpaceDE w:val="0"/>
        <w:autoSpaceDN w:val="0"/>
        <w:ind w:left="360"/>
        <w:jc w:val="both"/>
      </w:pPr>
    </w:p>
    <w:p w14:paraId="435B096A" w14:textId="77777777" w:rsidR="006819B0" w:rsidRPr="006819B0" w:rsidRDefault="006819B0" w:rsidP="006819B0">
      <w:pPr>
        <w:keepNext/>
        <w:keepLines/>
        <w:spacing w:after="120"/>
        <w:outlineLvl w:val="3"/>
        <w:rPr>
          <w:rFonts w:eastAsiaTheme="majorEastAsia"/>
          <w:b/>
          <w:bCs/>
          <w:iCs/>
        </w:rPr>
      </w:pPr>
      <w:r w:rsidRPr="006819B0">
        <w:rPr>
          <w:rFonts w:eastAsiaTheme="majorEastAsia"/>
          <w:b/>
          <w:bCs/>
          <w:iCs/>
        </w:rPr>
        <w:t>7.2.4</w:t>
      </w:r>
      <w:r w:rsidRPr="006819B0">
        <w:rPr>
          <w:rFonts w:eastAsiaTheme="majorEastAsia"/>
          <w:b/>
          <w:bCs/>
          <w:iCs/>
        </w:rPr>
        <w:tab/>
        <w:t xml:space="preserve">WMO </w:t>
      </w:r>
    </w:p>
    <w:p w14:paraId="168508C5" w14:textId="77777777" w:rsidR="006819B0" w:rsidRPr="006819B0" w:rsidRDefault="006819B0" w:rsidP="006819B0">
      <w:pPr>
        <w:numPr>
          <w:ilvl w:val="0"/>
          <w:numId w:val="1"/>
        </w:numPr>
      </w:pPr>
      <w:r w:rsidRPr="006819B0">
        <w:t>None.</w:t>
      </w:r>
    </w:p>
    <w:p w14:paraId="0DC86EF9" w14:textId="77777777" w:rsidR="00CC26BE" w:rsidRPr="00CC26BE" w:rsidRDefault="00CC26BE" w:rsidP="00CC26BE">
      <w:pPr>
        <w:rPr>
          <w:lang w:val="en-NZ" w:eastAsia="ko-KR"/>
        </w:rPr>
      </w:pPr>
    </w:p>
    <w:p w14:paraId="5D55FD9A" w14:textId="77777777" w:rsidR="00CC26BE" w:rsidRPr="00CC26BE" w:rsidRDefault="00CC26BE" w:rsidP="00CC26BE">
      <w:pPr>
        <w:spacing w:before="480" w:after="240"/>
        <w:jc w:val="center"/>
        <w:rPr>
          <w:caps/>
          <w:color w:val="BFBFBF" w:themeColor="background1" w:themeShade="BF"/>
        </w:rPr>
      </w:pPr>
      <w:r w:rsidRPr="00CC26BE">
        <w:rPr>
          <w:caps/>
          <w:color w:val="BFBFBF" w:themeColor="background1" w:themeShade="BF"/>
        </w:rPr>
        <w:t>---------------------------</w:t>
      </w:r>
    </w:p>
    <w:sectPr w:rsidR="00CC26BE" w:rsidRPr="00CC26BE" w:rsidSect="00FF72BB">
      <w:headerReference w:type="default" r:id="rId27"/>
      <w:footerReference w:type="even" r:id="rId28"/>
      <w:footerReference w:type="default" r:id="rId29"/>
      <w:footerReference w:type="first" r:id="rId3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CE27" w14:textId="77777777" w:rsidR="006959F2" w:rsidRDefault="006959F2">
      <w:r>
        <w:separator/>
      </w:r>
    </w:p>
    <w:p w14:paraId="3E4656A1" w14:textId="77777777" w:rsidR="006959F2" w:rsidRDefault="006959F2"/>
    <w:p w14:paraId="2B763BA0" w14:textId="77777777" w:rsidR="006959F2" w:rsidRDefault="006959F2" w:rsidP="007A47CA"/>
  </w:endnote>
  <w:endnote w:type="continuationSeparator" w:id="0">
    <w:p w14:paraId="5C02FE04" w14:textId="77777777" w:rsidR="006959F2" w:rsidRDefault="006959F2">
      <w:r>
        <w:continuationSeparator/>
      </w:r>
    </w:p>
    <w:p w14:paraId="79D7BE3C" w14:textId="77777777" w:rsidR="006959F2" w:rsidRDefault="006959F2"/>
    <w:p w14:paraId="64A9FB61" w14:textId="77777777" w:rsidR="006959F2" w:rsidRDefault="006959F2"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Arial Unicode MS"/>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2854D39D" w:rsidR="001700D1" w:rsidRDefault="001700D1" w:rsidP="00C02622">
    <w:pPr>
      <w:pStyle w:val="Footer"/>
      <w:spacing w:before="240"/>
    </w:pPr>
    <w:r>
      <w:t>APG23-</w:t>
    </w:r>
    <w:r w:rsidR="00ED4232">
      <w:t>6</w:t>
    </w:r>
    <w:r>
      <w:t>/</w:t>
    </w:r>
    <w:r w:rsidR="006F563B">
      <w:t>OUT-46</w:t>
    </w:r>
    <w:r>
      <w:tab/>
    </w:r>
    <w:r>
      <w:tab/>
      <w:t xml:space="preserve">Page </w:t>
    </w:r>
    <w:r>
      <w:rPr>
        <w:b/>
        <w:bCs/>
      </w:rPr>
      <w:fldChar w:fldCharType="begin"/>
    </w:r>
    <w:r>
      <w:rPr>
        <w:b/>
        <w:bCs/>
      </w:rPr>
      <w:instrText xml:space="preserve"> PAGE  \* Arabic  \* MERGEFORMAT </w:instrText>
    </w:r>
    <w:r>
      <w:rPr>
        <w:b/>
        <w:bCs/>
      </w:rPr>
      <w:fldChar w:fldCharType="separate"/>
    </w:r>
    <w:r w:rsidR="006556E8">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556E8">
      <w:rPr>
        <w:b/>
        <w:bCs/>
        <w:noProof/>
      </w:rPr>
      <w:t>8</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00705604" w:rsidR="003A0FC0" w:rsidRPr="00522675" w:rsidRDefault="003A0FC0" w:rsidP="003A0FC0">
          <w:pPr>
            <w:pStyle w:val="Equation"/>
            <w:tabs>
              <w:tab w:val="clear" w:pos="794"/>
              <w:tab w:val="clear" w:pos="4820"/>
              <w:tab w:val="clear" w:pos="9639"/>
            </w:tabs>
            <w:spacing w:beforeLines="0"/>
            <w:rPr>
              <w:rFonts w:eastAsia="Batang"/>
            </w:rPr>
          </w:pPr>
          <w:r w:rsidRPr="00522675">
            <w:rPr>
              <w:rFonts w:eastAsia="Batang"/>
            </w:rPr>
            <w:t>DG-7</w:t>
          </w:r>
          <w:r w:rsidR="00522675">
            <w:rPr>
              <w:rFonts w:eastAsia="Batang"/>
            </w:rPr>
            <w:t>A</w:t>
          </w:r>
          <w:r w:rsidRPr="00522675">
            <w:rPr>
              <w:rFonts w:eastAsia="Batang"/>
            </w:rPr>
            <w:t xml:space="preserve">: for Topics </w:t>
          </w:r>
          <w:r w:rsidR="00522675" w:rsidRPr="00522675">
            <w:rPr>
              <w:rFonts w:eastAsia="Batang"/>
            </w:rPr>
            <w:t>A,</w:t>
          </w:r>
          <w:r w:rsidR="00522675">
            <w:rPr>
              <w:rFonts w:eastAsia="Batang"/>
            </w:rPr>
            <w:t xml:space="preserve"> </w:t>
          </w:r>
          <w:r w:rsidR="00522675" w:rsidRPr="00522675">
            <w:rPr>
              <w:rFonts w:eastAsia="Batang"/>
            </w:rPr>
            <w:t>B,</w:t>
          </w:r>
          <w:r w:rsidR="00522675">
            <w:rPr>
              <w:rFonts w:eastAsia="Batang"/>
            </w:rPr>
            <w:t xml:space="preserve"> </w:t>
          </w:r>
          <w:r w:rsidR="00522675" w:rsidRPr="00522675">
            <w:rPr>
              <w:rFonts w:eastAsia="Batang"/>
            </w:rPr>
            <w:t>F,</w:t>
          </w:r>
          <w:r w:rsidR="00522675">
            <w:rPr>
              <w:rFonts w:eastAsia="Batang"/>
            </w:rPr>
            <w:t xml:space="preserve"> </w:t>
          </w:r>
          <w:r w:rsidR="00522675" w:rsidRPr="00522675">
            <w:rPr>
              <w:rFonts w:eastAsia="Batang"/>
            </w:rPr>
            <w:t>G</w:t>
          </w:r>
          <w:r w:rsidR="00522675">
            <w:rPr>
              <w:rFonts w:eastAsia="Batang"/>
            </w:rPr>
            <w:t xml:space="preserve"> &amp; </w:t>
          </w:r>
          <w:r w:rsidR="00522675" w:rsidRPr="00522675">
            <w:rPr>
              <w:rFonts w:eastAsia="Batang"/>
            </w:rPr>
            <w:t>H</w:t>
          </w:r>
          <w:r w:rsidRPr="00522675">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663465AE" w:rsidR="003A0FC0" w:rsidRDefault="00522675" w:rsidP="003A0FC0">
          <w:pPr>
            <w:pStyle w:val="Equation"/>
            <w:tabs>
              <w:tab w:val="clear" w:pos="794"/>
              <w:tab w:val="clear" w:pos="4820"/>
              <w:tab w:val="clear" w:pos="9639"/>
            </w:tabs>
            <w:spacing w:beforeLines="0"/>
            <w:rPr>
              <w:rFonts w:eastAsia="Batang"/>
            </w:rPr>
          </w:pPr>
          <w:r>
            <w:rPr>
              <w:rFonts w:eastAsia="Batang"/>
            </w:rPr>
            <w:t>Ting Ling</w:t>
          </w:r>
          <w:r w:rsidR="00A16C49">
            <w:rPr>
              <w:rFonts w:eastAsia="Batang"/>
            </w:rPr>
            <w:t xml:space="preserve"> Lee</w:t>
          </w:r>
          <w:r w:rsidR="003A0FC0">
            <w:rPr>
              <w:rFonts w:eastAsia="Batang"/>
              <w:i/>
              <w:iCs/>
            </w:rPr>
            <w:t xml:space="preserve"> </w:t>
          </w:r>
        </w:p>
        <w:p w14:paraId="3D8230DF" w14:textId="6E0689A1" w:rsidR="003A0FC0" w:rsidRDefault="00522675" w:rsidP="003A0FC0">
          <w:pPr>
            <w:pStyle w:val="Equation"/>
            <w:tabs>
              <w:tab w:val="clear" w:pos="794"/>
              <w:tab w:val="clear" w:pos="4820"/>
              <w:tab w:val="clear" w:pos="9639"/>
            </w:tabs>
            <w:spacing w:beforeLines="0"/>
            <w:rPr>
              <w:rFonts w:eastAsia="Batang"/>
              <w:i/>
              <w:iCs/>
            </w:rPr>
          </w:pPr>
          <w:r>
            <w:rPr>
              <w:rFonts w:eastAsia="Batang"/>
            </w:rPr>
            <w:t>Singapore</w:t>
          </w:r>
        </w:p>
      </w:tc>
      <w:tc>
        <w:tcPr>
          <w:tcW w:w="3024" w:type="dxa"/>
        </w:tcPr>
        <w:p w14:paraId="4699AFC1" w14:textId="4CBE371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00522675">
            <w:rPr>
              <w:rFonts w:eastAsia="Batang"/>
              <w:b/>
              <w:bCs/>
            </w:rPr>
            <w:t>: tingling.lee@ses.com</w:t>
          </w:r>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5B483" w14:textId="77777777" w:rsidR="006959F2" w:rsidRDefault="006959F2">
      <w:r>
        <w:separator/>
      </w:r>
    </w:p>
    <w:p w14:paraId="0DFAFBFB" w14:textId="77777777" w:rsidR="006959F2" w:rsidRDefault="006959F2"/>
    <w:p w14:paraId="70A17F5B" w14:textId="77777777" w:rsidR="006959F2" w:rsidRDefault="006959F2" w:rsidP="007A47CA"/>
  </w:footnote>
  <w:footnote w:type="continuationSeparator" w:id="0">
    <w:p w14:paraId="52DEE627" w14:textId="77777777" w:rsidR="006959F2" w:rsidRDefault="006959F2">
      <w:r>
        <w:continuationSeparator/>
      </w:r>
    </w:p>
    <w:p w14:paraId="4C3040E8" w14:textId="77777777" w:rsidR="006959F2" w:rsidRDefault="006959F2"/>
    <w:p w14:paraId="7236DCD8" w14:textId="77777777" w:rsidR="006959F2" w:rsidRDefault="006959F2" w:rsidP="007A47CA"/>
  </w:footnote>
  <w:footnote w:id="1">
    <w:p w14:paraId="08AE1834" w14:textId="77777777" w:rsidR="006819B0" w:rsidRPr="00CC0EAC" w:rsidRDefault="006819B0" w:rsidP="006819B0">
      <w:pPr>
        <w:pStyle w:val="FootnoteText"/>
      </w:pPr>
      <w:r>
        <w:rPr>
          <w:rStyle w:val="FootnoteReference"/>
        </w:rPr>
        <w:t>36</w:t>
      </w:r>
      <w:r>
        <w:tab/>
      </w:r>
      <w:r w:rsidRPr="00A46500">
        <w:t>For assignments where Resolution </w:t>
      </w:r>
      <w:r w:rsidRPr="00A46500">
        <w:rPr>
          <w:b/>
          <w:bCs/>
        </w:rPr>
        <w:t>49</w:t>
      </w:r>
      <w:r w:rsidRPr="00A46500">
        <w:t xml:space="preserve"> information has been received by the Bureau, the Bureau will use the set of test points as of the time of receipt of the Resolution </w:t>
      </w:r>
      <w:r w:rsidRPr="00A46500">
        <w:rPr>
          <w:b/>
          <w:bCs/>
        </w:rPr>
        <w:t>49</w:t>
      </w:r>
      <w:r w:rsidRPr="00A46500">
        <w:t xml:space="preserve"> information.</w:t>
      </w:r>
    </w:p>
  </w:footnote>
  <w:footnote w:id="2">
    <w:p w14:paraId="19E343EE" w14:textId="77777777" w:rsidR="006819B0" w:rsidRPr="000A2A30" w:rsidRDefault="006819B0" w:rsidP="006819B0">
      <w:pPr>
        <w:pStyle w:val="FootnoteText"/>
      </w:pPr>
      <w:r w:rsidRPr="00A46500">
        <w:rPr>
          <w:rStyle w:val="FootnoteReference"/>
        </w:rPr>
        <w:t>37</w:t>
      </w:r>
      <w:r w:rsidRPr="00A46500">
        <w:tab/>
        <w:t>For assignments entered into the Regions 1 and 3 feeder-link List before [16 December 2023], the Bureau will use the coverage diagram as contained in the List.</w:t>
      </w:r>
    </w:p>
  </w:footnote>
  <w:footnote w:id="3">
    <w:p w14:paraId="3EB1CE6A" w14:textId="77777777" w:rsidR="006819B0" w:rsidRDefault="006819B0" w:rsidP="006819B0">
      <w:pPr>
        <w:pStyle w:val="FootnoteText"/>
      </w:pPr>
      <w:r>
        <w:rPr>
          <w:rStyle w:val="FootnoteReference"/>
        </w:rPr>
        <w:t>6</w:t>
      </w:r>
      <w:r>
        <w:rPr>
          <w:rStyle w:val="FootnoteReference"/>
          <w:i/>
          <w:iCs/>
        </w:rPr>
        <w:t>bis</w:t>
      </w:r>
      <w:r>
        <w:t xml:space="preserve"> The administration responsible for the assignment may request to relocate the downlink test points from the excluded territory to a new location within the remaining part of its service area.</w:t>
      </w:r>
      <w:r>
        <w:rPr>
          <w:sz w:val="16"/>
        </w:rPr>
        <w:t>     (WRC</w:t>
      </w:r>
      <w:r>
        <w:rPr>
          <w:sz w:val="16"/>
        </w:rPr>
        <w:noBreakHyphen/>
        <w:t>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D1E"/>
    <w:multiLevelType w:val="hybridMultilevel"/>
    <w:tmpl w:val="748477E4"/>
    <w:lvl w:ilvl="0" w:tplc="817A8C24">
      <w:start w:val="1"/>
      <w:numFmt w:val="bullet"/>
      <w:lvlText w:val=""/>
      <w:lvlJc w:val="left"/>
      <w:pPr>
        <w:ind w:left="1068" w:hanging="360"/>
      </w:pPr>
      <w:rPr>
        <w:rFonts w:ascii="Wingdings" w:hAnsi="Wingdings" w:hint="default"/>
        <w:color w:val="auto"/>
        <w:sz w:val="22"/>
      </w:rPr>
    </w:lvl>
    <w:lvl w:ilvl="1" w:tplc="FFFFFFFF">
      <w:start w:val="2"/>
      <w:numFmt w:val="bullet"/>
      <w:lvlText w:val="-"/>
      <w:lvlJc w:val="left"/>
      <w:pPr>
        <w:ind w:left="1508" w:hanging="400"/>
      </w:pPr>
      <w:rPr>
        <w:rFonts w:ascii="Times New Roman" w:eastAsia="GulimChe" w:hAnsi="Times New Roman" w:cs="Times New Roman" w:hint="default"/>
        <w:sz w:val="24"/>
      </w:rPr>
    </w:lvl>
    <w:lvl w:ilvl="2" w:tplc="FFFFFFFF">
      <w:start w:val="1"/>
      <w:numFmt w:val="bullet"/>
      <w:lvlText w:val=""/>
      <w:lvlJc w:val="left"/>
      <w:pPr>
        <w:ind w:left="1908" w:hanging="400"/>
      </w:pPr>
      <w:rPr>
        <w:rFonts w:ascii="Wingdings" w:hAnsi="Wingdings" w:hint="default"/>
      </w:rPr>
    </w:lvl>
    <w:lvl w:ilvl="3" w:tplc="FFFFFFFF">
      <w:start w:val="1"/>
      <w:numFmt w:val="bullet"/>
      <w:lvlText w:val="o"/>
      <w:lvlJc w:val="left"/>
      <w:pPr>
        <w:ind w:left="2308" w:hanging="400"/>
      </w:pPr>
      <w:rPr>
        <w:rFonts w:ascii="Courier New" w:hAnsi="Courier New" w:cs="Courier New" w:hint="default"/>
      </w:rPr>
    </w:lvl>
    <w:lvl w:ilvl="4" w:tplc="FFFFFFFF" w:tentative="1">
      <w:start w:val="1"/>
      <w:numFmt w:val="bullet"/>
      <w:lvlText w:val=""/>
      <w:lvlJc w:val="left"/>
      <w:pPr>
        <w:ind w:left="2708" w:hanging="400"/>
      </w:pPr>
      <w:rPr>
        <w:rFonts w:ascii="Wingdings" w:hAnsi="Wingdings" w:hint="default"/>
      </w:rPr>
    </w:lvl>
    <w:lvl w:ilvl="5" w:tplc="FFFFFFFF" w:tentative="1">
      <w:start w:val="1"/>
      <w:numFmt w:val="bullet"/>
      <w:lvlText w:val=""/>
      <w:lvlJc w:val="left"/>
      <w:pPr>
        <w:ind w:left="3108" w:hanging="400"/>
      </w:pPr>
      <w:rPr>
        <w:rFonts w:ascii="Wingdings" w:hAnsi="Wingdings" w:hint="default"/>
      </w:rPr>
    </w:lvl>
    <w:lvl w:ilvl="6" w:tplc="FFFFFFFF" w:tentative="1">
      <w:start w:val="1"/>
      <w:numFmt w:val="bullet"/>
      <w:lvlText w:val=""/>
      <w:lvlJc w:val="left"/>
      <w:pPr>
        <w:ind w:left="3508" w:hanging="400"/>
      </w:pPr>
      <w:rPr>
        <w:rFonts w:ascii="Wingdings" w:hAnsi="Wingdings" w:hint="default"/>
      </w:rPr>
    </w:lvl>
    <w:lvl w:ilvl="7" w:tplc="FFFFFFFF" w:tentative="1">
      <w:start w:val="1"/>
      <w:numFmt w:val="bullet"/>
      <w:lvlText w:val=""/>
      <w:lvlJc w:val="left"/>
      <w:pPr>
        <w:ind w:left="3908" w:hanging="400"/>
      </w:pPr>
      <w:rPr>
        <w:rFonts w:ascii="Wingdings" w:hAnsi="Wingdings" w:hint="default"/>
      </w:rPr>
    </w:lvl>
    <w:lvl w:ilvl="8" w:tplc="FFFFFFFF" w:tentative="1">
      <w:start w:val="1"/>
      <w:numFmt w:val="bullet"/>
      <w:lvlText w:val=""/>
      <w:lvlJc w:val="left"/>
      <w:pPr>
        <w:ind w:left="4308" w:hanging="400"/>
      </w:pPr>
      <w:rPr>
        <w:rFonts w:ascii="Wingdings" w:hAnsi="Wingdings" w:hint="default"/>
      </w:rPr>
    </w:lvl>
  </w:abstractNum>
  <w:abstractNum w:abstractNumId="1" w15:restartNumberingAfterBreak="0">
    <w:nsid w:val="087D4634"/>
    <w:multiLevelType w:val="hybridMultilevel"/>
    <w:tmpl w:val="3F3A26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536E78"/>
    <w:multiLevelType w:val="hybridMultilevel"/>
    <w:tmpl w:val="2F84320C"/>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28AE559B"/>
    <w:multiLevelType w:val="hybridMultilevel"/>
    <w:tmpl w:val="BE2C2BDA"/>
    <w:lvl w:ilvl="0" w:tplc="BC9E766C">
      <w:start w:val="1"/>
      <w:numFmt w:val="bullet"/>
      <w:lvlText w:val="-"/>
      <w:lvlJc w:val="left"/>
      <w:pPr>
        <w:tabs>
          <w:tab w:val="num" w:pos="720"/>
        </w:tabs>
        <w:ind w:left="720" w:hanging="360"/>
      </w:pPr>
      <w:rPr>
        <w:rFonts w:ascii="Arial" w:hAnsi="Arial" w:cs="Times New Roman" w:hint="default"/>
      </w:rPr>
    </w:lvl>
    <w:lvl w:ilvl="1" w:tplc="7B88943C">
      <w:start w:val="1"/>
      <w:numFmt w:val="bullet"/>
      <w:lvlText w:val="-"/>
      <w:lvlJc w:val="left"/>
      <w:pPr>
        <w:tabs>
          <w:tab w:val="num" w:pos="1440"/>
        </w:tabs>
        <w:ind w:left="1440" w:hanging="360"/>
      </w:pPr>
      <w:rPr>
        <w:rFonts w:ascii="Arial" w:hAnsi="Arial" w:cs="Times New Roman" w:hint="default"/>
      </w:rPr>
    </w:lvl>
    <w:lvl w:ilvl="2" w:tplc="2A26547C">
      <w:start w:val="1"/>
      <w:numFmt w:val="bullet"/>
      <w:lvlText w:val="-"/>
      <w:lvlJc w:val="left"/>
      <w:pPr>
        <w:tabs>
          <w:tab w:val="num" w:pos="2160"/>
        </w:tabs>
        <w:ind w:left="2160" w:hanging="360"/>
      </w:pPr>
      <w:rPr>
        <w:rFonts w:ascii="Arial" w:hAnsi="Arial" w:cs="Times New Roman" w:hint="default"/>
      </w:rPr>
    </w:lvl>
    <w:lvl w:ilvl="3" w:tplc="832C8CD4">
      <w:start w:val="1"/>
      <w:numFmt w:val="bullet"/>
      <w:lvlText w:val="-"/>
      <w:lvlJc w:val="left"/>
      <w:pPr>
        <w:tabs>
          <w:tab w:val="num" w:pos="2880"/>
        </w:tabs>
        <w:ind w:left="2880" w:hanging="360"/>
      </w:pPr>
      <w:rPr>
        <w:rFonts w:ascii="Arial" w:hAnsi="Arial" w:cs="Times New Roman" w:hint="default"/>
      </w:rPr>
    </w:lvl>
    <w:lvl w:ilvl="4" w:tplc="0C2099BA">
      <w:start w:val="1"/>
      <w:numFmt w:val="bullet"/>
      <w:lvlText w:val="-"/>
      <w:lvlJc w:val="left"/>
      <w:pPr>
        <w:tabs>
          <w:tab w:val="num" w:pos="3600"/>
        </w:tabs>
        <w:ind w:left="3600" w:hanging="360"/>
      </w:pPr>
      <w:rPr>
        <w:rFonts w:ascii="Arial" w:hAnsi="Arial" w:cs="Times New Roman" w:hint="default"/>
      </w:rPr>
    </w:lvl>
    <w:lvl w:ilvl="5" w:tplc="1E8079A4">
      <w:start w:val="1"/>
      <w:numFmt w:val="bullet"/>
      <w:lvlText w:val="-"/>
      <w:lvlJc w:val="left"/>
      <w:pPr>
        <w:tabs>
          <w:tab w:val="num" w:pos="4320"/>
        </w:tabs>
        <w:ind w:left="4320" w:hanging="360"/>
      </w:pPr>
      <w:rPr>
        <w:rFonts w:ascii="Arial" w:hAnsi="Arial" w:cs="Times New Roman" w:hint="default"/>
      </w:rPr>
    </w:lvl>
    <w:lvl w:ilvl="6" w:tplc="FDD0E228">
      <w:start w:val="1"/>
      <w:numFmt w:val="bullet"/>
      <w:lvlText w:val="-"/>
      <w:lvlJc w:val="left"/>
      <w:pPr>
        <w:tabs>
          <w:tab w:val="num" w:pos="5040"/>
        </w:tabs>
        <w:ind w:left="5040" w:hanging="360"/>
      </w:pPr>
      <w:rPr>
        <w:rFonts w:ascii="Arial" w:hAnsi="Arial" w:cs="Times New Roman" w:hint="default"/>
      </w:rPr>
    </w:lvl>
    <w:lvl w:ilvl="7" w:tplc="A016DC0E">
      <w:start w:val="1"/>
      <w:numFmt w:val="bullet"/>
      <w:lvlText w:val="-"/>
      <w:lvlJc w:val="left"/>
      <w:pPr>
        <w:tabs>
          <w:tab w:val="num" w:pos="5760"/>
        </w:tabs>
        <w:ind w:left="5760" w:hanging="360"/>
      </w:pPr>
      <w:rPr>
        <w:rFonts w:ascii="Arial" w:hAnsi="Arial" w:cs="Times New Roman" w:hint="default"/>
      </w:rPr>
    </w:lvl>
    <w:lvl w:ilvl="8" w:tplc="A1605B64">
      <w:start w:val="1"/>
      <w:numFmt w:val="bullet"/>
      <w:lvlText w:val="-"/>
      <w:lvlJc w:val="left"/>
      <w:pPr>
        <w:tabs>
          <w:tab w:val="num" w:pos="6480"/>
        </w:tabs>
        <w:ind w:left="6480" w:hanging="360"/>
      </w:pPr>
      <w:rPr>
        <w:rFonts w:ascii="Arial" w:hAnsi="Arial" w:cs="Times New Roman" w:hint="default"/>
      </w:rPr>
    </w:lvl>
  </w:abstractNum>
  <w:abstractNum w:abstractNumId="5" w15:restartNumberingAfterBreak="0">
    <w:nsid w:val="29350274"/>
    <w:multiLevelType w:val="hybridMultilevel"/>
    <w:tmpl w:val="72EAFF14"/>
    <w:lvl w:ilvl="0" w:tplc="4DDC73D8">
      <w:start w:val="1"/>
      <w:numFmt w:val="bullet"/>
      <w:lvlText w:val="-"/>
      <w:lvlJc w:val="left"/>
      <w:pPr>
        <w:tabs>
          <w:tab w:val="num" w:pos="720"/>
        </w:tabs>
        <w:ind w:left="720" w:hanging="360"/>
      </w:pPr>
      <w:rPr>
        <w:rFonts w:ascii="Arial" w:hAnsi="Arial" w:hint="default"/>
      </w:rPr>
    </w:lvl>
    <w:lvl w:ilvl="1" w:tplc="9662DCBE">
      <w:start w:val="1"/>
      <w:numFmt w:val="bullet"/>
      <w:lvlText w:val="-"/>
      <w:lvlJc w:val="left"/>
      <w:pPr>
        <w:tabs>
          <w:tab w:val="num" w:pos="1440"/>
        </w:tabs>
        <w:ind w:left="1440" w:hanging="360"/>
      </w:pPr>
      <w:rPr>
        <w:rFonts w:ascii="Arial" w:hAnsi="Arial" w:hint="default"/>
      </w:rPr>
    </w:lvl>
    <w:lvl w:ilvl="2" w:tplc="F8E2983C" w:tentative="1">
      <w:start w:val="1"/>
      <w:numFmt w:val="bullet"/>
      <w:lvlText w:val="-"/>
      <w:lvlJc w:val="left"/>
      <w:pPr>
        <w:tabs>
          <w:tab w:val="num" w:pos="2160"/>
        </w:tabs>
        <w:ind w:left="2160" w:hanging="360"/>
      </w:pPr>
      <w:rPr>
        <w:rFonts w:ascii="Arial" w:hAnsi="Arial" w:hint="default"/>
      </w:rPr>
    </w:lvl>
    <w:lvl w:ilvl="3" w:tplc="B0009A8A" w:tentative="1">
      <w:start w:val="1"/>
      <w:numFmt w:val="bullet"/>
      <w:lvlText w:val="-"/>
      <w:lvlJc w:val="left"/>
      <w:pPr>
        <w:tabs>
          <w:tab w:val="num" w:pos="2880"/>
        </w:tabs>
        <w:ind w:left="2880" w:hanging="360"/>
      </w:pPr>
      <w:rPr>
        <w:rFonts w:ascii="Arial" w:hAnsi="Arial" w:hint="default"/>
      </w:rPr>
    </w:lvl>
    <w:lvl w:ilvl="4" w:tplc="48B811CC" w:tentative="1">
      <w:start w:val="1"/>
      <w:numFmt w:val="bullet"/>
      <w:lvlText w:val="-"/>
      <w:lvlJc w:val="left"/>
      <w:pPr>
        <w:tabs>
          <w:tab w:val="num" w:pos="3600"/>
        </w:tabs>
        <w:ind w:left="3600" w:hanging="360"/>
      </w:pPr>
      <w:rPr>
        <w:rFonts w:ascii="Arial" w:hAnsi="Arial" w:hint="default"/>
      </w:rPr>
    </w:lvl>
    <w:lvl w:ilvl="5" w:tplc="395E32AE" w:tentative="1">
      <w:start w:val="1"/>
      <w:numFmt w:val="bullet"/>
      <w:lvlText w:val="-"/>
      <w:lvlJc w:val="left"/>
      <w:pPr>
        <w:tabs>
          <w:tab w:val="num" w:pos="4320"/>
        </w:tabs>
        <w:ind w:left="4320" w:hanging="360"/>
      </w:pPr>
      <w:rPr>
        <w:rFonts w:ascii="Arial" w:hAnsi="Arial" w:hint="default"/>
      </w:rPr>
    </w:lvl>
    <w:lvl w:ilvl="6" w:tplc="935C97F8" w:tentative="1">
      <w:start w:val="1"/>
      <w:numFmt w:val="bullet"/>
      <w:lvlText w:val="-"/>
      <w:lvlJc w:val="left"/>
      <w:pPr>
        <w:tabs>
          <w:tab w:val="num" w:pos="5040"/>
        </w:tabs>
        <w:ind w:left="5040" w:hanging="360"/>
      </w:pPr>
      <w:rPr>
        <w:rFonts w:ascii="Arial" w:hAnsi="Arial" w:hint="default"/>
      </w:rPr>
    </w:lvl>
    <w:lvl w:ilvl="7" w:tplc="7240A4AA" w:tentative="1">
      <w:start w:val="1"/>
      <w:numFmt w:val="bullet"/>
      <w:lvlText w:val="-"/>
      <w:lvlJc w:val="left"/>
      <w:pPr>
        <w:tabs>
          <w:tab w:val="num" w:pos="5760"/>
        </w:tabs>
        <w:ind w:left="5760" w:hanging="360"/>
      </w:pPr>
      <w:rPr>
        <w:rFonts w:ascii="Arial" w:hAnsi="Arial" w:hint="default"/>
      </w:rPr>
    </w:lvl>
    <w:lvl w:ilvl="8" w:tplc="958A66F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A387198"/>
    <w:multiLevelType w:val="hybridMultilevel"/>
    <w:tmpl w:val="5EB23C72"/>
    <w:lvl w:ilvl="0" w:tplc="08090005">
      <w:start w:val="1"/>
      <w:numFmt w:val="bullet"/>
      <w:lvlText w:val=""/>
      <w:lvlJc w:val="left"/>
      <w:pPr>
        <w:ind w:left="1080" w:hanging="360"/>
      </w:pPr>
      <w:rPr>
        <w:rFonts w:ascii="Wingdings" w:hAnsi="Wingdings" w:hint="default"/>
      </w:rPr>
    </w:lvl>
    <w:lvl w:ilvl="1" w:tplc="FFFFFFFF">
      <w:start w:val="1"/>
      <w:numFmt w:val="bullet"/>
      <w:lvlText w:val=""/>
      <w:lvlJc w:val="left"/>
      <w:pPr>
        <w:ind w:left="2160" w:hanging="72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4C3FA1"/>
    <w:multiLevelType w:val="hybridMultilevel"/>
    <w:tmpl w:val="9BA22E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1767E59"/>
    <w:multiLevelType w:val="hybridMultilevel"/>
    <w:tmpl w:val="E0C44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A1792C"/>
    <w:multiLevelType w:val="hybridMultilevel"/>
    <w:tmpl w:val="9AF653E8"/>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4F275DE5"/>
    <w:multiLevelType w:val="hybridMultilevel"/>
    <w:tmpl w:val="1ED2CD74"/>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64253F"/>
    <w:multiLevelType w:val="multilevel"/>
    <w:tmpl w:val="578037C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FD5D48"/>
    <w:multiLevelType w:val="hybridMultilevel"/>
    <w:tmpl w:val="361AE462"/>
    <w:lvl w:ilvl="0" w:tplc="08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800"/>
        </w:tabs>
        <w:ind w:left="1800" w:hanging="360"/>
      </w:pPr>
      <w:rPr>
        <w:rFonts w:ascii="Arial" w:hAnsi="Arial" w:cs="Times New Roman" w:hint="default"/>
      </w:rPr>
    </w:lvl>
    <w:lvl w:ilvl="2" w:tplc="FFFFFFFF">
      <w:numFmt w:val="bullet"/>
      <w:lvlText w:val="•"/>
      <w:lvlJc w:val="left"/>
      <w:pPr>
        <w:tabs>
          <w:tab w:val="num" w:pos="2520"/>
        </w:tabs>
        <w:ind w:left="2520" w:hanging="360"/>
      </w:pPr>
      <w:rPr>
        <w:rFonts w:ascii="Arial" w:hAnsi="Arial" w:cs="Times New Roman" w:hint="default"/>
      </w:rPr>
    </w:lvl>
    <w:lvl w:ilvl="3" w:tplc="FFFFFFFF">
      <w:start w:val="1"/>
      <w:numFmt w:val="bullet"/>
      <w:lvlText w:val="-"/>
      <w:lvlJc w:val="left"/>
      <w:pPr>
        <w:tabs>
          <w:tab w:val="num" w:pos="3240"/>
        </w:tabs>
        <w:ind w:left="3240" w:hanging="360"/>
      </w:pPr>
      <w:rPr>
        <w:rFonts w:ascii="Arial" w:hAnsi="Arial" w:cs="Times New Roman" w:hint="default"/>
      </w:rPr>
    </w:lvl>
    <w:lvl w:ilvl="4" w:tplc="FFFFFFFF">
      <w:start w:val="1"/>
      <w:numFmt w:val="bullet"/>
      <w:lvlText w:val="-"/>
      <w:lvlJc w:val="left"/>
      <w:pPr>
        <w:tabs>
          <w:tab w:val="num" w:pos="3960"/>
        </w:tabs>
        <w:ind w:left="3960" w:hanging="360"/>
      </w:pPr>
      <w:rPr>
        <w:rFonts w:ascii="Arial" w:hAnsi="Arial" w:cs="Times New Roman" w:hint="default"/>
      </w:rPr>
    </w:lvl>
    <w:lvl w:ilvl="5" w:tplc="FFFFFFFF">
      <w:start w:val="1"/>
      <w:numFmt w:val="bullet"/>
      <w:lvlText w:val="-"/>
      <w:lvlJc w:val="left"/>
      <w:pPr>
        <w:tabs>
          <w:tab w:val="num" w:pos="4680"/>
        </w:tabs>
        <w:ind w:left="4680" w:hanging="360"/>
      </w:pPr>
      <w:rPr>
        <w:rFonts w:ascii="Arial" w:hAnsi="Arial" w:cs="Times New Roman" w:hint="default"/>
      </w:rPr>
    </w:lvl>
    <w:lvl w:ilvl="6" w:tplc="FFFFFFFF">
      <w:start w:val="1"/>
      <w:numFmt w:val="bullet"/>
      <w:lvlText w:val="-"/>
      <w:lvlJc w:val="left"/>
      <w:pPr>
        <w:tabs>
          <w:tab w:val="num" w:pos="5400"/>
        </w:tabs>
        <w:ind w:left="5400" w:hanging="360"/>
      </w:pPr>
      <w:rPr>
        <w:rFonts w:ascii="Arial" w:hAnsi="Arial" w:cs="Times New Roman" w:hint="default"/>
      </w:rPr>
    </w:lvl>
    <w:lvl w:ilvl="7" w:tplc="FFFFFFFF">
      <w:start w:val="1"/>
      <w:numFmt w:val="bullet"/>
      <w:lvlText w:val="-"/>
      <w:lvlJc w:val="left"/>
      <w:pPr>
        <w:tabs>
          <w:tab w:val="num" w:pos="6120"/>
        </w:tabs>
        <w:ind w:left="6120" w:hanging="360"/>
      </w:pPr>
      <w:rPr>
        <w:rFonts w:ascii="Arial" w:hAnsi="Arial" w:cs="Times New Roman" w:hint="default"/>
      </w:rPr>
    </w:lvl>
    <w:lvl w:ilvl="8" w:tplc="FFFFFFFF">
      <w:start w:val="1"/>
      <w:numFmt w:val="bullet"/>
      <w:lvlText w:val="-"/>
      <w:lvlJc w:val="left"/>
      <w:pPr>
        <w:tabs>
          <w:tab w:val="num" w:pos="6840"/>
        </w:tabs>
        <w:ind w:left="6840" w:hanging="360"/>
      </w:pPr>
      <w:rPr>
        <w:rFonts w:ascii="Arial" w:hAnsi="Arial" w:cs="Times New Roman" w:hint="default"/>
      </w:rPr>
    </w:lvl>
  </w:abstractNum>
  <w:abstractNum w:abstractNumId="15" w15:restartNumberingAfterBreak="0">
    <w:nsid w:val="5C6E288F"/>
    <w:multiLevelType w:val="hybridMultilevel"/>
    <w:tmpl w:val="C27E0F64"/>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5E65113A"/>
    <w:multiLevelType w:val="hybridMultilevel"/>
    <w:tmpl w:val="0910E95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E843FB6"/>
    <w:multiLevelType w:val="hybridMultilevel"/>
    <w:tmpl w:val="076C02DE"/>
    <w:lvl w:ilvl="0" w:tplc="08090005">
      <w:start w:val="1"/>
      <w:numFmt w:val="bullet"/>
      <w:lvlText w:val=""/>
      <w:lvlJc w:val="left"/>
      <w:pPr>
        <w:ind w:left="720" w:hanging="360"/>
      </w:pPr>
      <w:rPr>
        <w:rFonts w:ascii="Wingdings" w:hAnsi="Wingdings" w:hint="default"/>
      </w:rPr>
    </w:lvl>
    <w:lvl w:ilvl="1" w:tplc="08090001">
      <w:start w:val="1"/>
      <w:numFmt w:val="bullet"/>
      <w:lvlText w:val=""/>
      <w:lvlJc w:val="left"/>
      <w:pPr>
        <w:ind w:left="108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7AA47A04">
      <w:numFmt w:val="bullet"/>
      <w:lvlText w:val="–"/>
      <w:lvlJc w:val="left"/>
      <w:pPr>
        <w:ind w:left="4370" w:hanging="1130"/>
      </w:pPr>
      <w:rPr>
        <w:rFonts w:ascii="Times New Roman" w:eastAsia="Times New Roman" w:hAnsi="Times New Roman" w:cs="Times New Roman"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C793502"/>
    <w:multiLevelType w:val="multilevel"/>
    <w:tmpl w:val="BC22FE5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CA6C74"/>
    <w:multiLevelType w:val="hybridMultilevel"/>
    <w:tmpl w:val="E7100F02"/>
    <w:lvl w:ilvl="0" w:tplc="57D643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5E81D54"/>
    <w:multiLevelType w:val="hybridMultilevel"/>
    <w:tmpl w:val="192AB470"/>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A9D398C"/>
    <w:multiLevelType w:val="multilevel"/>
    <w:tmpl w:val="FF40EA8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7649690">
    <w:abstractNumId w:val="7"/>
  </w:num>
  <w:num w:numId="2" w16cid:durableId="1729068896">
    <w:abstractNumId w:val="2"/>
  </w:num>
  <w:num w:numId="3" w16cid:durableId="976180381">
    <w:abstractNumId w:val="1"/>
  </w:num>
  <w:num w:numId="4" w16cid:durableId="2040666126">
    <w:abstractNumId w:val="19"/>
  </w:num>
  <w:num w:numId="5" w16cid:durableId="99763543">
    <w:abstractNumId w:val="11"/>
  </w:num>
  <w:num w:numId="6" w16cid:durableId="731193884">
    <w:abstractNumId w:val="10"/>
  </w:num>
  <w:num w:numId="7" w16cid:durableId="158737865">
    <w:abstractNumId w:val="9"/>
  </w:num>
  <w:num w:numId="8" w16cid:durableId="1147938249">
    <w:abstractNumId w:val="18"/>
  </w:num>
  <w:num w:numId="9" w16cid:durableId="945423432">
    <w:abstractNumId w:val="15"/>
  </w:num>
  <w:num w:numId="10" w16cid:durableId="1416434664">
    <w:abstractNumId w:val="8"/>
  </w:num>
  <w:num w:numId="11" w16cid:durableId="659776473">
    <w:abstractNumId w:val="16"/>
  </w:num>
  <w:num w:numId="12" w16cid:durableId="200022211">
    <w:abstractNumId w:val="5"/>
  </w:num>
  <w:num w:numId="13" w16cid:durableId="120540970">
    <w:abstractNumId w:val="14"/>
  </w:num>
  <w:num w:numId="14" w16cid:durableId="379204658">
    <w:abstractNumId w:val="21"/>
  </w:num>
  <w:num w:numId="15" w16cid:durableId="521284481">
    <w:abstractNumId w:val="3"/>
  </w:num>
  <w:num w:numId="16" w16cid:durableId="2127961458">
    <w:abstractNumId w:val="12"/>
  </w:num>
  <w:num w:numId="17" w16cid:durableId="132909551">
    <w:abstractNumId w:val="17"/>
  </w:num>
  <w:num w:numId="18" w16cid:durableId="671614288">
    <w:abstractNumId w:val="6"/>
  </w:num>
  <w:num w:numId="19" w16cid:durableId="433747789">
    <w:abstractNumId w:val="0"/>
  </w:num>
  <w:num w:numId="20" w16cid:durableId="1766804222">
    <w:abstractNumId w:val="4"/>
  </w:num>
  <w:num w:numId="21" w16cid:durableId="1924298257">
    <w:abstractNumId w:val="13"/>
  </w:num>
  <w:num w:numId="22" w16cid:durableId="76396381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7543"/>
    <w:rsid w:val="001804A5"/>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1D2"/>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06B0D"/>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4741"/>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3D16"/>
    <w:rsid w:val="003F6D48"/>
    <w:rsid w:val="003F7BBE"/>
    <w:rsid w:val="004008D5"/>
    <w:rsid w:val="00401EFC"/>
    <w:rsid w:val="00403CE4"/>
    <w:rsid w:val="004109AE"/>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2675"/>
    <w:rsid w:val="005263C8"/>
    <w:rsid w:val="00530E8C"/>
    <w:rsid w:val="005351E0"/>
    <w:rsid w:val="00535D22"/>
    <w:rsid w:val="005424F5"/>
    <w:rsid w:val="00542DF4"/>
    <w:rsid w:val="005442A4"/>
    <w:rsid w:val="00544715"/>
    <w:rsid w:val="0054484B"/>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9A3"/>
    <w:rsid w:val="005C5EB6"/>
    <w:rsid w:val="005D3914"/>
    <w:rsid w:val="005D3EC5"/>
    <w:rsid w:val="005D41BE"/>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56E8"/>
    <w:rsid w:val="00656876"/>
    <w:rsid w:val="0066388B"/>
    <w:rsid w:val="00664462"/>
    <w:rsid w:val="00667229"/>
    <w:rsid w:val="00675C31"/>
    <w:rsid w:val="00675DA7"/>
    <w:rsid w:val="006769C2"/>
    <w:rsid w:val="006819B0"/>
    <w:rsid w:val="00682BE5"/>
    <w:rsid w:val="00683879"/>
    <w:rsid w:val="006843DA"/>
    <w:rsid w:val="00684A8A"/>
    <w:rsid w:val="00687753"/>
    <w:rsid w:val="00690FED"/>
    <w:rsid w:val="006939A5"/>
    <w:rsid w:val="006959F2"/>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563B"/>
    <w:rsid w:val="006F7142"/>
    <w:rsid w:val="0070121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67591"/>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24044"/>
    <w:rsid w:val="00831716"/>
    <w:rsid w:val="008319BF"/>
    <w:rsid w:val="00832B66"/>
    <w:rsid w:val="008335BE"/>
    <w:rsid w:val="008337EA"/>
    <w:rsid w:val="00833966"/>
    <w:rsid w:val="008406E5"/>
    <w:rsid w:val="00842CF5"/>
    <w:rsid w:val="00843068"/>
    <w:rsid w:val="00843C3F"/>
    <w:rsid w:val="00843D73"/>
    <w:rsid w:val="00845884"/>
    <w:rsid w:val="00846256"/>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0F5C"/>
    <w:rsid w:val="0089268D"/>
    <w:rsid w:val="008926F0"/>
    <w:rsid w:val="008950FB"/>
    <w:rsid w:val="008965A9"/>
    <w:rsid w:val="00897849"/>
    <w:rsid w:val="008A423E"/>
    <w:rsid w:val="008A73CD"/>
    <w:rsid w:val="008B2F38"/>
    <w:rsid w:val="008B7656"/>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16C49"/>
    <w:rsid w:val="00A20980"/>
    <w:rsid w:val="00A25613"/>
    <w:rsid w:val="00A25713"/>
    <w:rsid w:val="00A31185"/>
    <w:rsid w:val="00A3312C"/>
    <w:rsid w:val="00A36605"/>
    <w:rsid w:val="00A40F9A"/>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5D7"/>
    <w:rsid w:val="00B3096F"/>
    <w:rsid w:val="00B30C81"/>
    <w:rsid w:val="00B34275"/>
    <w:rsid w:val="00B3474C"/>
    <w:rsid w:val="00B36DD6"/>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26BE"/>
    <w:rsid w:val="00CC47C2"/>
    <w:rsid w:val="00CC56C6"/>
    <w:rsid w:val="00CC79AC"/>
    <w:rsid w:val="00CD1E64"/>
    <w:rsid w:val="00CD517F"/>
    <w:rsid w:val="00CD5431"/>
    <w:rsid w:val="00CD60B4"/>
    <w:rsid w:val="00CE19F0"/>
    <w:rsid w:val="00CE1A61"/>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2110"/>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93D24"/>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96274"/>
    <w:rsid w:val="00EA0BBD"/>
    <w:rsid w:val="00EA2574"/>
    <w:rsid w:val="00EA406E"/>
    <w:rsid w:val="00EA6257"/>
    <w:rsid w:val="00EA6F85"/>
    <w:rsid w:val="00EA7027"/>
    <w:rsid w:val="00EB07F2"/>
    <w:rsid w:val="00EB2081"/>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048"/>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2"/>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customStyle="1" w:styleId="UnresolvedMention10">
    <w:name w:val="Unresolved Mention1"/>
    <w:basedOn w:val="DefaultParagraphFont"/>
    <w:uiPriority w:val="99"/>
    <w:semiHidden/>
    <w:unhideWhenUsed/>
    <w:rsid w:val="00CC26BE"/>
    <w:rPr>
      <w:color w:val="605E5C"/>
      <w:shd w:val="clear" w:color="auto" w:fill="E1DFDD"/>
    </w:rPr>
  </w:style>
  <w:style w:type="paragraph" w:styleId="CommentSubject">
    <w:name w:val="annotation subject"/>
    <w:basedOn w:val="CommentText"/>
    <w:next w:val="CommentText"/>
    <w:link w:val="CommentSubjectChar"/>
    <w:semiHidden/>
    <w:unhideWhenUsed/>
    <w:rsid w:val="00CC26BE"/>
    <w:pPr>
      <w:tabs>
        <w:tab w:val="clear" w:pos="1134"/>
        <w:tab w:val="clear" w:pos="1871"/>
        <w:tab w:val="clear" w:pos="2268"/>
      </w:tabs>
      <w:overflowPunct/>
      <w:autoSpaceDE/>
      <w:autoSpaceDN/>
      <w:adjustRightInd/>
      <w:spacing w:before="0"/>
      <w:jc w:val="left"/>
      <w:textAlignment w:val="auto"/>
    </w:pPr>
    <w:rPr>
      <w:rFonts w:ascii="Times New Roman" w:eastAsia="BatangChe" w:hAnsi="Times New Roman" w:cs="Times New Roman"/>
      <w:b/>
      <w:bCs/>
      <w:szCs w:val="20"/>
      <w:lang w:val="en-US"/>
    </w:rPr>
  </w:style>
  <w:style w:type="character" w:customStyle="1" w:styleId="CommentSubjectChar">
    <w:name w:val="Comment Subject Char"/>
    <w:basedOn w:val="CommentTextChar"/>
    <w:link w:val="CommentSubject"/>
    <w:semiHidden/>
    <w:rsid w:val="00CC26BE"/>
    <w:rPr>
      <w:rFonts w:ascii="Arial" w:eastAsia="BatangChe" w:hAnsi="Arial" w:cs="Arial"/>
      <w:b/>
      <w:bCs/>
      <w:szCs w:val="18"/>
      <w:lang w:val="en-GB"/>
    </w:rPr>
  </w:style>
  <w:style w:type="character" w:customStyle="1" w:styleId="UnresolvedMention2">
    <w:name w:val="Unresolved Mention2"/>
    <w:basedOn w:val="DefaultParagraphFont"/>
    <w:uiPriority w:val="99"/>
    <w:semiHidden/>
    <w:unhideWhenUsed/>
    <w:rsid w:val="00CC26BE"/>
    <w:rPr>
      <w:color w:val="605E5C"/>
      <w:shd w:val="clear" w:color="auto" w:fill="E1DFDD"/>
    </w:rPr>
  </w:style>
  <w:style w:type="character" w:customStyle="1" w:styleId="Artref">
    <w:name w:val="Art_ref"/>
    <w:basedOn w:val="DefaultParagraphFont"/>
    <w:rsid w:val="00CC26BE"/>
  </w:style>
  <w:style w:type="character" w:customStyle="1" w:styleId="TableheadChar">
    <w:name w:val="Table_head Char"/>
    <w:basedOn w:val="DefaultParagraphFont"/>
    <w:link w:val="Tablehead"/>
    <w:locked/>
    <w:rsid w:val="00CC26BE"/>
    <w:rPr>
      <w:rFonts w:ascii="Times New Roman Bold" w:eastAsia="Times New Roman" w:hAnsi="Times New Roman Bold" w:cs="Times New Roman Bold"/>
      <w:b/>
      <w:lang w:val="en-GB"/>
    </w:rPr>
  </w:style>
  <w:style w:type="paragraph" w:customStyle="1" w:styleId="Tabletitle">
    <w:name w:val="Table_title"/>
    <w:basedOn w:val="Normal"/>
    <w:next w:val="Normal"/>
    <w:rsid w:val="00CC26B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CC26BE"/>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ArtrefBold">
    <w:name w:val="Art_ref +  Bold"/>
    <w:basedOn w:val="Artref"/>
    <w:rsid w:val="00CC26BE"/>
    <w:rPr>
      <w:b/>
      <w:color w:val="auto"/>
    </w:rPr>
  </w:style>
  <w:style w:type="character" w:customStyle="1" w:styleId="UnresolvedMention3">
    <w:name w:val="Unresolved Mention3"/>
    <w:basedOn w:val="DefaultParagraphFont"/>
    <w:uiPriority w:val="99"/>
    <w:semiHidden/>
    <w:unhideWhenUsed/>
    <w:rsid w:val="00CC26BE"/>
    <w:rPr>
      <w:color w:val="605E5C"/>
      <w:shd w:val="clear" w:color="auto" w:fill="E1DFDD"/>
    </w:rPr>
  </w:style>
  <w:style w:type="character" w:customStyle="1" w:styleId="UnresolvedMention4">
    <w:name w:val="Unresolved Mention4"/>
    <w:basedOn w:val="DefaultParagraphFont"/>
    <w:uiPriority w:val="99"/>
    <w:semiHidden/>
    <w:unhideWhenUsed/>
    <w:rsid w:val="00CC26BE"/>
    <w:rPr>
      <w:color w:val="605E5C"/>
      <w:shd w:val="clear" w:color="auto" w:fill="E1DFDD"/>
    </w:rPr>
  </w:style>
  <w:style w:type="paragraph" w:customStyle="1" w:styleId="Proposal">
    <w:name w:val="Proposal"/>
    <w:basedOn w:val="Normal"/>
    <w:next w:val="Normal"/>
    <w:rsid w:val="00CC26BE"/>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CC26BE"/>
    <w:rPr>
      <w:rFonts w:ascii="Times New Roman" w:hAnsi="Times New Roman"/>
      <w:b w:val="0"/>
    </w:rPr>
  </w:style>
  <w:style w:type="character" w:styleId="LineNumber">
    <w:name w:val="line number"/>
    <w:basedOn w:val="DefaultParagraphFont"/>
    <w:semiHidden/>
    <w:unhideWhenUsed/>
    <w:rsid w:val="00CC26BE"/>
  </w:style>
  <w:style w:type="table" w:styleId="GridTable1Light">
    <w:name w:val="Grid Table 1 Light"/>
    <w:basedOn w:val="TableNormal"/>
    <w:uiPriority w:val="46"/>
    <w:rsid w:val="00CC26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6542772">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3/08/APG23-6-INP-68_Iran_WP4_Preliminary_Views_on_WRC-23_Agenda_Items.docx" TargetMode="External"/><Relationship Id="rId18" Type="http://schemas.openxmlformats.org/officeDocument/2006/relationships/hyperlink" Target="https://www.apt.int/sites/default/files/2023/08/APG23-6-INP-120_VietNam_WP4_PACP_WRC-23_Agenda_Items.docx" TargetMode="External"/><Relationship Id="rId26" Type="http://schemas.openxmlformats.org/officeDocument/2006/relationships/package" Target="embeddings/Microsoft_Word_Document.docx"/><Relationship Id="rId3" Type="http://schemas.openxmlformats.org/officeDocument/2006/relationships/styles" Target="styles.xml"/><Relationship Id="rId21" Type="http://schemas.openxmlformats.org/officeDocument/2006/relationships/hyperlink" Target="https://www.apt.int/sites/default/files/2023/08/APG23-6-INF-35_Brief_on_AI_7.docx" TargetMode="External"/><Relationship Id="rId7" Type="http://schemas.openxmlformats.org/officeDocument/2006/relationships/endnotes" Target="endnotes.xml"/><Relationship Id="rId12" Type="http://schemas.openxmlformats.org/officeDocument/2006/relationships/hyperlink" Target="https://www.apt.int/sites/default/files/2023/08/APG23-6-INP-61_Thailand_WP4_PACP_WRC-23_Agenda_Items.docx" TargetMode="External"/><Relationship Id="rId17" Type="http://schemas.openxmlformats.org/officeDocument/2006/relationships/hyperlink" Target="https://www.apt.int/sites/default/files/2023/08/APG23-6-INP-112_Malaysia_WP4_PACP_WRC-23_Agenda_Items.docx"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www.apt.int/sites/default/files/2023/08/APG23-6-INP-106_China_WP4_PACP_WRC-23_Agenda_Items.docx" TargetMode="External"/><Relationship Id="rId20" Type="http://schemas.openxmlformats.org/officeDocument/2006/relationships/hyperlink" Target="https://www.apt.int/sites/default/files/2023/08/APG23-6-INF-28_GSOA_Positions_on_WRC-23_Agenda_Items_0.doc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56_Singapore_WP4_PACP_WRC-23_Agenda_Items_0.docx" TargetMode="External"/><Relationship Id="rId24" Type="http://schemas.openxmlformats.org/officeDocument/2006/relationships/hyperlink" Target="https://www.apt.int/sites/default/files/2023/08/APG23-6-INF-52_CITEL_preparation_for_WRC-23.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3/08/APG23-6-INP-90R1_KOR_WP4_PACP_WRC-23_Agenda_Items.docx" TargetMode="External"/><Relationship Id="rId23" Type="http://schemas.openxmlformats.org/officeDocument/2006/relationships/hyperlink" Target="https://www.apt.int/sites/default/files/2023/08/APG23-6-INF-46_Status_of_CEPT_preparation_for_WRC-23_and_RA-23.pdf" TargetMode="External"/><Relationship Id="rId28" Type="http://schemas.openxmlformats.org/officeDocument/2006/relationships/footer" Target="footer1.xml"/><Relationship Id="rId10" Type="http://schemas.openxmlformats.org/officeDocument/2006/relationships/hyperlink" Target="https://www.apt.int/sites/default/files/2023/08/APG23-6-INP-39_Japan_WP4_Views_WRC-23_Agenda_Item_7.docx" TargetMode="External"/><Relationship Id="rId19" Type="http://schemas.openxmlformats.org/officeDocument/2006/relationships/hyperlink" Target="https://www.apt.int/sites/default/files/2023/08/APG23-6-INP-123_Mongolia_WP4_PACP_WRC-23_Agenda_Item_7.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dms_pub/itu-r/md/19/cpm23.2/r/R19-CPM23.2-R-0001!!MSW-E.docx" TargetMode="External"/><Relationship Id="rId14" Type="http://schemas.openxmlformats.org/officeDocument/2006/relationships/hyperlink" Target="https://www.apt.int/sites/default/files/2023/08/APG23-6-INP-83_Australia_WP4_PACP_WRC-23_Agenda_Items.docx" TargetMode="External"/><Relationship Id="rId22" Type="http://schemas.openxmlformats.org/officeDocument/2006/relationships/hyperlink" Target="https://www.apt.int/sites/default/files/2023/08/APG23-6-INF-45_Status_of_RCC_preparation_to_WRC-23.pdf" TargetMode="External"/><Relationship Id="rId27" Type="http://schemas.openxmlformats.org/officeDocument/2006/relationships/header" Target="head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3B7F2-652E-4497-BE17-C9EDAD8C242C}">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7</TotalTime>
  <Pages>8</Pages>
  <Words>2800</Words>
  <Characters>15966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8</cp:revision>
  <cp:lastPrinted>2004-07-28T02:14:00Z</cp:lastPrinted>
  <dcterms:created xsi:type="dcterms:W3CDTF">2023-08-17T23:29:00Z</dcterms:created>
  <dcterms:modified xsi:type="dcterms:W3CDTF">2023-08-18T14:49:00Z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