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4F46D1" w14:paraId="4A6B49E8" w14:textId="77777777" w:rsidTr="004F46D1">
        <w:trPr>
          <w:cantSplit/>
          <w:trHeight w:val="288"/>
        </w:trPr>
        <w:tc>
          <w:tcPr>
            <w:tcW w:w="1399" w:type="dxa"/>
            <w:vMerge w:val="restart"/>
            <w:tcBorders>
              <w:top w:val="nil"/>
              <w:left w:val="nil"/>
              <w:bottom w:val="single" w:sz="4" w:space="0" w:color="auto"/>
              <w:right w:val="nil"/>
            </w:tcBorders>
            <w:hideMark/>
          </w:tcPr>
          <w:p w14:paraId="1F0E3116" w14:textId="4EF54585" w:rsidR="004F46D1" w:rsidRDefault="004F46D1">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63D28A3D" wp14:editId="32F07CEC">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7E7DD42F" w14:textId="77777777" w:rsidR="004F46D1" w:rsidRDefault="004F46D1">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3C41FBF2" w14:textId="77777777" w:rsidR="004F46D1" w:rsidRDefault="004F46D1">
            <w:pPr>
              <w:pStyle w:val="Heading8"/>
              <w:spacing w:before="40"/>
              <w:rPr>
                <w:sz w:val="24"/>
                <w:szCs w:val="24"/>
              </w:rPr>
            </w:pPr>
            <w:r>
              <w:rPr>
                <w:sz w:val="24"/>
                <w:szCs w:val="24"/>
              </w:rPr>
              <w:t>Document No:</w:t>
            </w:r>
          </w:p>
        </w:tc>
      </w:tr>
      <w:tr w:rsidR="004F46D1" w14:paraId="7C0FD14F" w14:textId="77777777" w:rsidTr="004F46D1">
        <w:trPr>
          <w:cantSplit/>
          <w:trHeight w:val="504"/>
        </w:trPr>
        <w:tc>
          <w:tcPr>
            <w:tcW w:w="1399" w:type="dxa"/>
            <w:vMerge/>
            <w:tcBorders>
              <w:top w:val="nil"/>
              <w:left w:val="nil"/>
              <w:bottom w:val="single" w:sz="4" w:space="0" w:color="auto"/>
              <w:right w:val="nil"/>
            </w:tcBorders>
            <w:vAlign w:val="center"/>
            <w:hideMark/>
          </w:tcPr>
          <w:p w14:paraId="10FF1EB4" w14:textId="77777777" w:rsidR="004F46D1" w:rsidRDefault="004F46D1">
            <w:pPr>
              <w:rPr>
                <w:kern w:val="2"/>
                <w:lang w:eastAsia="ko-KR"/>
              </w:rPr>
            </w:pPr>
          </w:p>
        </w:tc>
        <w:tc>
          <w:tcPr>
            <w:tcW w:w="5760" w:type="dxa"/>
            <w:tcBorders>
              <w:top w:val="nil"/>
              <w:left w:val="nil"/>
              <w:bottom w:val="nil"/>
              <w:right w:val="nil"/>
            </w:tcBorders>
            <w:vAlign w:val="center"/>
            <w:hideMark/>
          </w:tcPr>
          <w:p w14:paraId="26499591" w14:textId="77777777" w:rsidR="004F46D1" w:rsidRDefault="004F46D1">
            <w:pPr>
              <w:spacing w:before="40"/>
            </w:pPr>
            <w:r>
              <w:rPr>
                <w:b/>
              </w:rPr>
              <w:t>The 3rd Meeting of the APT Conference Preparatory Group for WRC-23 (APG23-3)</w:t>
            </w:r>
          </w:p>
        </w:tc>
        <w:tc>
          <w:tcPr>
            <w:tcW w:w="2160" w:type="dxa"/>
            <w:tcBorders>
              <w:top w:val="nil"/>
              <w:left w:val="nil"/>
              <w:bottom w:val="nil"/>
              <w:right w:val="nil"/>
            </w:tcBorders>
          </w:tcPr>
          <w:p w14:paraId="6FFB9BA9" w14:textId="32243DFA" w:rsidR="004F46D1" w:rsidRDefault="004F46D1">
            <w:pPr>
              <w:spacing w:before="40"/>
              <w:rPr>
                <w:rFonts w:cs="Angsana New"/>
                <w:b/>
                <w:bCs/>
                <w:szCs w:val="30"/>
                <w:lang w:bidi="th-TH"/>
              </w:rPr>
            </w:pPr>
            <w:r>
              <w:rPr>
                <w:b/>
                <w:bCs/>
                <w:lang w:val="fr-FR"/>
              </w:rPr>
              <w:t>APG23-3/OUT-1</w:t>
            </w:r>
            <w:r>
              <w:rPr>
                <w:b/>
                <w:bCs/>
                <w:lang w:val="fr-FR"/>
              </w:rPr>
              <w:t>5</w:t>
            </w:r>
          </w:p>
          <w:p w14:paraId="228FA73F" w14:textId="77777777" w:rsidR="004F46D1" w:rsidRDefault="004F46D1">
            <w:pPr>
              <w:rPr>
                <w:b/>
                <w:bCs/>
                <w:lang w:val="en-GB"/>
              </w:rPr>
            </w:pPr>
          </w:p>
        </w:tc>
      </w:tr>
      <w:tr w:rsidR="004F46D1" w14:paraId="4420E438" w14:textId="77777777" w:rsidTr="004F46D1">
        <w:trPr>
          <w:cantSplit/>
          <w:trHeight w:val="288"/>
        </w:trPr>
        <w:tc>
          <w:tcPr>
            <w:tcW w:w="1399" w:type="dxa"/>
            <w:vMerge/>
            <w:tcBorders>
              <w:top w:val="nil"/>
              <w:left w:val="nil"/>
              <w:bottom w:val="single" w:sz="4" w:space="0" w:color="auto"/>
              <w:right w:val="nil"/>
            </w:tcBorders>
            <w:vAlign w:val="center"/>
            <w:hideMark/>
          </w:tcPr>
          <w:p w14:paraId="05DDB119" w14:textId="77777777" w:rsidR="004F46D1" w:rsidRDefault="004F46D1">
            <w:pPr>
              <w:rPr>
                <w:kern w:val="2"/>
                <w:lang w:eastAsia="ko-KR"/>
              </w:rPr>
            </w:pPr>
          </w:p>
        </w:tc>
        <w:tc>
          <w:tcPr>
            <w:tcW w:w="5760" w:type="dxa"/>
            <w:tcBorders>
              <w:top w:val="nil"/>
              <w:left w:val="nil"/>
              <w:bottom w:val="single" w:sz="4" w:space="0" w:color="auto"/>
              <w:right w:val="nil"/>
            </w:tcBorders>
            <w:vAlign w:val="bottom"/>
            <w:hideMark/>
          </w:tcPr>
          <w:p w14:paraId="24DFC70D" w14:textId="77777777" w:rsidR="004F46D1" w:rsidRDefault="004F46D1">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37E415B0" w14:textId="77777777" w:rsidR="004F46D1" w:rsidRDefault="004F46D1">
            <w:pPr>
              <w:spacing w:before="40"/>
              <w:rPr>
                <w:bCs/>
              </w:rPr>
            </w:pPr>
            <w:r>
              <w:rPr>
                <w:bCs/>
              </w:rPr>
              <w:t>13 November 2021</w:t>
            </w:r>
          </w:p>
        </w:tc>
      </w:tr>
    </w:tbl>
    <w:p w14:paraId="6B260804" w14:textId="77777777" w:rsidR="00311E8A" w:rsidRPr="007E61C6" w:rsidRDefault="00311E8A" w:rsidP="00901474">
      <w:pPr>
        <w:rPr>
          <w:lang w:val="en-NZ"/>
        </w:rPr>
      </w:pPr>
    </w:p>
    <w:p w14:paraId="55869590" w14:textId="77777777" w:rsidR="00894DA9" w:rsidRDefault="00894DA9" w:rsidP="00B64A60">
      <w:pPr>
        <w:jc w:val="center"/>
        <w:rPr>
          <w:lang w:val="en-NZ" w:eastAsia="ko-KR"/>
        </w:rPr>
      </w:pPr>
    </w:p>
    <w:p w14:paraId="2D5F2295" w14:textId="77777777" w:rsidR="00CB423E" w:rsidRPr="002A0111" w:rsidRDefault="00CB423E" w:rsidP="00CB423E">
      <w:pPr>
        <w:jc w:val="center"/>
        <w:rPr>
          <w:lang w:val="en-NZ" w:eastAsia="ko-KR"/>
        </w:rPr>
      </w:pPr>
      <w:r>
        <w:rPr>
          <w:lang w:val="en-NZ" w:eastAsia="ko-KR"/>
        </w:rPr>
        <w:t>Working Party 2</w:t>
      </w:r>
    </w:p>
    <w:p w14:paraId="1DE4BA8F" w14:textId="77777777" w:rsidR="00B64A60" w:rsidRPr="007E61C6" w:rsidRDefault="00B64A60" w:rsidP="00B64A60">
      <w:pPr>
        <w:jc w:val="center"/>
        <w:rPr>
          <w:bCs/>
          <w:caps/>
          <w:lang w:val="en-NZ"/>
        </w:rPr>
      </w:pPr>
    </w:p>
    <w:p w14:paraId="6AD5CFAC" w14:textId="6174C5E5" w:rsidR="00B64A60" w:rsidRPr="007E61C6" w:rsidRDefault="00B64A60" w:rsidP="00B64A60">
      <w:pPr>
        <w:jc w:val="center"/>
        <w:rPr>
          <w:b/>
          <w:bCs/>
          <w:caps/>
          <w:lang w:val="en-NZ"/>
        </w:rPr>
      </w:pPr>
      <w:r w:rsidRPr="007E61C6">
        <w:rPr>
          <w:b/>
          <w:bCs/>
          <w:caps/>
          <w:lang w:val="en-NZ"/>
        </w:rPr>
        <w:t>PRELIMINARY VIEWs on WRC-</w:t>
      </w:r>
      <w:r w:rsidR="007F0AE6" w:rsidRPr="007E61C6">
        <w:rPr>
          <w:b/>
          <w:bCs/>
          <w:caps/>
          <w:lang w:val="en-NZ"/>
        </w:rPr>
        <w:t>23</w:t>
      </w:r>
      <w:r w:rsidRPr="007E61C6">
        <w:rPr>
          <w:b/>
          <w:bCs/>
          <w:caps/>
          <w:lang w:val="en-NZ"/>
        </w:rPr>
        <w:t xml:space="preserve"> agenda item 1.</w:t>
      </w:r>
      <w:r w:rsidR="008A1C0A" w:rsidRPr="007E61C6">
        <w:rPr>
          <w:b/>
          <w:bCs/>
          <w:caps/>
          <w:lang w:val="en-NZ"/>
        </w:rPr>
        <w:t>8</w:t>
      </w:r>
    </w:p>
    <w:p w14:paraId="278CDD84" w14:textId="77777777" w:rsidR="00B64A60" w:rsidRPr="007E61C6" w:rsidRDefault="00B64A60" w:rsidP="00264566">
      <w:pPr>
        <w:spacing w:after="120"/>
        <w:rPr>
          <w:lang w:val="en-NZ"/>
        </w:rPr>
      </w:pPr>
    </w:p>
    <w:p w14:paraId="6D986D61" w14:textId="77777777" w:rsidR="001570BC" w:rsidRPr="007E61C6" w:rsidRDefault="001570BC" w:rsidP="001570BC">
      <w:pPr>
        <w:spacing w:after="120"/>
        <w:jc w:val="both"/>
        <w:rPr>
          <w:lang w:val="en-NZ"/>
        </w:rPr>
      </w:pPr>
      <w:r w:rsidRPr="007E61C6">
        <w:rPr>
          <w:b/>
          <w:lang w:val="en-NZ"/>
        </w:rPr>
        <w:t xml:space="preserve">Agenda Item 1.8 </w:t>
      </w:r>
    </w:p>
    <w:p w14:paraId="0BA9169B" w14:textId="77777777" w:rsidR="001570BC" w:rsidRPr="007E61C6" w:rsidRDefault="001570BC" w:rsidP="001570BC">
      <w:pPr>
        <w:spacing w:after="120"/>
        <w:jc w:val="both"/>
        <w:rPr>
          <w:b/>
          <w:highlight w:val="yellow"/>
          <w:lang w:val="en-NZ"/>
        </w:rPr>
      </w:pPr>
      <w:r w:rsidRPr="007E61C6">
        <w:rPr>
          <w:i/>
        </w:rPr>
        <w:t xml:space="preserve">to consider, on the basis of ITU R studies in accordance with Resolution </w:t>
      </w:r>
      <w:r w:rsidRPr="007E61C6">
        <w:rPr>
          <w:b/>
          <w:bCs/>
          <w:i/>
        </w:rPr>
        <w:t>171 (WRC-19)</w:t>
      </w:r>
      <w:r w:rsidRPr="007E61C6">
        <w:rPr>
          <w:i/>
        </w:rPr>
        <w:t xml:space="preserve">, appropriate regulatory actions, with a view to reviewing and, if necessary, revising Resolution </w:t>
      </w:r>
      <w:r w:rsidRPr="007E61C6">
        <w:rPr>
          <w:b/>
          <w:bCs/>
          <w:i/>
        </w:rPr>
        <w:t xml:space="preserve">155 (Rev.WRC-19) </w:t>
      </w:r>
      <w:r w:rsidRPr="007E61C6">
        <w:rPr>
          <w:i/>
        </w:rPr>
        <w:t xml:space="preserve">and No. </w:t>
      </w:r>
      <w:r w:rsidRPr="007E61C6">
        <w:rPr>
          <w:b/>
          <w:bCs/>
          <w:i/>
        </w:rPr>
        <w:t>5.484B</w:t>
      </w:r>
      <w:r w:rsidRPr="007E61C6">
        <w:rPr>
          <w:i/>
        </w:rPr>
        <w:t xml:space="preserve"> to accommodate the use of fixed-satellite service (FSS) networks by control and non-payload communications of unmanned aircraft </w:t>
      </w:r>
      <w:proofErr w:type="gramStart"/>
      <w:r w:rsidRPr="007E61C6">
        <w:rPr>
          <w:i/>
        </w:rPr>
        <w:t>systems;</w:t>
      </w:r>
      <w:proofErr w:type="gramEnd"/>
    </w:p>
    <w:p w14:paraId="77F1F4D8" w14:textId="77777777" w:rsidR="00626D9A" w:rsidRPr="007E61C6" w:rsidRDefault="00626D9A" w:rsidP="002A0111">
      <w:pPr>
        <w:jc w:val="both"/>
        <w:rPr>
          <w:lang w:val="en-NZ"/>
        </w:rPr>
      </w:pPr>
    </w:p>
    <w:p w14:paraId="184AEF7E" w14:textId="77777777" w:rsidR="002A0111" w:rsidRPr="007E61C6" w:rsidRDefault="002A0111" w:rsidP="00626D9A">
      <w:pPr>
        <w:spacing w:after="120"/>
        <w:jc w:val="both"/>
        <w:rPr>
          <w:b/>
          <w:lang w:val="en-NZ" w:eastAsia="ko-KR"/>
        </w:rPr>
      </w:pPr>
      <w:r w:rsidRPr="007E61C6">
        <w:rPr>
          <w:b/>
          <w:lang w:val="en-NZ" w:eastAsia="ko-KR"/>
        </w:rPr>
        <w:t xml:space="preserve">1. </w:t>
      </w:r>
      <w:r w:rsidRPr="007E61C6">
        <w:rPr>
          <w:b/>
          <w:lang w:val="en-NZ" w:eastAsia="ko-KR"/>
        </w:rPr>
        <w:tab/>
        <w:t>Background</w:t>
      </w:r>
    </w:p>
    <w:p w14:paraId="44253F14" w14:textId="591E0701" w:rsidR="001570BC" w:rsidRPr="007E61C6" w:rsidRDefault="001570BC" w:rsidP="001570BC">
      <w:pPr>
        <w:spacing w:before="120"/>
        <w:jc w:val="both"/>
      </w:pPr>
      <w:r w:rsidRPr="007E61C6">
        <w:t xml:space="preserve">WRC-23 is to review and undertake a potential revision of Resolution </w:t>
      </w:r>
      <w:r w:rsidRPr="007E61C6">
        <w:rPr>
          <w:b/>
        </w:rPr>
        <w:t>155 (Rev.WRC</w:t>
      </w:r>
      <w:r w:rsidR="007E61C6">
        <w:rPr>
          <w:rFonts w:ascii="MS Mincho" w:eastAsia="MS Mincho" w:hAnsi="MS Mincho" w:cs="MS Mincho" w:hint="eastAsia"/>
          <w:b/>
          <w:lang w:eastAsia="ja-JP"/>
        </w:rPr>
        <w:t>-</w:t>
      </w:r>
      <w:r w:rsidRPr="007E61C6">
        <w:rPr>
          <w:b/>
        </w:rPr>
        <w:t>19)</w:t>
      </w:r>
      <w:r w:rsidRPr="007E61C6">
        <w:t xml:space="preserve"> and No. </w:t>
      </w:r>
      <w:r w:rsidRPr="007E61C6">
        <w:rPr>
          <w:b/>
        </w:rPr>
        <w:t>5.484B</w:t>
      </w:r>
      <w:r w:rsidRPr="007E61C6">
        <w:t xml:space="preserve"> in the frequency bands to which they apply.</w:t>
      </w:r>
    </w:p>
    <w:p w14:paraId="7899F368" w14:textId="77777777" w:rsidR="001570BC" w:rsidRPr="007E61C6" w:rsidRDefault="001570BC" w:rsidP="00A01A8D">
      <w:pPr>
        <w:spacing w:before="120"/>
        <w:jc w:val="both"/>
        <w:rPr>
          <w:rFonts w:eastAsia="MS Mincho"/>
          <w:lang w:eastAsia="ja-JP"/>
        </w:rPr>
      </w:pPr>
      <w:r w:rsidRPr="007E61C6">
        <w:rPr>
          <w:rFonts w:eastAsia="MS Mincho"/>
          <w:lang w:eastAsia="ja-JP"/>
        </w:rPr>
        <w:t xml:space="preserve">The responsible group WP 5B has initiated the work by sending liaison statements to the contributing groups, WP 4A and WP 4B, as well as to WP 3M, WP 5A, WP 5C, and WP 7D to request information on technical/operational characteristics and protection criteria of services which they look over, and on propagation models. </w:t>
      </w:r>
    </w:p>
    <w:p w14:paraId="0611B653" w14:textId="3E2C6648" w:rsidR="00E65599" w:rsidRPr="007E61C6" w:rsidRDefault="00C4112C" w:rsidP="00E65599">
      <w:pPr>
        <w:spacing w:before="120"/>
        <w:jc w:val="both"/>
      </w:pPr>
      <w:r w:rsidRPr="007E61C6">
        <w:t xml:space="preserve">So far, </w:t>
      </w:r>
      <w:r w:rsidR="00E65599" w:rsidRPr="007E61C6">
        <w:t xml:space="preserve">WP 5B </w:t>
      </w:r>
      <w:r w:rsidRPr="007E61C6">
        <w:t xml:space="preserve">has </w:t>
      </w:r>
      <w:r w:rsidR="00E65599" w:rsidRPr="007E61C6">
        <w:t xml:space="preserve">considered contributions, providing proposed amendments to the WD towards PDN Recommendation/Report ITU-R M.[UAS CNPC_CHAR], which provides characteristics of unmanned aircraft system control and non-payload </w:t>
      </w:r>
      <w:r w:rsidR="00051C6E" w:rsidRPr="007E61C6">
        <w:t xml:space="preserve">communications (UAS CNPC) </w:t>
      </w:r>
      <w:r w:rsidR="00E65599" w:rsidRPr="007E61C6">
        <w:t xml:space="preserve">earth stations for use with space stations operating in the fixed-satellite service. The </w:t>
      </w:r>
      <w:r w:rsidRPr="007E61C6">
        <w:t xml:space="preserve">WP 5B May 2021 </w:t>
      </w:r>
      <w:r w:rsidR="00E65599" w:rsidRPr="007E61C6">
        <w:t xml:space="preserve">meeting decided to request the Director BR to provide updated information and statistics on satellite networks in the MIFR meeting the requirements of Resolution </w:t>
      </w:r>
      <w:r w:rsidR="007E61C6" w:rsidRPr="007E61C6">
        <w:rPr>
          <w:b/>
        </w:rPr>
        <w:t>155 (Rev.WRC</w:t>
      </w:r>
      <w:r w:rsidR="007E61C6">
        <w:rPr>
          <w:b/>
        </w:rPr>
        <w:t>-</w:t>
      </w:r>
      <w:r w:rsidR="007E61C6" w:rsidRPr="007E61C6">
        <w:rPr>
          <w:b/>
        </w:rPr>
        <w:t>19)</w:t>
      </w:r>
      <w:r w:rsidR="00E65599" w:rsidRPr="007E61C6">
        <w:t xml:space="preserve">. </w:t>
      </w:r>
    </w:p>
    <w:p w14:paraId="708C30EB" w14:textId="2B4EC456" w:rsidR="00E65599" w:rsidRPr="007E61C6" w:rsidRDefault="00E65599" w:rsidP="00E65599">
      <w:pPr>
        <w:spacing w:before="120"/>
        <w:jc w:val="both"/>
      </w:pPr>
      <w:r w:rsidRPr="007E61C6">
        <w:t xml:space="preserve">WP 5B </w:t>
      </w:r>
      <w:r w:rsidR="00C4112C" w:rsidRPr="007E61C6">
        <w:t xml:space="preserve">has also </w:t>
      </w:r>
      <w:r w:rsidRPr="007E61C6">
        <w:t>considered contributions providing proposed amendments to the PDN Report ITU</w:t>
      </w:r>
      <w:r w:rsidRPr="007E61C6">
        <w:noBreakHyphen/>
        <w:t xml:space="preserve">R M.[UA_PFD] “review of power flux-density limits in accordance with resolves 16 of Resolution </w:t>
      </w:r>
      <w:r w:rsidRPr="007E61C6">
        <w:rPr>
          <w:b/>
          <w:bCs/>
        </w:rPr>
        <w:t>155 (Rev.WRC-19)</w:t>
      </w:r>
      <w:r w:rsidRPr="007E61C6">
        <w:t xml:space="preserve">” </w:t>
      </w:r>
      <w:r w:rsidR="00C4112C" w:rsidRPr="007E61C6">
        <w:t xml:space="preserve">as well as </w:t>
      </w:r>
      <w:r w:rsidRPr="007E61C6">
        <w:t>proposal</w:t>
      </w:r>
      <w:r w:rsidR="00C4112C" w:rsidRPr="007E61C6">
        <w:t>s</w:t>
      </w:r>
      <w:r w:rsidRPr="007E61C6">
        <w:t xml:space="preserve"> to upgrade this document to a draft new report to be submitted to SG 5 for approval. The </w:t>
      </w:r>
      <w:r w:rsidR="00C4112C" w:rsidRPr="007E61C6">
        <w:t xml:space="preserve">WP 5B May 2021 </w:t>
      </w:r>
      <w:r w:rsidRPr="007E61C6">
        <w:t xml:space="preserve">meeting agreed not to update the status and noted that the characteristics of mobile services as well as those provided from the BR needs to be considered. </w:t>
      </w:r>
    </w:p>
    <w:p w14:paraId="4D3D8C00" w14:textId="528FB5B1" w:rsidR="00E65599" w:rsidRPr="007E61C6" w:rsidRDefault="00E65599" w:rsidP="00E65599">
      <w:pPr>
        <w:spacing w:before="120"/>
        <w:jc w:val="both"/>
      </w:pPr>
      <w:r w:rsidRPr="007E61C6">
        <w:t xml:space="preserve">In response to its liaison statement to ICAO, WP 5B received a </w:t>
      </w:r>
      <w:proofErr w:type="gramStart"/>
      <w:r w:rsidRPr="007E61C6">
        <w:t>reply</w:t>
      </w:r>
      <w:proofErr w:type="gramEnd"/>
      <w:r w:rsidRPr="007E61C6">
        <w:t xml:space="preserve"> liaison statement from ICAO, informing about the status of its work on the international Standards And Recommended Practices (SARPs) associated with unmanned aircraft systems, termed remotely piloted aircraft (RPA) within ICAO and also provided excerpts of the SARPs. WP 5B noted that the first package of SARPs, of a more general nature, was approved by ICAO Council March 2021 and the second package, containing technical solutions, including the use of the FSS, due to be approved 2023. </w:t>
      </w:r>
    </w:p>
    <w:p w14:paraId="3B492EC1" w14:textId="6E3A3811" w:rsidR="002A0111" w:rsidRDefault="00E65599" w:rsidP="002A0111">
      <w:pPr>
        <w:jc w:val="both"/>
      </w:pPr>
      <w:bookmarkStart w:id="0" w:name="_Hlk86656581"/>
      <w:r w:rsidRPr="007E61C6">
        <w:t>The November 2020 meeting of WP 5B established a correspondence group</w:t>
      </w:r>
      <w:r w:rsidR="00051C6E" w:rsidRPr="007E61C6">
        <w:t xml:space="preserve"> (CG)</w:t>
      </w:r>
      <w:r w:rsidRPr="007E61C6">
        <w:t xml:space="preserve">. </w:t>
      </w:r>
      <w:bookmarkEnd w:id="0"/>
      <w:r w:rsidR="009E1DBF" w:rsidRPr="007E61C6">
        <w:t xml:space="preserve">At the May 2021 meeting of WP 5B, </w:t>
      </w:r>
      <w:r w:rsidR="00051C6E" w:rsidRPr="007E61C6">
        <w:t xml:space="preserve">the </w:t>
      </w:r>
      <w:r w:rsidR="009E1DBF" w:rsidRPr="007E61C6">
        <w:t>CG presented a working document (</w:t>
      </w:r>
      <w:hyperlink r:id="rId9" w:history="1">
        <w:r w:rsidR="009E1DBF" w:rsidRPr="007E61C6">
          <w:rPr>
            <w:rStyle w:val="Hyperlink"/>
            <w:color w:val="auto"/>
          </w:rPr>
          <w:t>5B/261</w:t>
        </w:r>
      </w:hyperlink>
      <w:r w:rsidR="009E1DBF" w:rsidRPr="007E61C6">
        <w:t xml:space="preserve">) which addressed principles associated with UAS CNPC operation in the frequency bands identified in Resolution 155 (Rev. WRC-19). The meeting noted that the first two sections has reached conclusion, however, section 3 and onwards still had not been discussed. </w:t>
      </w:r>
      <w:r w:rsidRPr="007E61C6">
        <w:t xml:space="preserve">To be able to complete its work </w:t>
      </w:r>
      <w:r w:rsidRPr="007E61C6">
        <w:lastRenderedPageBreak/>
        <w:t>and deliver the draft CPM text on time, WP</w:t>
      </w:r>
      <w:r w:rsidR="00C4112C" w:rsidRPr="007E61C6">
        <w:t xml:space="preserve"> </w:t>
      </w:r>
      <w:r w:rsidRPr="007E61C6">
        <w:t xml:space="preserve">5B </w:t>
      </w:r>
      <w:r w:rsidR="00C4112C" w:rsidRPr="007E61C6">
        <w:t>ha</w:t>
      </w:r>
      <w:r w:rsidR="00617ADE" w:rsidRPr="007E61C6">
        <w:t>s</w:t>
      </w:r>
      <w:r w:rsidR="00C4112C" w:rsidRPr="007E61C6">
        <w:t xml:space="preserve"> </w:t>
      </w:r>
      <w:r w:rsidRPr="007E61C6">
        <w:t xml:space="preserve">decided to continue the work of the </w:t>
      </w:r>
      <w:r w:rsidR="004A7138" w:rsidRPr="007E61C6">
        <w:t>CG</w:t>
      </w:r>
      <w:r w:rsidR="007E61C6">
        <w:t xml:space="preserve"> </w:t>
      </w:r>
      <w:r w:rsidRPr="007E61C6">
        <w:t>on WRC-23 agenda item 1.8 between the May</w:t>
      </w:r>
      <w:r w:rsidR="00C4112C" w:rsidRPr="007E61C6">
        <w:t xml:space="preserve"> 2021</w:t>
      </w:r>
      <w:r w:rsidRPr="007E61C6">
        <w:t xml:space="preserve"> meeting and the next meeting of WP 5B</w:t>
      </w:r>
      <w:r w:rsidR="00C4112C" w:rsidRPr="007E61C6">
        <w:t xml:space="preserve"> in November-December 2021</w:t>
      </w:r>
      <w:r w:rsidRPr="007E61C6">
        <w:t xml:space="preserve">. </w:t>
      </w:r>
    </w:p>
    <w:p w14:paraId="051AC97C" w14:textId="77777777" w:rsidR="007E61C6" w:rsidRPr="007E61C6" w:rsidRDefault="007E61C6" w:rsidP="002A0111">
      <w:pPr>
        <w:jc w:val="both"/>
        <w:rPr>
          <w:lang w:val="en-NZ"/>
        </w:rPr>
      </w:pPr>
    </w:p>
    <w:p w14:paraId="0193724A" w14:textId="77777777" w:rsidR="002A0111" w:rsidRPr="007E61C6" w:rsidRDefault="002A0111" w:rsidP="002A0111">
      <w:pPr>
        <w:spacing w:after="120"/>
        <w:jc w:val="both"/>
        <w:rPr>
          <w:b/>
          <w:lang w:val="en-NZ" w:eastAsia="ko-KR"/>
        </w:rPr>
      </w:pPr>
      <w:r w:rsidRPr="007E61C6">
        <w:rPr>
          <w:b/>
          <w:lang w:val="en-NZ" w:eastAsia="ko-KR"/>
        </w:rPr>
        <w:t xml:space="preserve">2. </w:t>
      </w:r>
      <w:r w:rsidRPr="007E61C6">
        <w:rPr>
          <w:b/>
          <w:lang w:val="en-NZ" w:eastAsia="ko-KR"/>
        </w:rPr>
        <w:tab/>
        <w:t>Documents</w:t>
      </w:r>
    </w:p>
    <w:p w14:paraId="65CF5D51" w14:textId="2ADE06C8" w:rsidR="00E65599" w:rsidRPr="007E61C6" w:rsidRDefault="00F0196E" w:rsidP="00E65599">
      <w:pPr>
        <w:numPr>
          <w:ilvl w:val="0"/>
          <w:numId w:val="18"/>
        </w:numPr>
        <w:ind w:leftChars="145" w:left="708"/>
        <w:jc w:val="both"/>
        <w:rPr>
          <w:lang w:val="en-NZ"/>
        </w:rPr>
      </w:pPr>
      <w:r w:rsidRPr="007E61C6">
        <w:rPr>
          <w:lang w:val="en-NZ"/>
        </w:rPr>
        <w:t>Input Documents</w:t>
      </w:r>
      <w:r w:rsidR="004112C7" w:rsidRPr="007E61C6">
        <w:rPr>
          <w:lang w:val="en-NZ"/>
        </w:rPr>
        <w:t>:</w:t>
      </w:r>
      <w:r w:rsidRPr="007E61C6">
        <w:rPr>
          <w:lang w:val="en-NZ"/>
        </w:rPr>
        <w:t xml:space="preserve"> </w:t>
      </w:r>
      <w:r w:rsidR="000044B8" w:rsidRPr="007E61C6">
        <w:rPr>
          <w:bCs/>
          <w:lang w:val="en-NZ" w:eastAsia="ko-KR"/>
        </w:rPr>
        <w:t xml:space="preserve">APG23-2/INP-45(CHN), </w:t>
      </w:r>
      <w:r w:rsidR="00E65599" w:rsidRPr="007E61C6">
        <w:rPr>
          <w:lang w:val="en-NZ"/>
        </w:rPr>
        <w:t>APG23-3/INP-8 (AUS), APG23-3/INP-21 (NZL), APG23-3/INP-25 (KOR), APG23-3/INP-29 (JPN), APG23-3/INP-47 (IRN), APG23-3/INP-52 (VTN).</w:t>
      </w:r>
    </w:p>
    <w:p w14:paraId="078CE8B7" w14:textId="20572ACB" w:rsidR="002A0111" w:rsidRPr="00216CCF" w:rsidRDefault="00F0196E" w:rsidP="00012130">
      <w:pPr>
        <w:numPr>
          <w:ilvl w:val="0"/>
          <w:numId w:val="18"/>
        </w:numPr>
        <w:ind w:leftChars="145" w:left="708"/>
        <w:jc w:val="both"/>
        <w:rPr>
          <w:b/>
          <w:lang w:val="en-NZ" w:eastAsia="ko-KR"/>
        </w:rPr>
      </w:pPr>
      <w:r w:rsidRPr="007E61C6">
        <w:rPr>
          <w:lang w:val="en-NZ"/>
        </w:rPr>
        <w:t>Information Documents</w:t>
      </w:r>
      <w:r w:rsidR="004112C7" w:rsidRPr="007E61C6">
        <w:rPr>
          <w:lang w:val="en-NZ"/>
        </w:rPr>
        <w:t>:</w:t>
      </w:r>
      <w:r w:rsidRPr="007E61C6">
        <w:rPr>
          <w:lang w:val="en-NZ"/>
        </w:rPr>
        <w:t xml:space="preserve"> </w:t>
      </w:r>
      <w:r w:rsidR="00E65599" w:rsidRPr="007E61C6">
        <w:rPr>
          <w:rFonts w:eastAsia="MS Mincho"/>
          <w:lang w:val="en-NZ" w:eastAsia="ja-JP"/>
        </w:rPr>
        <w:t xml:space="preserve">APG23-3/INF 15 (ICAO), </w:t>
      </w:r>
      <w:r w:rsidR="00E65599" w:rsidRPr="007E61C6">
        <w:rPr>
          <w:lang w:val="en-NZ"/>
        </w:rPr>
        <w:t>APG23-3/INF-20 (CEPT)</w:t>
      </w:r>
      <w:r w:rsidR="00145EB2" w:rsidRPr="007E61C6">
        <w:rPr>
          <w:lang w:val="en-NZ"/>
        </w:rPr>
        <w:t>, APG23-3/INF-39 (ATU).</w:t>
      </w:r>
    </w:p>
    <w:p w14:paraId="4B116006" w14:textId="77777777" w:rsidR="00216CCF" w:rsidRPr="007E61C6" w:rsidRDefault="00216CCF" w:rsidP="00216CCF">
      <w:pPr>
        <w:ind w:left="708"/>
        <w:jc w:val="both"/>
        <w:rPr>
          <w:b/>
          <w:lang w:val="en-NZ" w:eastAsia="ko-KR"/>
        </w:rPr>
      </w:pPr>
    </w:p>
    <w:p w14:paraId="7975AD2E" w14:textId="77777777" w:rsidR="002A0111" w:rsidRPr="007E61C6" w:rsidRDefault="002A0111" w:rsidP="002A0111">
      <w:pPr>
        <w:rPr>
          <w:b/>
          <w:lang w:val="en-NZ" w:eastAsia="ko-KR"/>
        </w:rPr>
      </w:pPr>
      <w:r w:rsidRPr="007E61C6">
        <w:rPr>
          <w:b/>
          <w:lang w:val="en-NZ" w:eastAsia="ko-KR"/>
        </w:rPr>
        <w:t xml:space="preserve">3. </w:t>
      </w:r>
      <w:r w:rsidRPr="007E61C6">
        <w:rPr>
          <w:b/>
          <w:lang w:val="en-NZ" w:eastAsia="ko-KR"/>
        </w:rPr>
        <w:tab/>
        <w:t>Summary of discussions</w:t>
      </w:r>
    </w:p>
    <w:p w14:paraId="381256B2" w14:textId="77777777" w:rsidR="00E410C0" w:rsidRPr="007E61C6" w:rsidRDefault="002A0111" w:rsidP="0026001F">
      <w:pPr>
        <w:spacing w:after="120"/>
        <w:jc w:val="both"/>
        <w:rPr>
          <w:rFonts w:eastAsia="MS Mincho"/>
          <w:lang w:val="en-NZ" w:eastAsia="ja-JP"/>
        </w:rPr>
      </w:pPr>
      <w:r w:rsidRPr="007E61C6">
        <w:rPr>
          <w:b/>
          <w:lang w:val="en-NZ" w:eastAsia="ko-KR"/>
        </w:rPr>
        <w:t>3.1</w:t>
      </w:r>
      <w:r w:rsidRPr="007E61C6">
        <w:rPr>
          <w:b/>
          <w:lang w:val="en-NZ" w:eastAsia="ko-KR"/>
        </w:rPr>
        <w:tab/>
        <w:t>S</w:t>
      </w:r>
      <w:r w:rsidRPr="007E61C6">
        <w:rPr>
          <w:rFonts w:hint="eastAsia"/>
          <w:b/>
          <w:lang w:val="en-NZ" w:eastAsia="ko-KR"/>
        </w:rPr>
        <w:t xml:space="preserve">ummary </w:t>
      </w:r>
      <w:r w:rsidRPr="007E61C6">
        <w:rPr>
          <w:b/>
          <w:lang w:val="en-NZ" w:eastAsia="ko-KR"/>
        </w:rPr>
        <w:t>of APT Members’ views</w:t>
      </w:r>
    </w:p>
    <w:p w14:paraId="22405A17" w14:textId="432330C2" w:rsidR="0026001F" w:rsidRPr="007E61C6" w:rsidRDefault="0026001F" w:rsidP="0026001F">
      <w:pPr>
        <w:spacing w:after="120"/>
        <w:jc w:val="both"/>
        <w:rPr>
          <w:b/>
          <w:lang w:val="en-NZ" w:eastAsia="ko-KR"/>
        </w:rPr>
      </w:pPr>
      <w:r w:rsidRPr="007E61C6">
        <w:rPr>
          <w:b/>
          <w:lang w:val="en-NZ" w:eastAsia="ko-KR"/>
        </w:rPr>
        <w:t>3.1.1</w:t>
      </w:r>
      <w:r w:rsidRPr="007E61C6">
        <w:rPr>
          <w:b/>
          <w:lang w:val="en-NZ" w:eastAsia="ko-KR"/>
        </w:rPr>
        <w:tab/>
        <w:t>Australia – Document APG23-3/INP-8</w:t>
      </w:r>
    </w:p>
    <w:p w14:paraId="5115E692" w14:textId="4ADCD627" w:rsidR="0026001F" w:rsidRPr="007E61C6" w:rsidRDefault="0026001F" w:rsidP="0026001F">
      <w:pPr>
        <w:rPr>
          <w:rFonts w:eastAsia="Calibri"/>
          <w:kern w:val="12"/>
          <w:lang w:val="x-none"/>
        </w:rPr>
      </w:pPr>
      <w:r w:rsidRPr="007E61C6">
        <w:rPr>
          <w:rFonts w:eastAsia="Calibri"/>
          <w:kern w:val="12"/>
          <w:lang w:val="x-none"/>
        </w:rPr>
        <w:t>Australia supports progress of work on technical and regulatory issues under this agenda item.</w:t>
      </w:r>
    </w:p>
    <w:p w14:paraId="21D373DF" w14:textId="77777777" w:rsidR="0026001F" w:rsidRPr="007E61C6" w:rsidRDefault="0026001F" w:rsidP="0026001F">
      <w:pPr>
        <w:spacing w:after="120"/>
        <w:jc w:val="both"/>
        <w:rPr>
          <w:b/>
          <w:lang w:val="en-NZ" w:eastAsia="ko-KR"/>
        </w:rPr>
      </w:pPr>
      <w:r w:rsidRPr="007E61C6">
        <w:rPr>
          <w:b/>
          <w:lang w:val="en-NZ" w:eastAsia="ko-KR"/>
        </w:rPr>
        <w:t xml:space="preserve">3.1.2 </w:t>
      </w:r>
      <w:r w:rsidRPr="007E61C6">
        <w:rPr>
          <w:b/>
          <w:lang w:val="en-NZ" w:eastAsia="ko-KR"/>
        </w:rPr>
        <w:tab/>
        <w:t>New Zealand - Document APG23-3/INP-21</w:t>
      </w:r>
    </w:p>
    <w:p w14:paraId="786F92B2" w14:textId="42680981" w:rsidR="0026001F" w:rsidRPr="007E61C6" w:rsidRDefault="0026001F" w:rsidP="0026001F">
      <w:pPr>
        <w:jc w:val="both"/>
      </w:pPr>
      <w:r w:rsidRPr="007E61C6">
        <w:t xml:space="preserve">New Zealand supports the studies </w:t>
      </w:r>
      <w:r w:rsidR="00C5328F" w:rsidRPr="007E61C6">
        <w:rPr>
          <w:rFonts w:eastAsia="MS Mincho" w:hint="eastAsia"/>
          <w:lang w:eastAsia="ja-JP"/>
        </w:rPr>
        <w:t>c</w:t>
      </w:r>
      <w:r w:rsidR="00C5328F" w:rsidRPr="007E61C6">
        <w:rPr>
          <w:rFonts w:eastAsia="MS Mincho"/>
          <w:lang w:eastAsia="ja-JP"/>
        </w:rPr>
        <w:t>urrently being</w:t>
      </w:r>
      <w:r w:rsidRPr="007E61C6">
        <w:t xml:space="preserve"> conducted by ITU-R Working Party 5B.</w:t>
      </w:r>
    </w:p>
    <w:p w14:paraId="379FCAEE" w14:textId="57877549" w:rsidR="0026001F" w:rsidRPr="007E61C6" w:rsidRDefault="0026001F" w:rsidP="0026001F">
      <w:pPr>
        <w:spacing w:after="120"/>
        <w:jc w:val="both"/>
        <w:rPr>
          <w:b/>
          <w:lang w:val="en-NZ" w:eastAsia="ko-KR"/>
        </w:rPr>
      </w:pPr>
      <w:r w:rsidRPr="007E61C6">
        <w:rPr>
          <w:b/>
          <w:lang w:val="en-NZ" w:eastAsia="ko-KR"/>
        </w:rPr>
        <w:t>3.1.3</w:t>
      </w:r>
      <w:r w:rsidRPr="007E61C6">
        <w:rPr>
          <w:b/>
          <w:lang w:val="en-NZ" w:eastAsia="ko-KR"/>
        </w:rPr>
        <w:tab/>
        <w:t>Korea – Document APG23-3/INP-25</w:t>
      </w:r>
    </w:p>
    <w:p w14:paraId="6328A4B6" w14:textId="14344262" w:rsidR="0026001F" w:rsidRPr="007E61C6" w:rsidRDefault="0026001F" w:rsidP="0026001F">
      <w:pPr>
        <w:spacing w:afterLines="60" w:after="144"/>
        <w:jc w:val="both"/>
        <w:rPr>
          <w:lang w:eastAsia="ko-KR"/>
        </w:rPr>
      </w:pPr>
      <w:r w:rsidRPr="007E61C6">
        <w:rPr>
          <w:lang w:eastAsia="ko-KR"/>
        </w:rPr>
        <w:t xml:space="preserve">The Republic of Korea supports ongoing studies in relation to Agenda Item 1.8 in accordance with Resolution </w:t>
      </w:r>
      <w:r w:rsidRPr="007E61C6">
        <w:rPr>
          <w:b/>
          <w:bCs/>
          <w:lang w:eastAsia="ko-KR"/>
        </w:rPr>
        <w:t>171 (Rev.WRC-19)</w:t>
      </w:r>
      <w:r w:rsidRPr="007E61C6">
        <w:rPr>
          <w:lang w:eastAsia="ko-KR"/>
        </w:rPr>
        <w:t xml:space="preserve">. </w:t>
      </w:r>
    </w:p>
    <w:p w14:paraId="2943B861" w14:textId="77777777" w:rsidR="0026001F" w:rsidRPr="007E61C6" w:rsidRDefault="0026001F" w:rsidP="0026001F">
      <w:pPr>
        <w:spacing w:afterLines="60" w:after="144"/>
        <w:jc w:val="both"/>
        <w:rPr>
          <w:snapToGrid w:val="0"/>
        </w:rPr>
      </w:pPr>
      <w:r w:rsidRPr="007E61C6">
        <w:rPr>
          <w:lang w:eastAsia="ko-KR"/>
        </w:rPr>
        <w:t xml:space="preserve">The Republic of Korea is of the view that, when reviewing No. </w:t>
      </w:r>
      <w:r w:rsidRPr="007E61C6">
        <w:rPr>
          <w:b/>
          <w:bCs/>
          <w:lang w:eastAsia="ko-KR"/>
        </w:rPr>
        <w:t>5.484B</w:t>
      </w:r>
      <w:r w:rsidRPr="007E61C6">
        <w:rPr>
          <w:lang w:eastAsia="ko-KR"/>
        </w:rPr>
        <w:t xml:space="preserve"> and Resolution </w:t>
      </w:r>
      <w:r w:rsidRPr="007E61C6">
        <w:rPr>
          <w:b/>
          <w:bCs/>
          <w:lang w:eastAsia="ko-KR"/>
        </w:rPr>
        <w:t xml:space="preserve">155 (Rev.WRC-19) </w:t>
      </w:r>
      <w:r w:rsidRPr="007E61C6">
        <w:rPr>
          <w:lang w:eastAsia="ko-KR"/>
        </w:rPr>
        <w:t>for possible changes, it should be ensured that any potential changes to such regulatory provisions will not impact any other systems or services operating in accordance with the Radio Regulations.</w:t>
      </w:r>
    </w:p>
    <w:p w14:paraId="32D6146B" w14:textId="10809B38" w:rsidR="002A0111" w:rsidRPr="007E61C6" w:rsidRDefault="002A0111" w:rsidP="003D3D47">
      <w:pPr>
        <w:spacing w:after="120"/>
        <w:jc w:val="both"/>
        <w:rPr>
          <w:b/>
          <w:lang w:val="en-NZ" w:eastAsia="ko-KR"/>
        </w:rPr>
      </w:pPr>
      <w:r w:rsidRPr="007E61C6">
        <w:rPr>
          <w:b/>
          <w:lang w:val="en-NZ" w:eastAsia="ko-KR"/>
        </w:rPr>
        <w:t>3.1.</w:t>
      </w:r>
      <w:r w:rsidR="0026001F" w:rsidRPr="007E61C6">
        <w:rPr>
          <w:b/>
          <w:lang w:val="en-NZ" w:eastAsia="ko-KR"/>
        </w:rPr>
        <w:t>4</w:t>
      </w:r>
      <w:r w:rsidRPr="007E61C6">
        <w:rPr>
          <w:b/>
          <w:lang w:val="en-NZ" w:eastAsia="ko-KR"/>
        </w:rPr>
        <w:t xml:space="preserve"> </w:t>
      </w:r>
      <w:r w:rsidRPr="007E61C6">
        <w:rPr>
          <w:b/>
          <w:lang w:val="en-NZ" w:eastAsia="ko-KR"/>
        </w:rPr>
        <w:tab/>
      </w:r>
      <w:r w:rsidR="00F0196E" w:rsidRPr="007E61C6">
        <w:rPr>
          <w:b/>
          <w:lang w:val="en-NZ" w:eastAsia="ko-KR"/>
        </w:rPr>
        <w:t>Japan - Document APG23-</w:t>
      </w:r>
      <w:r w:rsidR="00E65599" w:rsidRPr="007E61C6">
        <w:rPr>
          <w:b/>
          <w:lang w:val="en-NZ" w:eastAsia="ko-KR"/>
        </w:rPr>
        <w:t>3</w:t>
      </w:r>
      <w:r w:rsidR="00F0196E" w:rsidRPr="007E61C6">
        <w:rPr>
          <w:b/>
          <w:lang w:val="en-NZ" w:eastAsia="ko-KR"/>
        </w:rPr>
        <w:t>/INP-</w:t>
      </w:r>
      <w:r w:rsidR="00E65599" w:rsidRPr="007E61C6">
        <w:rPr>
          <w:b/>
          <w:lang w:val="en-NZ" w:eastAsia="ko-KR"/>
        </w:rPr>
        <w:t>29</w:t>
      </w:r>
    </w:p>
    <w:p w14:paraId="680AF7A3" w14:textId="18BEDE92" w:rsidR="0026001F" w:rsidRPr="007E61C6" w:rsidRDefault="0026001F" w:rsidP="0026001F">
      <w:pPr>
        <w:tabs>
          <w:tab w:val="left" w:pos="600"/>
        </w:tabs>
      </w:pPr>
      <w:r w:rsidRPr="007E61C6">
        <w:t>Japan supports ongoing studies being carried out by ITU-R WP 5B in relation to Agenda Item 1.8 in accordance with Resolution 171 (WRC-19).</w:t>
      </w:r>
    </w:p>
    <w:p w14:paraId="449C4D6E" w14:textId="6E3424E6" w:rsidR="0026001F" w:rsidRPr="007E61C6" w:rsidRDefault="00F0196E" w:rsidP="00B14DA9">
      <w:pPr>
        <w:spacing w:after="120"/>
        <w:jc w:val="both"/>
        <w:rPr>
          <w:b/>
          <w:lang w:val="en-NZ" w:eastAsia="ko-KR"/>
        </w:rPr>
      </w:pPr>
      <w:r w:rsidRPr="007E61C6">
        <w:rPr>
          <w:b/>
          <w:lang w:val="en-NZ" w:eastAsia="ko-KR"/>
        </w:rPr>
        <w:t>3.1.</w:t>
      </w:r>
      <w:r w:rsidR="00B14DA9" w:rsidRPr="007E61C6">
        <w:rPr>
          <w:b/>
          <w:lang w:val="en-NZ" w:eastAsia="ko-KR"/>
        </w:rPr>
        <w:t>5</w:t>
      </w:r>
      <w:r w:rsidR="0026001F" w:rsidRPr="007E61C6">
        <w:rPr>
          <w:b/>
          <w:lang w:val="en-NZ" w:eastAsia="ko-KR"/>
        </w:rPr>
        <w:t xml:space="preserve">    Iran- Document APG23-3/INP-47</w:t>
      </w:r>
      <w:r w:rsidRPr="007E61C6">
        <w:rPr>
          <w:b/>
          <w:lang w:val="en-NZ" w:eastAsia="ko-KR"/>
        </w:rPr>
        <w:tab/>
      </w:r>
    </w:p>
    <w:p w14:paraId="5AA54F6C" w14:textId="559C33D7" w:rsidR="0026001F" w:rsidRPr="007E61C6" w:rsidRDefault="0026001F" w:rsidP="0026001F">
      <w:pPr>
        <w:jc w:val="both"/>
      </w:pPr>
      <w:r w:rsidRPr="007E61C6">
        <w:t>Iran supports to continue and accelerate the studies with regard to all those issues currently being discussed on "</w:t>
      </w:r>
      <w:proofErr w:type="gramStart"/>
      <w:r w:rsidRPr="007E61C6">
        <w:t>Principle</w:t>
      </w:r>
      <w:proofErr w:type="gramEnd"/>
      <w:r w:rsidRPr="007E61C6">
        <w:t xml:space="preserve"> Document" including but not limited to the interference management of the UAS CNPC links with regard to the space and terrestrial stations as well as the highly important safety of life aspects of UAS/ CNPC and clearly defining responsibilities of all key player, yet to be identified. </w:t>
      </w:r>
    </w:p>
    <w:p w14:paraId="12E4C1B2" w14:textId="45CB0656" w:rsidR="0026001F" w:rsidRPr="007E61C6" w:rsidRDefault="0026001F" w:rsidP="0026001F">
      <w:pPr>
        <w:jc w:val="both"/>
      </w:pPr>
      <w:r w:rsidRPr="007E61C6">
        <w:t>Iran is of the strong view that any identification of the frequency band for such highly safety service in FSS shall be based on the assurance of the protection of the current and future terrestrial and space services in an applicable manner as well as fully complies with ICAO SARPS, yet to be completed, finalized and made available to ITU.</w:t>
      </w:r>
    </w:p>
    <w:p w14:paraId="28CDAB03" w14:textId="214741A3" w:rsidR="00B14DA9" w:rsidRPr="007E61C6" w:rsidRDefault="0026001F" w:rsidP="00B14DA9">
      <w:pPr>
        <w:spacing w:after="120"/>
        <w:jc w:val="both"/>
        <w:rPr>
          <w:b/>
          <w:lang w:val="en-NZ" w:eastAsia="ko-KR"/>
        </w:rPr>
      </w:pPr>
      <w:r w:rsidRPr="007E61C6">
        <w:rPr>
          <w:b/>
          <w:lang w:val="en-NZ" w:eastAsia="ko-KR"/>
        </w:rPr>
        <w:t xml:space="preserve">3.1.6 </w:t>
      </w:r>
      <w:r w:rsidR="00B14DA9" w:rsidRPr="007E61C6">
        <w:rPr>
          <w:b/>
          <w:lang w:val="en-NZ" w:eastAsia="ko-KR"/>
        </w:rPr>
        <w:t>Viet Nam – Document APG23-</w:t>
      </w:r>
      <w:r w:rsidRPr="007E61C6">
        <w:rPr>
          <w:b/>
          <w:lang w:val="en-NZ" w:eastAsia="ko-KR"/>
        </w:rPr>
        <w:t>3</w:t>
      </w:r>
      <w:r w:rsidR="00B14DA9" w:rsidRPr="007E61C6">
        <w:rPr>
          <w:b/>
          <w:lang w:val="en-NZ" w:eastAsia="ko-KR"/>
        </w:rPr>
        <w:t>/INP-</w:t>
      </w:r>
      <w:r w:rsidRPr="007E61C6">
        <w:rPr>
          <w:b/>
          <w:lang w:val="en-NZ" w:eastAsia="ko-KR"/>
        </w:rPr>
        <w:t>52</w:t>
      </w:r>
    </w:p>
    <w:p w14:paraId="4E54AB67" w14:textId="2094A216" w:rsidR="00A700A8" w:rsidRPr="007E61C6" w:rsidRDefault="00A700A8" w:rsidP="0026001F">
      <w:pPr>
        <w:spacing w:afterLines="60" w:after="144"/>
        <w:jc w:val="both"/>
      </w:pPr>
      <w:r w:rsidRPr="007E61C6">
        <w:t xml:space="preserve">Viet Nam supports studying on technical, operational, and regulatory aspects as indicated in Resolution </w:t>
      </w:r>
      <w:r w:rsidRPr="007E61C6">
        <w:rPr>
          <w:rFonts w:eastAsiaTheme="minorEastAsia"/>
          <w:b/>
          <w:bCs/>
          <w:lang w:eastAsia="ja-JP"/>
        </w:rPr>
        <w:t xml:space="preserve">171 (WRC-19), </w:t>
      </w:r>
      <w:r w:rsidRPr="007E61C6">
        <w:rPr>
          <w:rFonts w:eastAsiaTheme="minorEastAsia"/>
          <w:bCs/>
          <w:lang w:eastAsia="ja-JP"/>
        </w:rPr>
        <w:t>with a view</w:t>
      </w:r>
      <w:r w:rsidRPr="007E61C6">
        <w:rPr>
          <w:rFonts w:eastAsiaTheme="minorEastAsia"/>
          <w:b/>
          <w:bCs/>
          <w:lang w:eastAsia="ja-JP"/>
        </w:rPr>
        <w:t xml:space="preserve"> </w:t>
      </w:r>
      <w:r w:rsidRPr="007E61C6">
        <w:t xml:space="preserve">to revising Resolution </w:t>
      </w:r>
      <w:r w:rsidRPr="007E61C6">
        <w:rPr>
          <w:b/>
          <w:bCs/>
        </w:rPr>
        <w:t xml:space="preserve">155 (Rev.WRC-19) </w:t>
      </w:r>
      <w:r w:rsidRPr="007E61C6">
        <w:t xml:space="preserve">and No. </w:t>
      </w:r>
      <w:r w:rsidRPr="007E61C6">
        <w:rPr>
          <w:b/>
          <w:bCs/>
        </w:rPr>
        <w:t>5.484B</w:t>
      </w:r>
      <w:r w:rsidRPr="007E61C6">
        <w:t xml:space="preserve"> to accommodate the use of fixed-satellite service (FSS) networks by control and non-payload communications of unmanned aircraft systems.</w:t>
      </w:r>
    </w:p>
    <w:p w14:paraId="43F43B87" w14:textId="45956E12" w:rsidR="00E410C0" w:rsidRPr="007E61C6" w:rsidRDefault="00E410C0" w:rsidP="00E410C0">
      <w:pPr>
        <w:spacing w:after="120"/>
        <w:jc w:val="both"/>
        <w:rPr>
          <w:b/>
          <w:lang w:val="en-NZ" w:eastAsia="ko-KR"/>
        </w:rPr>
      </w:pPr>
      <w:r w:rsidRPr="007E61C6">
        <w:rPr>
          <w:b/>
          <w:lang w:val="en-NZ" w:eastAsia="ko-KR"/>
        </w:rPr>
        <w:t>3.1.</w:t>
      </w:r>
      <w:r w:rsidR="004A7138" w:rsidRPr="007E61C6">
        <w:rPr>
          <w:b/>
          <w:lang w:val="en-NZ" w:eastAsia="ko-KR"/>
        </w:rPr>
        <w:t>7</w:t>
      </w:r>
      <w:r w:rsidRPr="007E61C6">
        <w:rPr>
          <w:b/>
          <w:lang w:val="en-NZ" w:eastAsia="ko-KR"/>
        </w:rPr>
        <w:tab/>
        <w:t>China (People’s Republic of) – Document APG23-2/INP-45</w:t>
      </w:r>
    </w:p>
    <w:p w14:paraId="0B9C9053" w14:textId="77777777" w:rsidR="00E410C0" w:rsidRPr="007E61C6" w:rsidRDefault="00E410C0" w:rsidP="000044B8">
      <w:pPr>
        <w:spacing w:afterLines="60" w:after="144"/>
        <w:jc w:val="both"/>
      </w:pPr>
      <w:r w:rsidRPr="007E61C6">
        <w:lastRenderedPageBreak/>
        <w:t>China supports studies being conducted in ITU-R in accordance with Resolution 155 (Rev.WRC-19) and Resolution 171 (WRC 19) to make progress on technical, operational and regulatory aspects in relation to the implementation of Resolution 155 (</w:t>
      </w:r>
      <w:proofErr w:type="spellStart"/>
      <w:r w:rsidRPr="007E61C6">
        <w:t>Rev.WRC</w:t>
      </w:r>
      <w:proofErr w:type="spellEnd"/>
      <w:r w:rsidRPr="007E61C6">
        <w:t xml:space="preserve"> 19).</w:t>
      </w:r>
    </w:p>
    <w:p w14:paraId="011AEC6E" w14:textId="12A26B23" w:rsidR="00E410C0" w:rsidRPr="007E61C6" w:rsidRDefault="00E410C0" w:rsidP="00E410C0">
      <w:pPr>
        <w:spacing w:afterLines="60" w:after="144"/>
        <w:jc w:val="both"/>
      </w:pPr>
      <w:r w:rsidRPr="007E61C6">
        <w:t>The frequency bands specified in resolves 1 of Resolution 155 (Rev.WRC-19) are also allocated to terrestrial and space services which are used by a variety of different systems. These existing services and their future development need to be fully protected, without the imposition of any additional constraints, from the operation of UAV/CNPC.</w:t>
      </w:r>
    </w:p>
    <w:p w14:paraId="6CCC95D2" w14:textId="77777777" w:rsidR="002A0111" w:rsidRPr="007E61C6" w:rsidRDefault="002A0111" w:rsidP="002A0111">
      <w:pPr>
        <w:spacing w:after="120"/>
        <w:jc w:val="both"/>
        <w:rPr>
          <w:b/>
          <w:lang w:val="en-NZ"/>
        </w:rPr>
      </w:pPr>
      <w:r w:rsidRPr="007E61C6">
        <w:rPr>
          <w:b/>
          <w:lang w:val="en-NZ"/>
        </w:rPr>
        <w:t xml:space="preserve">3.2 </w:t>
      </w:r>
      <w:r w:rsidRPr="007E61C6">
        <w:rPr>
          <w:b/>
          <w:lang w:val="en-NZ"/>
        </w:rPr>
        <w:tab/>
      </w:r>
      <w:bookmarkStart w:id="1" w:name="_Hlk87534251"/>
      <w:r w:rsidRPr="007E61C6">
        <w:rPr>
          <w:b/>
          <w:lang w:val="en-NZ"/>
        </w:rPr>
        <w:t>S</w:t>
      </w:r>
      <w:r w:rsidRPr="007E61C6">
        <w:rPr>
          <w:b/>
          <w:lang w:val="en-NZ" w:eastAsia="ko-KR"/>
        </w:rPr>
        <w:t>ummary of issues raised du</w:t>
      </w:r>
      <w:r w:rsidRPr="007E61C6">
        <w:rPr>
          <w:b/>
          <w:lang w:val="en-NZ"/>
        </w:rPr>
        <w:t>ring the meeting</w:t>
      </w:r>
      <w:bookmarkEnd w:id="1"/>
    </w:p>
    <w:p w14:paraId="1A3A1D2B" w14:textId="064D1176" w:rsidR="00FA0A6D" w:rsidRPr="007E61C6" w:rsidRDefault="00281279" w:rsidP="00281279">
      <w:pPr>
        <w:numPr>
          <w:ilvl w:val="0"/>
          <w:numId w:val="18"/>
        </w:numPr>
        <w:ind w:leftChars="145" w:left="708"/>
        <w:jc w:val="both"/>
        <w:rPr>
          <w:lang w:val="en-NZ"/>
        </w:rPr>
      </w:pPr>
      <w:bookmarkStart w:id="2" w:name="_Hlk87534324"/>
      <w:r w:rsidRPr="007E61C6">
        <w:rPr>
          <w:lang w:val="en-NZ"/>
        </w:rPr>
        <w:t xml:space="preserve">It is worth to mention that this agenda item is a continuation of work from two previous WRCs (WRC-15 and WRC-19). There are considerable inconsistencies in the Resolution 155 (Rev.WRC-15) as well as Resolution 155 (Rev.WRC-19). This matter was raised at several meetings at WP 5B, </w:t>
      </w:r>
      <w:proofErr w:type="gramStart"/>
      <w:r w:rsidRPr="007E61C6">
        <w:rPr>
          <w:lang w:val="en-NZ"/>
        </w:rPr>
        <w:t>in particular by</w:t>
      </w:r>
      <w:proofErr w:type="gramEnd"/>
      <w:r w:rsidRPr="007E61C6">
        <w:rPr>
          <w:lang w:val="en-NZ"/>
        </w:rPr>
        <w:t xml:space="preserve"> ICAO. </w:t>
      </w:r>
      <w:bookmarkStart w:id="3" w:name="_Hlk87535184"/>
      <w:r w:rsidRPr="007E61C6">
        <w:rPr>
          <w:lang w:val="en-NZ"/>
        </w:rPr>
        <w:t>WP 5B decided to prepare a “</w:t>
      </w:r>
      <w:proofErr w:type="gramStart"/>
      <w:r w:rsidRPr="007E61C6">
        <w:rPr>
          <w:lang w:val="en-NZ"/>
        </w:rPr>
        <w:t>principle</w:t>
      </w:r>
      <w:proofErr w:type="gramEnd"/>
      <w:r w:rsidRPr="007E61C6">
        <w:rPr>
          <w:lang w:val="en-NZ"/>
        </w:rPr>
        <w:t xml:space="preserve"> document</w:t>
      </w:r>
      <w:r w:rsidR="00FA0A6D" w:rsidRPr="007E61C6">
        <w:rPr>
          <w:lang w:val="en-NZ"/>
        </w:rPr>
        <w:t xml:space="preserve"> (</w:t>
      </w:r>
      <w:bookmarkStart w:id="4" w:name="_Hlk87534904"/>
      <w:r w:rsidR="00FA0A6D" w:rsidRPr="007E61C6">
        <w:rPr>
          <w:lang w:val="en-NZ"/>
        </w:rPr>
        <w:t>5B/261</w:t>
      </w:r>
      <w:bookmarkEnd w:id="4"/>
      <w:r w:rsidR="00FA0A6D" w:rsidRPr="007E61C6">
        <w:rPr>
          <w:lang w:val="en-NZ"/>
        </w:rPr>
        <w:t>)</w:t>
      </w:r>
      <w:r w:rsidRPr="007E61C6">
        <w:rPr>
          <w:lang w:val="en-NZ"/>
        </w:rPr>
        <w:t xml:space="preserve">” indicating the objective of this agenda item. This </w:t>
      </w:r>
      <w:proofErr w:type="gramStart"/>
      <w:r w:rsidRPr="007E61C6">
        <w:rPr>
          <w:lang w:val="en-NZ"/>
        </w:rPr>
        <w:t>principle</w:t>
      </w:r>
      <w:proofErr w:type="gramEnd"/>
      <w:r w:rsidRPr="007E61C6">
        <w:rPr>
          <w:lang w:val="en-NZ"/>
        </w:rPr>
        <w:t xml:space="preserve"> document </w:t>
      </w:r>
      <w:r w:rsidR="00FA0A6D" w:rsidRPr="007E61C6">
        <w:rPr>
          <w:lang w:val="en-NZ"/>
        </w:rPr>
        <w:t>has</w:t>
      </w:r>
      <w:r w:rsidRPr="007E61C6">
        <w:rPr>
          <w:lang w:val="en-NZ"/>
        </w:rPr>
        <w:t xml:space="preserve"> be</w:t>
      </w:r>
      <w:r w:rsidR="00FA0A6D" w:rsidRPr="007E61C6">
        <w:rPr>
          <w:lang w:val="en-NZ"/>
        </w:rPr>
        <w:t>en</w:t>
      </w:r>
      <w:r w:rsidRPr="007E61C6">
        <w:rPr>
          <w:lang w:val="en-NZ"/>
        </w:rPr>
        <w:t xml:space="preserve"> discussed </w:t>
      </w:r>
      <w:r w:rsidR="00FA0A6D" w:rsidRPr="007E61C6">
        <w:rPr>
          <w:lang w:val="en-NZ"/>
        </w:rPr>
        <w:t>at</w:t>
      </w:r>
      <w:r w:rsidRPr="007E61C6">
        <w:rPr>
          <w:lang w:val="en-NZ"/>
        </w:rPr>
        <w:t xml:space="preserve"> meeting</w:t>
      </w:r>
      <w:r w:rsidR="00FA0A6D" w:rsidRPr="007E61C6">
        <w:rPr>
          <w:lang w:val="en-NZ"/>
        </w:rPr>
        <w:t>s</w:t>
      </w:r>
      <w:r w:rsidRPr="007E61C6">
        <w:rPr>
          <w:lang w:val="en-NZ"/>
        </w:rPr>
        <w:t xml:space="preserve"> of WP 5B as well as in the intersessional meetings between WP 5B meetings. Various elements yet to be raised at these meetings. Some progress </w:t>
      </w:r>
      <w:r w:rsidR="00FA0A6D" w:rsidRPr="007E61C6">
        <w:rPr>
          <w:lang w:val="en-NZ"/>
        </w:rPr>
        <w:t>has</w:t>
      </w:r>
      <w:r w:rsidRPr="007E61C6">
        <w:rPr>
          <w:lang w:val="en-NZ"/>
        </w:rPr>
        <w:t xml:space="preserve"> </w:t>
      </w:r>
      <w:r w:rsidR="00FA0A6D" w:rsidRPr="007E61C6">
        <w:rPr>
          <w:lang w:val="en-NZ"/>
        </w:rPr>
        <w:t>been</w:t>
      </w:r>
      <w:r w:rsidRPr="007E61C6">
        <w:rPr>
          <w:lang w:val="en-NZ"/>
        </w:rPr>
        <w:t xml:space="preserve"> made </w:t>
      </w:r>
      <w:r w:rsidR="00FA0A6D" w:rsidRPr="007E61C6">
        <w:rPr>
          <w:lang w:val="en-NZ"/>
        </w:rPr>
        <w:t>on</w:t>
      </w:r>
      <w:r w:rsidRPr="007E61C6">
        <w:rPr>
          <w:lang w:val="en-NZ"/>
        </w:rPr>
        <w:t xml:space="preserve"> this </w:t>
      </w:r>
      <w:proofErr w:type="gramStart"/>
      <w:r w:rsidRPr="007E61C6">
        <w:rPr>
          <w:lang w:val="en-NZ"/>
        </w:rPr>
        <w:t>principle</w:t>
      </w:r>
      <w:proofErr w:type="gramEnd"/>
      <w:r w:rsidRPr="007E61C6">
        <w:rPr>
          <w:lang w:val="en-NZ"/>
        </w:rPr>
        <w:t xml:space="preserve"> document </w:t>
      </w:r>
      <w:r w:rsidR="00FA0A6D" w:rsidRPr="007E61C6">
        <w:rPr>
          <w:lang w:val="en-NZ"/>
        </w:rPr>
        <w:t>however</w:t>
      </w:r>
      <w:r w:rsidRPr="007E61C6">
        <w:rPr>
          <w:lang w:val="en-NZ"/>
        </w:rPr>
        <w:t xml:space="preserve"> it has not yet been completed. Until this </w:t>
      </w:r>
      <w:proofErr w:type="gramStart"/>
      <w:r w:rsidRPr="007E61C6">
        <w:rPr>
          <w:lang w:val="en-NZ"/>
        </w:rPr>
        <w:t>principle</w:t>
      </w:r>
      <w:proofErr w:type="gramEnd"/>
      <w:r w:rsidRPr="007E61C6">
        <w:rPr>
          <w:lang w:val="en-NZ"/>
        </w:rPr>
        <w:t xml:space="preserve"> document is finalized no actual work in this agenda item could be started. </w:t>
      </w:r>
    </w:p>
    <w:p w14:paraId="0975F0E3" w14:textId="6FB05AC8" w:rsidR="00281279" w:rsidRPr="007E61C6" w:rsidRDefault="00281279" w:rsidP="00281279">
      <w:pPr>
        <w:numPr>
          <w:ilvl w:val="0"/>
          <w:numId w:val="18"/>
        </w:numPr>
        <w:ind w:leftChars="145" w:left="708"/>
        <w:jc w:val="both"/>
        <w:rPr>
          <w:lang w:val="en-NZ"/>
        </w:rPr>
      </w:pPr>
      <w:bookmarkStart w:id="5" w:name="_Hlk87535261"/>
      <w:bookmarkEnd w:id="3"/>
      <w:r w:rsidRPr="007E61C6">
        <w:rPr>
          <w:lang w:val="en-NZ"/>
        </w:rPr>
        <w:t xml:space="preserve">This agenda item is very </w:t>
      </w:r>
      <w:bookmarkEnd w:id="5"/>
      <w:proofErr w:type="gramStart"/>
      <w:r w:rsidRPr="007E61C6">
        <w:rPr>
          <w:lang w:val="en-NZ"/>
        </w:rPr>
        <w:t>complex</w:t>
      </w:r>
      <w:proofErr w:type="gramEnd"/>
      <w:r w:rsidRPr="007E61C6">
        <w:rPr>
          <w:lang w:val="en-NZ"/>
        </w:rPr>
        <w:t xml:space="preserve"> and a </w:t>
      </w:r>
      <w:r w:rsidR="00F5376B" w:rsidRPr="007E61C6">
        <w:rPr>
          <w:lang w:val="en-NZ"/>
        </w:rPr>
        <w:t xml:space="preserve">considerable </w:t>
      </w:r>
      <w:r w:rsidR="00FA0A6D" w:rsidRPr="007E61C6">
        <w:rPr>
          <w:lang w:val="en-NZ"/>
        </w:rPr>
        <w:t>number</w:t>
      </w:r>
      <w:r w:rsidRPr="007E61C6">
        <w:rPr>
          <w:lang w:val="en-NZ"/>
        </w:rPr>
        <w:t xml:space="preserve"> of point</w:t>
      </w:r>
      <w:r w:rsidR="00FA0A6D" w:rsidRPr="007E61C6">
        <w:rPr>
          <w:lang w:val="en-NZ"/>
        </w:rPr>
        <w:t>s</w:t>
      </w:r>
      <w:r w:rsidRPr="007E61C6">
        <w:rPr>
          <w:lang w:val="en-NZ"/>
        </w:rPr>
        <w:t xml:space="preserve"> need to be further discussed and clarified in the principle document. Consequently, the work is behind schedule and may not be completed before the </w:t>
      </w:r>
      <w:r w:rsidR="00051C6E" w:rsidRPr="007E61C6">
        <w:rPr>
          <w:lang w:val="en-NZ"/>
        </w:rPr>
        <w:t>final</w:t>
      </w:r>
      <w:r w:rsidRPr="007E61C6">
        <w:rPr>
          <w:lang w:val="en-NZ"/>
        </w:rPr>
        <w:t xml:space="preserve"> date of submission of the Draft CPM text. </w:t>
      </w:r>
      <w:r w:rsidR="00F5376B" w:rsidRPr="007E61C6">
        <w:rPr>
          <w:lang w:val="en-NZ"/>
        </w:rPr>
        <w:t xml:space="preserve">Consequently, </w:t>
      </w:r>
      <w:r w:rsidRPr="007E61C6">
        <w:rPr>
          <w:lang w:val="en-NZ"/>
        </w:rPr>
        <w:t xml:space="preserve">activities related to the drafting of the Resolution, either as a new Resolution or a revised Resolution 155, has not been started. Moreover, no action has been taken with respect to the CPM </w:t>
      </w:r>
      <w:r w:rsidR="00F5376B" w:rsidRPr="007E61C6">
        <w:rPr>
          <w:lang w:val="en-NZ"/>
        </w:rPr>
        <w:t>text</w:t>
      </w:r>
      <w:r w:rsidR="008C5113" w:rsidRPr="007E61C6">
        <w:rPr>
          <w:lang w:val="en-NZ"/>
        </w:rPr>
        <w:t>.</w:t>
      </w:r>
      <w:r w:rsidRPr="007E61C6">
        <w:rPr>
          <w:lang w:val="en-NZ"/>
        </w:rPr>
        <w:t xml:space="preserve"> </w:t>
      </w:r>
      <w:r w:rsidR="008C5113" w:rsidRPr="007E61C6">
        <w:rPr>
          <w:lang w:val="en-NZ"/>
        </w:rPr>
        <w:t>I</w:t>
      </w:r>
      <w:r w:rsidRPr="007E61C6">
        <w:rPr>
          <w:lang w:val="en-NZ"/>
        </w:rPr>
        <w:t>n addition</w:t>
      </w:r>
      <w:r w:rsidR="008C5113" w:rsidRPr="007E61C6">
        <w:rPr>
          <w:lang w:val="en-NZ"/>
        </w:rPr>
        <w:t>,</w:t>
      </w:r>
      <w:r w:rsidRPr="007E61C6">
        <w:rPr>
          <w:lang w:val="en-NZ"/>
        </w:rPr>
        <w:t xml:space="preserve"> technical annex</w:t>
      </w:r>
      <w:r w:rsidR="008C5113" w:rsidRPr="007E61C6">
        <w:rPr>
          <w:lang w:val="en-NZ"/>
        </w:rPr>
        <w:t>es</w:t>
      </w:r>
      <w:r w:rsidRPr="007E61C6">
        <w:rPr>
          <w:lang w:val="en-NZ"/>
        </w:rPr>
        <w:t xml:space="preserve"> to be attached to the CPM </w:t>
      </w:r>
      <w:r w:rsidR="00F5376B" w:rsidRPr="007E61C6">
        <w:rPr>
          <w:lang w:val="en-NZ"/>
        </w:rPr>
        <w:t>text</w:t>
      </w:r>
      <w:r w:rsidRPr="007E61C6">
        <w:rPr>
          <w:lang w:val="en-NZ"/>
        </w:rPr>
        <w:t xml:space="preserve"> or </w:t>
      </w:r>
      <w:r w:rsidR="008C5113" w:rsidRPr="007E61C6">
        <w:rPr>
          <w:lang w:val="en-NZ"/>
        </w:rPr>
        <w:t xml:space="preserve">to </w:t>
      </w:r>
      <w:r w:rsidRPr="007E61C6">
        <w:rPr>
          <w:lang w:val="en-NZ"/>
        </w:rPr>
        <w:t xml:space="preserve">the Resolution </w:t>
      </w:r>
      <w:r w:rsidR="00F5376B" w:rsidRPr="007E61C6">
        <w:rPr>
          <w:lang w:val="en-NZ"/>
        </w:rPr>
        <w:t xml:space="preserve">have </w:t>
      </w:r>
      <w:r w:rsidRPr="007E61C6">
        <w:rPr>
          <w:lang w:val="en-NZ"/>
        </w:rPr>
        <w:t xml:space="preserve">yet to be finalized. </w:t>
      </w:r>
    </w:p>
    <w:bookmarkEnd w:id="2"/>
    <w:p w14:paraId="3565EC59" w14:textId="15ABD2F0" w:rsidR="005206E9" w:rsidRPr="007E61C6" w:rsidRDefault="005206E9">
      <w:pPr>
        <w:rPr>
          <w:b/>
          <w:lang w:val="en-NZ" w:eastAsia="ko-KR"/>
        </w:rPr>
      </w:pPr>
    </w:p>
    <w:p w14:paraId="4AC2A34F" w14:textId="4D0E3B36" w:rsidR="00036144" w:rsidRPr="007E61C6" w:rsidRDefault="002A0111" w:rsidP="002A0111">
      <w:pPr>
        <w:spacing w:after="120"/>
        <w:jc w:val="both"/>
        <w:rPr>
          <w:b/>
          <w:lang w:val="en-NZ" w:eastAsia="ko-KR"/>
        </w:rPr>
      </w:pPr>
      <w:r w:rsidRPr="007E61C6">
        <w:rPr>
          <w:b/>
          <w:lang w:val="en-NZ" w:eastAsia="ko-KR"/>
        </w:rPr>
        <w:t xml:space="preserve">4. </w:t>
      </w:r>
      <w:r w:rsidRPr="007E61C6">
        <w:rPr>
          <w:b/>
          <w:lang w:val="en-NZ" w:eastAsia="ko-KR"/>
        </w:rPr>
        <w:tab/>
        <w:t>APT Preliminary View(s)</w:t>
      </w:r>
    </w:p>
    <w:p w14:paraId="035341A2" w14:textId="791D1A18" w:rsidR="00A700A8" w:rsidRPr="007E61C6" w:rsidRDefault="00F96FE1">
      <w:pPr>
        <w:numPr>
          <w:ilvl w:val="0"/>
          <w:numId w:val="18"/>
        </w:numPr>
        <w:ind w:leftChars="145" w:left="708"/>
        <w:jc w:val="both"/>
        <w:rPr>
          <w:rFonts w:eastAsia="MS Mincho"/>
          <w:bCs/>
          <w:lang w:val="en-NZ" w:eastAsia="ja-JP"/>
        </w:rPr>
      </w:pPr>
      <w:r w:rsidRPr="007E61C6">
        <w:rPr>
          <w:rFonts w:eastAsia="MS Mincho"/>
          <w:lang w:val="en-NZ" w:eastAsia="ja-JP"/>
        </w:rPr>
        <w:t xml:space="preserve">APT Members </w:t>
      </w:r>
      <w:bookmarkStart w:id="6" w:name="_Hlk87536262"/>
      <w:r w:rsidR="00752089" w:rsidRPr="007E61C6">
        <w:rPr>
          <w:rFonts w:eastAsia="MS Mincho"/>
          <w:lang w:val="en-NZ" w:eastAsia="ja-JP"/>
        </w:rPr>
        <w:t>support</w:t>
      </w:r>
      <w:r w:rsidRPr="007E61C6">
        <w:rPr>
          <w:rFonts w:eastAsia="MS Mincho"/>
          <w:lang w:val="en-NZ" w:eastAsia="ja-JP"/>
        </w:rPr>
        <w:t xml:space="preserve"> </w:t>
      </w:r>
      <w:r w:rsidR="00DC368E" w:rsidRPr="007E61C6">
        <w:rPr>
          <w:rFonts w:eastAsia="MS Mincho"/>
          <w:lang w:val="en-NZ" w:eastAsia="ja-JP"/>
        </w:rPr>
        <w:t>ongoing studies being carried out by ITU-R WP 5B</w:t>
      </w:r>
      <w:r w:rsidRPr="007E61C6">
        <w:rPr>
          <w:rFonts w:eastAsia="MS Mincho"/>
          <w:lang w:val="en-NZ" w:eastAsia="ja-JP"/>
        </w:rPr>
        <w:t xml:space="preserve"> in relation to</w:t>
      </w:r>
      <w:r w:rsidR="00DC368E" w:rsidRPr="007E61C6">
        <w:rPr>
          <w:rFonts w:eastAsia="MS Mincho"/>
          <w:lang w:val="en-NZ" w:eastAsia="ja-JP"/>
        </w:rPr>
        <w:t xml:space="preserve"> Agenda Item 1.8 </w:t>
      </w:r>
      <w:r w:rsidR="001462E8" w:rsidRPr="007E61C6">
        <w:rPr>
          <w:rFonts w:eastAsia="MS Mincho"/>
          <w:lang w:val="en-NZ" w:eastAsia="ja-JP"/>
        </w:rPr>
        <w:t xml:space="preserve">in accordance with </w:t>
      </w:r>
      <w:r w:rsidR="00DC368E" w:rsidRPr="007E61C6">
        <w:rPr>
          <w:rFonts w:eastAsia="MS Mincho"/>
          <w:lang w:val="en-NZ" w:eastAsia="ja-JP"/>
        </w:rPr>
        <w:t xml:space="preserve">Resolution </w:t>
      </w:r>
      <w:r w:rsidR="00DC368E" w:rsidRPr="007E61C6">
        <w:rPr>
          <w:rFonts w:eastAsia="MS Mincho"/>
          <w:b/>
          <w:lang w:val="en-NZ" w:eastAsia="ja-JP"/>
        </w:rPr>
        <w:t>171 (WRC-19).</w:t>
      </w:r>
      <w:r w:rsidR="00281279" w:rsidRPr="007E61C6">
        <w:rPr>
          <w:rFonts w:eastAsia="MS Mincho"/>
          <w:b/>
          <w:lang w:val="en-NZ" w:eastAsia="ja-JP"/>
        </w:rPr>
        <w:t xml:space="preserve"> </w:t>
      </w:r>
    </w:p>
    <w:bookmarkEnd w:id="6"/>
    <w:p w14:paraId="298565EF" w14:textId="614FCF74" w:rsidR="002A0111" w:rsidRPr="007E61C6" w:rsidRDefault="002A0111" w:rsidP="002A0111">
      <w:pPr>
        <w:rPr>
          <w:lang w:val="en-NZ"/>
        </w:rPr>
      </w:pPr>
    </w:p>
    <w:p w14:paraId="7F587363" w14:textId="5F1E5A39" w:rsidR="008C5113" w:rsidRPr="007E61C6" w:rsidRDefault="002A0111" w:rsidP="002A0111">
      <w:pPr>
        <w:spacing w:after="120"/>
        <w:jc w:val="both"/>
        <w:rPr>
          <w:b/>
          <w:lang w:val="en-NZ" w:eastAsia="ko-KR"/>
        </w:rPr>
      </w:pPr>
      <w:r w:rsidRPr="007E61C6">
        <w:rPr>
          <w:b/>
          <w:lang w:val="en-NZ" w:eastAsia="ko-KR"/>
        </w:rPr>
        <w:t xml:space="preserve">5. </w:t>
      </w:r>
      <w:r w:rsidRPr="007E61C6">
        <w:rPr>
          <w:b/>
          <w:lang w:val="en-NZ" w:eastAsia="ko-KR"/>
        </w:rPr>
        <w:tab/>
        <w:t>Other View(s) from APT Members</w:t>
      </w:r>
    </w:p>
    <w:p w14:paraId="2A7817BF" w14:textId="11B0BB0E" w:rsidR="004A7138" w:rsidRDefault="007E61C6" w:rsidP="007E61C6">
      <w:pPr>
        <w:spacing w:after="120"/>
        <w:ind w:firstLine="720"/>
        <w:jc w:val="both"/>
      </w:pPr>
      <w:r w:rsidRPr="007E61C6">
        <w:t>N</w:t>
      </w:r>
      <w:r w:rsidR="004A7138" w:rsidRPr="007E61C6">
        <w:t>one</w:t>
      </w:r>
    </w:p>
    <w:p w14:paraId="1CF4908F" w14:textId="62F3CC1A" w:rsidR="002A0111" w:rsidRPr="007E61C6" w:rsidRDefault="002A0111" w:rsidP="00E15877">
      <w:pPr>
        <w:spacing w:afterLines="60" w:after="144"/>
        <w:jc w:val="both"/>
        <w:rPr>
          <w:b/>
          <w:lang w:val="en-NZ" w:eastAsia="ko-KR"/>
        </w:rPr>
      </w:pPr>
      <w:r w:rsidRPr="007E61C6">
        <w:rPr>
          <w:b/>
          <w:lang w:val="en-NZ" w:eastAsia="ko-KR"/>
        </w:rPr>
        <w:t xml:space="preserve">6. </w:t>
      </w:r>
      <w:r w:rsidRPr="007E61C6">
        <w:rPr>
          <w:b/>
          <w:lang w:val="en-NZ" w:eastAsia="ko-KR"/>
        </w:rPr>
        <w:tab/>
        <w:t>Issues for Consideration at Next APG Meeting</w:t>
      </w:r>
    </w:p>
    <w:p w14:paraId="6D5A77DE" w14:textId="11588A31" w:rsidR="002A0111" w:rsidRDefault="00F0196E" w:rsidP="00F0196E">
      <w:pPr>
        <w:numPr>
          <w:ilvl w:val="0"/>
          <w:numId w:val="18"/>
        </w:numPr>
        <w:ind w:leftChars="145" w:left="708"/>
        <w:jc w:val="both"/>
        <w:rPr>
          <w:lang w:val="en-NZ"/>
        </w:rPr>
      </w:pPr>
      <w:r w:rsidRPr="007E61C6">
        <w:rPr>
          <w:lang w:val="en-NZ"/>
        </w:rPr>
        <w:t>APT Members are encouraged to participate in relevant studies and submit their contributions to WP 5B and future APG meetings</w:t>
      </w:r>
      <w:r w:rsidR="006D6C5A">
        <w:rPr>
          <w:lang w:val="en-NZ"/>
        </w:rPr>
        <w:t xml:space="preserve"> in relation with the item </w:t>
      </w:r>
      <w:proofErr w:type="gramStart"/>
      <w:r w:rsidR="006D6C5A">
        <w:rPr>
          <w:lang w:val="en-NZ"/>
        </w:rPr>
        <w:t>mention</w:t>
      </w:r>
      <w:proofErr w:type="gramEnd"/>
      <w:r w:rsidR="006D6C5A">
        <w:rPr>
          <w:lang w:val="en-NZ"/>
        </w:rPr>
        <w:t xml:space="preserve"> below</w:t>
      </w:r>
      <w:r w:rsidR="00DB4FE3" w:rsidRPr="007E61C6">
        <w:rPr>
          <w:lang w:val="en-NZ"/>
        </w:rPr>
        <w:t>.</w:t>
      </w:r>
    </w:p>
    <w:p w14:paraId="3A8DF904" w14:textId="7E3EB14D" w:rsidR="006D6C5A" w:rsidRPr="006D6C5A" w:rsidRDefault="006D6C5A">
      <w:pPr>
        <w:numPr>
          <w:ilvl w:val="0"/>
          <w:numId w:val="18"/>
        </w:numPr>
        <w:ind w:leftChars="145" w:left="708"/>
        <w:jc w:val="both"/>
        <w:rPr>
          <w:lang w:val="en-NZ"/>
        </w:rPr>
      </w:pPr>
      <w:r w:rsidRPr="006D6C5A">
        <w:rPr>
          <w:lang w:val="en-NZ"/>
        </w:rPr>
        <w:t xml:space="preserve"> </w:t>
      </w:r>
      <w:proofErr w:type="gramStart"/>
      <w:r>
        <w:rPr>
          <w:lang w:val="en-NZ"/>
        </w:rPr>
        <w:t>Taking into account</w:t>
      </w:r>
      <w:proofErr w:type="gramEnd"/>
      <w:r>
        <w:rPr>
          <w:lang w:val="en-NZ"/>
        </w:rPr>
        <w:t xml:space="preserve"> </w:t>
      </w:r>
      <w:r w:rsidRPr="006D6C5A">
        <w:rPr>
          <w:lang w:val="en-NZ"/>
        </w:rPr>
        <w:t>section 3.2 above, considerable amount of work and efforts are required in order to prepare the CPM text and associated Resolution as well as technical annexes to the Resolution on this agenda item.</w:t>
      </w:r>
    </w:p>
    <w:p w14:paraId="42B56926" w14:textId="77777777" w:rsidR="002A0111" w:rsidRPr="007E61C6" w:rsidRDefault="002A0111" w:rsidP="003D3D47">
      <w:pPr>
        <w:jc w:val="both"/>
        <w:rPr>
          <w:lang w:val="en-NZ"/>
        </w:rPr>
      </w:pPr>
    </w:p>
    <w:p w14:paraId="448FA70E" w14:textId="77777777" w:rsidR="003D3D47" w:rsidRPr="007E61C6" w:rsidRDefault="002A0111" w:rsidP="00A03D78">
      <w:pPr>
        <w:jc w:val="both"/>
        <w:rPr>
          <w:lang w:val="en-NZ"/>
        </w:rPr>
      </w:pPr>
      <w:r w:rsidRPr="007E61C6">
        <w:rPr>
          <w:b/>
          <w:lang w:val="en-NZ"/>
        </w:rPr>
        <w:t xml:space="preserve">7. </w:t>
      </w:r>
      <w:r w:rsidRPr="007E61C6">
        <w:rPr>
          <w:b/>
          <w:lang w:val="en-NZ"/>
        </w:rPr>
        <w:tab/>
        <w:t xml:space="preserve">Views from Other Organisations </w:t>
      </w:r>
      <w:r w:rsidRPr="007E61C6">
        <w:rPr>
          <w:lang w:val="en-NZ"/>
        </w:rPr>
        <w:t xml:space="preserve">(as provided in the information documents to </w:t>
      </w:r>
    </w:p>
    <w:p w14:paraId="56088C2A" w14:textId="7101032C" w:rsidR="002A0111" w:rsidRPr="007E61C6" w:rsidRDefault="002A0111" w:rsidP="00A03D78">
      <w:pPr>
        <w:ind w:firstLine="720"/>
        <w:jc w:val="both"/>
        <w:rPr>
          <w:lang w:val="en-NZ"/>
        </w:rPr>
      </w:pPr>
      <w:r w:rsidRPr="007E61C6">
        <w:rPr>
          <w:lang w:val="en-NZ"/>
        </w:rPr>
        <w:t>APG</w:t>
      </w:r>
      <w:r w:rsidR="006B09DB" w:rsidRPr="007E61C6">
        <w:rPr>
          <w:lang w:val="en-NZ"/>
        </w:rPr>
        <w:t>23</w:t>
      </w:r>
      <w:r w:rsidR="003D3D47" w:rsidRPr="007E61C6">
        <w:rPr>
          <w:lang w:val="en-NZ"/>
        </w:rPr>
        <w:t>-</w:t>
      </w:r>
      <w:r w:rsidR="0026001F" w:rsidRPr="007E61C6">
        <w:rPr>
          <w:lang w:val="en-NZ"/>
        </w:rPr>
        <w:t>3</w:t>
      </w:r>
      <w:r w:rsidR="003D3D47" w:rsidRPr="007E61C6">
        <w:rPr>
          <w:lang w:val="en-NZ"/>
        </w:rPr>
        <w:t>)</w:t>
      </w:r>
    </w:p>
    <w:p w14:paraId="20F61D6C" w14:textId="77777777" w:rsidR="002A0111" w:rsidRPr="007E61C6" w:rsidRDefault="002A0111" w:rsidP="003D3D47">
      <w:pPr>
        <w:jc w:val="both"/>
        <w:rPr>
          <w:lang w:val="en-NZ"/>
        </w:rPr>
      </w:pPr>
    </w:p>
    <w:p w14:paraId="7C67028A" w14:textId="6BBB1E84" w:rsidR="0026001F" w:rsidRPr="007E61C6" w:rsidRDefault="005206E9" w:rsidP="002A0111">
      <w:pPr>
        <w:spacing w:after="120"/>
        <w:jc w:val="both"/>
        <w:rPr>
          <w:b/>
          <w:lang w:val="en-NZ" w:eastAsia="ko-KR"/>
        </w:rPr>
      </w:pPr>
      <w:r w:rsidRPr="007E61C6">
        <w:rPr>
          <w:b/>
          <w:lang w:val="en-NZ" w:eastAsia="ko-KR"/>
        </w:rPr>
        <w:t>7</w:t>
      </w:r>
      <w:r w:rsidR="002A0111" w:rsidRPr="007E61C6">
        <w:rPr>
          <w:b/>
          <w:lang w:val="en-NZ" w:eastAsia="ko-KR"/>
        </w:rPr>
        <w:t>.</w:t>
      </w:r>
      <w:r w:rsidR="0026001F" w:rsidRPr="007E61C6">
        <w:rPr>
          <w:b/>
          <w:lang w:val="en-NZ" w:eastAsia="ko-KR"/>
        </w:rPr>
        <w:t>1. Regional group</w:t>
      </w:r>
    </w:p>
    <w:p w14:paraId="28CC8B77" w14:textId="78ED339B" w:rsidR="002A0111" w:rsidRPr="007E61C6" w:rsidRDefault="0026001F" w:rsidP="002A0111">
      <w:pPr>
        <w:spacing w:after="120"/>
        <w:jc w:val="both"/>
        <w:rPr>
          <w:b/>
          <w:lang w:val="en-NZ" w:eastAsia="ko-KR"/>
        </w:rPr>
      </w:pPr>
      <w:r w:rsidRPr="007E61C6">
        <w:rPr>
          <w:b/>
          <w:lang w:val="en-NZ" w:eastAsia="ko-KR"/>
        </w:rPr>
        <w:t>7.1.1</w:t>
      </w:r>
      <w:r w:rsidR="002A0111" w:rsidRPr="007E61C6">
        <w:rPr>
          <w:b/>
          <w:lang w:val="en-NZ" w:eastAsia="ko-KR"/>
        </w:rPr>
        <w:t xml:space="preserve"> </w:t>
      </w:r>
      <w:r w:rsidR="002A0111" w:rsidRPr="007E61C6">
        <w:rPr>
          <w:b/>
          <w:lang w:val="en-NZ" w:eastAsia="ko-KR"/>
        </w:rPr>
        <w:tab/>
        <w:t xml:space="preserve">CEPT </w:t>
      </w:r>
      <w:r w:rsidR="002A0111" w:rsidRPr="007E61C6">
        <w:t xml:space="preserve">- </w:t>
      </w:r>
      <w:r w:rsidR="002A0111" w:rsidRPr="007E61C6">
        <w:rPr>
          <w:b/>
          <w:lang w:val="en-NZ" w:eastAsia="ko-KR"/>
        </w:rPr>
        <w:t xml:space="preserve">Document </w:t>
      </w:r>
      <w:r w:rsidR="00F24B1A" w:rsidRPr="007E61C6">
        <w:rPr>
          <w:b/>
          <w:lang w:val="en-NZ" w:eastAsia="ko-KR"/>
        </w:rPr>
        <w:t>APG23-</w:t>
      </w:r>
      <w:r w:rsidRPr="007E61C6">
        <w:rPr>
          <w:b/>
          <w:lang w:val="en-NZ" w:eastAsia="ko-KR"/>
        </w:rPr>
        <w:t>3</w:t>
      </w:r>
      <w:r w:rsidR="00F24B1A" w:rsidRPr="007E61C6">
        <w:rPr>
          <w:b/>
          <w:lang w:val="en-NZ" w:eastAsia="ko-KR"/>
        </w:rPr>
        <w:t>/INF-</w:t>
      </w:r>
      <w:r w:rsidRPr="007E61C6">
        <w:rPr>
          <w:b/>
          <w:lang w:val="en-NZ" w:eastAsia="ko-KR"/>
        </w:rPr>
        <w:t>20</w:t>
      </w:r>
    </w:p>
    <w:p w14:paraId="7CE41EDF" w14:textId="77777777" w:rsidR="002C3578" w:rsidRPr="007E61C6" w:rsidRDefault="002C3578" w:rsidP="00C20ACE">
      <w:pPr>
        <w:spacing w:after="120"/>
        <w:ind w:firstLine="360"/>
        <w:jc w:val="both"/>
      </w:pPr>
      <w:r w:rsidRPr="007E61C6">
        <w:lastRenderedPageBreak/>
        <w:t>CEPT acknowledges the opportunities of the use of networks of the FSS for UAS CNPC links and CEPT is of the view that UAS CNPC links using FSS in non‐segregated airspace shall operate:</w:t>
      </w:r>
    </w:p>
    <w:p w14:paraId="38D38B36" w14:textId="635274E5" w:rsidR="002C3578" w:rsidRPr="007E61C6" w:rsidRDefault="002C3578" w:rsidP="002C3578">
      <w:pPr>
        <w:pStyle w:val="ListParagraph"/>
        <w:numPr>
          <w:ilvl w:val="1"/>
          <w:numId w:val="31"/>
        </w:numPr>
        <w:spacing w:after="120"/>
        <w:jc w:val="both"/>
      </w:pPr>
      <w:r w:rsidRPr="007E61C6">
        <w:t>In accordance with ICAO SARPs (see resolves 3 of Resolution 155 (Rev.WRC‐19)</w:t>
      </w:r>
      <w:proofErr w:type="gramStart"/>
      <w:r w:rsidRPr="007E61C6">
        <w:t>);</w:t>
      </w:r>
      <w:proofErr w:type="gramEnd"/>
      <w:r w:rsidRPr="007E61C6">
        <w:t xml:space="preserve"> </w:t>
      </w:r>
    </w:p>
    <w:p w14:paraId="0F5F1CDC" w14:textId="686E7877" w:rsidR="002C3578" w:rsidRPr="007E61C6" w:rsidRDefault="002C3578" w:rsidP="002C3578">
      <w:pPr>
        <w:pStyle w:val="ListParagraph"/>
        <w:numPr>
          <w:ilvl w:val="1"/>
          <w:numId w:val="31"/>
        </w:numPr>
        <w:spacing w:after="120"/>
        <w:jc w:val="both"/>
      </w:pPr>
      <w:r w:rsidRPr="007E61C6">
        <w:t>Under successfully coordinated assignments for FSS applications notified with class of earth station “UG” (see resolves 2 and 13 of Resolution 155 (Rev.WRC‐19)). CEPT is of the view that the safety aspects of UAS CNPC shall not have any impact on:</w:t>
      </w:r>
    </w:p>
    <w:p w14:paraId="6EFE1AC5" w14:textId="1BCAA973" w:rsidR="002C3578" w:rsidRPr="007E61C6" w:rsidRDefault="002C3578" w:rsidP="002C3578">
      <w:pPr>
        <w:pStyle w:val="ListParagraph"/>
        <w:numPr>
          <w:ilvl w:val="1"/>
          <w:numId w:val="31"/>
        </w:numPr>
        <w:spacing w:after="120"/>
        <w:jc w:val="both"/>
      </w:pPr>
      <w:r w:rsidRPr="007E61C6">
        <w:t>The existing terrestrial services and their current and expected applications (see resolves 8 of Resolution 155 (Rev.WRC‐19)</w:t>
      </w:r>
      <w:proofErr w:type="gramStart"/>
      <w:r w:rsidRPr="007E61C6">
        <w:t>);</w:t>
      </w:r>
      <w:proofErr w:type="gramEnd"/>
      <w:r w:rsidRPr="007E61C6">
        <w:t xml:space="preserve"> </w:t>
      </w:r>
    </w:p>
    <w:p w14:paraId="6954E8D5" w14:textId="71EBE9E6" w:rsidR="002C3578" w:rsidRPr="007E61C6" w:rsidRDefault="002C3578" w:rsidP="002C3578">
      <w:pPr>
        <w:pStyle w:val="ListParagraph"/>
        <w:numPr>
          <w:ilvl w:val="1"/>
          <w:numId w:val="31"/>
        </w:numPr>
        <w:spacing w:after="120"/>
        <w:jc w:val="both"/>
      </w:pPr>
      <w:r w:rsidRPr="007E61C6">
        <w:t>The relevant existing agreements reached during FSS satellite coordination process (see resolves 6, 7, and 9 of Resolution 155 (Rev.WRC‐19)</w:t>
      </w:r>
      <w:proofErr w:type="gramStart"/>
      <w:r w:rsidRPr="007E61C6">
        <w:t>);</w:t>
      </w:r>
      <w:proofErr w:type="gramEnd"/>
      <w:r w:rsidRPr="007E61C6">
        <w:t xml:space="preserve"> </w:t>
      </w:r>
    </w:p>
    <w:p w14:paraId="1DD8E8DE" w14:textId="7917E9D4" w:rsidR="002C3578" w:rsidRPr="007E61C6" w:rsidRDefault="002C3578" w:rsidP="002C3578">
      <w:pPr>
        <w:pStyle w:val="ListParagraph"/>
        <w:numPr>
          <w:ilvl w:val="1"/>
          <w:numId w:val="31"/>
        </w:numPr>
        <w:spacing w:after="120"/>
        <w:jc w:val="both"/>
      </w:pPr>
      <w:r w:rsidRPr="007E61C6">
        <w:t>The future coordination of FSS networks during the application of provisions of Articles 9 and 11 of the RR (see resolves 9 of Resolution 155 (Rev.WRC‐19)</w:t>
      </w:r>
      <w:proofErr w:type="gramStart"/>
      <w:r w:rsidRPr="007E61C6">
        <w:t>);</w:t>
      </w:r>
      <w:proofErr w:type="gramEnd"/>
      <w:r w:rsidRPr="007E61C6">
        <w:t xml:space="preserve"> </w:t>
      </w:r>
    </w:p>
    <w:p w14:paraId="3EE1A8EF" w14:textId="473A6639" w:rsidR="002C3578" w:rsidRPr="007E61C6" w:rsidRDefault="002C3578" w:rsidP="002C3578">
      <w:pPr>
        <w:pStyle w:val="ListParagraph"/>
        <w:numPr>
          <w:ilvl w:val="1"/>
          <w:numId w:val="31"/>
        </w:numPr>
        <w:spacing w:after="120"/>
        <w:jc w:val="both"/>
        <w:rPr>
          <w:b/>
          <w:lang w:val="en-NZ" w:eastAsia="ko-KR"/>
        </w:rPr>
      </w:pPr>
      <w:r w:rsidRPr="007E61C6">
        <w:t>All cases which fall under RR 11.41 (see resolves 9 of Resolution 155 (Rev.WRC‐19)).</w:t>
      </w:r>
    </w:p>
    <w:p w14:paraId="58BADA7D" w14:textId="77777777" w:rsidR="002C3578" w:rsidRPr="007E61C6" w:rsidRDefault="002C3578" w:rsidP="00C20ACE">
      <w:pPr>
        <w:spacing w:after="120"/>
        <w:ind w:firstLine="360"/>
        <w:jc w:val="both"/>
        <w:rPr>
          <w:b/>
        </w:rPr>
      </w:pPr>
      <w:r w:rsidRPr="007E61C6">
        <w:t>CEPT is of the view that:</w:t>
      </w:r>
    </w:p>
    <w:p w14:paraId="506C01E4" w14:textId="645DDA62" w:rsidR="002C3578" w:rsidRPr="007E61C6" w:rsidRDefault="002C3578" w:rsidP="002C3578">
      <w:pPr>
        <w:pStyle w:val="ListParagraph"/>
        <w:numPr>
          <w:ilvl w:val="0"/>
          <w:numId w:val="32"/>
        </w:numPr>
        <w:spacing w:after="120"/>
        <w:jc w:val="both"/>
      </w:pPr>
      <w:proofErr w:type="gramStart"/>
      <w:r w:rsidRPr="007E61C6">
        <w:t>In order to</w:t>
      </w:r>
      <w:proofErr w:type="gramEnd"/>
      <w:r w:rsidRPr="007E61C6">
        <w:t xml:space="preserve"> ensure safety‐of‐flight operation of UAS, the administrations responsible for the operation of UAS CNPC links under the ICAO SARPs shall take the required measures on their side to ensure freedom from harmful interference to earth stations on board UA. (</w:t>
      </w:r>
      <w:proofErr w:type="gramStart"/>
      <w:r w:rsidRPr="007E61C6">
        <w:t>see</w:t>
      </w:r>
      <w:proofErr w:type="gramEnd"/>
      <w:r w:rsidRPr="007E61C6">
        <w:t xml:space="preserve"> resolves 7 and 13 of Resolution 155 (Rev.WRC‐19)). </w:t>
      </w:r>
    </w:p>
    <w:p w14:paraId="4A076C7C" w14:textId="36D23854" w:rsidR="002C3578" w:rsidRPr="007E61C6" w:rsidRDefault="002C3578" w:rsidP="002C3578">
      <w:pPr>
        <w:pStyle w:val="ListParagraph"/>
        <w:numPr>
          <w:ilvl w:val="0"/>
          <w:numId w:val="32"/>
        </w:numPr>
        <w:spacing w:after="120"/>
        <w:jc w:val="both"/>
      </w:pPr>
      <w:r w:rsidRPr="007E61C6">
        <w:t xml:space="preserve">The </w:t>
      </w:r>
      <w:proofErr w:type="spellStart"/>
      <w:r w:rsidRPr="007E61C6">
        <w:t>pfd</w:t>
      </w:r>
      <w:proofErr w:type="spellEnd"/>
      <w:r w:rsidRPr="007E61C6">
        <w:t xml:space="preserve"> mask labelled as example b in Annex 2 of Resolution 155 (Rev. WRC‐19) is appropriate to protect the terrestrial services. </w:t>
      </w:r>
    </w:p>
    <w:p w14:paraId="7A3F2B78" w14:textId="7961BABF" w:rsidR="002C3578" w:rsidRPr="007E61C6" w:rsidRDefault="002C3578" w:rsidP="002C3578">
      <w:pPr>
        <w:pStyle w:val="ListParagraph"/>
        <w:numPr>
          <w:ilvl w:val="0"/>
          <w:numId w:val="32"/>
        </w:numPr>
        <w:spacing w:after="120"/>
        <w:jc w:val="both"/>
      </w:pPr>
      <w:r w:rsidRPr="007E61C6">
        <w:t xml:space="preserve">The RR No. 5.149 for the protection of Radio astronomy from harmful interference in the frequency band 14.47‐14.5 GHz </w:t>
      </w:r>
      <w:proofErr w:type="gramStart"/>
      <w:r w:rsidRPr="007E61C6">
        <w:t>has to</w:t>
      </w:r>
      <w:proofErr w:type="gramEnd"/>
      <w:r w:rsidRPr="007E61C6">
        <w:t xml:space="preserve"> be taken into account (see resolves 17 of 155 (Rev.WRC‐19)). </w:t>
      </w:r>
    </w:p>
    <w:p w14:paraId="7E3F3D64" w14:textId="7D35F236" w:rsidR="002C3578" w:rsidRPr="007E61C6" w:rsidRDefault="002C3578" w:rsidP="002C3578">
      <w:pPr>
        <w:pStyle w:val="ListParagraph"/>
        <w:numPr>
          <w:ilvl w:val="0"/>
          <w:numId w:val="32"/>
        </w:numPr>
        <w:spacing w:after="120"/>
        <w:jc w:val="both"/>
      </w:pPr>
      <w:r w:rsidRPr="007E61C6">
        <w:t>If the conditions for the safety operation of CNPC established by ICAO cannot be met with the existing FSS link as it stands, then this link should not be used for UAS</w:t>
      </w:r>
    </w:p>
    <w:p w14:paraId="58AD3335" w14:textId="4A85D7A4" w:rsidR="00617ADE" w:rsidRPr="007E61C6" w:rsidRDefault="002C3578" w:rsidP="007E61C6">
      <w:pPr>
        <w:spacing w:after="120"/>
        <w:ind w:firstLine="360"/>
        <w:jc w:val="both"/>
      </w:pPr>
      <w:r w:rsidRPr="007E61C6">
        <w:t xml:space="preserve">CEPT recognizes that ICAO is responsible for the safe operation of aircraft including UAS and is developing appropriate SARPs covering all aspects of safe operation of UAS including the required communication system. </w:t>
      </w:r>
    </w:p>
    <w:p w14:paraId="76500366" w14:textId="301984F4" w:rsidR="00617ADE" w:rsidRPr="007E61C6" w:rsidRDefault="00617ADE" w:rsidP="00617ADE">
      <w:pPr>
        <w:spacing w:after="120"/>
        <w:jc w:val="both"/>
        <w:rPr>
          <w:b/>
          <w:lang w:val="en-NZ" w:eastAsia="ko-KR"/>
        </w:rPr>
      </w:pPr>
      <w:r w:rsidRPr="007E61C6">
        <w:rPr>
          <w:b/>
          <w:lang w:val="en-NZ" w:eastAsia="ko-KR"/>
        </w:rPr>
        <w:t>7.1.</w:t>
      </w:r>
      <w:r w:rsidR="004A7138" w:rsidRPr="007E61C6">
        <w:rPr>
          <w:b/>
          <w:lang w:val="en-NZ" w:eastAsia="ko-KR"/>
        </w:rPr>
        <w:t>2</w:t>
      </w:r>
      <w:r w:rsidRPr="007E61C6">
        <w:rPr>
          <w:b/>
          <w:lang w:val="en-NZ" w:eastAsia="ko-KR"/>
        </w:rPr>
        <w:t xml:space="preserve"> </w:t>
      </w:r>
      <w:r w:rsidRPr="007E61C6">
        <w:rPr>
          <w:b/>
          <w:lang w:val="en-NZ" w:eastAsia="ko-KR"/>
        </w:rPr>
        <w:tab/>
        <w:t xml:space="preserve">ATU </w:t>
      </w:r>
      <w:r w:rsidRPr="007E61C6">
        <w:t xml:space="preserve">- </w:t>
      </w:r>
      <w:r w:rsidRPr="007E61C6">
        <w:rPr>
          <w:b/>
          <w:lang w:val="en-NZ" w:eastAsia="ko-KR"/>
        </w:rPr>
        <w:t>Document APG23-3/INF-39</w:t>
      </w:r>
    </w:p>
    <w:p w14:paraId="313917BA" w14:textId="0949AC85" w:rsidR="00617ADE" w:rsidRPr="007E61C6" w:rsidRDefault="00617ADE" w:rsidP="002C3578">
      <w:pPr>
        <w:spacing w:after="120"/>
        <w:ind w:firstLine="360"/>
        <w:jc w:val="both"/>
        <w:rPr>
          <w:lang w:val="en-GB"/>
        </w:rPr>
      </w:pPr>
      <w:r w:rsidRPr="007E61C6">
        <w:rPr>
          <w:lang w:val="en-GB"/>
        </w:rPr>
        <w:t>The APM23-2 agreed to support the review and possible revision of Resolution 155 (Rev.WRC-19) and No. 5.484B in the frequency bands to which they apply. Specifically, support the application of safety of life standards with UAS CNPC links and ensure that the requirements of ICAO with respect to UAS CNPC links operations are considered, as well as ensure the protection of the current systems operating in terrestrial and space services without adversely affecting these services.</w:t>
      </w:r>
    </w:p>
    <w:p w14:paraId="294000A6" w14:textId="11980204" w:rsidR="002A0111" w:rsidRPr="007E61C6" w:rsidRDefault="005206E9" w:rsidP="002A0111">
      <w:pPr>
        <w:spacing w:after="120"/>
        <w:jc w:val="both"/>
        <w:rPr>
          <w:b/>
          <w:lang w:val="en-NZ" w:eastAsia="ko-KR"/>
        </w:rPr>
      </w:pPr>
      <w:r w:rsidRPr="007E61C6">
        <w:rPr>
          <w:b/>
          <w:lang w:val="en-NZ" w:eastAsia="ko-KR"/>
        </w:rPr>
        <w:t>7</w:t>
      </w:r>
      <w:r w:rsidR="002A0111" w:rsidRPr="007E61C6">
        <w:rPr>
          <w:b/>
          <w:lang w:val="en-NZ" w:eastAsia="ko-KR"/>
        </w:rPr>
        <w:t xml:space="preserve">.2 </w:t>
      </w:r>
      <w:r w:rsidR="002A0111" w:rsidRPr="007E61C6">
        <w:rPr>
          <w:b/>
          <w:lang w:val="en-NZ" w:eastAsia="ko-KR"/>
        </w:rPr>
        <w:tab/>
        <w:t>International Organisations</w:t>
      </w:r>
    </w:p>
    <w:p w14:paraId="0600FDDD" w14:textId="17A50715" w:rsidR="0026001F" w:rsidRPr="007E61C6" w:rsidRDefault="0026001F" w:rsidP="0026001F">
      <w:pPr>
        <w:spacing w:after="120"/>
        <w:jc w:val="both"/>
        <w:rPr>
          <w:b/>
          <w:lang w:val="en-NZ" w:eastAsia="ko-KR"/>
        </w:rPr>
      </w:pPr>
      <w:r w:rsidRPr="007E61C6">
        <w:rPr>
          <w:b/>
          <w:lang w:val="en-NZ" w:eastAsia="ko-KR"/>
        </w:rPr>
        <w:t xml:space="preserve">7.2.1 </w:t>
      </w:r>
      <w:r w:rsidRPr="007E61C6">
        <w:rPr>
          <w:b/>
          <w:lang w:val="en-NZ" w:eastAsia="ko-KR"/>
        </w:rPr>
        <w:tab/>
        <w:t>ICAO - Document APG23-3/INF-15</w:t>
      </w:r>
    </w:p>
    <w:p w14:paraId="3865BC7F" w14:textId="77777777" w:rsidR="002C3578" w:rsidRPr="007E61C6" w:rsidRDefault="002C3578" w:rsidP="002C3578">
      <w:pPr>
        <w:autoSpaceDE w:val="0"/>
        <w:autoSpaceDN w:val="0"/>
        <w:adjustRightInd w:val="0"/>
        <w:spacing w:after="120"/>
        <w:jc w:val="both"/>
        <w:rPr>
          <w:rFonts w:eastAsia="SimSun"/>
          <w:lang w:val="en-GB"/>
        </w:rPr>
      </w:pPr>
      <w:r w:rsidRPr="007E61C6">
        <w:rPr>
          <w:rFonts w:eastAsia="SimSun"/>
          <w:lang w:val="en-GB"/>
        </w:rPr>
        <w:t xml:space="preserve">To support ITU-R studies, as called for by Resolutions </w:t>
      </w:r>
      <w:r w:rsidRPr="007E61C6">
        <w:rPr>
          <w:rFonts w:eastAsia="SimSun"/>
          <w:b/>
          <w:bCs/>
          <w:lang w:val="en-GB"/>
        </w:rPr>
        <w:t>155 (Rev.WRC-19) and 171 (WRC-19)</w:t>
      </w:r>
      <w:r w:rsidRPr="007E61C6">
        <w:rPr>
          <w:rFonts w:eastAsia="SimSun"/>
          <w:lang w:val="en-GB"/>
        </w:rPr>
        <w:t>.</w:t>
      </w:r>
    </w:p>
    <w:p w14:paraId="31FD2F67" w14:textId="77777777" w:rsidR="002C3578" w:rsidRPr="007E61C6" w:rsidRDefault="002C3578" w:rsidP="002C3578">
      <w:pPr>
        <w:autoSpaceDE w:val="0"/>
        <w:autoSpaceDN w:val="0"/>
        <w:adjustRightInd w:val="0"/>
        <w:spacing w:after="120"/>
        <w:jc w:val="both"/>
        <w:rPr>
          <w:rFonts w:eastAsia="SimSun"/>
          <w:lang w:val="en-GB"/>
        </w:rPr>
      </w:pPr>
      <w:r w:rsidRPr="007E61C6">
        <w:rPr>
          <w:rFonts w:eastAsia="SimSun"/>
          <w:lang w:val="en-GB"/>
        </w:rPr>
        <w:t xml:space="preserve">To support the modification of No. </w:t>
      </w:r>
      <w:r w:rsidRPr="007E61C6">
        <w:rPr>
          <w:rFonts w:eastAsia="SimSun"/>
          <w:b/>
          <w:bCs/>
          <w:lang w:val="en-GB"/>
        </w:rPr>
        <w:t>5.484B</w:t>
      </w:r>
      <w:r w:rsidRPr="007E61C6">
        <w:rPr>
          <w:rFonts w:eastAsia="SimSun"/>
          <w:lang w:val="en-GB"/>
        </w:rPr>
        <w:t xml:space="preserve"> and Resolution </w:t>
      </w:r>
      <w:r w:rsidRPr="007E61C6">
        <w:rPr>
          <w:rFonts w:eastAsia="SimSun"/>
          <w:b/>
          <w:bCs/>
          <w:lang w:val="en-GB"/>
        </w:rPr>
        <w:t>155 (Rev.WRC-19)</w:t>
      </w:r>
      <w:r w:rsidRPr="007E61C6">
        <w:rPr>
          <w:rFonts w:eastAsia="SimSun"/>
          <w:lang w:val="en-GB"/>
        </w:rPr>
        <w:t>.</w:t>
      </w:r>
    </w:p>
    <w:p w14:paraId="59103F09" w14:textId="77777777" w:rsidR="002C3578" w:rsidRPr="007E61C6" w:rsidRDefault="002C3578" w:rsidP="002C3578">
      <w:pPr>
        <w:autoSpaceDE w:val="0"/>
        <w:autoSpaceDN w:val="0"/>
        <w:adjustRightInd w:val="0"/>
        <w:spacing w:after="120"/>
        <w:jc w:val="both"/>
        <w:rPr>
          <w:rFonts w:eastAsia="SimSun"/>
          <w:lang w:val="en-GB"/>
        </w:rPr>
      </w:pPr>
      <w:r w:rsidRPr="007E61C6">
        <w:rPr>
          <w:rFonts w:eastAsia="SimSun"/>
          <w:lang w:val="en-GB"/>
        </w:rPr>
        <w:t>ICAO is expecting that the decision of WRC-23 will result in a Resolution that:</w:t>
      </w:r>
    </w:p>
    <w:p w14:paraId="5F4F1415" w14:textId="38BFB00B" w:rsidR="002C3578" w:rsidRPr="007E61C6" w:rsidRDefault="002C3578" w:rsidP="00256ECE">
      <w:pPr>
        <w:pStyle w:val="ListParagraph"/>
        <w:numPr>
          <w:ilvl w:val="0"/>
          <w:numId w:val="32"/>
        </w:numPr>
        <w:spacing w:after="120"/>
        <w:jc w:val="both"/>
      </w:pPr>
      <w:r w:rsidRPr="007E61C6">
        <w:lastRenderedPageBreak/>
        <w:t xml:space="preserve">clearly provides primary </w:t>
      </w:r>
      <w:proofErr w:type="gramStart"/>
      <w:r w:rsidRPr="007E61C6">
        <w:t>status;</w:t>
      </w:r>
      <w:proofErr w:type="gramEnd"/>
    </w:p>
    <w:p w14:paraId="77C26555" w14:textId="0C93DFB1" w:rsidR="002C3578" w:rsidRPr="007E61C6" w:rsidRDefault="002C3578" w:rsidP="00256ECE">
      <w:pPr>
        <w:pStyle w:val="ListParagraph"/>
        <w:numPr>
          <w:ilvl w:val="0"/>
          <w:numId w:val="32"/>
        </w:numPr>
        <w:spacing w:after="120"/>
        <w:jc w:val="both"/>
      </w:pPr>
      <w:r w:rsidRPr="007E61C6">
        <w:t xml:space="preserve">removes any apparent </w:t>
      </w:r>
      <w:proofErr w:type="gramStart"/>
      <w:r w:rsidRPr="007E61C6">
        <w:t>inconsistencies;</w:t>
      </w:r>
      <w:proofErr w:type="gramEnd"/>
    </w:p>
    <w:p w14:paraId="77B669CF" w14:textId="5CD88BDF" w:rsidR="002C3578" w:rsidRPr="007E61C6" w:rsidRDefault="002C3578" w:rsidP="00256ECE">
      <w:pPr>
        <w:pStyle w:val="ListParagraph"/>
        <w:numPr>
          <w:ilvl w:val="0"/>
          <w:numId w:val="32"/>
        </w:numPr>
        <w:spacing w:after="120"/>
        <w:jc w:val="both"/>
      </w:pPr>
      <w:r w:rsidRPr="007E61C6">
        <w:t xml:space="preserve">acknowledges that in accordance with the Annexes of the Convention of the International Civil Aviation Organization (ICAO), ensuring the safety-of-life aspects of the use of UAS CNPC is the role of the responsible </w:t>
      </w:r>
      <w:proofErr w:type="gramStart"/>
      <w:r w:rsidRPr="007E61C6">
        <w:t>States;</w:t>
      </w:r>
      <w:proofErr w:type="gramEnd"/>
    </w:p>
    <w:p w14:paraId="2C0614D3" w14:textId="3F3B885D" w:rsidR="002C3578" w:rsidRPr="007E61C6" w:rsidRDefault="002C3578" w:rsidP="00256ECE">
      <w:pPr>
        <w:pStyle w:val="ListParagraph"/>
        <w:numPr>
          <w:ilvl w:val="0"/>
          <w:numId w:val="32"/>
        </w:numPr>
        <w:spacing w:after="120"/>
        <w:jc w:val="both"/>
      </w:pPr>
      <w:r w:rsidRPr="007E61C6">
        <w:t>provides sufficient information to support and/or validate safety cases; and</w:t>
      </w:r>
    </w:p>
    <w:p w14:paraId="273F0627" w14:textId="074DFEFA" w:rsidR="002A0111" w:rsidRPr="007E61C6" w:rsidRDefault="002C3578" w:rsidP="00256ECE">
      <w:pPr>
        <w:pStyle w:val="ListParagraph"/>
        <w:numPr>
          <w:ilvl w:val="0"/>
          <w:numId w:val="32"/>
        </w:numPr>
        <w:spacing w:after="120"/>
        <w:jc w:val="both"/>
      </w:pPr>
      <w:r w:rsidRPr="007E61C6">
        <w:t xml:space="preserve">ensures that safety cases do not need to be revisited </w:t>
      </w:r>
      <w:proofErr w:type="gramStart"/>
      <w:r w:rsidRPr="007E61C6">
        <w:t>as a result of</w:t>
      </w:r>
      <w:proofErr w:type="gramEnd"/>
      <w:r w:rsidRPr="007E61C6">
        <w:t xml:space="preserve"> future satellite co-ordination agreements.</w:t>
      </w:r>
    </w:p>
    <w:p w14:paraId="79958A08" w14:textId="77777777" w:rsidR="002A0111" w:rsidRPr="007E61C6" w:rsidRDefault="002A0111" w:rsidP="002A0111">
      <w:pPr>
        <w:jc w:val="center"/>
        <w:rPr>
          <w:snapToGrid w:val="0"/>
          <w:lang w:val="en-NZ"/>
        </w:rPr>
      </w:pPr>
      <w:r w:rsidRPr="007E61C6">
        <w:rPr>
          <w:lang w:val="en-NZ"/>
        </w:rPr>
        <w:t>____________</w:t>
      </w:r>
    </w:p>
    <w:p w14:paraId="131C3864" w14:textId="0D0B94BD" w:rsidR="00654896" w:rsidRPr="007E61C6" w:rsidRDefault="00654896">
      <w:pPr>
        <w:tabs>
          <w:tab w:val="left" w:pos="1410"/>
        </w:tabs>
        <w:rPr>
          <w:lang w:val="en-NZ"/>
        </w:rPr>
      </w:pPr>
    </w:p>
    <w:sectPr w:rsidR="00654896" w:rsidRPr="007E61C6" w:rsidSect="00C516C7">
      <w:headerReference w:type="default" r:id="rId10"/>
      <w:footerReference w:type="even" r:id="rId11"/>
      <w:footerReference w:type="default" r:id="rId12"/>
      <w:headerReference w:type="firs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6251" w14:textId="77777777" w:rsidR="00857B9B" w:rsidRDefault="00857B9B">
      <w:r>
        <w:separator/>
      </w:r>
    </w:p>
  </w:endnote>
  <w:endnote w:type="continuationSeparator" w:id="0">
    <w:p w14:paraId="37831138" w14:textId="77777777" w:rsidR="00857B9B" w:rsidRDefault="0085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ulimChe">
    <w:altName w:val="굴림체"/>
    <w:charset w:val="81"/>
    <w:family w:val="modern"/>
    <w:pitch w:val="fixed"/>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8FE2"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78C4C"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83D0" w14:textId="6D94A915"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256ECE">
      <w:rPr>
        <w:lang w:eastAsia="ko-KR"/>
      </w:rPr>
      <w:t>3</w:t>
    </w:r>
    <w:r w:rsidR="002A0111">
      <w:rPr>
        <w:lang w:eastAsia="ko-KR"/>
      </w:rPr>
      <w:t>/</w:t>
    </w:r>
    <w:r w:rsidR="001E6271">
      <w:rPr>
        <w:lang w:eastAsia="ko-KR"/>
      </w:rPr>
      <w:t>OUT</w:t>
    </w:r>
    <w:r>
      <w:rPr>
        <w:lang w:eastAsia="ko-KR"/>
      </w:rPr>
      <w:t>-</w:t>
    </w:r>
    <w:r w:rsidR="00894DA9">
      <w:rPr>
        <w:lang w:eastAsia="ko-KR"/>
      </w:rPr>
      <w:t>1</w:t>
    </w:r>
    <w:r w:rsidR="001E6271">
      <w:rPr>
        <w:rStyle w:val="PageNumber"/>
      </w:rPr>
      <w:t>5</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343842">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343842">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CB423E" w14:paraId="1419F72D" w14:textId="77777777" w:rsidTr="00BB0EA4">
      <w:trPr>
        <w:trHeight w:val="432"/>
      </w:trPr>
      <w:tc>
        <w:tcPr>
          <w:tcW w:w="1296" w:type="dxa"/>
          <w:tcBorders>
            <w:top w:val="single" w:sz="8" w:space="0" w:color="auto"/>
            <w:bottom w:val="nil"/>
            <w:right w:val="nil"/>
          </w:tcBorders>
        </w:tcPr>
        <w:p w14:paraId="66848A9B" w14:textId="4624D633" w:rsidR="00CB423E" w:rsidRDefault="00CB423E" w:rsidP="00CB423E">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0AC212DD" w14:textId="77777777" w:rsidR="00CB423E" w:rsidRDefault="00CB423E" w:rsidP="00CB423E">
          <w:pPr>
            <w:pStyle w:val="Footer"/>
            <w:tabs>
              <w:tab w:val="clear" w:pos="4320"/>
              <w:tab w:val="clear" w:pos="8640"/>
            </w:tabs>
          </w:pPr>
          <w:r>
            <w:t>Bui Ha Long (Mr.)</w:t>
          </w:r>
        </w:p>
        <w:p w14:paraId="23767AAE" w14:textId="59A6C956" w:rsidR="00CB423E" w:rsidRPr="002A0111" w:rsidRDefault="00CB423E" w:rsidP="00CB423E">
          <w:pPr>
            <w:pStyle w:val="Footer"/>
            <w:tabs>
              <w:tab w:val="clear" w:pos="4320"/>
              <w:tab w:val="clear" w:pos="8640"/>
            </w:tabs>
          </w:pPr>
          <w:r>
            <w:t>Chairman WP 2</w:t>
          </w:r>
        </w:p>
      </w:tc>
      <w:tc>
        <w:tcPr>
          <w:tcW w:w="2880" w:type="dxa"/>
          <w:tcBorders>
            <w:top w:val="single" w:sz="8" w:space="0" w:color="auto"/>
            <w:left w:val="nil"/>
            <w:bottom w:val="nil"/>
          </w:tcBorders>
        </w:tcPr>
        <w:p w14:paraId="134D35E9" w14:textId="2E69C105" w:rsidR="00CB423E" w:rsidRPr="0092727B" w:rsidRDefault="00CB423E" w:rsidP="00CB423E">
          <w:pPr>
            <w:pStyle w:val="Footer"/>
            <w:tabs>
              <w:tab w:val="clear" w:pos="4320"/>
              <w:tab w:val="clear" w:pos="8640"/>
            </w:tabs>
          </w:pPr>
          <w:r w:rsidRPr="008063D3">
            <w:rPr>
              <w:b/>
              <w:bCs/>
            </w:rPr>
            <w:t>Email:</w:t>
          </w:r>
          <w:r>
            <w:t xml:space="preserve"> </w:t>
          </w:r>
          <w:hyperlink r:id="rId1" w:history="1">
            <w:r w:rsidR="00C8723F" w:rsidRPr="00377178">
              <w:rPr>
                <w:rStyle w:val="Hyperlink"/>
              </w:rPr>
              <w:t>longbh@rfd.gov.vn</w:t>
            </w:r>
          </w:hyperlink>
          <w:r w:rsidR="00C8723F">
            <w:t xml:space="preserve"> </w:t>
          </w:r>
          <w:hyperlink r:id="rId2" w:history="1"/>
          <w:r>
            <w:t xml:space="preserve"> </w:t>
          </w:r>
        </w:p>
      </w:tc>
    </w:tr>
  </w:tbl>
  <w:p w14:paraId="432C306C"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6B71" w14:textId="77777777" w:rsidR="00857B9B" w:rsidRDefault="00857B9B">
      <w:r>
        <w:separator/>
      </w:r>
    </w:p>
  </w:footnote>
  <w:footnote w:type="continuationSeparator" w:id="0">
    <w:p w14:paraId="79422804" w14:textId="77777777" w:rsidR="00857B9B" w:rsidRDefault="0085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ACBF" w14:textId="77777777" w:rsidR="0097693B" w:rsidRDefault="0097693B" w:rsidP="0092727B">
    <w:pPr>
      <w:pStyle w:val="Header"/>
      <w:tabs>
        <w:tab w:val="clear" w:pos="4320"/>
        <w:tab w:val="clear" w:pos="8640"/>
      </w:tabs>
      <w:rPr>
        <w:lang w:eastAsia="ko-KR"/>
      </w:rPr>
    </w:pPr>
  </w:p>
  <w:p w14:paraId="7485F7B2"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BE89"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D5"/>
    <w:multiLevelType w:val="hybridMultilevel"/>
    <w:tmpl w:val="84AC2F7A"/>
    <w:lvl w:ilvl="0" w:tplc="B0426F7E">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896527"/>
    <w:multiLevelType w:val="hybridMultilevel"/>
    <w:tmpl w:val="BCF23D34"/>
    <w:lvl w:ilvl="0" w:tplc="B0426F7E">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61D16"/>
    <w:multiLevelType w:val="hybridMultilevel"/>
    <w:tmpl w:val="0C846184"/>
    <w:lvl w:ilvl="0" w:tplc="B0426F7E">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10D3251C"/>
    <w:multiLevelType w:val="multilevel"/>
    <w:tmpl w:val="B0BA80B0"/>
    <w:lvl w:ilvl="0">
      <w:start w:val="3"/>
      <w:numFmt w:val="bullet"/>
      <w:lvlText w:val="–"/>
      <w:lvlJc w:val="left"/>
      <w:pPr>
        <w:ind w:left="360" w:hanging="360"/>
      </w:pPr>
      <w:rPr>
        <w:rFonts w:ascii="Calibri" w:eastAsia="SimSun" w:hAnsi="Calibri"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9005A4"/>
    <w:multiLevelType w:val="multilevel"/>
    <w:tmpl w:val="2E9005A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1D85BF5"/>
    <w:multiLevelType w:val="hybridMultilevel"/>
    <w:tmpl w:val="3F1A14B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7AA9F40">
      <w:start w:val="1"/>
      <w:numFmt w:val="bullet"/>
      <w:lvlText w:val="-"/>
      <w:lvlJc w:val="left"/>
      <w:pPr>
        <w:ind w:left="1120" w:hanging="400"/>
      </w:pPr>
      <w:rPr>
        <w:rFonts w:ascii="Times New Roman" w:eastAsiaTheme="minorEastAsia"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8"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D146F2"/>
    <w:multiLevelType w:val="hybridMultilevel"/>
    <w:tmpl w:val="E0EE8430"/>
    <w:lvl w:ilvl="0" w:tplc="4BDCB9B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932CB"/>
    <w:multiLevelType w:val="hybridMultilevel"/>
    <w:tmpl w:val="95961A8A"/>
    <w:lvl w:ilvl="0" w:tplc="BA6AFD1E">
      <w:start w:val="3"/>
      <w:numFmt w:val="bullet"/>
      <w:lvlText w:val="–"/>
      <w:lvlJc w:val="left"/>
      <w:pPr>
        <w:ind w:left="1440" w:hanging="360"/>
      </w:pPr>
      <w:rPr>
        <w:rFonts w:ascii="Calibri" w:eastAsia="SimSun"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C2422F"/>
    <w:multiLevelType w:val="hybridMultilevel"/>
    <w:tmpl w:val="CB565100"/>
    <w:lvl w:ilvl="0" w:tplc="9836CE3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BC4958"/>
    <w:multiLevelType w:val="hybridMultilevel"/>
    <w:tmpl w:val="075CD20E"/>
    <w:lvl w:ilvl="0" w:tplc="B7AA9F4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6" w15:restartNumberingAfterBreak="0">
    <w:nsid w:val="726278E8"/>
    <w:multiLevelType w:val="hybridMultilevel"/>
    <w:tmpl w:val="7110D7FA"/>
    <w:lvl w:ilvl="0" w:tplc="B0426F7E">
      <w:start w:val="1"/>
      <w:numFmt w:val="bullet"/>
      <w:lvlText w:val="-"/>
      <w:lvlJc w:val="left"/>
      <w:pPr>
        <w:ind w:left="1440" w:hanging="360"/>
      </w:pPr>
      <w:rPr>
        <w:rFonts w:ascii="Calibri" w:eastAsiaTheme="minorEastAsia" w:hAnsi="Calibri" w:cs="Calibri" w:hint="default"/>
      </w:rPr>
    </w:lvl>
    <w:lvl w:ilvl="1" w:tplc="B0426F7E">
      <w:start w:val="1"/>
      <w:numFmt w:val="bullet"/>
      <w:lvlText w:val="-"/>
      <w:lvlJc w:val="left"/>
      <w:pPr>
        <w:ind w:left="360" w:hanging="360"/>
      </w:pPr>
      <w:rPr>
        <w:rFonts w:ascii="Calibri" w:eastAsiaTheme="minorEastAsia"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7973512"/>
    <w:multiLevelType w:val="hybridMultilevel"/>
    <w:tmpl w:val="318AF72A"/>
    <w:lvl w:ilvl="0" w:tplc="BA6AFD1E">
      <w:start w:val="3"/>
      <w:numFmt w:val="bullet"/>
      <w:lvlText w:val="–"/>
      <w:lvlJc w:val="left"/>
      <w:pPr>
        <w:ind w:left="720" w:hanging="360"/>
      </w:pPr>
      <w:rPr>
        <w:rFonts w:ascii="Calibri" w:eastAsia="SimSun" w:hAnsi="Calibri" w:cstheme="minorBidi" w:hint="default"/>
      </w:rPr>
    </w:lvl>
    <w:lvl w:ilvl="1" w:tplc="AB16ECE0">
      <w:numFmt w:val="bullet"/>
      <w:lvlText w:val="•"/>
      <w:lvlJc w:val="left"/>
      <w:pPr>
        <w:ind w:left="1440" w:hanging="360"/>
      </w:pPr>
      <w:rPr>
        <w:rFonts w:ascii="BatangChe" w:eastAsia="BatangChe" w:hAnsi="BatangChe"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7F792B95"/>
    <w:multiLevelType w:val="hybridMultilevel"/>
    <w:tmpl w:val="62A48642"/>
    <w:lvl w:ilvl="0" w:tplc="4BDCB9B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5"/>
  </w:num>
  <w:num w:numId="2">
    <w:abstractNumId w:val="9"/>
  </w:num>
  <w:num w:numId="3">
    <w:abstractNumId w:val="8"/>
  </w:num>
  <w:num w:numId="4">
    <w:abstractNumId w:val="25"/>
  </w:num>
  <w:num w:numId="5">
    <w:abstractNumId w:val="13"/>
  </w:num>
  <w:num w:numId="6">
    <w:abstractNumId w:val="16"/>
  </w:num>
  <w:num w:numId="7">
    <w:abstractNumId w:val="6"/>
  </w:num>
  <w:num w:numId="8">
    <w:abstractNumId w:val="4"/>
  </w:num>
  <w:num w:numId="9">
    <w:abstractNumId w:val="30"/>
  </w:num>
  <w:num w:numId="10">
    <w:abstractNumId w:val="21"/>
  </w:num>
  <w:num w:numId="11">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1"/>
  </w:num>
  <w:num w:numId="17">
    <w:abstractNumId w:val="20"/>
  </w:num>
  <w:num w:numId="18">
    <w:abstractNumId w:val="17"/>
  </w:num>
  <w:num w:numId="19">
    <w:abstractNumId w:val="28"/>
  </w:num>
  <w:num w:numId="20">
    <w:abstractNumId w:val="12"/>
  </w:num>
  <w:num w:numId="21">
    <w:abstractNumId w:val="27"/>
  </w:num>
  <w:num w:numId="22">
    <w:abstractNumId w:val="33"/>
  </w:num>
  <w:num w:numId="23">
    <w:abstractNumId w:val="23"/>
  </w:num>
  <w:num w:numId="24">
    <w:abstractNumId w:val="24"/>
  </w:num>
  <w:num w:numId="25">
    <w:abstractNumId w:val="14"/>
  </w:num>
  <w:num w:numId="26">
    <w:abstractNumId w:val="2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2"/>
  </w:num>
  <w:num w:numId="30">
    <w:abstractNumId w:val="0"/>
  </w:num>
  <w:num w:numId="31">
    <w:abstractNumId w:val="26"/>
  </w:num>
  <w:num w:numId="32">
    <w:abstractNumId w:val="2"/>
  </w:num>
  <w:num w:numId="33">
    <w:abstractNumId w:val="3"/>
  </w:num>
  <w:num w:numId="34">
    <w:abstractNumId w:val="19"/>
  </w:num>
  <w:num w:numId="35">
    <w:abstractNumId w:val="3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44B8"/>
    <w:rsid w:val="00010C8E"/>
    <w:rsid w:val="0003595B"/>
    <w:rsid w:val="00036144"/>
    <w:rsid w:val="00036517"/>
    <w:rsid w:val="00036CC9"/>
    <w:rsid w:val="00040149"/>
    <w:rsid w:val="00051C6E"/>
    <w:rsid w:val="00070642"/>
    <w:rsid w:val="000713CF"/>
    <w:rsid w:val="00075C14"/>
    <w:rsid w:val="000822B5"/>
    <w:rsid w:val="00094B87"/>
    <w:rsid w:val="00096B24"/>
    <w:rsid w:val="000A012B"/>
    <w:rsid w:val="000A5418"/>
    <w:rsid w:val="000B2035"/>
    <w:rsid w:val="000D47FB"/>
    <w:rsid w:val="000D5281"/>
    <w:rsid w:val="000E1B62"/>
    <w:rsid w:val="000F345F"/>
    <w:rsid w:val="000F517C"/>
    <w:rsid w:val="000F5540"/>
    <w:rsid w:val="000F5D03"/>
    <w:rsid w:val="00102C75"/>
    <w:rsid w:val="00105F1A"/>
    <w:rsid w:val="001238B2"/>
    <w:rsid w:val="00125FBD"/>
    <w:rsid w:val="001409B2"/>
    <w:rsid w:val="00145EB2"/>
    <w:rsid w:val="001462E8"/>
    <w:rsid w:val="00152636"/>
    <w:rsid w:val="001539DD"/>
    <w:rsid w:val="00156782"/>
    <w:rsid w:val="001570BC"/>
    <w:rsid w:val="00165F01"/>
    <w:rsid w:val="001731F4"/>
    <w:rsid w:val="0018336A"/>
    <w:rsid w:val="00191408"/>
    <w:rsid w:val="001916F2"/>
    <w:rsid w:val="001930A7"/>
    <w:rsid w:val="00196568"/>
    <w:rsid w:val="00197C18"/>
    <w:rsid w:val="001A2F16"/>
    <w:rsid w:val="001B1804"/>
    <w:rsid w:val="001B18C2"/>
    <w:rsid w:val="001B55A0"/>
    <w:rsid w:val="001C443F"/>
    <w:rsid w:val="001C6114"/>
    <w:rsid w:val="001C61A5"/>
    <w:rsid w:val="001C6707"/>
    <w:rsid w:val="001D5D7E"/>
    <w:rsid w:val="001E35DE"/>
    <w:rsid w:val="001E6271"/>
    <w:rsid w:val="001F5947"/>
    <w:rsid w:val="00202410"/>
    <w:rsid w:val="00207012"/>
    <w:rsid w:val="00213947"/>
    <w:rsid w:val="0021495E"/>
    <w:rsid w:val="00214A0C"/>
    <w:rsid w:val="0021588B"/>
    <w:rsid w:val="002161B6"/>
    <w:rsid w:val="00216CCF"/>
    <w:rsid w:val="002216AC"/>
    <w:rsid w:val="0023212E"/>
    <w:rsid w:val="00242A07"/>
    <w:rsid w:val="002475E2"/>
    <w:rsid w:val="002506D2"/>
    <w:rsid w:val="00250DE2"/>
    <w:rsid w:val="00254A1B"/>
    <w:rsid w:val="00256ECE"/>
    <w:rsid w:val="0026001F"/>
    <w:rsid w:val="0026064A"/>
    <w:rsid w:val="00264566"/>
    <w:rsid w:val="00281279"/>
    <w:rsid w:val="0028454D"/>
    <w:rsid w:val="00291C9E"/>
    <w:rsid w:val="002926D4"/>
    <w:rsid w:val="0029734E"/>
    <w:rsid w:val="002A0111"/>
    <w:rsid w:val="002A3CF5"/>
    <w:rsid w:val="002B06A3"/>
    <w:rsid w:val="002B435C"/>
    <w:rsid w:val="002B447F"/>
    <w:rsid w:val="002C0136"/>
    <w:rsid w:val="002C07DA"/>
    <w:rsid w:val="002C2A49"/>
    <w:rsid w:val="002C3578"/>
    <w:rsid w:val="002C7EA9"/>
    <w:rsid w:val="002F575D"/>
    <w:rsid w:val="003113D7"/>
    <w:rsid w:val="00311E8A"/>
    <w:rsid w:val="00326F7D"/>
    <w:rsid w:val="00331AD0"/>
    <w:rsid w:val="00332BA9"/>
    <w:rsid w:val="00342F20"/>
    <w:rsid w:val="00343842"/>
    <w:rsid w:val="0034645D"/>
    <w:rsid w:val="00353BB9"/>
    <w:rsid w:val="00360377"/>
    <w:rsid w:val="00366548"/>
    <w:rsid w:val="0038005B"/>
    <w:rsid w:val="003809C7"/>
    <w:rsid w:val="0038236C"/>
    <w:rsid w:val="0039233A"/>
    <w:rsid w:val="00393DCD"/>
    <w:rsid w:val="00395B40"/>
    <w:rsid w:val="003A2006"/>
    <w:rsid w:val="003A6568"/>
    <w:rsid w:val="003B4FD1"/>
    <w:rsid w:val="003B6263"/>
    <w:rsid w:val="003C29E6"/>
    <w:rsid w:val="003C4ABF"/>
    <w:rsid w:val="003C64A7"/>
    <w:rsid w:val="003D1128"/>
    <w:rsid w:val="003D1671"/>
    <w:rsid w:val="003D3D47"/>
    <w:rsid w:val="003D3FDA"/>
    <w:rsid w:val="003D6D00"/>
    <w:rsid w:val="003E166F"/>
    <w:rsid w:val="003F307E"/>
    <w:rsid w:val="004001E5"/>
    <w:rsid w:val="004112C7"/>
    <w:rsid w:val="0041313C"/>
    <w:rsid w:val="00420822"/>
    <w:rsid w:val="00420C74"/>
    <w:rsid w:val="00441526"/>
    <w:rsid w:val="004465AA"/>
    <w:rsid w:val="00446A5E"/>
    <w:rsid w:val="0045458F"/>
    <w:rsid w:val="004633B4"/>
    <w:rsid w:val="0049433D"/>
    <w:rsid w:val="00495CED"/>
    <w:rsid w:val="004A2F96"/>
    <w:rsid w:val="004A4BDF"/>
    <w:rsid w:val="004A7138"/>
    <w:rsid w:val="004B3553"/>
    <w:rsid w:val="004B3F4B"/>
    <w:rsid w:val="004B717A"/>
    <w:rsid w:val="004D32C4"/>
    <w:rsid w:val="004D6DB0"/>
    <w:rsid w:val="004E1FCA"/>
    <w:rsid w:val="004E2C1D"/>
    <w:rsid w:val="004E47D6"/>
    <w:rsid w:val="004E7DB5"/>
    <w:rsid w:val="004F46D1"/>
    <w:rsid w:val="00503189"/>
    <w:rsid w:val="00516BD1"/>
    <w:rsid w:val="005206E9"/>
    <w:rsid w:val="005211E1"/>
    <w:rsid w:val="00525D1F"/>
    <w:rsid w:val="00526D01"/>
    <w:rsid w:val="00530E8C"/>
    <w:rsid w:val="00535D34"/>
    <w:rsid w:val="00545933"/>
    <w:rsid w:val="00552105"/>
    <w:rsid w:val="005562F2"/>
    <w:rsid w:val="00557544"/>
    <w:rsid w:val="00565BBB"/>
    <w:rsid w:val="00571B26"/>
    <w:rsid w:val="00585F3C"/>
    <w:rsid w:val="00586CA0"/>
    <w:rsid w:val="00587875"/>
    <w:rsid w:val="005A63EB"/>
    <w:rsid w:val="005B0876"/>
    <w:rsid w:val="005C33B6"/>
    <w:rsid w:val="005D6202"/>
    <w:rsid w:val="005D6E98"/>
    <w:rsid w:val="005D7D2C"/>
    <w:rsid w:val="005F093A"/>
    <w:rsid w:val="00607E2B"/>
    <w:rsid w:val="006139D6"/>
    <w:rsid w:val="00616D1B"/>
    <w:rsid w:val="00617ADE"/>
    <w:rsid w:val="00623CE1"/>
    <w:rsid w:val="00625D6C"/>
    <w:rsid w:val="00626D9A"/>
    <w:rsid w:val="00627880"/>
    <w:rsid w:val="0063062B"/>
    <w:rsid w:val="00634A82"/>
    <w:rsid w:val="00637351"/>
    <w:rsid w:val="00641DF2"/>
    <w:rsid w:val="0064357B"/>
    <w:rsid w:val="00646166"/>
    <w:rsid w:val="00652633"/>
    <w:rsid w:val="00652BDD"/>
    <w:rsid w:val="00654896"/>
    <w:rsid w:val="006621F0"/>
    <w:rsid w:val="006647BA"/>
    <w:rsid w:val="00667229"/>
    <w:rsid w:val="00682BE5"/>
    <w:rsid w:val="00683846"/>
    <w:rsid w:val="00687D20"/>
    <w:rsid w:val="00690FED"/>
    <w:rsid w:val="006939A5"/>
    <w:rsid w:val="006A5B36"/>
    <w:rsid w:val="006B09DB"/>
    <w:rsid w:val="006D5223"/>
    <w:rsid w:val="006D5970"/>
    <w:rsid w:val="006D6C5A"/>
    <w:rsid w:val="006E12FC"/>
    <w:rsid w:val="006E590A"/>
    <w:rsid w:val="006F0F24"/>
    <w:rsid w:val="006F2B2E"/>
    <w:rsid w:val="006F6A5C"/>
    <w:rsid w:val="00703F6F"/>
    <w:rsid w:val="007052B3"/>
    <w:rsid w:val="00705962"/>
    <w:rsid w:val="00707C21"/>
    <w:rsid w:val="00712451"/>
    <w:rsid w:val="00717DE9"/>
    <w:rsid w:val="0072518B"/>
    <w:rsid w:val="00731041"/>
    <w:rsid w:val="007329E4"/>
    <w:rsid w:val="00732F08"/>
    <w:rsid w:val="007342F0"/>
    <w:rsid w:val="0074190C"/>
    <w:rsid w:val="0074416A"/>
    <w:rsid w:val="00752089"/>
    <w:rsid w:val="0075493D"/>
    <w:rsid w:val="00762576"/>
    <w:rsid w:val="00764F52"/>
    <w:rsid w:val="007673CA"/>
    <w:rsid w:val="00791060"/>
    <w:rsid w:val="007926EA"/>
    <w:rsid w:val="007B5626"/>
    <w:rsid w:val="007B6124"/>
    <w:rsid w:val="007C78AE"/>
    <w:rsid w:val="007D3C53"/>
    <w:rsid w:val="007E3A0F"/>
    <w:rsid w:val="007E61C6"/>
    <w:rsid w:val="007F0AE6"/>
    <w:rsid w:val="007F2628"/>
    <w:rsid w:val="007F2FBA"/>
    <w:rsid w:val="007F51CA"/>
    <w:rsid w:val="008003C1"/>
    <w:rsid w:val="00800C3A"/>
    <w:rsid w:val="0080570B"/>
    <w:rsid w:val="008138E8"/>
    <w:rsid w:val="008148E1"/>
    <w:rsid w:val="00822B33"/>
    <w:rsid w:val="008319BF"/>
    <w:rsid w:val="008415F0"/>
    <w:rsid w:val="008433C2"/>
    <w:rsid w:val="00844072"/>
    <w:rsid w:val="00844457"/>
    <w:rsid w:val="008454C8"/>
    <w:rsid w:val="00851D78"/>
    <w:rsid w:val="00857B9B"/>
    <w:rsid w:val="0086592B"/>
    <w:rsid w:val="0087122A"/>
    <w:rsid w:val="00894DA9"/>
    <w:rsid w:val="008A016F"/>
    <w:rsid w:val="008A1A0D"/>
    <w:rsid w:val="008A1C0A"/>
    <w:rsid w:val="008A211E"/>
    <w:rsid w:val="008A72E1"/>
    <w:rsid w:val="008A76ED"/>
    <w:rsid w:val="008B3C72"/>
    <w:rsid w:val="008C31E2"/>
    <w:rsid w:val="008C5113"/>
    <w:rsid w:val="008C5FED"/>
    <w:rsid w:val="008D0E09"/>
    <w:rsid w:val="008F6E99"/>
    <w:rsid w:val="00901474"/>
    <w:rsid w:val="00903007"/>
    <w:rsid w:val="00923816"/>
    <w:rsid w:val="0092727B"/>
    <w:rsid w:val="0093074B"/>
    <w:rsid w:val="00930E64"/>
    <w:rsid w:val="009359C7"/>
    <w:rsid w:val="00943CF9"/>
    <w:rsid w:val="00956F8C"/>
    <w:rsid w:val="00961D57"/>
    <w:rsid w:val="00976716"/>
    <w:rsid w:val="0097693B"/>
    <w:rsid w:val="00987EE7"/>
    <w:rsid w:val="00991C4E"/>
    <w:rsid w:val="00993355"/>
    <w:rsid w:val="00993396"/>
    <w:rsid w:val="009963F7"/>
    <w:rsid w:val="009A11CB"/>
    <w:rsid w:val="009A19ED"/>
    <w:rsid w:val="009A4A6D"/>
    <w:rsid w:val="009B44DD"/>
    <w:rsid w:val="009B5988"/>
    <w:rsid w:val="009B7E42"/>
    <w:rsid w:val="009C7235"/>
    <w:rsid w:val="009D46CE"/>
    <w:rsid w:val="009D4ADA"/>
    <w:rsid w:val="009E13DD"/>
    <w:rsid w:val="009E1DBF"/>
    <w:rsid w:val="009F2CCB"/>
    <w:rsid w:val="009F547A"/>
    <w:rsid w:val="00A01A8D"/>
    <w:rsid w:val="00A03D78"/>
    <w:rsid w:val="00A0503B"/>
    <w:rsid w:val="00A059CD"/>
    <w:rsid w:val="00A13265"/>
    <w:rsid w:val="00A14900"/>
    <w:rsid w:val="00A2159F"/>
    <w:rsid w:val="00A23C16"/>
    <w:rsid w:val="00A324FF"/>
    <w:rsid w:val="00A35FF5"/>
    <w:rsid w:val="00A529BC"/>
    <w:rsid w:val="00A5346C"/>
    <w:rsid w:val="00A53F51"/>
    <w:rsid w:val="00A562F0"/>
    <w:rsid w:val="00A564FB"/>
    <w:rsid w:val="00A614C1"/>
    <w:rsid w:val="00A61EA6"/>
    <w:rsid w:val="00A64DF3"/>
    <w:rsid w:val="00A657BF"/>
    <w:rsid w:val="00A700A8"/>
    <w:rsid w:val="00A71136"/>
    <w:rsid w:val="00A92578"/>
    <w:rsid w:val="00AA474C"/>
    <w:rsid w:val="00AC1109"/>
    <w:rsid w:val="00AC35EF"/>
    <w:rsid w:val="00AC4D5B"/>
    <w:rsid w:val="00AD1DDB"/>
    <w:rsid w:val="00AD2697"/>
    <w:rsid w:val="00AD7E5F"/>
    <w:rsid w:val="00AE1374"/>
    <w:rsid w:val="00AE3066"/>
    <w:rsid w:val="00AE7693"/>
    <w:rsid w:val="00AF68E4"/>
    <w:rsid w:val="00B0050B"/>
    <w:rsid w:val="00B00A87"/>
    <w:rsid w:val="00B01AA1"/>
    <w:rsid w:val="00B06025"/>
    <w:rsid w:val="00B14DA9"/>
    <w:rsid w:val="00B30C81"/>
    <w:rsid w:val="00B30DA1"/>
    <w:rsid w:val="00B4793B"/>
    <w:rsid w:val="00B520B1"/>
    <w:rsid w:val="00B56099"/>
    <w:rsid w:val="00B64A60"/>
    <w:rsid w:val="00B661AC"/>
    <w:rsid w:val="00B8468D"/>
    <w:rsid w:val="00B929E9"/>
    <w:rsid w:val="00B937D7"/>
    <w:rsid w:val="00B96B67"/>
    <w:rsid w:val="00BB0EA4"/>
    <w:rsid w:val="00BC57EF"/>
    <w:rsid w:val="00BC69DB"/>
    <w:rsid w:val="00BE6969"/>
    <w:rsid w:val="00BE6B6B"/>
    <w:rsid w:val="00BF25F9"/>
    <w:rsid w:val="00C00B04"/>
    <w:rsid w:val="00C13FD5"/>
    <w:rsid w:val="00C15633"/>
    <w:rsid w:val="00C15799"/>
    <w:rsid w:val="00C20ACE"/>
    <w:rsid w:val="00C21330"/>
    <w:rsid w:val="00C32E84"/>
    <w:rsid w:val="00C35415"/>
    <w:rsid w:val="00C357AD"/>
    <w:rsid w:val="00C361EC"/>
    <w:rsid w:val="00C4112C"/>
    <w:rsid w:val="00C43B03"/>
    <w:rsid w:val="00C516C7"/>
    <w:rsid w:val="00C51C5F"/>
    <w:rsid w:val="00C5328F"/>
    <w:rsid w:val="00C554CC"/>
    <w:rsid w:val="00C6069C"/>
    <w:rsid w:val="00C70477"/>
    <w:rsid w:val="00C72AD4"/>
    <w:rsid w:val="00C74745"/>
    <w:rsid w:val="00C85119"/>
    <w:rsid w:val="00C8723F"/>
    <w:rsid w:val="00C95C48"/>
    <w:rsid w:val="00CA41E7"/>
    <w:rsid w:val="00CA5D99"/>
    <w:rsid w:val="00CB423E"/>
    <w:rsid w:val="00CB45DA"/>
    <w:rsid w:val="00CD170C"/>
    <w:rsid w:val="00CD320B"/>
    <w:rsid w:val="00CD3F37"/>
    <w:rsid w:val="00CD5431"/>
    <w:rsid w:val="00CE4B93"/>
    <w:rsid w:val="00CF2491"/>
    <w:rsid w:val="00CF3963"/>
    <w:rsid w:val="00CF500C"/>
    <w:rsid w:val="00D1252E"/>
    <w:rsid w:val="00D13D9D"/>
    <w:rsid w:val="00D14AFE"/>
    <w:rsid w:val="00D416A3"/>
    <w:rsid w:val="00D459A2"/>
    <w:rsid w:val="00D530FF"/>
    <w:rsid w:val="00D53688"/>
    <w:rsid w:val="00D5407A"/>
    <w:rsid w:val="00D570DD"/>
    <w:rsid w:val="00D57772"/>
    <w:rsid w:val="00D71246"/>
    <w:rsid w:val="00D72AE3"/>
    <w:rsid w:val="00D75A4D"/>
    <w:rsid w:val="00D75AD9"/>
    <w:rsid w:val="00D8478B"/>
    <w:rsid w:val="00D8612E"/>
    <w:rsid w:val="00D86151"/>
    <w:rsid w:val="00D90C92"/>
    <w:rsid w:val="00D9172D"/>
    <w:rsid w:val="00D97E84"/>
    <w:rsid w:val="00DA5641"/>
    <w:rsid w:val="00DA7595"/>
    <w:rsid w:val="00DB0A68"/>
    <w:rsid w:val="00DB4FE3"/>
    <w:rsid w:val="00DC2EEA"/>
    <w:rsid w:val="00DC368E"/>
    <w:rsid w:val="00DC43A3"/>
    <w:rsid w:val="00DC4CF3"/>
    <w:rsid w:val="00DC5C01"/>
    <w:rsid w:val="00DD4C23"/>
    <w:rsid w:val="00DD7C09"/>
    <w:rsid w:val="00DF0EB4"/>
    <w:rsid w:val="00DF111E"/>
    <w:rsid w:val="00E0124F"/>
    <w:rsid w:val="00E13081"/>
    <w:rsid w:val="00E15877"/>
    <w:rsid w:val="00E346F7"/>
    <w:rsid w:val="00E410C0"/>
    <w:rsid w:val="00E5762A"/>
    <w:rsid w:val="00E65599"/>
    <w:rsid w:val="00E674D3"/>
    <w:rsid w:val="00E70FD0"/>
    <w:rsid w:val="00E72B2C"/>
    <w:rsid w:val="00E7309D"/>
    <w:rsid w:val="00E77C4B"/>
    <w:rsid w:val="00E9301F"/>
    <w:rsid w:val="00E9690A"/>
    <w:rsid w:val="00E97DC7"/>
    <w:rsid w:val="00F000EF"/>
    <w:rsid w:val="00F00F69"/>
    <w:rsid w:val="00F0196E"/>
    <w:rsid w:val="00F03B3E"/>
    <w:rsid w:val="00F24B1A"/>
    <w:rsid w:val="00F2504E"/>
    <w:rsid w:val="00F2585B"/>
    <w:rsid w:val="00F4053F"/>
    <w:rsid w:val="00F516E7"/>
    <w:rsid w:val="00F5376B"/>
    <w:rsid w:val="00F57BF7"/>
    <w:rsid w:val="00F6263E"/>
    <w:rsid w:val="00F627C2"/>
    <w:rsid w:val="00F71C4D"/>
    <w:rsid w:val="00F736FD"/>
    <w:rsid w:val="00F84067"/>
    <w:rsid w:val="00F96FE1"/>
    <w:rsid w:val="00FA0A6D"/>
    <w:rsid w:val="00FA4D7D"/>
    <w:rsid w:val="00FA50B4"/>
    <w:rsid w:val="00FB6E83"/>
    <w:rsid w:val="00FC156A"/>
    <w:rsid w:val="00FD3BAD"/>
    <w:rsid w:val="00FD5852"/>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762DAC"/>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qFormat/>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3C4ABF"/>
    <w:rPr>
      <w:rFonts w:eastAsia="BatangChe"/>
      <w:sz w:val="24"/>
      <w:szCs w:val="24"/>
    </w:rPr>
  </w:style>
  <w:style w:type="character" w:customStyle="1" w:styleId="apple-style-span">
    <w:name w:val="apple-style-span"/>
    <w:basedOn w:val="DefaultParagraphFont"/>
    <w:rsid w:val="003C4ABF"/>
  </w:style>
  <w:style w:type="paragraph" w:customStyle="1" w:styleId="ListParagraph1">
    <w:name w:val="List Paragraph1"/>
    <w:basedOn w:val="Normal"/>
    <w:uiPriority w:val="34"/>
    <w:qFormat/>
    <w:rsid w:val="00A700A8"/>
    <w:pPr>
      <w:ind w:firstLineChars="200" w:firstLine="420"/>
    </w:pPr>
  </w:style>
  <w:style w:type="character" w:customStyle="1" w:styleId="enumlev1Char">
    <w:name w:val="enumlev1 Char"/>
    <w:basedOn w:val="DefaultParagraphFont"/>
    <w:link w:val="enumlev1"/>
    <w:qFormat/>
    <w:locked/>
    <w:rsid w:val="00E65599"/>
    <w:rPr>
      <w:rFonts w:ascii="MS Mincho" w:eastAsia="MS Mincho" w:hAnsi="MS Mincho"/>
      <w:sz w:val="24"/>
      <w:lang w:val="en-GB"/>
    </w:rPr>
  </w:style>
  <w:style w:type="paragraph" w:customStyle="1" w:styleId="enumlev1">
    <w:name w:val="enumlev1"/>
    <w:basedOn w:val="Normal"/>
    <w:link w:val="enumlev1Char"/>
    <w:qFormat/>
    <w:rsid w:val="00E65599"/>
    <w:pPr>
      <w:tabs>
        <w:tab w:val="left" w:pos="1134"/>
        <w:tab w:val="left" w:pos="1871"/>
        <w:tab w:val="left" w:pos="2608"/>
        <w:tab w:val="left" w:pos="3345"/>
      </w:tabs>
      <w:overflowPunct w:val="0"/>
      <w:autoSpaceDE w:val="0"/>
      <w:autoSpaceDN w:val="0"/>
      <w:adjustRightInd w:val="0"/>
      <w:spacing w:before="80"/>
      <w:ind w:left="1134" w:hanging="1134"/>
    </w:pPr>
    <w:rPr>
      <w:rFonts w:ascii="MS Mincho" w:eastAsia="MS Mincho" w:hAnsi="MS Mincho"/>
      <w:szCs w:val="20"/>
      <w:lang w:val="en-GB"/>
    </w:rPr>
  </w:style>
  <w:style w:type="character" w:customStyle="1" w:styleId="Heading8Char">
    <w:name w:val="Heading 8 Char"/>
    <w:basedOn w:val="DefaultParagraphFont"/>
    <w:link w:val="Heading8"/>
    <w:rsid w:val="00901474"/>
    <w:rPr>
      <w:rFonts w:eastAsia="BatangChe"/>
      <w:b/>
      <w:bCs/>
      <w:kern w:val="2"/>
      <w:lang w:eastAsia="ko-KR"/>
    </w:rPr>
  </w:style>
  <w:style w:type="character" w:styleId="UnresolvedMention">
    <w:name w:val="Unresolved Mention"/>
    <w:basedOn w:val="DefaultParagraphFont"/>
    <w:uiPriority w:val="99"/>
    <w:semiHidden/>
    <w:unhideWhenUsed/>
    <w:rsid w:val="00C87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4303">
      <w:bodyDiv w:val="1"/>
      <w:marLeft w:val="0"/>
      <w:marRight w:val="0"/>
      <w:marTop w:val="0"/>
      <w:marBottom w:val="0"/>
      <w:divBdr>
        <w:top w:val="none" w:sz="0" w:space="0" w:color="auto"/>
        <w:left w:val="none" w:sz="0" w:space="0" w:color="auto"/>
        <w:bottom w:val="none" w:sz="0" w:space="0" w:color="auto"/>
        <w:right w:val="none" w:sz="0" w:space="0" w:color="auto"/>
      </w:divBdr>
    </w:div>
    <w:div w:id="875698656">
      <w:bodyDiv w:val="1"/>
      <w:marLeft w:val="0"/>
      <w:marRight w:val="0"/>
      <w:marTop w:val="0"/>
      <w:marBottom w:val="0"/>
      <w:divBdr>
        <w:top w:val="none" w:sz="0" w:space="0" w:color="auto"/>
        <w:left w:val="none" w:sz="0" w:space="0" w:color="auto"/>
        <w:bottom w:val="none" w:sz="0" w:space="0" w:color="auto"/>
        <w:right w:val="none" w:sz="0" w:space="0" w:color="auto"/>
      </w:divBdr>
    </w:div>
    <w:div w:id="944121404">
      <w:bodyDiv w:val="1"/>
      <w:marLeft w:val="0"/>
      <w:marRight w:val="0"/>
      <w:marTop w:val="0"/>
      <w:marBottom w:val="0"/>
      <w:divBdr>
        <w:top w:val="none" w:sz="0" w:space="0" w:color="auto"/>
        <w:left w:val="none" w:sz="0" w:space="0" w:color="auto"/>
        <w:bottom w:val="none" w:sz="0" w:space="0" w:color="auto"/>
        <w:right w:val="none" w:sz="0" w:space="0" w:color="auto"/>
      </w:divBdr>
    </w:div>
    <w:div w:id="1015886467">
      <w:bodyDiv w:val="1"/>
      <w:marLeft w:val="0"/>
      <w:marRight w:val="0"/>
      <w:marTop w:val="0"/>
      <w:marBottom w:val="0"/>
      <w:divBdr>
        <w:top w:val="none" w:sz="0" w:space="0" w:color="auto"/>
        <w:left w:val="none" w:sz="0" w:space="0" w:color="auto"/>
        <w:bottom w:val="none" w:sz="0" w:space="0" w:color="auto"/>
        <w:right w:val="none" w:sz="0" w:space="0" w:color="auto"/>
      </w:divBdr>
    </w:div>
    <w:div w:id="1111438020">
      <w:bodyDiv w:val="1"/>
      <w:marLeft w:val="0"/>
      <w:marRight w:val="0"/>
      <w:marTop w:val="0"/>
      <w:marBottom w:val="0"/>
      <w:divBdr>
        <w:top w:val="none" w:sz="0" w:space="0" w:color="auto"/>
        <w:left w:val="none" w:sz="0" w:space="0" w:color="auto"/>
        <w:bottom w:val="none" w:sz="0" w:space="0" w:color="auto"/>
        <w:right w:val="none" w:sz="0" w:space="0" w:color="auto"/>
      </w:divBdr>
    </w:div>
    <w:div w:id="1189492091">
      <w:bodyDiv w:val="1"/>
      <w:marLeft w:val="0"/>
      <w:marRight w:val="0"/>
      <w:marTop w:val="0"/>
      <w:marBottom w:val="0"/>
      <w:divBdr>
        <w:top w:val="none" w:sz="0" w:space="0" w:color="auto"/>
        <w:left w:val="none" w:sz="0" w:space="0" w:color="auto"/>
        <w:bottom w:val="none" w:sz="0" w:space="0" w:color="auto"/>
        <w:right w:val="none" w:sz="0" w:space="0" w:color="auto"/>
      </w:divBdr>
    </w:div>
    <w:div w:id="1225529263">
      <w:bodyDiv w:val="1"/>
      <w:marLeft w:val="0"/>
      <w:marRight w:val="0"/>
      <w:marTop w:val="0"/>
      <w:marBottom w:val="0"/>
      <w:divBdr>
        <w:top w:val="none" w:sz="0" w:space="0" w:color="auto"/>
        <w:left w:val="none" w:sz="0" w:space="0" w:color="auto"/>
        <w:bottom w:val="none" w:sz="0" w:space="0" w:color="auto"/>
        <w:right w:val="none" w:sz="0" w:space="0" w:color="auto"/>
      </w:divBdr>
    </w:div>
    <w:div w:id="1292370754">
      <w:bodyDiv w:val="1"/>
      <w:marLeft w:val="0"/>
      <w:marRight w:val="0"/>
      <w:marTop w:val="0"/>
      <w:marBottom w:val="0"/>
      <w:divBdr>
        <w:top w:val="none" w:sz="0" w:space="0" w:color="auto"/>
        <w:left w:val="none" w:sz="0" w:space="0" w:color="auto"/>
        <w:bottom w:val="none" w:sz="0" w:space="0" w:color="auto"/>
        <w:right w:val="none" w:sz="0" w:space="0" w:color="auto"/>
      </w:divBdr>
    </w:div>
    <w:div w:id="1394935860">
      <w:bodyDiv w:val="1"/>
      <w:marLeft w:val="0"/>
      <w:marRight w:val="0"/>
      <w:marTop w:val="0"/>
      <w:marBottom w:val="0"/>
      <w:divBdr>
        <w:top w:val="none" w:sz="0" w:space="0" w:color="auto"/>
        <w:left w:val="none" w:sz="0" w:space="0" w:color="auto"/>
        <w:bottom w:val="none" w:sz="0" w:space="0" w:color="auto"/>
        <w:right w:val="none" w:sz="0" w:space="0" w:color="auto"/>
      </w:divBdr>
    </w:div>
    <w:div w:id="1488739968">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64484630">
      <w:bodyDiv w:val="1"/>
      <w:marLeft w:val="0"/>
      <w:marRight w:val="0"/>
      <w:marTop w:val="0"/>
      <w:marBottom w:val="0"/>
      <w:divBdr>
        <w:top w:val="none" w:sz="0" w:space="0" w:color="auto"/>
        <w:left w:val="none" w:sz="0" w:space="0" w:color="auto"/>
        <w:bottom w:val="none" w:sz="0" w:space="0" w:color="auto"/>
        <w:right w:val="none" w:sz="0" w:space="0" w:color="auto"/>
      </w:divBdr>
    </w:div>
    <w:div w:id="1581060930">
      <w:bodyDiv w:val="1"/>
      <w:marLeft w:val="0"/>
      <w:marRight w:val="0"/>
      <w:marTop w:val="0"/>
      <w:marBottom w:val="0"/>
      <w:divBdr>
        <w:top w:val="none" w:sz="0" w:space="0" w:color="auto"/>
        <w:left w:val="none" w:sz="0" w:space="0" w:color="auto"/>
        <w:bottom w:val="none" w:sz="0" w:space="0" w:color="auto"/>
        <w:right w:val="none" w:sz="0" w:space="0" w:color="auto"/>
      </w:divBdr>
    </w:div>
    <w:div w:id="1724478975">
      <w:bodyDiv w:val="1"/>
      <w:marLeft w:val="0"/>
      <w:marRight w:val="0"/>
      <w:marTop w:val="0"/>
      <w:marBottom w:val="0"/>
      <w:divBdr>
        <w:top w:val="none" w:sz="0" w:space="0" w:color="auto"/>
        <w:left w:val="none" w:sz="0" w:space="0" w:color="auto"/>
        <w:bottom w:val="none" w:sz="0" w:space="0" w:color="auto"/>
        <w:right w:val="none" w:sz="0" w:space="0" w:color="auto"/>
      </w:divBdr>
    </w:div>
    <w:div w:id="1767842475">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3001">
      <w:bodyDiv w:val="1"/>
      <w:marLeft w:val="0"/>
      <w:marRight w:val="0"/>
      <w:marTop w:val="0"/>
      <w:marBottom w:val="0"/>
      <w:divBdr>
        <w:top w:val="none" w:sz="0" w:space="0" w:color="auto"/>
        <w:left w:val="none" w:sz="0" w:space="0" w:color="auto"/>
        <w:bottom w:val="none" w:sz="0" w:space="0" w:color="auto"/>
        <w:right w:val="none" w:sz="0" w:space="0" w:color="auto"/>
      </w:divBdr>
    </w:div>
    <w:div w:id="1823619513">
      <w:bodyDiv w:val="1"/>
      <w:marLeft w:val="0"/>
      <w:marRight w:val="0"/>
      <w:marTop w:val="0"/>
      <w:marBottom w:val="0"/>
      <w:divBdr>
        <w:top w:val="none" w:sz="0" w:space="0" w:color="auto"/>
        <w:left w:val="none" w:sz="0" w:space="0" w:color="auto"/>
        <w:bottom w:val="none" w:sz="0" w:space="0" w:color="auto"/>
        <w:right w:val="none" w:sz="0" w:space="0" w:color="auto"/>
      </w:divBdr>
    </w:div>
    <w:div w:id="1923104402">
      <w:bodyDiv w:val="1"/>
      <w:marLeft w:val="0"/>
      <w:marRight w:val="0"/>
      <w:marTop w:val="0"/>
      <w:marBottom w:val="0"/>
      <w:divBdr>
        <w:top w:val="none" w:sz="0" w:space="0" w:color="auto"/>
        <w:left w:val="none" w:sz="0" w:space="0" w:color="auto"/>
        <w:bottom w:val="none" w:sz="0" w:space="0" w:color="auto"/>
        <w:right w:val="none" w:sz="0" w:space="0" w:color="auto"/>
      </w:divBdr>
    </w:div>
    <w:div w:id="211675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WP5B-C-0261/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tanwei@bittt.cn" TargetMode="External"/><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2564-2250-49E4-A557-E217435F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1806</Words>
  <Characters>10295</Characters>
  <Application>Microsoft Office Word</Application>
  <DocSecurity>0</DocSecurity>
  <Lines>85</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9</cp:revision>
  <cp:lastPrinted>2021-11-12T06:55:00Z</cp:lastPrinted>
  <dcterms:created xsi:type="dcterms:W3CDTF">2021-11-12T11:24:00Z</dcterms:created>
  <dcterms:modified xsi:type="dcterms:W3CDTF">2021-11-12T15:40:00Z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caas-kokpinp@soe.sgnet.gov.sg</vt:lpwstr>
  </property>
  <property fmtid="{D5CDD505-2E9C-101B-9397-08002B2CF9AE}" pid="5" name="MSIP_Label_3f9331f7-95a2-472a-92bc-d73219eb516b_SetDate">
    <vt:lpwstr>2021-04-19T08:15:54.0065857Z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db71c37c-f8da-4319-8f9e-b7ea1cd1966a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caas-kokpinp@soe.sgnet.gov.sg</vt:lpwstr>
  </property>
  <property fmtid="{D5CDD505-2E9C-101B-9397-08002B2CF9AE}" pid="13" name="MSIP_Label_4f288355-fb4c-44cd-b9ca-40cfc2aee5f8_SetDate">
    <vt:lpwstr>2021-04-19T08:15:54.0065857Z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db71c37c-f8da-4319-8f9e-b7ea1cd1966a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