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5" w:type="dxa"/>
        <w:tblBorders>
          <w:bottom w:val="single" w:sz="4" w:space="0" w:color="auto"/>
        </w:tblBorders>
        <w:tblLayout w:type="fixed"/>
        <w:tblCellMar>
          <w:left w:w="58" w:type="dxa"/>
          <w:right w:w="58" w:type="dxa"/>
        </w:tblCellMar>
        <w:tblLook w:val="04A0" w:firstRow="1" w:lastRow="0" w:firstColumn="1" w:lastColumn="0" w:noHBand="0" w:noVBand="1"/>
      </w:tblPr>
      <w:tblGrid>
        <w:gridCol w:w="1399"/>
        <w:gridCol w:w="5757"/>
        <w:gridCol w:w="2159"/>
      </w:tblGrid>
      <w:tr w:rsidR="008F52E8" w14:paraId="7C7F20EA" w14:textId="77777777" w:rsidTr="003229E2">
        <w:trPr>
          <w:cantSplit/>
          <w:trHeight w:val="288"/>
        </w:trPr>
        <w:tc>
          <w:tcPr>
            <w:tcW w:w="1399" w:type="dxa"/>
            <w:vMerge w:val="restart"/>
            <w:tcBorders>
              <w:top w:val="nil"/>
              <w:left w:val="nil"/>
              <w:bottom w:val="single" w:sz="4" w:space="0" w:color="auto"/>
              <w:right w:val="nil"/>
            </w:tcBorders>
            <w:hideMark/>
          </w:tcPr>
          <w:p w14:paraId="704C04D8" w14:textId="77777777" w:rsidR="008F52E8" w:rsidRDefault="008F52E8" w:rsidP="003229E2">
            <w:pPr>
              <w:pStyle w:val="Note"/>
              <w:widowControl w:val="0"/>
              <w:tabs>
                <w:tab w:val="clear" w:pos="284"/>
                <w:tab w:val="left" w:pos="720"/>
              </w:tabs>
              <w:wordWrap w:val="0"/>
              <w:spacing w:before="0"/>
              <w:rPr>
                <w:noProof w:val="0"/>
                <w:kern w:val="2"/>
                <w:sz w:val="24"/>
                <w:szCs w:val="24"/>
              </w:rPr>
            </w:pPr>
            <w:r>
              <w:rPr>
                <w:kern w:val="2"/>
                <w:sz w:val="24"/>
                <w:szCs w:val="24"/>
                <w:lang w:eastAsia="en-US"/>
              </w:rPr>
              <w:drawing>
                <wp:inline distT="0" distB="0" distL="0" distR="0" wp14:anchorId="34B49E68" wp14:editId="102DCDAE">
                  <wp:extent cx="762000" cy="717550"/>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p>
        </w:tc>
        <w:tc>
          <w:tcPr>
            <w:tcW w:w="5760" w:type="dxa"/>
            <w:tcBorders>
              <w:top w:val="nil"/>
              <w:left w:val="nil"/>
              <w:bottom w:val="nil"/>
              <w:right w:val="nil"/>
            </w:tcBorders>
            <w:hideMark/>
          </w:tcPr>
          <w:p w14:paraId="2F62D346" w14:textId="77777777" w:rsidR="008F52E8" w:rsidRDefault="008F52E8" w:rsidP="003229E2">
            <w:pPr>
              <w:spacing w:before="40"/>
              <w:rPr>
                <w:sz w:val="22"/>
                <w:szCs w:val="22"/>
              </w:rPr>
            </w:pPr>
            <w:r>
              <w:rPr>
                <w:sz w:val="22"/>
                <w:szCs w:val="22"/>
              </w:rPr>
              <w:t>ASIA-PACIFIC TELECOMMUNITY</w:t>
            </w:r>
          </w:p>
        </w:tc>
        <w:tc>
          <w:tcPr>
            <w:tcW w:w="2160" w:type="dxa"/>
            <w:tcBorders>
              <w:top w:val="nil"/>
              <w:left w:val="nil"/>
              <w:bottom w:val="nil"/>
              <w:right w:val="nil"/>
            </w:tcBorders>
            <w:hideMark/>
          </w:tcPr>
          <w:p w14:paraId="7D4FE131" w14:textId="77777777" w:rsidR="008F52E8" w:rsidRDefault="008F52E8" w:rsidP="003229E2">
            <w:pPr>
              <w:pStyle w:val="Heading8"/>
              <w:spacing w:before="40"/>
              <w:rPr>
                <w:sz w:val="24"/>
                <w:szCs w:val="24"/>
              </w:rPr>
            </w:pPr>
            <w:r>
              <w:rPr>
                <w:sz w:val="24"/>
                <w:szCs w:val="24"/>
              </w:rPr>
              <w:t>Document No:</w:t>
            </w:r>
          </w:p>
        </w:tc>
      </w:tr>
      <w:tr w:rsidR="008F52E8" w14:paraId="022EB000" w14:textId="77777777" w:rsidTr="003229E2">
        <w:trPr>
          <w:cantSplit/>
          <w:trHeight w:val="504"/>
        </w:trPr>
        <w:tc>
          <w:tcPr>
            <w:tcW w:w="1399" w:type="dxa"/>
            <w:vMerge/>
            <w:tcBorders>
              <w:top w:val="nil"/>
              <w:left w:val="nil"/>
              <w:bottom w:val="single" w:sz="4" w:space="0" w:color="auto"/>
              <w:right w:val="nil"/>
            </w:tcBorders>
            <w:vAlign w:val="center"/>
            <w:hideMark/>
          </w:tcPr>
          <w:p w14:paraId="341EA4A0" w14:textId="77777777" w:rsidR="008F52E8" w:rsidRDefault="008F52E8" w:rsidP="003229E2">
            <w:pPr>
              <w:rPr>
                <w:kern w:val="2"/>
                <w:lang w:eastAsia="ko-KR"/>
              </w:rPr>
            </w:pPr>
          </w:p>
        </w:tc>
        <w:tc>
          <w:tcPr>
            <w:tcW w:w="5760" w:type="dxa"/>
            <w:tcBorders>
              <w:top w:val="nil"/>
              <w:left w:val="nil"/>
              <w:bottom w:val="nil"/>
              <w:right w:val="nil"/>
            </w:tcBorders>
            <w:vAlign w:val="center"/>
            <w:hideMark/>
          </w:tcPr>
          <w:p w14:paraId="169E4C18" w14:textId="77777777" w:rsidR="008F52E8" w:rsidRDefault="008F52E8" w:rsidP="003229E2">
            <w:pPr>
              <w:spacing w:before="40"/>
            </w:pPr>
            <w:r>
              <w:rPr>
                <w:b/>
              </w:rPr>
              <w:t>The 3rd Meeting of the APT Conference Preparatory Group for WRC-23 (APG23-3)</w:t>
            </w:r>
          </w:p>
        </w:tc>
        <w:tc>
          <w:tcPr>
            <w:tcW w:w="2160" w:type="dxa"/>
            <w:tcBorders>
              <w:top w:val="nil"/>
              <w:left w:val="nil"/>
              <w:bottom w:val="nil"/>
              <w:right w:val="nil"/>
            </w:tcBorders>
          </w:tcPr>
          <w:p w14:paraId="51D9F083" w14:textId="69665EF5" w:rsidR="008F52E8" w:rsidRDefault="008F52E8" w:rsidP="003229E2">
            <w:pPr>
              <w:spacing w:before="40"/>
              <w:rPr>
                <w:rFonts w:cs="Angsana New"/>
                <w:b/>
                <w:bCs/>
                <w:szCs w:val="30"/>
                <w:lang w:bidi="th-TH"/>
              </w:rPr>
            </w:pPr>
            <w:r>
              <w:rPr>
                <w:b/>
                <w:bCs/>
                <w:lang w:val="fr-FR"/>
              </w:rPr>
              <w:t>APG23-3/OUT-</w:t>
            </w:r>
            <w:r w:rsidR="00B83C32">
              <w:rPr>
                <w:b/>
                <w:bCs/>
                <w:lang w:val="fr-FR"/>
              </w:rPr>
              <w:t>21</w:t>
            </w:r>
          </w:p>
          <w:p w14:paraId="30ECA97B" w14:textId="77777777" w:rsidR="008F52E8" w:rsidRDefault="008F52E8" w:rsidP="003229E2">
            <w:pPr>
              <w:rPr>
                <w:b/>
                <w:bCs/>
                <w:lang w:val="en-GB"/>
              </w:rPr>
            </w:pPr>
          </w:p>
        </w:tc>
      </w:tr>
      <w:tr w:rsidR="008F52E8" w14:paraId="122F1E93" w14:textId="77777777" w:rsidTr="003229E2">
        <w:trPr>
          <w:cantSplit/>
          <w:trHeight w:val="288"/>
        </w:trPr>
        <w:tc>
          <w:tcPr>
            <w:tcW w:w="1399" w:type="dxa"/>
            <w:vMerge/>
            <w:tcBorders>
              <w:top w:val="nil"/>
              <w:left w:val="nil"/>
              <w:bottom w:val="single" w:sz="4" w:space="0" w:color="auto"/>
              <w:right w:val="nil"/>
            </w:tcBorders>
            <w:vAlign w:val="center"/>
            <w:hideMark/>
          </w:tcPr>
          <w:p w14:paraId="54229B15" w14:textId="77777777" w:rsidR="008F52E8" w:rsidRDefault="008F52E8" w:rsidP="003229E2">
            <w:pPr>
              <w:rPr>
                <w:kern w:val="2"/>
                <w:lang w:eastAsia="ko-KR"/>
              </w:rPr>
            </w:pPr>
          </w:p>
        </w:tc>
        <w:tc>
          <w:tcPr>
            <w:tcW w:w="5760" w:type="dxa"/>
            <w:tcBorders>
              <w:top w:val="nil"/>
              <w:left w:val="nil"/>
              <w:bottom w:val="single" w:sz="4" w:space="0" w:color="auto"/>
              <w:right w:val="nil"/>
            </w:tcBorders>
            <w:vAlign w:val="bottom"/>
            <w:hideMark/>
          </w:tcPr>
          <w:p w14:paraId="4EA45F7A" w14:textId="77777777" w:rsidR="008F52E8" w:rsidRDefault="008F52E8" w:rsidP="003229E2">
            <w:pPr>
              <w:spacing w:before="40"/>
              <w:rPr>
                <w:b/>
              </w:rPr>
            </w:pPr>
            <w:r>
              <w:t xml:space="preserve">8 – 13 November 2021, </w:t>
            </w:r>
            <w:r>
              <w:rPr>
                <w:bCs/>
              </w:rPr>
              <w:t>Virtual/Online Meeting</w:t>
            </w:r>
          </w:p>
        </w:tc>
        <w:tc>
          <w:tcPr>
            <w:tcW w:w="2160" w:type="dxa"/>
            <w:tcBorders>
              <w:top w:val="nil"/>
              <w:left w:val="nil"/>
              <w:bottom w:val="single" w:sz="4" w:space="0" w:color="auto"/>
              <w:right w:val="nil"/>
            </w:tcBorders>
            <w:vAlign w:val="bottom"/>
            <w:hideMark/>
          </w:tcPr>
          <w:p w14:paraId="12EFBCEA" w14:textId="77777777" w:rsidR="008F52E8" w:rsidRDefault="008F52E8" w:rsidP="003229E2">
            <w:pPr>
              <w:spacing w:before="40"/>
              <w:rPr>
                <w:bCs/>
              </w:rPr>
            </w:pPr>
            <w:r>
              <w:rPr>
                <w:bCs/>
              </w:rPr>
              <w:t>13 November 2021</w:t>
            </w:r>
          </w:p>
        </w:tc>
      </w:tr>
    </w:tbl>
    <w:p w14:paraId="73FBC262" w14:textId="77777777" w:rsidR="00311E8A" w:rsidRDefault="00311E8A" w:rsidP="002101BC">
      <w:pPr>
        <w:rPr>
          <w:lang w:val="en-NZ"/>
        </w:rPr>
      </w:pPr>
    </w:p>
    <w:p w14:paraId="6F54FEE6" w14:textId="77777777" w:rsidR="00793F68" w:rsidRDefault="00793F68" w:rsidP="00B64A60">
      <w:pPr>
        <w:jc w:val="center"/>
        <w:rPr>
          <w:lang w:val="en-NZ" w:eastAsia="ko-KR"/>
        </w:rPr>
      </w:pPr>
    </w:p>
    <w:p w14:paraId="1C5D23AA" w14:textId="3DDA93CD" w:rsidR="00B64A60" w:rsidRPr="008F52E8" w:rsidRDefault="008F52E8" w:rsidP="008F52E8">
      <w:pPr>
        <w:jc w:val="center"/>
        <w:rPr>
          <w:rFonts w:cstheme="minorBidi"/>
          <w:szCs w:val="30"/>
          <w:cs/>
          <w:lang w:eastAsia="ko-KR" w:bidi="th-TH"/>
        </w:rPr>
      </w:pPr>
      <w:r>
        <w:rPr>
          <w:lang w:eastAsia="ko-KR"/>
        </w:rPr>
        <w:t>Working Party 3</w:t>
      </w:r>
    </w:p>
    <w:p w14:paraId="3C2DE030" w14:textId="77777777" w:rsidR="00B64A60" w:rsidRPr="002A0111" w:rsidRDefault="00B64A60" w:rsidP="00B64A60">
      <w:pPr>
        <w:jc w:val="center"/>
        <w:rPr>
          <w:bCs/>
          <w:caps/>
          <w:lang w:val="en-NZ"/>
        </w:rPr>
      </w:pPr>
    </w:p>
    <w:p w14:paraId="46FE6A74" w14:textId="4B9C4F11"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614AD1">
        <w:rPr>
          <w:b/>
          <w:bCs/>
          <w:caps/>
          <w:lang w:val="en-NZ"/>
        </w:rPr>
        <w:t>12</w:t>
      </w:r>
    </w:p>
    <w:p w14:paraId="2946B5E4" w14:textId="77777777" w:rsidR="00B64A60" w:rsidRPr="00441526" w:rsidRDefault="00B64A60" w:rsidP="00264566">
      <w:pPr>
        <w:spacing w:after="120"/>
        <w:rPr>
          <w:lang w:val="en-NZ"/>
        </w:rPr>
      </w:pPr>
    </w:p>
    <w:p w14:paraId="18BCA5D3" w14:textId="3FDD255E" w:rsidR="002A0111" w:rsidRPr="00441526" w:rsidRDefault="002A0111" w:rsidP="002A0111">
      <w:pPr>
        <w:spacing w:after="120"/>
        <w:jc w:val="both"/>
        <w:rPr>
          <w:lang w:val="en-NZ"/>
        </w:rPr>
      </w:pPr>
      <w:r w:rsidRPr="00441526">
        <w:rPr>
          <w:b/>
          <w:lang w:val="en-NZ"/>
        </w:rPr>
        <w:t>Agenda Item 1.</w:t>
      </w:r>
      <w:r w:rsidR="00614AD1">
        <w:rPr>
          <w:b/>
          <w:lang w:val="en-NZ"/>
        </w:rPr>
        <w:t>12</w:t>
      </w:r>
      <w:r w:rsidRPr="00441526">
        <w:rPr>
          <w:b/>
          <w:lang w:val="en-NZ"/>
        </w:rPr>
        <w:t xml:space="preserve">: </w:t>
      </w:r>
    </w:p>
    <w:p w14:paraId="5EAA339A" w14:textId="36753B80" w:rsidR="002A0111" w:rsidRPr="00441526" w:rsidRDefault="0082274C" w:rsidP="0082274C">
      <w:pPr>
        <w:spacing w:after="120"/>
        <w:jc w:val="both"/>
        <w:rPr>
          <w:lang w:val="en-NZ"/>
        </w:rPr>
      </w:pPr>
      <w:r w:rsidRPr="00DE5A2B">
        <w:rPr>
          <w:i/>
          <w:iCs/>
        </w:rPr>
        <w:t xml:space="preserve">to conduct, and complete in time for WRC 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DE5A2B">
        <w:rPr>
          <w:b/>
          <w:bCs/>
          <w:i/>
          <w:iCs/>
        </w:rPr>
        <w:t>656 (Rev.WRC</w:t>
      </w:r>
      <w:r>
        <w:rPr>
          <w:b/>
          <w:bCs/>
          <w:i/>
          <w:iCs/>
        </w:rPr>
        <w:t>-</w:t>
      </w:r>
      <w:r w:rsidRPr="00DE5A2B">
        <w:rPr>
          <w:b/>
          <w:bCs/>
          <w:i/>
          <w:iCs/>
        </w:rPr>
        <w:t>19)</w:t>
      </w:r>
      <w:r w:rsidRPr="00DE5A2B">
        <w:rPr>
          <w:i/>
          <w:iCs/>
        </w:rPr>
        <w:t>;</w:t>
      </w:r>
    </w:p>
    <w:p w14:paraId="428A89C4"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721FBB75" w14:textId="4D43D3B8" w:rsidR="00630511" w:rsidRDefault="00630511" w:rsidP="003D3D47">
      <w:pPr>
        <w:jc w:val="both"/>
        <w:rPr>
          <w:iCs/>
          <w:lang w:val="en-NZ"/>
        </w:rPr>
      </w:pPr>
      <w:r>
        <w:rPr>
          <w:iCs/>
          <w:lang w:val="en-NZ"/>
        </w:rPr>
        <w:t xml:space="preserve">This agenda item originated from the USA (a CITEL member administration).  </w:t>
      </w:r>
    </w:p>
    <w:p w14:paraId="0DE60FD4" w14:textId="50F104D8" w:rsidR="00630511" w:rsidRDefault="00630511" w:rsidP="00C549D8">
      <w:pPr>
        <w:spacing w:before="120" w:after="120"/>
        <w:jc w:val="both"/>
      </w:pPr>
      <w:r w:rsidRPr="004107CA">
        <w:t>There is an interest among climate researchers in remote sensin</w:t>
      </w:r>
      <w:r>
        <w:t xml:space="preserve">g </w:t>
      </w:r>
      <w:r w:rsidRPr="004107CA">
        <w:t>of the Earth’s subsurface with the intent of locating water/ice/deposits and examinin</w:t>
      </w:r>
      <w:r>
        <w:t>g sub-ice glacial bed surfac</w:t>
      </w:r>
      <w:r w:rsidRPr="004107CA">
        <w:t>es using active spaceborne sensors. This information can help to understand the global thickness, inner structure, and the thermal stability of the Earth’s ice sheets as an observable parameter of Earth climate evolution. The 40-50 MHz frequency range is preferable to satisfy all requirements for spaceborne radar sounders and a bandwidth of 10 MHz is sufficient for use.</w:t>
      </w:r>
      <w:r>
        <w:t xml:space="preserve">  </w:t>
      </w:r>
    </w:p>
    <w:p w14:paraId="7D8C715F" w14:textId="3EE99C3B" w:rsidR="00630511" w:rsidRPr="00DC6400" w:rsidRDefault="00D91D39" w:rsidP="00C549D8">
      <w:pPr>
        <w:spacing w:after="120"/>
        <w:jc w:val="both"/>
        <w:rPr>
          <w:lang w:val="en-GB" w:eastAsia="zh-CN"/>
        </w:rPr>
      </w:pPr>
      <w:r>
        <w:rPr>
          <w:lang w:val="en-GB" w:eastAsia="zh-CN"/>
        </w:rPr>
        <w:t xml:space="preserve">ITU-R </w:t>
      </w:r>
      <w:r w:rsidR="00630511" w:rsidRPr="00DC6400">
        <w:rPr>
          <w:lang w:val="en-GB" w:eastAsia="zh-CN"/>
        </w:rPr>
        <w:t xml:space="preserve">Recommendation </w:t>
      </w:r>
      <w:hyperlink r:id="rId9" w:history="1">
        <w:r>
          <w:rPr>
            <w:rStyle w:val="Hyperlink"/>
            <w:lang w:val="en-GB" w:eastAsia="zh-CN"/>
          </w:rPr>
          <w:t>RS.2042-1</w:t>
        </w:r>
      </w:hyperlink>
      <w:r w:rsidR="00630511" w:rsidRPr="00DC6400">
        <w:rPr>
          <w:lang w:val="en-GB" w:eastAsia="zh-CN"/>
        </w:rPr>
        <w:t xml:space="preserve"> titled “Typical technical and operating characteristics for spaceborne radar sounder systems using the 40-50 MHz band” was completed during the WRC-19 study cycle. This recommendation indicates that: </w:t>
      </w:r>
    </w:p>
    <w:p w14:paraId="0FE63E24" w14:textId="77777777" w:rsidR="00630511" w:rsidRPr="00DC6400" w:rsidRDefault="00630511" w:rsidP="00C549D8">
      <w:pPr>
        <w:pStyle w:val="ListParagraph"/>
        <w:numPr>
          <w:ilvl w:val="0"/>
          <w:numId w:val="24"/>
        </w:numPr>
        <w:spacing w:after="120"/>
        <w:jc w:val="both"/>
        <w:rPr>
          <w:lang w:val="en-GB" w:eastAsia="zh-CN"/>
        </w:rPr>
      </w:pPr>
      <w:r w:rsidRPr="00DC6400">
        <w:rPr>
          <w:lang w:val="en-GB" w:eastAsia="zh-CN"/>
        </w:rPr>
        <w:t xml:space="preserve">operations of spaceborne radar sounder with other primary and secondary services would be under RR </w:t>
      </w:r>
      <w:r w:rsidRPr="0032702F">
        <w:rPr>
          <w:lang w:val="en-GB" w:eastAsia="zh-CN"/>
        </w:rPr>
        <w:t>No.</w:t>
      </w:r>
      <w:r w:rsidRPr="0032702F">
        <w:rPr>
          <w:b/>
          <w:bCs/>
          <w:lang w:val="en-GB" w:eastAsia="zh-CN"/>
        </w:rPr>
        <w:t xml:space="preserve"> 4.4</w:t>
      </w:r>
      <w:r w:rsidRPr="00DC6400">
        <w:rPr>
          <w:lang w:val="en-GB" w:eastAsia="zh-CN"/>
        </w:rPr>
        <w:t>, non-interference basis and shall not cause harmful interference to, and shall not claim protection;</w:t>
      </w:r>
    </w:p>
    <w:p w14:paraId="0EEAA740" w14:textId="2CA1B64B" w:rsidR="00630511" w:rsidRPr="00DC6400" w:rsidRDefault="00630511" w:rsidP="00C549D8">
      <w:pPr>
        <w:pStyle w:val="ListParagraph"/>
        <w:numPr>
          <w:ilvl w:val="0"/>
          <w:numId w:val="24"/>
        </w:numPr>
        <w:spacing w:after="120"/>
        <w:jc w:val="both"/>
        <w:rPr>
          <w:lang w:val="en-GB" w:eastAsia="zh-CN"/>
        </w:rPr>
      </w:pPr>
      <w:r w:rsidRPr="00DC6400">
        <w:rPr>
          <w:lang w:val="en-GB" w:eastAsia="zh-CN"/>
        </w:rPr>
        <w:t xml:space="preserve">that operational limitations have been identified to allow operation under RR </w:t>
      </w:r>
      <w:r w:rsidRPr="0032702F">
        <w:rPr>
          <w:lang w:val="en-GB" w:eastAsia="zh-CN"/>
        </w:rPr>
        <w:t>No.</w:t>
      </w:r>
      <w:r w:rsidRPr="0032702F">
        <w:rPr>
          <w:b/>
          <w:bCs/>
          <w:lang w:val="en-GB" w:eastAsia="zh-CN"/>
        </w:rPr>
        <w:t xml:space="preserve"> 4.4</w:t>
      </w:r>
      <w:r w:rsidRPr="00DC6400">
        <w:rPr>
          <w:lang w:val="en-GB" w:eastAsia="zh-CN"/>
        </w:rPr>
        <w:t xml:space="preserve"> on a non-interference basis such as operating only in either uninhabited or sparsely populated areas of the ice sheets of Greenland and Antarctica and deserts of northern Africa and the </w:t>
      </w:r>
      <w:r w:rsidR="00B573E4" w:rsidRPr="00DC6400">
        <w:rPr>
          <w:lang w:val="en-GB" w:eastAsia="zh-CN"/>
        </w:rPr>
        <w:t>Arabian Peninsula</w:t>
      </w:r>
      <w:r w:rsidRPr="00DC6400">
        <w:rPr>
          <w:lang w:val="en-GB" w:eastAsia="zh-CN"/>
        </w:rPr>
        <w:t xml:space="preserve"> and operating the radar at night-time only from 3 a.m. to 6 a.m. locally</w:t>
      </w:r>
    </w:p>
    <w:p w14:paraId="739AF00A" w14:textId="77456756" w:rsidR="00DA5CAA" w:rsidRPr="0095544E" w:rsidRDefault="00DA5CAA" w:rsidP="003D3D47">
      <w:pPr>
        <w:jc w:val="both"/>
        <w:rPr>
          <w:iCs/>
          <w:lang w:val="en-NZ"/>
        </w:rPr>
      </w:pPr>
      <w:r w:rsidRPr="0095544E">
        <w:rPr>
          <w:lang w:val="en-GB" w:eastAsia="zh-CN"/>
        </w:rPr>
        <w:t>The spaceborne active sensor is expected to be carried on a low-Earth orbiting satellite at an altitude of 400 km, an inclination optimized for a sun synchronous orbit. The number of spaceborne radar sounder missions operating simultaneously is expected to remain very low; perhaps only one, or two.</w:t>
      </w:r>
    </w:p>
    <w:p w14:paraId="18871199" w14:textId="63E65FDC" w:rsidR="00B63D9D" w:rsidRPr="0095544E" w:rsidRDefault="00630511" w:rsidP="009A5711">
      <w:pPr>
        <w:spacing w:before="120" w:after="120"/>
        <w:jc w:val="both"/>
        <w:rPr>
          <w:iCs/>
          <w:lang w:val="en-NZ"/>
        </w:rPr>
      </w:pPr>
      <w:r w:rsidRPr="0095544E">
        <w:rPr>
          <w:iCs/>
          <w:lang w:val="en-NZ"/>
        </w:rPr>
        <w:t>Work is</w:t>
      </w:r>
      <w:r w:rsidR="00CB74C5" w:rsidRPr="0095544E">
        <w:rPr>
          <w:iCs/>
          <w:lang w:val="en-NZ"/>
        </w:rPr>
        <w:t xml:space="preserve"> currently</w:t>
      </w:r>
      <w:r w:rsidRPr="0095544E">
        <w:rPr>
          <w:iCs/>
          <w:lang w:val="en-NZ"/>
        </w:rPr>
        <w:t xml:space="preserve"> ongoing in ITU-R Working Party 7C (</w:t>
      </w:r>
      <w:r w:rsidR="00120519" w:rsidRPr="0095544E">
        <w:rPr>
          <w:iCs/>
          <w:lang w:val="en-NZ"/>
        </w:rPr>
        <w:t xml:space="preserve">WP 7C, </w:t>
      </w:r>
      <w:r w:rsidRPr="0095544E">
        <w:rPr>
          <w:iCs/>
          <w:lang w:val="en-NZ"/>
        </w:rPr>
        <w:t xml:space="preserve">the responsible group) </w:t>
      </w:r>
      <w:r w:rsidR="00B63D9D" w:rsidRPr="0095544E">
        <w:rPr>
          <w:iCs/>
          <w:lang w:val="en-NZ"/>
        </w:rPr>
        <w:t>on revisions to R</w:t>
      </w:r>
      <w:r w:rsidR="00CB74C5" w:rsidRPr="0095544E">
        <w:rPr>
          <w:iCs/>
          <w:lang w:val="en-NZ"/>
        </w:rPr>
        <w:t>eport ITU-R RS.2455</w:t>
      </w:r>
      <w:r w:rsidR="00132528" w:rsidRPr="0095544E">
        <w:rPr>
          <w:iCs/>
          <w:lang w:val="en-NZ"/>
        </w:rPr>
        <w:t xml:space="preserve">, </w:t>
      </w:r>
      <w:r w:rsidR="00B63D9D" w:rsidRPr="0095544E">
        <w:rPr>
          <w:iCs/>
          <w:lang w:val="en-NZ"/>
        </w:rPr>
        <w:t xml:space="preserve">Recommendation ITU-R RS.2042 and the development of draft CPM text. </w:t>
      </w:r>
    </w:p>
    <w:p w14:paraId="3339A117" w14:textId="30879083" w:rsidR="00B63D9D" w:rsidRPr="0095544E" w:rsidRDefault="00B63D9D" w:rsidP="00B63D9D">
      <w:pPr>
        <w:pStyle w:val="ListParagraph"/>
        <w:numPr>
          <w:ilvl w:val="0"/>
          <w:numId w:val="26"/>
        </w:numPr>
        <w:spacing w:before="120" w:after="120"/>
        <w:jc w:val="both"/>
        <w:rPr>
          <w:iCs/>
          <w:lang w:val="en-NZ"/>
        </w:rPr>
      </w:pPr>
      <w:r w:rsidRPr="0095544E">
        <w:rPr>
          <w:iCs/>
          <w:lang w:val="en-NZ"/>
        </w:rPr>
        <w:t xml:space="preserve">Draft CPM Text – drafting is at a preliminary stage with the document currently containing a draft executive summary, </w:t>
      </w:r>
      <w:r w:rsidR="00B573E4" w:rsidRPr="0095544E">
        <w:rPr>
          <w:iCs/>
          <w:lang w:val="en-NZ"/>
        </w:rPr>
        <w:t>background,</w:t>
      </w:r>
      <w:r w:rsidRPr="0095544E">
        <w:rPr>
          <w:iCs/>
          <w:lang w:val="en-NZ"/>
        </w:rPr>
        <w:t xml:space="preserve"> and section headers for the various anticipated stud</w:t>
      </w:r>
      <w:r w:rsidR="00D92F5F" w:rsidRPr="0095544E">
        <w:rPr>
          <w:iCs/>
          <w:lang w:val="en-NZ"/>
        </w:rPr>
        <w:t>y results</w:t>
      </w:r>
      <w:r w:rsidRPr="0095544E">
        <w:rPr>
          <w:iCs/>
          <w:lang w:val="en-NZ"/>
        </w:rPr>
        <w:t>.</w:t>
      </w:r>
    </w:p>
    <w:p w14:paraId="6EEC3F51" w14:textId="65482D48" w:rsidR="00B63D9D" w:rsidRPr="0095544E" w:rsidRDefault="00B63D9D" w:rsidP="00B63D9D">
      <w:pPr>
        <w:pStyle w:val="ListParagraph"/>
        <w:numPr>
          <w:ilvl w:val="0"/>
          <w:numId w:val="26"/>
        </w:numPr>
        <w:spacing w:before="120" w:after="120"/>
        <w:jc w:val="both"/>
        <w:rPr>
          <w:iCs/>
          <w:lang w:val="en-NZ"/>
        </w:rPr>
      </w:pPr>
      <w:r w:rsidRPr="0095544E">
        <w:rPr>
          <w:iCs/>
          <w:lang w:val="en-NZ"/>
        </w:rPr>
        <w:lastRenderedPageBreak/>
        <w:t>Revision of ITU-R Report RS.2455</w:t>
      </w:r>
      <w:r w:rsidR="00132528" w:rsidRPr="0095544E">
        <w:rPr>
          <w:iCs/>
          <w:lang w:val="en-NZ"/>
        </w:rPr>
        <w:t xml:space="preserve"> – At the most recent (September 2021) meeting of WP 7C significant progress was made on the revision of this report. All previous static RFI analyses have been removed and replaced entirely with dynamic analyses. The IARU noted at the meeting that it will continue to work with the United States to seek increased protections for out-of-band (50-54 MHz) amateur weak signal research. This is likely to include a replacement of the static analysis noted above with a dynamic analysis using a radar sounder emission attenuation of 20dB versus the figure of 30dB that was used in the static analysis.</w:t>
      </w:r>
    </w:p>
    <w:p w14:paraId="1CFE1859" w14:textId="54480D38" w:rsidR="00132528" w:rsidRPr="0095544E" w:rsidRDefault="00132528" w:rsidP="00B63D9D">
      <w:pPr>
        <w:pStyle w:val="ListParagraph"/>
        <w:numPr>
          <w:ilvl w:val="0"/>
          <w:numId w:val="26"/>
        </w:numPr>
        <w:spacing w:before="120" w:after="120"/>
        <w:jc w:val="both"/>
        <w:rPr>
          <w:iCs/>
          <w:lang w:val="en-NZ"/>
        </w:rPr>
      </w:pPr>
      <w:r w:rsidRPr="0095544E">
        <w:rPr>
          <w:iCs/>
          <w:lang w:val="en-NZ"/>
        </w:rPr>
        <w:t xml:space="preserve">Revision of ITU-R Recommendation RS.2042 – </w:t>
      </w:r>
      <w:r w:rsidRPr="0095544E">
        <w:t>at the September 2021 meeting of WP 7C work commenced on a revision of ITU-R Recommendation RS.2042. This working document is based on a contribution from the European Space Agency with the initial proposed revisions consistent with the ongoing updates to ITU-R Report RS.2455 noted above.</w:t>
      </w:r>
    </w:p>
    <w:p w14:paraId="6D0F0F56" w14:textId="6B3002F2" w:rsidR="0082274C" w:rsidRPr="0095544E" w:rsidRDefault="0082274C" w:rsidP="0082274C">
      <w:pPr>
        <w:widowControl w:val="0"/>
        <w:wordWrap w:val="0"/>
        <w:autoSpaceDE w:val="0"/>
        <w:autoSpaceDN w:val="0"/>
        <w:spacing w:before="120"/>
        <w:jc w:val="both"/>
      </w:pPr>
      <w:r w:rsidRPr="0095544E">
        <w:t>Relevant ITU-R documents:</w:t>
      </w:r>
    </w:p>
    <w:p w14:paraId="75CC48E1" w14:textId="6482FF0B" w:rsidR="0082274C" w:rsidRPr="0095544E" w:rsidRDefault="0082274C" w:rsidP="00DA6B3D">
      <w:pPr>
        <w:pStyle w:val="ListParagraph"/>
        <w:numPr>
          <w:ilvl w:val="0"/>
          <w:numId w:val="23"/>
        </w:numPr>
        <w:spacing w:before="60" w:after="60"/>
        <w:ind w:left="714" w:hanging="357"/>
      </w:pPr>
      <w:r w:rsidRPr="0095544E">
        <w:t xml:space="preserve">ITU-R Recommendation </w:t>
      </w:r>
      <w:hyperlink r:id="rId10" w:history="1">
        <w:r w:rsidRPr="0095544E">
          <w:rPr>
            <w:rStyle w:val="Hyperlink"/>
          </w:rPr>
          <w:t>RS.2042-1</w:t>
        </w:r>
      </w:hyperlink>
      <w:r w:rsidRPr="0095544E">
        <w:t xml:space="preserve"> - </w:t>
      </w:r>
      <w:r w:rsidRPr="0095544E">
        <w:rPr>
          <w:lang w:val="en-GB"/>
        </w:rPr>
        <w:t>“Typical technical and operating characteristics for spaceborne radar sounder systems using the 40-50 MHz band”.</w:t>
      </w:r>
    </w:p>
    <w:p w14:paraId="3914DCA5" w14:textId="07D98FFB" w:rsidR="0082274C" w:rsidRPr="0095544E" w:rsidRDefault="0082274C" w:rsidP="00DA6B3D">
      <w:pPr>
        <w:pStyle w:val="ListParagraph"/>
        <w:numPr>
          <w:ilvl w:val="0"/>
          <w:numId w:val="23"/>
        </w:numPr>
        <w:spacing w:before="60" w:after="60"/>
        <w:ind w:left="714" w:hanging="357"/>
      </w:pPr>
      <w:r w:rsidRPr="0095544E">
        <w:t xml:space="preserve">ITU-R Report </w:t>
      </w:r>
      <w:hyperlink r:id="rId11" w:history="1">
        <w:r w:rsidRPr="0095544E">
          <w:rPr>
            <w:rStyle w:val="Hyperlink"/>
          </w:rPr>
          <w:t>RS.2455-0</w:t>
        </w:r>
      </w:hyperlink>
      <w:r w:rsidRPr="0095544E">
        <w:t xml:space="preserve"> – </w:t>
      </w:r>
      <w:bookmarkStart w:id="0" w:name="_Hlk69659362"/>
      <w:r w:rsidRPr="0095544E">
        <w:t>“Preliminary results of sharing studies between a 45 MHz radar sounder and incumbent fixed, mobile, broadcasting and space research services operating in the 40-50 MHz frequency range”.</w:t>
      </w:r>
      <w:bookmarkEnd w:id="0"/>
    </w:p>
    <w:p w14:paraId="37FAEB5D" w14:textId="365360C1" w:rsidR="002A0111" w:rsidRPr="0095544E" w:rsidRDefault="00FE028D" w:rsidP="00DA6B3D">
      <w:pPr>
        <w:pStyle w:val="ListParagraph"/>
        <w:numPr>
          <w:ilvl w:val="0"/>
          <w:numId w:val="23"/>
        </w:numPr>
        <w:spacing w:before="60" w:after="60"/>
        <w:ind w:left="714" w:hanging="357"/>
      </w:pPr>
      <w:r w:rsidRPr="0095544E">
        <w:t xml:space="preserve">ITU-R Document </w:t>
      </w:r>
      <w:hyperlink r:id="rId12" w:history="1">
        <w:r w:rsidR="0067505B" w:rsidRPr="0095544E">
          <w:rPr>
            <w:rStyle w:val="Hyperlink"/>
          </w:rPr>
          <w:t>7C/283 Annex 4</w:t>
        </w:r>
      </w:hyperlink>
      <w:r w:rsidRPr="0095544E">
        <w:t xml:space="preserve"> – </w:t>
      </w:r>
      <w:r w:rsidR="00E70EF7" w:rsidRPr="0095544E">
        <w:t>preliminary draft revised Report ITU-R RS.2455-1</w:t>
      </w:r>
      <w:r w:rsidR="00933F8C" w:rsidRPr="0095544E">
        <w:t xml:space="preserve"> (from the </w:t>
      </w:r>
      <w:r w:rsidR="00FA310A" w:rsidRPr="0095544E">
        <w:t xml:space="preserve">WP 7C </w:t>
      </w:r>
      <w:r w:rsidR="0067505B" w:rsidRPr="0095544E">
        <w:t>September</w:t>
      </w:r>
      <w:r w:rsidR="00FA310A" w:rsidRPr="0095544E">
        <w:t xml:space="preserve"> 2021 meeting</w:t>
      </w:r>
      <w:r w:rsidR="00933F8C" w:rsidRPr="0095544E">
        <w:t>).</w:t>
      </w:r>
    </w:p>
    <w:p w14:paraId="7713F552" w14:textId="58B08C29" w:rsidR="0067505B" w:rsidRPr="0095544E" w:rsidRDefault="0067505B" w:rsidP="00DA6B3D">
      <w:pPr>
        <w:pStyle w:val="ListParagraph"/>
        <w:numPr>
          <w:ilvl w:val="0"/>
          <w:numId w:val="23"/>
        </w:numPr>
        <w:spacing w:before="60" w:after="60"/>
        <w:ind w:left="714" w:hanging="357"/>
      </w:pPr>
      <w:r w:rsidRPr="0095544E">
        <w:t xml:space="preserve">ITU-R Document </w:t>
      </w:r>
      <w:hyperlink r:id="rId13" w:history="1">
        <w:r w:rsidRPr="0095544E">
          <w:rPr>
            <w:rStyle w:val="Hyperlink"/>
          </w:rPr>
          <w:t>7C/283 Annex 5</w:t>
        </w:r>
      </w:hyperlink>
      <w:r w:rsidRPr="0095544E">
        <w:t xml:space="preserve"> – Working document towards preliminary draft revised Recommendation ITU-R RS.2042-1 (from the WP 7C September 2021 meeting).</w:t>
      </w:r>
    </w:p>
    <w:p w14:paraId="3024263A" w14:textId="61E3E390" w:rsidR="002A0111" w:rsidRPr="0095544E" w:rsidRDefault="00EB21BE" w:rsidP="00DA6B3D">
      <w:pPr>
        <w:pStyle w:val="ListParagraph"/>
        <w:numPr>
          <w:ilvl w:val="0"/>
          <w:numId w:val="23"/>
        </w:numPr>
        <w:spacing w:before="60" w:after="60"/>
        <w:ind w:left="714" w:hanging="357"/>
      </w:pPr>
      <w:r w:rsidRPr="0095544E">
        <w:t xml:space="preserve">ITU-R Document </w:t>
      </w:r>
      <w:hyperlink r:id="rId14" w:history="1">
        <w:r w:rsidR="009B0E14" w:rsidRPr="0095544E">
          <w:rPr>
            <w:rStyle w:val="Hyperlink"/>
          </w:rPr>
          <w:t>7C/283 Annex 6</w:t>
        </w:r>
      </w:hyperlink>
      <w:r w:rsidRPr="0095544E">
        <w:t xml:space="preserve"> –</w:t>
      </w:r>
      <w:r w:rsidR="00011512" w:rsidRPr="0095544E">
        <w:t xml:space="preserve"> draft </w:t>
      </w:r>
      <w:r w:rsidRPr="0095544E">
        <w:t xml:space="preserve">CPM text </w:t>
      </w:r>
      <w:r w:rsidR="00011512" w:rsidRPr="0095544E">
        <w:t>for WRC-23 agenda item 1.12</w:t>
      </w:r>
      <w:r w:rsidR="00933F8C" w:rsidRPr="0095544E">
        <w:t xml:space="preserve"> (</w:t>
      </w:r>
      <w:r w:rsidR="00FA310A" w:rsidRPr="0095544E">
        <w:t xml:space="preserve">from the WP 7C </w:t>
      </w:r>
      <w:r w:rsidR="0067505B" w:rsidRPr="0095544E">
        <w:t>September</w:t>
      </w:r>
      <w:r w:rsidR="00FA310A" w:rsidRPr="0095544E">
        <w:t xml:space="preserve"> 2021 meeting</w:t>
      </w:r>
      <w:r w:rsidR="00933F8C" w:rsidRPr="0095544E">
        <w:t>).</w:t>
      </w:r>
    </w:p>
    <w:p w14:paraId="75DB57EF" w14:textId="77777777" w:rsidR="002A0111" w:rsidRPr="00441526" w:rsidRDefault="002A0111" w:rsidP="007A3640">
      <w:pPr>
        <w:spacing w:before="120" w:after="120"/>
        <w:jc w:val="both"/>
        <w:rPr>
          <w:b/>
          <w:lang w:val="en-NZ" w:eastAsia="ko-KR"/>
        </w:rPr>
      </w:pPr>
      <w:r w:rsidRPr="00441526">
        <w:rPr>
          <w:b/>
          <w:lang w:val="en-NZ" w:eastAsia="ko-KR"/>
        </w:rPr>
        <w:t xml:space="preserve">2. </w:t>
      </w:r>
      <w:r w:rsidRPr="00441526">
        <w:rPr>
          <w:b/>
          <w:lang w:val="en-NZ" w:eastAsia="ko-KR"/>
        </w:rPr>
        <w:tab/>
        <w:t>Documents</w:t>
      </w:r>
    </w:p>
    <w:p w14:paraId="67C6C5CD" w14:textId="00C5F332" w:rsidR="00AB16DE" w:rsidRPr="00224198" w:rsidRDefault="00AB16DE" w:rsidP="00224198">
      <w:pPr>
        <w:pStyle w:val="ListParagraph"/>
        <w:numPr>
          <w:ilvl w:val="0"/>
          <w:numId w:val="25"/>
        </w:numPr>
        <w:spacing w:after="120"/>
        <w:ind w:left="480" w:hangingChars="200" w:hanging="480"/>
        <w:rPr>
          <w:rFonts w:eastAsia="Malgun Gothic"/>
          <w:color w:val="000000" w:themeColor="text1"/>
          <w:lang w:eastAsia="ko-KR"/>
        </w:rPr>
      </w:pPr>
      <w:r w:rsidRPr="00A32D6B">
        <w:rPr>
          <w:rFonts w:eastAsia="Malgun Gothic"/>
          <w:color w:val="000000" w:themeColor="text1"/>
          <w:lang w:eastAsia="ko-KR"/>
        </w:rPr>
        <w:t>Input Documents: APG</w:t>
      </w:r>
      <w:r>
        <w:rPr>
          <w:rFonts w:eastAsia="Malgun Gothic"/>
          <w:color w:val="000000" w:themeColor="text1"/>
          <w:lang w:eastAsia="ko-KR"/>
        </w:rPr>
        <w:t>23</w:t>
      </w:r>
      <w:r w:rsidRPr="00A32D6B">
        <w:rPr>
          <w:rFonts w:eastAsia="Malgun Gothic"/>
          <w:color w:val="000000" w:themeColor="text1"/>
          <w:lang w:eastAsia="ko-KR"/>
        </w:rPr>
        <w:t>-</w:t>
      </w:r>
      <w:r w:rsidR="00F501B1">
        <w:rPr>
          <w:rFonts w:eastAsia="Malgun Gothic"/>
          <w:color w:val="000000" w:themeColor="text1"/>
          <w:lang w:eastAsia="ko-KR"/>
        </w:rPr>
        <w:t>3</w:t>
      </w:r>
      <w:r w:rsidRPr="00A32D6B">
        <w:rPr>
          <w:rFonts w:eastAsia="Malgun Gothic"/>
          <w:color w:val="000000" w:themeColor="text1"/>
          <w:lang w:eastAsia="ko-KR"/>
        </w:rPr>
        <w:t>/</w:t>
      </w:r>
      <w:hyperlink r:id="rId15" w:history="1">
        <w:r w:rsidR="00F501B1">
          <w:rPr>
            <w:rStyle w:val="Hyperlink"/>
            <w:lang w:val="en-NZ"/>
          </w:rPr>
          <w:t>INP-09(AUS)</w:t>
        </w:r>
      </w:hyperlink>
      <w:r w:rsidR="00F501B1" w:rsidRPr="000A3A71">
        <w:t xml:space="preserve">, </w:t>
      </w:r>
      <w:hyperlink r:id="rId16" w:history="1">
        <w:r w:rsidR="00F501B1">
          <w:rPr>
            <w:rStyle w:val="Hyperlink"/>
            <w:lang w:val="en-NZ"/>
          </w:rPr>
          <w:t>INP-17(INS)</w:t>
        </w:r>
      </w:hyperlink>
      <w:r w:rsidR="00F501B1" w:rsidRPr="00F0196E">
        <w:rPr>
          <w:lang w:val="en-NZ"/>
        </w:rPr>
        <w:t>,</w:t>
      </w:r>
      <w:r w:rsidR="00F501B1">
        <w:rPr>
          <w:lang w:val="en-NZ"/>
        </w:rPr>
        <w:t xml:space="preserve"> </w:t>
      </w:r>
      <w:hyperlink r:id="rId17" w:history="1">
        <w:r w:rsidR="00F501B1">
          <w:rPr>
            <w:rStyle w:val="Hyperlink"/>
            <w:lang w:val="en-NZ"/>
          </w:rPr>
          <w:t>INP-26(KOR)</w:t>
        </w:r>
      </w:hyperlink>
      <w:r w:rsidR="00F501B1" w:rsidRPr="00F0196E">
        <w:rPr>
          <w:lang w:val="en-NZ"/>
        </w:rPr>
        <w:t xml:space="preserve">,  </w:t>
      </w:r>
      <w:hyperlink r:id="rId18" w:history="1">
        <w:r w:rsidR="00F501B1">
          <w:rPr>
            <w:rStyle w:val="Hyperlink"/>
            <w:lang w:val="en-NZ"/>
          </w:rPr>
          <w:t>INP-30(J)</w:t>
        </w:r>
      </w:hyperlink>
    </w:p>
    <w:p w14:paraId="0D686C91" w14:textId="587E25A4" w:rsidR="002A0111" w:rsidRPr="00232087" w:rsidRDefault="00AB16DE" w:rsidP="00232087">
      <w:pPr>
        <w:pStyle w:val="ListParagraph"/>
        <w:numPr>
          <w:ilvl w:val="0"/>
          <w:numId w:val="25"/>
        </w:numPr>
        <w:spacing w:after="120"/>
        <w:ind w:left="480" w:hangingChars="200" w:hanging="480"/>
        <w:rPr>
          <w:b/>
          <w:lang w:eastAsia="ko-KR"/>
        </w:rPr>
      </w:pPr>
      <w:r w:rsidRPr="00A32D6B">
        <w:rPr>
          <w:rFonts w:eastAsia="Malgun Gothic"/>
          <w:color w:val="000000" w:themeColor="text1"/>
          <w:lang w:eastAsia="ko-KR"/>
        </w:rPr>
        <w:t>Information Documents: APG</w:t>
      </w:r>
      <w:r w:rsidR="00224198">
        <w:rPr>
          <w:rFonts w:eastAsia="Malgun Gothic"/>
          <w:color w:val="000000" w:themeColor="text1"/>
          <w:lang w:eastAsia="ko-KR"/>
        </w:rPr>
        <w:t>23</w:t>
      </w:r>
      <w:r w:rsidRPr="00A32D6B">
        <w:rPr>
          <w:rFonts w:eastAsia="Malgun Gothic"/>
          <w:color w:val="000000" w:themeColor="text1"/>
          <w:lang w:eastAsia="ko-KR"/>
        </w:rPr>
        <w:t>-</w:t>
      </w:r>
      <w:r w:rsidR="00F501B1">
        <w:rPr>
          <w:rFonts w:eastAsia="Malgun Gothic"/>
          <w:color w:val="000000" w:themeColor="text1"/>
          <w:lang w:eastAsia="ko-KR"/>
        </w:rPr>
        <w:t>3</w:t>
      </w:r>
      <w:r w:rsidRPr="00A32D6B">
        <w:rPr>
          <w:rFonts w:eastAsia="Malgun Gothic"/>
          <w:color w:val="000000" w:themeColor="text1"/>
          <w:lang w:eastAsia="ko-KR"/>
        </w:rPr>
        <w:t>/</w:t>
      </w:r>
      <w:hyperlink r:id="rId19" w:history="1">
        <w:r w:rsidR="00F501B1">
          <w:rPr>
            <w:rStyle w:val="Hyperlink"/>
            <w:lang w:val="en-NZ"/>
          </w:rPr>
          <w:t>INF-01(WMO)</w:t>
        </w:r>
      </w:hyperlink>
      <w:r w:rsidR="00F501B1" w:rsidRPr="00F0196E">
        <w:rPr>
          <w:lang w:val="en-NZ"/>
        </w:rPr>
        <w:t xml:space="preserve">, </w:t>
      </w:r>
      <w:hyperlink r:id="rId20" w:history="1">
        <w:r w:rsidR="00F501B1">
          <w:rPr>
            <w:rStyle w:val="Hyperlink"/>
            <w:lang w:val="en-NZ"/>
          </w:rPr>
          <w:t>INF-09(Chair, DG AI 1.12)</w:t>
        </w:r>
      </w:hyperlink>
      <w:r w:rsidR="00F501B1" w:rsidRPr="000C0E3B">
        <w:t xml:space="preserve">, </w:t>
      </w:r>
      <w:hyperlink r:id="rId21" w:history="1">
        <w:r w:rsidR="00F501B1">
          <w:rPr>
            <w:rStyle w:val="Hyperlink"/>
            <w:lang w:val="en-NZ"/>
          </w:rPr>
          <w:t>INF-17(IARU)</w:t>
        </w:r>
      </w:hyperlink>
      <w:r w:rsidR="00B24513" w:rsidRPr="00B24513">
        <w:t xml:space="preserve"> </w:t>
      </w:r>
      <w:r w:rsidR="00B24513" w:rsidRPr="000C0E3B">
        <w:t xml:space="preserve">, </w:t>
      </w:r>
      <w:hyperlink r:id="rId22" w:history="1">
        <w:r w:rsidR="00B24513">
          <w:rPr>
            <w:rStyle w:val="Hyperlink"/>
            <w:lang w:val="en-NZ"/>
          </w:rPr>
          <w:t>INF-37(AMSG)</w:t>
        </w:r>
      </w:hyperlink>
      <w:r w:rsidR="008316C6" w:rsidRPr="008316C6">
        <w:t xml:space="preserve"> </w:t>
      </w:r>
      <w:r w:rsidR="008316C6" w:rsidRPr="000C0E3B">
        <w:t xml:space="preserve">, </w:t>
      </w:r>
      <w:hyperlink r:id="rId23" w:history="1">
        <w:r w:rsidR="008316C6">
          <w:rPr>
            <w:rStyle w:val="Hyperlink"/>
            <w:lang w:val="en-NZ"/>
          </w:rPr>
          <w:t>INF-39(ATU)</w:t>
        </w:r>
      </w:hyperlink>
    </w:p>
    <w:p w14:paraId="46C69EA6" w14:textId="77777777" w:rsidR="002A0111" w:rsidRPr="00441526" w:rsidRDefault="002A0111" w:rsidP="00232087">
      <w:pPr>
        <w:spacing w:after="120"/>
        <w:rPr>
          <w:b/>
          <w:lang w:val="en-NZ" w:eastAsia="ko-KR"/>
        </w:rPr>
      </w:pPr>
      <w:r w:rsidRPr="00441526">
        <w:rPr>
          <w:b/>
          <w:lang w:val="en-NZ" w:eastAsia="ko-KR"/>
        </w:rPr>
        <w:t xml:space="preserve">3. </w:t>
      </w:r>
      <w:r w:rsidRPr="00441526">
        <w:rPr>
          <w:b/>
          <w:lang w:val="en-NZ" w:eastAsia="ko-KR"/>
        </w:rPr>
        <w:tab/>
        <w:t>Summary of discussions</w:t>
      </w:r>
    </w:p>
    <w:p w14:paraId="6F33C9F3" w14:textId="01489A2B" w:rsidR="002A0111" w:rsidRPr="007A56A8" w:rsidRDefault="002A0111" w:rsidP="007A56A8">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311F37DA" w14:textId="57EF68FD" w:rsidR="0047081D" w:rsidRPr="00441526" w:rsidRDefault="0047081D" w:rsidP="0047081D">
      <w:pPr>
        <w:spacing w:before="120" w:after="120"/>
        <w:jc w:val="both"/>
        <w:rPr>
          <w:b/>
          <w:lang w:val="en-NZ" w:eastAsia="ko-KR"/>
        </w:rPr>
      </w:pPr>
      <w:r w:rsidRPr="00441526">
        <w:rPr>
          <w:b/>
          <w:lang w:val="en-NZ" w:eastAsia="ko-KR"/>
        </w:rPr>
        <w:t>3.1.</w:t>
      </w:r>
      <w:r>
        <w:rPr>
          <w:b/>
          <w:lang w:val="en-NZ" w:eastAsia="ko-KR"/>
        </w:rPr>
        <w:t>1</w:t>
      </w:r>
      <w:r w:rsidRPr="00441526">
        <w:rPr>
          <w:b/>
          <w:lang w:val="en-NZ" w:eastAsia="ko-KR"/>
        </w:rPr>
        <w:t xml:space="preserve"> </w:t>
      </w:r>
      <w:r w:rsidRPr="00441526">
        <w:rPr>
          <w:b/>
          <w:lang w:val="en-NZ" w:eastAsia="ko-KR"/>
        </w:rPr>
        <w:tab/>
      </w:r>
      <w:r>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r w:rsidRPr="00441526">
        <w:rPr>
          <w:b/>
          <w:lang w:val="en-NZ" w:eastAsia="ko-KR"/>
        </w:rPr>
        <w:t>/</w:t>
      </w:r>
      <w:hyperlink r:id="rId24" w:history="1">
        <w:r w:rsidRPr="0047081D">
          <w:rPr>
            <w:rStyle w:val="Hyperlink"/>
            <w:b/>
            <w:bCs/>
            <w:lang w:val="en-NZ"/>
          </w:rPr>
          <w:t>INP-09</w:t>
        </w:r>
      </w:hyperlink>
    </w:p>
    <w:p w14:paraId="34C5E977" w14:textId="1685C95B" w:rsidR="0047081D" w:rsidRDefault="0047081D" w:rsidP="0047081D">
      <w:pPr>
        <w:jc w:val="both"/>
        <w:rPr>
          <w:color w:val="000000"/>
        </w:rPr>
      </w:pPr>
      <w:r w:rsidRPr="0095544E">
        <w:rPr>
          <w:color w:val="000000"/>
        </w:rPr>
        <w:t xml:space="preserve">Australia supports studies which assess the compatibility between spaceborne radar sounders and incumbent services around 45 </w:t>
      </w:r>
      <w:proofErr w:type="spellStart"/>
      <w:r w:rsidRPr="0095544E">
        <w:rPr>
          <w:color w:val="000000"/>
        </w:rPr>
        <w:t>MHz.</w:t>
      </w:r>
      <w:proofErr w:type="spellEnd"/>
      <w:r w:rsidRPr="0095544E">
        <w:rPr>
          <w:color w:val="000000"/>
        </w:rPr>
        <w:t xml:space="preserve"> If the study results are in support of a secondary allocation to EESS around 45 MHz, Australia supports enabling a secondary allocation, while ensuring protection of existing services and not imposing any additional restrictions onto these services.</w:t>
      </w:r>
    </w:p>
    <w:p w14:paraId="3865B7BC" w14:textId="21799485" w:rsidR="0047081D" w:rsidRPr="00441526" w:rsidRDefault="0047081D" w:rsidP="0047081D">
      <w:pPr>
        <w:spacing w:before="120" w:after="120"/>
        <w:jc w:val="both"/>
        <w:rPr>
          <w:b/>
          <w:lang w:val="en-NZ" w:eastAsia="ko-KR"/>
        </w:rPr>
      </w:pPr>
      <w:r w:rsidRPr="00441526">
        <w:rPr>
          <w:b/>
          <w:lang w:val="en-NZ" w:eastAsia="ko-KR"/>
        </w:rPr>
        <w:t xml:space="preserve">3.1.2 </w:t>
      </w:r>
      <w:r w:rsidRPr="00441526">
        <w:rPr>
          <w:b/>
          <w:lang w:val="en-NZ" w:eastAsia="ko-KR"/>
        </w:rPr>
        <w:tab/>
      </w:r>
      <w:r>
        <w:rPr>
          <w:b/>
          <w:lang w:val="en-NZ" w:eastAsia="ko-KR"/>
        </w:rPr>
        <w:t>Indonesia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r w:rsidRPr="00441526">
        <w:rPr>
          <w:b/>
          <w:lang w:val="en-NZ" w:eastAsia="ko-KR"/>
        </w:rPr>
        <w:t>/</w:t>
      </w:r>
      <w:hyperlink r:id="rId25" w:history="1">
        <w:r w:rsidRPr="0047081D">
          <w:rPr>
            <w:rStyle w:val="Hyperlink"/>
            <w:b/>
            <w:bCs/>
            <w:lang w:val="en-NZ"/>
          </w:rPr>
          <w:t>INP-17</w:t>
        </w:r>
      </w:hyperlink>
    </w:p>
    <w:p w14:paraId="1EE74A6C" w14:textId="77777777" w:rsidR="0047081D" w:rsidRPr="0095544E" w:rsidRDefault="0047081D" w:rsidP="0047081D">
      <w:pPr>
        <w:spacing w:after="120"/>
        <w:jc w:val="both"/>
      </w:pPr>
      <w:r w:rsidRPr="0095544E">
        <w:t xml:space="preserve">Indonesia is of the view of the importance of studies by ITU-R relating to </w:t>
      </w:r>
      <w:r w:rsidRPr="0095544E">
        <w:rPr>
          <w:lang w:eastAsia="zh-CN"/>
        </w:rPr>
        <w:t>the preferred frequency band selection rationale, the typical technical and operating characteristics</w:t>
      </w:r>
      <w:r w:rsidRPr="0095544E">
        <w:t xml:space="preserve"> of the secondary allocation to the Earth exploration-satellite (active) service (EESS) for spaceborne radar sounders taking into account the protection of incumbent services including those in band and adjacent bands.</w:t>
      </w:r>
    </w:p>
    <w:p w14:paraId="48EF804E" w14:textId="2A1ED0B3" w:rsidR="0047081D" w:rsidRPr="0047081D" w:rsidRDefault="0047081D" w:rsidP="0047081D">
      <w:pPr>
        <w:jc w:val="both"/>
        <w:rPr>
          <w:sz w:val="22"/>
          <w:szCs w:val="22"/>
        </w:rPr>
      </w:pPr>
      <w:r w:rsidRPr="0095544E">
        <w:lastRenderedPageBreak/>
        <w:t>It is very important for all member countries to understand the urgency of additional new secondary allocation for Earth exploration-satellite (active) service, for safeguarding the limited frequency resources, aside from avoiding harmful interference to the existing and planned services in the primary as well as secondary basis.</w:t>
      </w:r>
    </w:p>
    <w:p w14:paraId="599C807D" w14:textId="48B205E1" w:rsidR="002359DB" w:rsidRPr="00441526" w:rsidRDefault="002359DB" w:rsidP="002359DB">
      <w:pPr>
        <w:spacing w:before="120" w:after="120"/>
        <w:jc w:val="both"/>
        <w:rPr>
          <w:b/>
          <w:lang w:val="en-NZ" w:eastAsia="ko-KR"/>
        </w:rPr>
      </w:pPr>
      <w:r w:rsidRPr="00441526">
        <w:rPr>
          <w:b/>
          <w:lang w:val="en-NZ" w:eastAsia="ko-KR"/>
        </w:rPr>
        <w:t>3.1.</w:t>
      </w:r>
      <w:r>
        <w:rPr>
          <w:b/>
          <w:lang w:val="en-NZ" w:eastAsia="ko-KR"/>
        </w:rPr>
        <w:t>3</w:t>
      </w:r>
      <w:r w:rsidRPr="00441526">
        <w:rPr>
          <w:b/>
          <w:lang w:val="en-NZ" w:eastAsia="ko-KR"/>
        </w:rPr>
        <w:tab/>
      </w:r>
      <w:r>
        <w:rPr>
          <w:b/>
          <w:lang w:val="en-NZ" w:eastAsia="ko-KR"/>
        </w:rPr>
        <w:t>Republic of Korea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r w:rsidRPr="00441526">
        <w:rPr>
          <w:b/>
          <w:lang w:val="en-NZ" w:eastAsia="ko-KR"/>
        </w:rPr>
        <w:t>/</w:t>
      </w:r>
      <w:hyperlink r:id="rId26" w:history="1">
        <w:r w:rsidRPr="002359DB">
          <w:rPr>
            <w:rStyle w:val="Hyperlink"/>
            <w:b/>
            <w:bCs/>
            <w:lang w:val="en-NZ"/>
          </w:rPr>
          <w:t>INP-26</w:t>
        </w:r>
      </w:hyperlink>
    </w:p>
    <w:p w14:paraId="6152AA37" w14:textId="5DAAECE2" w:rsidR="002359DB" w:rsidRPr="002359DB" w:rsidRDefault="002359DB" w:rsidP="002359DB">
      <w:pPr>
        <w:spacing w:after="120"/>
        <w:jc w:val="both"/>
      </w:pPr>
      <w:r w:rsidRPr="0095544E">
        <w:rPr>
          <w:lang w:val="en-NZ"/>
        </w:rPr>
        <w:t xml:space="preserve">The Republic of Korea is of the view that </w:t>
      </w:r>
      <w:r w:rsidRPr="0095544E">
        <w:t xml:space="preserve">a possible new secondary allocation could be considered to </w:t>
      </w:r>
      <w:bookmarkStart w:id="1" w:name="_Hlk84938621"/>
      <w:r w:rsidRPr="0095544E">
        <w:t xml:space="preserve">the Earth exploration-satellite service (active) for spaceborne radar sounders within the range of frequencies around 45 MHz if ITU-R studies show that </w:t>
      </w:r>
      <w:r w:rsidRPr="0095544E">
        <w:rPr>
          <w:lang w:eastAsia="ko-KR"/>
        </w:rPr>
        <w:t>the</w:t>
      </w:r>
      <w:r w:rsidRPr="0095544E">
        <w:t xml:space="preserve"> protection of in-band and adjacent band incumbent services could be ensured while not imposing any additional restrictions on these services.</w:t>
      </w:r>
      <w:bookmarkEnd w:id="1"/>
    </w:p>
    <w:p w14:paraId="52332692" w14:textId="71A50729" w:rsidR="002A0111" w:rsidRPr="00232087" w:rsidRDefault="002A0111" w:rsidP="0047081D">
      <w:pPr>
        <w:spacing w:before="120" w:after="120"/>
        <w:jc w:val="both"/>
        <w:rPr>
          <w:b/>
          <w:lang w:val="en-NZ" w:eastAsia="ko-KR"/>
        </w:rPr>
      </w:pPr>
      <w:r w:rsidRPr="00441526">
        <w:rPr>
          <w:b/>
          <w:lang w:val="en-NZ" w:eastAsia="ko-KR"/>
        </w:rPr>
        <w:t>3.1.</w:t>
      </w:r>
      <w:r w:rsidR="002359DB">
        <w:rPr>
          <w:b/>
          <w:lang w:val="en-NZ" w:eastAsia="ko-KR"/>
        </w:rPr>
        <w:t>4</w:t>
      </w:r>
      <w:r w:rsidRPr="00441526">
        <w:rPr>
          <w:b/>
          <w:lang w:val="en-NZ" w:eastAsia="ko-KR"/>
        </w:rPr>
        <w:t xml:space="preserve"> </w:t>
      </w:r>
      <w:r w:rsidRPr="00441526">
        <w:rPr>
          <w:b/>
          <w:lang w:val="en-NZ" w:eastAsia="ko-KR"/>
        </w:rPr>
        <w:tab/>
      </w:r>
      <w:r w:rsidR="00232087">
        <w:rPr>
          <w:b/>
          <w:lang w:val="en-NZ" w:eastAsia="ko-KR"/>
        </w:rPr>
        <w:t>Japan</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3A778E">
        <w:rPr>
          <w:b/>
          <w:lang w:val="en-NZ" w:eastAsia="ko-KR"/>
        </w:rPr>
        <w:t>3</w:t>
      </w:r>
      <w:r w:rsidRPr="00441526">
        <w:rPr>
          <w:b/>
          <w:lang w:val="en-NZ" w:eastAsia="ko-KR"/>
        </w:rPr>
        <w:t>/</w:t>
      </w:r>
      <w:hyperlink r:id="rId27" w:history="1">
        <w:r w:rsidR="003A778E" w:rsidRPr="003A778E">
          <w:rPr>
            <w:rStyle w:val="Hyperlink"/>
            <w:b/>
            <w:bCs/>
            <w:lang w:val="en-NZ"/>
          </w:rPr>
          <w:t>INP-30</w:t>
        </w:r>
      </w:hyperlink>
    </w:p>
    <w:p w14:paraId="4E68DEA7" w14:textId="28328456" w:rsidR="003A778E" w:rsidRPr="00232087" w:rsidRDefault="003A778E" w:rsidP="003D3D47">
      <w:pPr>
        <w:jc w:val="both"/>
        <w:rPr>
          <w:rFonts w:eastAsiaTheme="minorEastAsia"/>
          <w:lang w:eastAsia="ja-JP"/>
        </w:rPr>
      </w:pPr>
      <w:r w:rsidRPr="0095544E">
        <w:rPr>
          <w:lang w:val="en-NZ"/>
        </w:rPr>
        <w:t xml:space="preserve">Japan is of the view that </w:t>
      </w:r>
      <w:r w:rsidRPr="0095544E">
        <w:t xml:space="preserve">a possible new secondary allocation could be considered to the Earth exploration-satellite service (active) for spaceborne radar sounders within the range of frequencies around 45 MHz if ITU-R studies show that </w:t>
      </w:r>
      <w:r w:rsidRPr="0095544E">
        <w:rPr>
          <w:lang w:eastAsia="ko-KR"/>
        </w:rPr>
        <w:t>the</w:t>
      </w:r>
      <w:r w:rsidRPr="0095544E">
        <w:t xml:space="preserve"> protection of in-band and adjacent band incumbent services could be ensured while not imposing any additional restrictions onto those services.</w:t>
      </w:r>
    </w:p>
    <w:p w14:paraId="029EBD43" w14:textId="77777777" w:rsidR="002A0111" w:rsidRPr="00441526" w:rsidRDefault="002A0111" w:rsidP="004D0EFF">
      <w:pPr>
        <w:spacing w:before="120"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78E5C763" w14:textId="0F207C57" w:rsidR="008B2344" w:rsidRPr="00FB0699" w:rsidRDefault="00074C4D" w:rsidP="00FB0699">
      <w:pPr>
        <w:jc w:val="both"/>
        <w:rPr>
          <w:lang w:val="en-NZ"/>
        </w:rPr>
      </w:pPr>
      <w:r w:rsidRPr="0095544E">
        <w:rPr>
          <w:iCs/>
          <w:lang w:val="en-NZ"/>
        </w:rPr>
        <w:t xml:space="preserve">The APT preliminary view </w:t>
      </w:r>
      <w:r w:rsidR="00F71146" w:rsidRPr="0095544E">
        <w:rPr>
          <w:iCs/>
          <w:lang w:val="en-NZ"/>
        </w:rPr>
        <w:t xml:space="preserve">below </w:t>
      </w:r>
      <w:r w:rsidRPr="0095544E">
        <w:rPr>
          <w:iCs/>
          <w:lang w:val="en-NZ"/>
        </w:rPr>
        <w:t xml:space="preserve">was developed </w:t>
      </w:r>
      <w:r w:rsidR="00B6469F">
        <w:rPr>
          <w:iCs/>
          <w:lang w:val="en-NZ"/>
        </w:rPr>
        <w:t xml:space="preserve">further </w:t>
      </w:r>
      <w:r w:rsidRPr="0095544E">
        <w:rPr>
          <w:iCs/>
          <w:lang w:val="en-NZ"/>
        </w:rPr>
        <w:t>in the drafting group</w:t>
      </w:r>
      <w:r w:rsidR="001A231C" w:rsidRPr="0095544E">
        <w:rPr>
          <w:iCs/>
          <w:lang w:val="en-NZ"/>
        </w:rPr>
        <w:t xml:space="preserve"> based on the preliminary views from APT members</w:t>
      </w:r>
      <w:r w:rsidR="001A231C" w:rsidRPr="006C2228">
        <w:rPr>
          <w:iCs/>
          <w:lang w:val="en-NZ"/>
        </w:rPr>
        <w:t>.</w:t>
      </w:r>
    </w:p>
    <w:p w14:paraId="3412553D" w14:textId="77777777" w:rsidR="00C549D8" w:rsidRDefault="00C549D8" w:rsidP="00FB0699">
      <w:pPr>
        <w:spacing w:before="120" w:after="120"/>
        <w:jc w:val="both"/>
        <w:rPr>
          <w:b/>
          <w:lang w:val="en-NZ" w:eastAsia="ko-KR"/>
        </w:rPr>
      </w:pPr>
    </w:p>
    <w:p w14:paraId="5FF73E70" w14:textId="3D02EB86" w:rsidR="00721075" w:rsidRDefault="002A0111" w:rsidP="00FB0699">
      <w:pPr>
        <w:spacing w:before="120" w:after="120"/>
        <w:jc w:val="both"/>
        <w:rPr>
          <w:highlight w:val="yellow"/>
          <w:lang w:val="en-AU" w:eastAsia="ko-KR"/>
        </w:rPr>
      </w:pPr>
      <w:r w:rsidRPr="00441526">
        <w:rPr>
          <w:b/>
          <w:lang w:val="en-NZ" w:eastAsia="ko-KR"/>
        </w:rPr>
        <w:t xml:space="preserve">4. </w:t>
      </w:r>
      <w:r w:rsidRPr="00441526">
        <w:rPr>
          <w:b/>
          <w:lang w:val="en-NZ" w:eastAsia="ko-KR"/>
        </w:rPr>
        <w:tab/>
        <w:t>APT Preliminary View(s)</w:t>
      </w:r>
    </w:p>
    <w:p w14:paraId="604F763F" w14:textId="56D5351C" w:rsidR="00A83F36" w:rsidRPr="006C2228" w:rsidRDefault="00E1082F" w:rsidP="00FB0699">
      <w:pPr>
        <w:spacing w:after="120"/>
        <w:jc w:val="both"/>
      </w:pPr>
      <w:r w:rsidRPr="006C2228">
        <w:rPr>
          <w:lang w:val="en-NZ"/>
        </w:rPr>
        <w:t xml:space="preserve">APT </w:t>
      </w:r>
      <w:r w:rsidR="00BA49FA">
        <w:rPr>
          <w:lang w:val="en-NZ"/>
        </w:rPr>
        <w:t>M</w:t>
      </w:r>
      <w:r w:rsidRPr="006C2228">
        <w:rPr>
          <w:lang w:val="en-NZ"/>
        </w:rPr>
        <w:t xml:space="preserve">embers are of the view that </w:t>
      </w:r>
      <w:r w:rsidRPr="006C2228">
        <w:t xml:space="preserve">a new secondary allocation could be </w:t>
      </w:r>
      <w:r w:rsidR="00F83512" w:rsidRPr="006C2228">
        <w:t>supported</w:t>
      </w:r>
      <w:r w:rsidRPr="006C2228">
        <w:t xml:space="preserve"> </w:t>
      </w:r>
      <w:r w:rsidR="00F83512" w:rsidRPr="006C2228">
        <w:t>for</w:t>
      </w:r>
      <w:r w:rsidRPr="006C2228">
        <w:t xml:space="preserve"> the Earth exploration-satellite service (active) for spaceborne radar sounders within the range of frequencies around 45 MHz if ITU-R studies show that </w:t>
      </w:r>
      <w:r w:rsidRPr="006C2228">
        <w:rPr>
          <w:lang w:eastAsia="ko-KR"/>
        </w:rPr>
        <w:t>the</w:t>
      </w:r>
      <w:r w:rsidRPr="006C2228">
        <w:t xml:space="preserve"> protection of </w:t>
      </w:r>
      <w:r w:rsidR="0090559D" w:rsidRPr="006C2228">
        <w:t xml:space="preserve">in-band and adjacent band incumbent </w:t>
      </w:r>
      <w:r w:rsidRPr="006C2228">
        <w:t>services could be ensured while not imposing any additional restrictions onto those services.</w:t>
      </w:r>
    </w:p>
    <w:p w14:paraId="164CC24A" w14:textId="77777777" w:rsidR="00C549D8" w:rsidRDefault="00C549D8" w:rsidP="000B4D36">
      <w:pPr>
        <w:spacing w:before="120" w:after="120"/>
        <w:jc w:val="both"/>
        <w:rPr>
          <w:b/>
          <w:lang w:val="en-NZ" w:eastAsia="ko-KR"/>
        </w:rPr>
      </w:pPr>
    </w:p>
    <w:p w14:paraId="33D1C090" w14:textId="1B6BEC16" w:rsidR="002A0111" w:rsidRPr="00441526" w:rsidRDefault="002A0111" w:rsidP="000B4D36">
      <w:pPr>
        <w:spacing w:before="120"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6061F172" w14:textId="56BCF59E" w:rsidR="0090559D" w:rsidRPr="00FB0699" w:rsidRDefault="0090559D" w:rsidP="003D3D47">
      <w:pPr>
        <w:jc w:val="both"/>
        <w:rPr>
          <w:iCs/>
          <w:lang w:val="en-NZ"/>
        </w:rPr>
      </w:pPr>
      <w:r w:rsidRPr="00FB0699">
        <w:rPr>
          <w:iCs/>
          <w:lang w:val="en-NZ"/>
        </w:rPr>
        <w:t>None</w:t>
      </w:r>
      <w:r w:rsidR="0032702F" w:rsidRPr="00FB0699">
        <w:rPr>
          <w:iCs/>
          <w:lang w:val="en-NZ"/>
        </w:rPr>
        <w:t>.</w:t>
      </w:r>
    </w:p>
    <w:p w14:paraId="680AFA24" w14:textId="77777777" w:rsidR="00C549D8" w:rsidRDefault="00C549D8" w:rsidP="000B4D36">
      <w:pPr>
        <w:spacing w:before="120" w:after="120"/>
        <w:jc w:val="both"/>
        <w:rPr>
          <w:b/>
          <w:lang w:val="en-NZ" w:eastAsia="ko-KR"/>
        </w:rPr>
      </w:pPr>
    </w:p>
    <w:p w14:paraId="6C776A20" w14:textId="19C65080" w:rsidR="002A0111" w:rsidRPr="00441526" w:rsidRDefault="002A0111" w:rsidP="000B4D36">
      <w:pPr>
        <w:spacing w:before="120"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223D1D40" w14:textId="7BFB6B95" w:rsidR="002A0111" w:rsidRDefault="00DC0B5C" w:rsidP="00DC0B5C">
      <w:pPr>
        <w:spacing w:after="120"/>
        <w:jc w:val="both"/>
        <w:rPr>
          <w:lang w:val="en-NZ" w:eastAsia="ko-KR"/>
        </w:rPr>
      </w:pPr>
      <w:r>
        <w:rPr>
          <w:lang w:val="en-NZ" w:eastAsia="ko-KR"/>
        </w:rPr>
        <w:t xml:space="preserve">APT </w:t>
      </w:r>
      <w:r w:rsidR="00C549D8">
        <w:rPr>
          <w:lang w:val="en-NZ" w:eastAsia="ko-KR"/>
        </w:rPr>
        <w:t>M</w:t>
      </w:r>
      <w:r>
        <w:rPr>
          <w:lang w:val="en-NZ" w:eastAsia="ko-KR"/>
        </w:rPr>
        <w:t>embers are encouraged to monitor the progress of studies at ITU-R WP 7C and to contribute to future APG23 meetings so that the APT Preliminary Views on WRC-23 Agenda Item 1.12 can be further developed.</w:t>
      </w:r>
    </w:p>
    <w:p w14:paraId="775B2517" w14:textId="77777777" w:rsidR="00C549D8" w:rsidRPr="00441526" w:rsidRDefault="00C549D8" w:rsidP="00DC0B5C">
      <w:pPr>
        <w:spacing w:after="120"/>
        <w:jc w:val="both"/>
        <w:rPr>
          <w:lang w:val="en-NZ" w:eastAsia="ko-KR"/>
        </w:rPr>
      </w:pPr>
    </w:p>
    <w:p w14:paraId="1D97EEA1" w14:textId="77777777" w:rsidR="003D3D47" w:rsidRDefault="002A0111" w:rsidP="00A03D78">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3D694CEF" w14:textId="7BE0B929" w:rsidR="002A0111" w:rsidRPr="00441526" w:rsidRDefault="002A0111" w:rsidP="00B1173B">
      <w:pPr>
        <w:ind w:firstLine="720"/>
        <w:jc w:val="both"/>
        <w:rPr>
          <w:lang w:val="en-NZ"/>
        </w:rPr>
      </w:pPr>
      <w:r w:rsidRPr="006F518F">
        <w:rPr>
          <w:lang w:val="en-NZ"/>
        </w:rPr>
        <w:t>APG</w:t>
      </w:r>
      <w:r w:rsidR="006B09DB">
        <w:rPr>
          <w:lang w:val="en-NZ"/>
        </w:rPr>
        <w:t>23</w:t>
      </w:r>
      <w:r w:rsidR="003D3D47">
        <w:rPr>
          <w:lang w:val="en-NZ"/>
        </w:rPr>
        <w:t>-</w:t>
      </w:r>
      <w:r w:rsidR="001F2160">
        <w:rPr>
          <w:lang w:val="en-NZ"/>
        </w:rPr>
        <w:t>3</w:t>
      </w:r>
      <w:r w:rsidR="003D3D47">
        <w:rPr>
          <w:lang w:val="en-NZ"/>
        </w:rPr>
        <w:t>)</w:t>
      </w:r>
    </w:p>
    <w:p w14:paraId="0BB95102" w14:textId="77777777" w:rsidR="002A0111" w:rsidRPr="00441526" w:rsidRDefault="005206E9" w:rsidP="00B1173B">
      <w:pPr>
        <w:spacing w:before="120"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5F656795" w14:textId="67233F0F"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w:t>
      </w:r>
      <w:r w:rsidR="003B2C3E">
        <w:rPr>
          <w:b/>
          <w:lang w:val="en-NZ" w:eastAsia="ko-KR"/>
        </w:rPr>
        <w:t>3</w:t>
      </w:r>
      <w:r w:rsidR="002A0111" w:rsidRPr="00441526">
        <w:rPr>
          <w:b/>
          <w:lang w:val="en-NZ" w:eastAsia="ko-KR"/>
        </w:rPr>
        <w:t>/</w:t>
      </w:r>
      <w:hyperlink r:id="rId28" w:history="1">
        <w:r w:rsidR="003B2C3E">
          <w:rPr>
            <w:rStyle w:val="Hyperlink"/>
            <w:b/>
            <w:lang w:val="en-NZ" w:eastAsia="ko-KR"/>
          </w:rPr>
          <w:t>INF-37</w:t>
        </w:r>
      </w:hyperlink>
    </w:p>
    <w:p w14:paraId="3480B0B4" w14:textId="27471977" w:rsidR="003B2C3E" w:rsidRDefault="003B2C3E" w:rsidP="003B2C3E">
      <w:pPr>
        <w:jc w:val="both"/>
        <w:rPr>
          <w:lang w:val="en-NZ"/>
        </w:rPr>
      </w:pPr>
      <w:r w:rsidRPr="0095544E">
        <w:rPr>
          <w:lang w:val="en-NZ"/>
        </w:rPr>
        <w:t xml:space="preserve">Support technical and regulatory studies under this agenda item for a possible new secondary allocation to the Earth Exploration Satellite Service (Active) for space-based radar sounding </w:t>
      </w:r>
      <w:r w:rsidRPr="0095544E">
        <w:rPr>
          <w:lang w:val="en-NZ"/>
        </w:rPr>
        <w:lastRenderedPageBreak/>
        <w:t>systems in the frequency range of about 45 MHz, while ensuring the protection of existing services in the 40-50 MHz band and in adjacent bands.</w:t>
      </w:r>
    </w:p>
    <w:p w14:paraId="1CD5BA54" w14:textId="624A8D57" w:rsidR="00D35E8B" w:rsidRPr="00441526" w:rsidRDefault="00D35E8B" w:rsidP="00DA7944">
      <w:pPr>
        <w:spacing w:before="120"/>
        <w:rPr>
          <w:lang w:val="en-NZ" w:eastAsia="ko-KR"/>
        </w:rPr>
      </w:pPr>
      <w:r w:rsidRPr="00DA7944">
        <w:rPr>
          <w:b/>
          <w:bCs/>
          <w:lang w:val="en-NZ" w:eastAsia="ko-KR"/>
        </w:rPr>
        <w:t>7.1.</w:t>
      </w:r>
      <w:r w:rsidR="00B01F7F" w:rsidRPr="00DA7944">
        <w:rPr>
          <w:b/>
          <w:bCs/>
          <w:lang w:val="en-NZ" w:eastAsia="ko-KR"/>
        </w:rPr>
        <w:t>2</w:t>
      </w:r>
      <w:r w:rsidRPr="00441526">
        <w:rPr>
          <w:lang w:val="en-NZ" w:eastAsia="ko-KR"/>
        </w:rPr>
        <w:t xml:space="preserve"> </w:t>
      </w:r>
      <w:r w:rsidRPr="00441526">
        <w:rPr>
          <w:lang w:val="en-NZ" w:eastAsia="ko-KR"/>
        </w:rPr>
        <w:tab/>
      </w:r>
      <w:r w:rsidRPr="00DA7944">
        <w:rPr>
          <w:b/>
          <w:bCs/>
          <w:lang w:val="en-NZ" w:eastAsia="ko-KR"/>
        </w:rPr>
        <w:t xml:space="preserve">RCC </w:t>
      </w:r>
      <w:r w:rsidRPr="00DA7944">
        <w:rPr>
          <w:b/>
          <w:bCs/>
        </w:rPr>
        <w:t xml:space="preserve">- </w:t>
      </w:r>
      <w:r w:rsidRPr="00DA7944">
        <w:rPr>
          <w:b/>
          <w:bCs/>
          <w:lang w:val="en-NZ" w:eastAsia="ko-KR"/>
        </w:rPr>
        <w:t>Document APG23-</w:t>
      </w:r>
      <w:r w:rsidR="003A3E1C">
        <w:rPr>
          <w:b/>
          <w:bCs/>
          <w:lang w:val="en-NZ" w:eastAsia="ko-KR"/>
        </w:rPr>
        <w:t>3</w:t>
      </w:r>
      <w:r w:rsidRPr="00DA7944">
        <w:rPr>
          <w:b/>
          <w:bCs/>
          <w:lang w:val="en-NZ" w:eastAsia="ko-KR"/>
        </w:rPr>
        <w:t>/</w:t>
      </w:r>
      <w:hyperlink r:id="rId29" w:history="1">
        <w:r w:rsidR="005C42B4" w:rsidRPr="005C42B4">
          <w:rPr>
            <w:rStyle w:val="Hyperlink"/>
            <w:b/>
            <w:bCs/>
            <w:lang w:val="en-NZ"/>
          </w:rPr>
          <w:t>INF-09</w:t>
        </w:r>
      </w:hyperlink>
      <w:r w:rsidR="00DA7944">
        <w:rPr>
          <w:lang w:val="en-NZ" w:eastAsia="ko-KR"/>
        </w:rPr>
        <w:t xml:space="preserve"> </w:t>
      </w:r>
    </w:p>
    <w:p w14:paraId="00D9C330" w14:textId="5B9B655D" w:rsidR="005C42B4" w:rsidRDefault="005C42B4" w:rsidP="00AA3FC8">
      <w:pPr>
        <w:spacing w:before="120" w:after="120"/>
        <w:rPr>
          <w:bCs/>
          <w:lang w:val="en-NZ" w:eastAsia="ko-KR"/>
        </w:rPr>
      </w:pPr>
      <w:r w:rsidRPr="0095544E">
        <w:rPr>
          <w:bCs/>
          <w:lang w:val="en-NZ" w:eastAsia="ko-KR"/>
        </w:rPr>
        <w:t xml:space="preserve">The RCC Administrations support conducting studies for a new secondary allocation to the Earth exploration-satellite (active) service within the range of frequencies around 45 </w:t>
      </w:r>
      <w:proofErr w:type="spellStart"/>
      <w:r w:rsidRPr="0095544E">
        <w:rPr>
          <w:bCs/>
          <w:lang w:val="en-NZ" w:eastAsia="ko-KR"/>
        </w:rPr>
        <w:t>MHz.</w:t>
      </w:r>
      <w:proofErr w:type="spellEnd"/>
    </w:p>
    <w:p w14:paraId="738C851C" w14:textId="77777777" w:rsidR="0041655A" w:rsidRDefault="0041655A" w:rsidP="00AA3FC8">
      <w:pPr>
        <w:spacing w:before="120" w:after="120"/>
        <w:rPr>
          <w:bCs/>
          <w:lang w:val="en-NZ" w:eastAsia="ko-KR"/>
        </w:rPr>
      </w:pPr>
    </w:p>
    <w:p w14:paraId="34222260" w14:textId="6E4EADB1" w:rsidR="000B60CE" w:rsidRDefault="000B60CE" w:rsidP="00AA3FC8">
      <w:pPr>
        <w:spacing w:before="120" w:after="120"/>
        <w:jc w:val="both"/>
        <w:rPr>
          <w:rFonts w:ascii="Calibri" w:hAnsi="Calibri" w:cs="Calibri"/>
          <w:b/>
          <w:bCs/>
          <w:color w:val="000000"/>
          <w:lang w:val="en-GB"/>
        </w:rPr>
      </w:pPr>
      <w:r w:rsidRPr="00DA7944">
        <w:rPr>
          <w:b/>
          <w:bCs/>
          <w:lang w:val="en-NZ" w:eastAsia="ko-KR"/>
        </w:rPr>
        <w:t>7.1.</w:t>
      </w:r>
      <w:r>
        <w:rPr>
          <w:b/>
          <w:bCs/>
          <w:lang w:val="en-NZ" w:eastAsia="ko-KR"/>
        </w:rPr>
        <w:t>3</w:t>
      </w:r>
      <w:r w:rsidRPr="00441526">
        <w:rPr>
          <w:lang w:val="en-NZ" w:eastAsia="ko-KR"/>
        </w:rPr>
        <w:t xml:space="preserve"> </w:t>
      </w:r>
      <w:r w:rsidRPr="00441526">
        <w:rPr>
          <w:lang w:val="en-NZ" w:eastAsia="ko-KR"/>
        </w:rPr>
        <w:tab/>
      </w:r>
      <w:r>
        <w:rPr>
          <w:b/>
          <w:bCs/>
          <w:lang w:val="en-NZ" w:eastAsia="ko-KR"/>
        </w:rPr>
        <w:t>ATU</w:t>
      </w:r>
      <w:r w:rsidRPr="00DA7944">
        <w:rPr>
          <w:b/>
          <w:bCs/>
          <w:lang w:val="en-NZ" w:eastAsia="ko-KR"/>
        </w:rPr>
        <w:t xml:space="preserve"> </w:t>
      </w:r>
      <w:r w:rsidRPr="00DA7944">
        <w:rPr>
          <w:b/>
          <w:bCs/>
        </w:rPr>
        <w:t xml:space="preserve">- </w:t>
      </w:r>
      <w:r w:rsidRPr="00DA7944">
        <w:rPr>
          <w:b/>
          <w:bCs/>
          <w:lang w:val="en-NZ" w:eastAsia="ko-KR"/>
        </w:rPr>
        <w:t>Document APG23-</w:t>
      </w:r>
      <w:r>
        <w:rPr>
          <w:b/>
          <w:bCs/>
          <w:lang w:val="en-NZ" w:eastAsia="ko-KR"/>
        </w:rPr>
        <w:t>3</w:t>
      </w:r>
      <w:r w:rsidRPr="00DA7944">
        <w:rPr>
          <w:b/>
          <w:bCs/>
          <w:lang w:val="en-NZ" w:eastAsia="ko-KR"/>
        </w:rPr>
        <w:t>/</w:t>
      </w:r>
      <w:hyperlink r:id="rId30" w:history="1">
        <w:r w:rsidRPr="005C42B4">
          <w:rPr>
            <w:rStyle w:val="Hyperlink"/>
            <w:b/>
            <w:bCs/>
            <w:lang w:val="en-NZ"/>
          </w:rPr>
          <w:t>INF-</w:t>
        </w:r>
        <w:r>
          <w:rPr>
            <w:rStyle w:val="Hyperlink"/>
            <w:b/>
            <w:bCs/>
            <w:lang w:val="en-NZ"/>
          </w:rPr>
          <w:t>3</w:t>
        </w:r>
        <w:r w:rsidRPr="005C42B4">
          <w:rPr>
            <w:rStyle w:val="Hyperlink"/>
            <w:b/>
            <w:bCs/>
            <w:lang w:val="en-NZ"/>
          </w:rPr>
          <w:t>9</w:t>
        </w:r>
      </w:hyperlink>
    </w:p>
    <w:p w14:paraId="2EA062F7" w14:textId="34420434" w:rsidR="000B60CE" w:rsidRPr="0041655A" w:rsidRDefault="000B60CE" w:rsidP="00371C2A">
      <w:pPr>
        <w:contextualSpacing/>
        <w:jc w:val="both"/>
        <w:rPr>
          <w:color w:val="000000"/>
          <w:lang w:val="en-GB"/>
        </w:rPr>
      </w:pPr>
      <w:r w:rsidRPr="0041655A">
        <w:rPr>
          <w:color w:val="000000"/>
          <w:lang w:val="en-GB"/>
        </w:rPr>
        <w:t>Support the ITU-R technical and regulatory studies to satisfy the invite under Resolution 656, while ensuring the protection of incumbent services in the frequency band 40-50 MHz and in the adjacent bands</w:t>
      </w:r>
      <w:r w:rsidRPr="0041655A">
        <w:rPr>
          <w:b/>
          <w:bCs/>
          <w:color w:val="000000"/>
          <w:lang w:val="en-GB"/>
        </w:rPr>
        <w:t xml:space="preserve"> </w:t>
      </w:r>
      <w:r w:rsidRPr="0041655A">
        <w:rPr>
          <w:color w:val="000000"/>
          <w:lang w:val="en-GB"/>
        </w:rPr>
        <w:t>noting that</w:t>
      </w:r>
      <w:r w:rsidRPr="0041655A">
        <w:rPr>
          <w:b/>
          <w:bCs/>
          <w:color w:val="000000"/>
          <w:lang w:val="en-GB"/>
        </w:rPr>
        <w:t xml:space="preserve">, </w:t>
      </w:r>
      <w:r w:rsidRPr="0041655A">
        <w:rPr>
          <w:color w:val="000000"/>
          <w:lang w:val="en-GB"/>
        </w:rPr>
        <w:t>the scientific objectives of this application have significant global humanitarian benefits to the understanding of the environmental changes and climatic evolutions.</w:t>
      </w:r>
    </w:p>
    <w:p w14:paraId="74A2921A" w14:textId="77777777" w:rsidR="002A0111" w:rsidRPr="00441526" w:rsidRDefault="005206E9" w:rsidP="00C7065E">
      <w:pPr>
        <w:spacing w:before="120"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1BCBF7AB" w14:textId="66C4286D"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.2.1 </w:t>
      </w:r>
      <w:r w:rsidR="002A0111" w:rsidRPr="00441526">
        <w:rPr>
          <w:b/>
          <w:lang w:val="en-NZ" w:eastAsia="ko-KR"/>
        </w:rPr>
        <w:tab/>
        <w:t xml:space="preserve">IARU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CE7B05">
        <w:rPr>
          <w:b/>
          <w:lang w:val="en-NZ" w:eastAsia="ko-KR"/>
        </w:rPr>
        <w:t>3</w:t>
      </w:r>
      <w:r w:rsidR="002A0111" w:rsidRPr="00441526">
        <w:rPr>
          <w:b/>
          <w:lang w:val="en-NZ" w:eastAsia="ko-KR"/>
        </w:rPr>
        <w:t>/</w:t>
      </w:r>
      <w:hyperlink r:id="rId31" w:history="1">
        <w:r w:rsidR="00917DB3" w:rsidRPr="00917DB3">
          <w:rPr>
            <w:rStyle w:val="Hyperlink"/>
            <w:b/>
            <w:bCs/>
            <w:lang w:val="en-NZ"/>
          </w:rPr>
          <w:t>INF-17</w:t>
        </w:r>
      </w:hyperlink>
    </w:p>
    <w:p w14:paraId="763B5E76" w14:textId="5EA3D8D0" w:rsidR="00917DB3" w:rsidRPr="00441526" w:rsidRDefault="00917DB3" w:rsidP="005C42B4">
      <w:pPr>
        <w:jc w:val="both"/>
        <w:rPr>
          <w:lang w:val="en-NZ"/>
        </w:rPr>
      </w:pPr>
      <w:r w:rsidRPr="0095544E">
        <w:rPr>
          <w:rFonts w:eastAsia="Times New Roman"/>
          <w:kern w:val="2"/>
          <w:lang w:eastAsia="ar-SA"/>
        </w:rPr>
        <w:t>The IARU acknowledges that the studies for a possible new secondary allocation to the Earth exploration-satellite (active) service for spaceborne radar sounders within the range of frequencies around 45 MHz include the need to protect the incumbent amateur service in the adjacent 50-54 MHz band. The IARU will contribute to the studies to ensure adequate protection of the sensitive receivers used by stations in the amateur service in the 50-54 MHz band, especially the frequencies 50-50.5 MHz where the majority of amateur communications via the ionosphere is conducted, often with very low signal levels.</w:t>
      </w:r>
    </w:p>
    <w:p w14:paraId="12873332" w14:textId="77777777" w:rsidR="002A0111" w:rsidRPr="00441526" w:rsidRDefault="002A0111" w:rsidP="002A0111">
      <w:pPr>
        <w:rPr>
          <w:lang w:val="en-NZ"/>
        </w:rPr>
      </w:pPr>
    </w:p>
    <w:p w14:paraId="4289BD65" w14:textId="25B858C8" w:rsidR="00D35E8B" w:rsidRPr="00441526" w:rsidRDefault="00D35E8B" w:rsidP="00D35E8B">
      <w:pPr>
        <w:spacing w:after="120"/>
        <w:jc w:val="both"/>
        <w:rPr>
          <w:b/>
          <w:lang w:val="en-NZ" w:eastAsia="ko-KR"/>
        </w:rPr>
      </w:pPr>
      <w:r>
        <w:rPr>
          <w:b/>
          <w:lang w:val="en-NZ" w:eastAsia="ko-KR"/>
        </w:rPr>
        <w:t>7</w:t>
      </w:r>
      <w:r w:rsidRPr="00441526">
        <w:rPr>
          <w:b/>
          <w:lang w:val="en-NZ" w:eastAsia="ko-KR"/>
        </w:rPr>
        <w:t>.2.</w:t>
      </w:r>
      <w:r>
        <w:rPr>
          <w:b/>
          <w:lang w:val="en-NZ" w:eastAsia="ko-KR"/>
        </w:rPr>
        <w:t>2</w:t>
      </w:r>
      <w:r w:rsidRPr="00441526">
        <w:rPr>
          <w:b/>
          <w:lang w:val="en-NZ" w:eastAsia="ko-KR"/>
        </w:rPr>
        <w:t xml:space="preserve"> </w:t>
      </w:r>
      <w:r w:rsidRPr="00441526">
        <w:rPr>
          <w:b/>
          <w:lang w:val="en-NZ" w:eastAsia="ko-KR"/>
        </w:rPr>
        <w:tab/>
      </w:r>
      <w:r>
        <w:rPr>
          <w:b/>
          <w:lang w:val="en-NZ" w:eastAsia="ko-KR"/>
        </w:rPr>
        <w:t>SFCG</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CE7B05">
        <w:rPr>
          <w:b/>
          <w:lang w:val="en-NZ" w:eastAsia="ko-KR"/>
        </w:rPr>
        <w:t>3</w:t>
      </w:r>
      <w:r w:rsidRPr="00441526">
        <w:rPr>
          <w:b/>
          <w:lang w:val="en-NZ" w:eastAsia="ko-KR"/>
        </w:rPr>
        <w:t>/</w:t>
      </w:r>
      <w:hyperlink r:id="rId32" w:history="1">
        <w:r w:rsidR="005C42B4" w:rsidRPr="005C42B4">
          <w:rPr>
            <w:rStyle w:val="Hyperlink"/>
            <w:b/>
            <w:bCs/>
            <w:lang w:val="en-NZ"/>
          </w:rPr>
          <w:t>INF-09</w:t>
        </w:r>
      </w:hyperlink>
    </w:p>
    <w:p w14:paraId="620CCFB6" w14:textId="20895BF3" w:rsidR="005C42B4" w:rsidRPr="00441526" w:rsidRDefault="005C42B4" w:rsidP="005C42B4">
      <w:pPr>
        <w:jc w:val="both"/>
        <w:rPr>
          <w:lang w:val="en-NZ"/>
        </w:rPr>
      </w:pPr>
      <w:r w:rsidRPr="0095544E">
        <w:rPr>
          <w:bCs/>
          <w:lang w:val="en-NZ" w:eastAsia="ko-KR"/>
        </w:rPr>
        <w:t>SFCG supports a new secondary allocation to the EESS (active) in the 40-50 MHz band, subject to the completion of the studies in ITU-R that demonstrate compatibility between spaceborne radar sounders and incumbent services in the band.</w:t>
      </w:r>
    </w:p>
    <w:p w14:paraId="653DC327" w14:textId="156B9BDE" w:rsidR="00D35E8B" w:rsidRPr="00441526" w:rsidRDefault="00D35E8B" w:rsidP="00D35E8B">
      <w:pPr>
        <w:spacing w:before="120" w:after="120"/>
        <w:jc w:val="both"/>
        <w:rPr>
          <w:b/>
          <w:lang w:val="en-NZ" w:eastAsia="ko-KR"/>
        </w:rPr>
      </w:pPr>
      <w:r>
        <w:rPr>
          <w:b/>
          <w:lang w:val="en-NZ" w:eastAsia="ko-KR"/>
        </w:rPr>
        <w:t>7</w:t>
      </w:r>
      <w:r w:rsidRPr="00441526">
        <w:rPr>
          <w:b/>
          <w:lang w:val="en-NZ" w:eastAsia="ko-KR"/>
        </w:rPr>
        <w:t>.2.</w:t>
      </w:r>
      <w:r w:rsidR="00DA7944">
        <w:rPr>
          <w:b/>
          <w:lang w:val="en-NZ" w:eastAsia="ko-KR"/>
        </w:rPr>
        <w:t>3</w:t>
      </w:r>
      <w:r w:rsidRPr="00441526">
        <w:rPr>
          <w:b/>
          <w:lang w:val="en-NZ" w:eastAsia="ko-KR"/>
        </w:rPr>
        <w:t xml:space="preserve"> </w:t>
      </w:r>
      <w:r w:rsidRPr="00441526">
        <w:rPr>
          <w:b/>
          <w:lang w:val="en-NZ" w:eastAsia="ko-KR"/>
        </w:rPr>
        <w:tab/>
      </w:r>
      <w:r>
        <w:rPr>
          <w:b/>
          <w:lang w:val="en-NZ" w:eastAsia="ko-KR"/>
        </w:rPr>
        <w:t>WMO</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D2557E">
        <w:rPr>
          <w:b/>
          <w:lang w:val="en-NZ" w:eastAsia="ko-KR"/>
        </w:rPr>
        <w:t>3</w:t>
      </w:r>
      <w:r w:rsidRPr="00441526">
        <w:rPr>
          <w:b/>
          <w:lang w:val="en-NZ" w:eastAsia="ko-KR"/>
        </w:rPr>
        <w:t>/</w:t>
      </w:r>
      <w:hyperlink r:id="rId33" w:history="1">
        <w:r w:rsidR="00D2557E" w:rsidRPr="00D2557E">
          <w:rPr>
            <w:rStyle w:val="Hyperlink"/>
            <w:b/>
            <w:bCs/>
            <w:lang w:val="en-NZ"/>
          </w:rPr>
          <w:t>INF-01</w:t>
        </w:r>
      </w:hyperlink>
    </w:p>
    <w:p w14:paraId="390CBF6E" w14:textId="33D9F77C" w:rsidR="00D2557E" w:rsidRPr="00616D6C" w:rsidRDefault="00D2557E" w:rsidP="005C42B4">
      <w:pPr>
        <w:spacing w:before="120"/>
        <w:jc w:val="both"/>
        <w:rPr>
          <w:lang w:val="en-NZ"/>
        </w:rPr>
      </w:pPr>
      <w:r w:rsidRPr="0095544E">
        <w:rPr>
          <w:rStyle w:val="ECCParagraph"/>
          <w:sz w:val="24"/>
          <w:szCs w:val="24"/>
        </w:rPr>
        <w:t>WMO supports completion of studies to ensure compatibility of incumbent radio services with a view to creating secondary allocation to the EESS (active) at WRC-23.</w:t>
      </w:r>
    </w:p>
    <w:p w14:paraId="67C3C634" w14:textId="77777777" w:rsidR="002A0111" w:rsidRPr="00441526" w:rsidRDefault="002A0111" w:rsidP="002A0111">
      <w:pPr>
        <w:jc w:val="both"/>
        <w:rPr>
          <w:lang w:val="en-NZ"/>
        </w:rPr>
      </w:pPr>
    </w:p>
    <w:p w14:paraId="5C979CD8" w14:textId="77777777" w:rsidR="002A0111" w:rsidRPr="00441526" w:rsidRDefault="002A0111" w:rsidP="002A0111">
      <w:pPr>
        <w:rPr>
          <w:b/>
          <w:lang w:val="en-NZ"/>
        </w:rPr>
      </w:pPr>
    </w:p>
    <w:p w14:paraId="3F68F026" w14:textId="77777777" w:rsidR="002A0111" w:rsidRPr="00710333" w:rsidRDefault="002A0111" w:rsidP="002A0111">
      <w:pPr>
        <w:jc w:val="center"/>
        <w:rPr>
          <w:snapToGrid w:val="0"/>
          <w:lang w:val="en-NZ"/>
        </w:rPr>
      </w:pPr>
      <w:r w:rsidRPr="00441526">
        <w:rPr>
          <w:lang w:val="en-NZ"/>
        </w:rPr>
        <w:t>____________</w:t>
      </w:r>
    </w:p>
    <w:p w14:paraId="494A03C8" w14:textId="4755F712" w:rsidR="00654896" w:rsidRPr="002A0111" w:rsidRDefault="00654896" w:rsidP="002A0111">
      <w:pPr>
        <w:tabs>
          <w:tab w:val="left" w:pos="1410"/>
        </w:tabs>
        <w:rPr>
          <w:lang w:val="en-NZ"/>
        </w:rPr>
      </w:pPr>
    </w:p>
    <w:sectPr w:rsidR="00654896" w:rsidRPr="002A0111" w:rsidSect="00C516C7">
      <w:headerReference w:type="even" r:id="rId34"/>
      <w:headerReference w:type="default" r:id="rId35"/>
      <w:footerReference w:type="even" r:id="rId36"/>
      <w:footerReference w:type="default" r:id="rId37"/>
      <w:headerReference w:type="first" r:id="rId38"/>
      <w:footerReference w:type="first" r:id="rId39"/>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71B8F" w14:textId="77777777" w:rsidR="00933BCB" w:rsidRDefault="00933BCB">
      <w:r>
        <w:separator/>
      </w:r>
    </w:p>
  </w:endnote>
  <w:endnote w:type="continuationSeparator" w:id="0">
    <w:p w14:paraId="522EEA86" w14:textId="77777777" w:rsidR="00933BCB" w:rsidRDefault="0093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altName w:val="굴림체"/>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9FB3"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E363BB"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45E5" w14:textId="3D476074"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BC58AB">
      <w:rPr>
        <w:lang w:eastAsia="ko-KR"/>
      </w:rPr>
      <w:t>3</w:t>
    </w:r>
    <w:r w:rsidR="002A0111">
      <w:rPr>
        <w:lang w:eastAsia="ko-KR"/>
      </w:rPr>
      <w:t>/</w:t>
    </w:r>
    <w:r w:rsidR="00FC4527">
      <w:rPr>
        <w:lang w:eastAsia="ko-KR"/>
      </w:rPr>
      <w:t>OUT</w:t>
    </w:r>
    <w:r>
      <w:rPr>
        <w:lang w:eastAsia="ko-KR"/>
      </w:rPr>
      <w:t>-</w:t>
    </w:r>
    <w:r w:rsidR="00FC4527">
      <w:rPr>
        <w:lang w:eastAsia="ko-KR"/>
      </w:rPr>
      <w:t>21</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47FA67AD" w14:textId="77777777" w:rsidTr="00BB0EA4">
      <w:trPr>
        <w:trHeight w:val="432"/>
      </w:trPr>
      <w:tc>
        <w:tcPr>
          <w:tcW w:w="1296" w:type="dxa"/>
          <w:tcBorders>
            <w:top w:val="single" w:sz="8" w:space="0" w:color="auto"/>
            <w:bottom w:val="nil"/>
            <w:right w:val="nil"/>
          </w:tcBorders>
        </w:tcPr>
        <w:p w14:paraId="7F21BBE6"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4C326F13" w14:textId="00D6FAAF" w:rsidR="0092727B" w:rsidRDefault="007D65C8" w:rsidP="0092727B">
          <w:pPr>
            <w:pStyle w:val="Footer"/>
            <w:tabs>
              <w:tab w:val="clear" w:pos="4320"/>
              <w:tab w:val="clear" w:pos="8640"/>
            </w:tabs>
          </w:pPr>
          <w:r>
            <w:t>Kevin Knights</w:t>
          </w:r>
        </w:p>
        <w:p w14:paraId="45DC03F1" w14:textId="4EA743C4" w:rsidR="002A0111" w:rsidRPr="002A0111" w:rsidRDefault="002A0111" w:rsidP="0092727B">
          <w:pPr>
            <w:pStyle w:val="Footer"/>
            <w:tabs>
              <w:tab w:val="clear" w:pos="4320"/>
              <w:tab w:val="clear" w:pos="8640"/>
            </w:tabs>
          </w:pPr>
          <w:r>
            <w:t>Chairman, DG AI</w:t>
          </w:r>
          <w:r w:rsidR="007D65C8">
            <w:t xml:space="preserve"> </w:t>
          </w:r>
          <w:r>
            <w:t>1.</w:t>
          </w:r>
          <w:r w:rsidR="007D65C8">
            <w:t>12</w:t>
          </w:r>
        </w:p>
      </w:tc>
      <w:tc>
        <w:tcPr>
          <w:tcW w:w="2880" w:type="dxa"/>
          <w:tcBorders>
            <w:top w:val="single" w:sz="8" w:space="0" w:color="auto"/>
            <w:left w:val="nil"/>
            <w:bottom w:val="nil"/>
          </w:tcBorders>
        </w:tcPr>
        <w:p w14:paraId="24901ECD" w14:textId="2CE8A102" w:rsidR="0092727B" w:rsidRPr="0092727B" w:rsidRDefault="0092727B" w:rsidP="0092727B">
          <w:pPr>
            <w:pStyle w:val="Footer"/>
            <w:tabs>
              <w:tab w:val="clear" w:pos="4320"/>
              <w:tab w:val="clear" w:pos="8640"/>
            </w:tabs>
          </w:pPr>
          <w:r w:rsidRPr="00793F68">
            <w:rPr>
              <w:b/>
              <w:bCs/>
            </w:rPr>
            <w:t>E-mail:</w:t>
          </w:r>
          <w:r w:rsidR="007D65C8">
            <w:t xml:space="preserve"> </w:t>
          </w:r>
          <w:hyperlink r:id="rId1" w:history="1">
            <w:r w:rsidR="00793F68" w:rsidRPr="0076517A">
              <w:rPr>
                <w:rStyle w:val="Hyperlink"/>
              </w:rPr>
              <w:t>Kevin.Knights@csiro.au</w:t>
            </w:r>
          </w:hyperlink>
          <w:r w:rsidR="00793F68">
            <w:t xml:space="preserve"> </w:t>
          </w:r>
        </w:p>
      </w:tc>
    </w:tr>
  </w:tbl>
  <w:p w14:paraId="6C684371"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871A0" w14:textId="77777777" w:rsidR="00933BCB" w:rsidRDefault="00933BCB">
      <w:r>
        <w:separator/>
      </w:r>
    </w:p>
  </w:footnote>
  <w:footnote w:type="continuationSeparator" w:id="0">
    <w:p w14:paraId="474DB0A2" w14:textId="77777777" w:rsidR="00933BCB" w:rsidRDefault="00933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66AE" w14:textId="77777777" w:rsidR="00FC4527" w:rsidRDefault="00FC4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A303" w14:textId="77777777" w:rsidR="0097693B" w:rsidRDefault="0097693B" w:rsidP="0092727B">
    <w:pPr>
      <w:pStyle w:val="Header"/>
      <w:tabs>
        <w:tab w:val="clear" w:pos="4320"/>
        <w:tab w:val="clear" w:pos="8640"/>
      </w:tabs>
      <w:rPr>
        <w:lang w:eastAsia="ko-KR"/>
      </w:rPr>
    </w:pPr>
  </w:p>
  <w:p w14:paraId="11AC8B80" w14:textId="77777777" w:rsidR="0097693B" w:rsidRDefault="0097693B" w:rsidP="00AD7E5F">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AB2A"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EC81A4D"/>
    <w:multiLevelType w:val="hybridMultilevel"/>
    <w:tmpl w:val="48A41306"/>
    <w:lvl w:ilvl="0" w:tplc="81F65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3" w15:restartNumberingAfterBreak="0">
    <w:nsid w:val="3FE44775"/>
    <w:multiLevelType w:val="hybridMultilevel"/>
    <w:tmpl w:val="34D8C8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E53ACC"/>
    <w:multiLevelType w:val="hybridMultilevel"/>
    <w:tmpl w:val="A4248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632B3"/>
    <w:multiLevelType w:val="hybridMultilevel"/>
    <w:tmpl w:val="AD6EEA46"/>
    <w:lvl w:ilvl="0" w:tplc="27BCAFB2">
      <w:numFmt w:val="bullet"/>
      <w:lvlText w:val="–"/>
      <w:lvlJc w:val="left"/>
      <w:pPr>
        <w:ind w:left="1080" w:hanging="360"/>
      </w:pPr>
      <w:rPr>
        <w:rFonts w:ascii="Times New Roman" w:eastAsia="BatangChe"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1"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3"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0"/>
  </w:num>
  <w:num w:numId="2">
    <w:abstractNumId w:val="6"/>
  </w:num>
  <w:num w:numId="3">
    <w:abstractNumId w:val="5"/>
  </w:num>
  <w:num w:numId="4">
    <w:abstractNumId w:val="19"/>
  </w:num>
  <w:num w:numId="5">
    <w:abstractNumId w:val="9"/>
  </w:num>
  <w:num w:numId="6">
    <w:abstractNumId w:val="11"/>
  </w:num>
  <w:num w:numId="7">
    <w:abstractNumId w:val="2"/>
  </w:num>
  <w:num w:numId="8">
    <w:abstractNumId w:val="1"/>
  </w:num>
  <w:num w:numId="9">
    <w:abstractNumId w:val="22"/>
  </w:num>
  <w:num w:numId="10">
    <w:abstractNumId w:val="18"/>
  </w:num>
  <w:num w:numId="11">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0"/>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3"/>
  </w:num>
  <w:num w:numId="17">
    <w:abstractNumId w:val="17"/>
  </w:num>
  <w:num w:numId="18">
    <w:abstractNumId w:val="12"/>
  </w:num>
  <w:num w:numId="19">
    <w:abstractNumId w:val="21"/>
  </w:num>
  <w:num w:numId="20">
    <w:abstractNumId w:val="8"/>
  </w:num>
  <w:num w:numId="21">
    <w:abstractNumId w:val="20"/>
  </w:num>
  <w:num w:numId="22">
    <w:abstractNumId w:val="24"/>
  </w:num>
  <w:num w:numId="23">
    <w:abstractNumId w:val="13"/>
  </w:num>
  <w:num w:numId="24">
    <w:abstractNumId w:val="15"/>
  </w:num>
  <w:num w:numId="25">
    <w:abstractNumId w:val="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5A69"/>
    <w:rsid w:val="00010C8E"/>
    <w:rsid w:val="00011512"/>
    <w:rsid w:val="00022D33"/>
    <w:rsid w:val="0003595B"/>
    <w:rsid w:val="00036517"/>
    <w:rsid w:val="00036CC9"/>
    <w:rsid w:val="000379D3"/>
    <w:rsid w:val="00040149"/>
    <w:rsid w:val="00070642"/>
    <w:rsid w:val="000713CF"/>
    <w:rsid w:val="00074C4D"/>
    <w:rsid w:val="00075C14"/>
    <w:rsid w:val="000822B5"/>
    <w:rsid w:val="00094B87"/>
    <w:rsid w:val="000A012B"/>
    <w:rsid w:val="000A42CD"/>
    <w:rsid w:val="000A5418"/>
    <w:rsid w:val="000B4D36"/>
    <w:rsid w:val="000B60CE"/>
    <w:rsid w:val="000D47FB"/>
    <w:rsid w:val="000F345F"/>
    <w:rsid w:val="000F517C"/>
    <w:rsid w:val="000F5540"/>
    <w:rsid w:val="00105F1A"/>
    <w:rsid w:val="00120519"/>
    <w:rsid w:val="00125FBD"/>
    <w:rsid w:val="00130FFA"/>
    <w:rsid w:val="00132528"/>
    <w:rsid w:val="001409B2"/>
    <w:rsid w:val="00144341"/>
    <w:rsid w:val="00152636"/>
    <w:rsid w:val="001539DD"/>
    <w:rsid w:val="00156782"/>
    <w:rsid w:val="00165F01"/>
    <w:rsid w:val="001731F4"/>
    <w:rsid w:val="001916F2"/>
    <w:rsid w:val="001930A7"/>
    <w:rsid w:val="00196568"/>
    <w:rsid w:val="00197C18"/>
    <w:rsid w:val="001A231C"/>
    <w:rsid w:val="001A2F16"/>
    <w:rsid w:val="001A71EE"/>
    <w:rsid w:val="001B1804"/>
    <w:rsid w:val="001B18C2"/>
    <w:rsid w:val="001B3152"/>
    <w:rsid w:val="001C443F"/>
    <w:rsid w:val="001C61A5"/>
    <w:rsid w:val="001C6707"/>
    <w:rsid w:val="001D5D7E"/>
    <w:rsid w:val="001F07A3"/>
    <w:rsid w:val="001F2160"/>
    <w:rsid w:val="001F5947"/>
    <w:rsid w:val="00202410"/>
    <w:rsid w:val="002101BC"/>
    <w:rsid w:val="00214A0C"/>
    <w:rsid w:val="0021588B"/>
    <w:rsid w:val="002161B6"/>
    <w:rsid w:val="002216AC"/>
    <w:rsid w:val="00224198"/>
    <w:rsid w:val="00224B52"/>
    <w:rsid w:val="00232087"/>
    <w:rsid w:val="0023212E"/>
    <w:rsid w:val="002359DB"/>
    <w:rsid w:val="002475E2"/>
    <w:rsid w:val="002506D2"/>
    <w:rsid w:val="00250DE2"/>
    <w:rsid w:val="00254A1B"/>
    <w:rsid w:val="0026064A"/>
    <w:rsid w:val="00264566"/>
    <w:rsid w:val="0028454D"/>
    <w:rsid w:val="00291C9E"/>
    <w:rsid w:val="002926D4"/>
    <w:rsid w:val="0029734E"/>
    <w:rsid w:val="002A0111"/>
    <w:rsid w:val="002A3CF5"/>
    <w:rsid w:val="002B06A3"/>
    <w:rsid w:val="002B1744"/>
    <w:rsid w:val="002B435C"/>
    <w:rsid w:val="002B447F"/>
    <w:rsid w:val="002C07DA"/>
    <w:rsid w:val="002C2A49"/>
    <w:rsid w:val="002C3A02"/>
    <w:rsid w:val="002C7EA9"/>
    <w:rsid w:val="002F575D"/>
    <w:rsid w:val="003113D7"/>
    <w:rsid w:val="00311E8A"/>
    <w:rsid w:val="0032702F"/>
    <w:rsid w:val="00327F71"/>
    <w:rsid w:val="00342F20"/>
    <w:rsid w:val="00360377"/>
    <w:rsid w:val="00366548"/>
    <w:rsid w:val="00371C2A"/>
    <w:rsid w:val="0038005B"/>
    <w:rsid w:val="003809C7"/>
    <w:rsid w:val="0038236C"/>
    <w:rsid w:val="00393DCD"/>
    <w:rsid w:val="00395B40"/>
    <w:rsid w:val="0039729E"/>
    <w:rsid w:val="003A1001"/>
    <w:rsid w:val="003A2006"/>
    <w:rsid w:val="003A3E1C"/>
    <w:rsid w:val="003A6568"/>
    <w:rsid w:val="003A778E"/>
    <w:rsid w:val="003B2C3E"/>
    <w:rsid w:val="003B4FD1"/>
    <w:rsid w:val="003B6263"/>
    <w:rsid w:val="003C29E6"/>
    <w:rsid w:val="003C32ED"/>
    <w:rsid w:val="003C64A7"/>
    <w:rsid w:val="003D1128"/>
    <w:rsid w:val="003D1671"/>
    <w:rsid w:val="003D3D47"/>
    <w:rsid w:val="003D3FDA"/>
    <w:rsid w:val="003D6D00"/>
    <w:rsid w:val="003E166F"/>
    <w:rsid w:val="003F07FF"/>
    <w:rsid w:val="003F307E"/>
    <w:rsid w:val="003F328F"/>
    <w:rsid w:val="004001E5"/>
    <w:rsid w:val="0041313C"/>
    <w:rsid w:val="00415AB3"/>
    <w:rsid w:val="0041655A"/>
    <w:rsid w:val="00420822"/>
    <w:rsid w:val="00420C74"/>
    <w:rsid w:val="00431801"/>
    <w:rsid w:val="00441526"/>
    <w:rsid w:val="004465AA"/>
    <w:rsid w:val="00446A5E"/>
    <w:rsid w:val="0045458F"/>
    <w:rsid w:val="004633B4"/>
    <w:rsid w:val="0047081D"/>
    <w:rsid w:val="00495CED"/>
    <w:rsid w:val="004A2F96"/>
    <w:rsid w:val="004A4BDF"/>
    <w:rsid w:val="004B3553"/>
    <w:rsid w:val="004B3F4B"/>
    <w:rsid w:val="004C37AC"/>
    <w:rsid w:val="004D0EFF"/>
    <w:rsid w:val="004D0FFB"/>
    <w:rsid w:val="004E1FCA"/>
    <w:rsid w:val="004E47D6"/>
    <w:rsid w:val="004E4BF8"/>
    <w:rsid w:val="00503189"/>
    <w:rsid w:val="00512A4F"/>
    <w:rsid w:val="00516BD1"/>
    <w:rsid w:val="005206E9"/>
    <w:rsid w:val="00526D01"/>
    <w:rsid w:val="00530E8C"/>
    <w:rsid w:val="00534692"/>
    <w:rsid w:val="00535D34"/>
    <w:rsid w:val="00545933"/>
    <w:rsid w:val="00552105"/>
    <w:rsid w:val="005562F2"/>
    <w:rsid w:val="00557544"/>
    <w:rsid w:val="00565BBB"/>
    <w:rsid w:val="00571B26"/>
    <w:rsid w:val="00585F3C"/>
    <w:rsid w:val="00586CA0"/>
    <w:rsid w:val="00587875"/>
    <w:rsid w:val="005A63EB"/>
    <w:rsid w:val="005B0876"/>
    <w:rsid w:val="005B388E"/>
    <w:rsid w:val="005C33B6"/>
    <w:rsid w:val="005C42B4"/>
    <w:rsid w:val="005D6202"/>
    <w:rsid w:val="005D6E98"/>
    <w:rsid w:val="005F36AA"/>
    <w:rsid w:val="00607E2B"/>
    <w:rsid w:val="006139D6"/>
    <w:rsid w:val="00614AD1"/>
    <w:rsid w:val="00616D1B"/>
    <w:rsid w:val="00616D6C"/>
    <w:rsid w:val="00623CE1"/>
    <w:rsid w:val="00627880"/>
    <w:rsid w:val="00630511"/>
    <w:rsid w:val="0063062B"/>
    <w:rsid w:val="00630A4A"/>
    <w:rsid w:val="00634A82"/>
    <w:rsid w:val="00637351"/>
    <w:rsid w:val="00646166"/>
    <w:rsid w:val="00652BDD"/>
    <w:rsid w:val="00654896"/>
    <w:rsid w:val="006621F0"/>
    <w:rsid w:val="006647BA"/>
    <w:rsid w:val="00665517"/>
    <w:rsid w:val="00667229"/>
    <w:rsid w:val="0067505B"/>
    <w:rsid w:val="00682BE5"/>
    <w:rsid w:val="00683256"/>
    <w:rsid w:val="00683846"/>
    <w:rsid w:val="00690FED"/>
    <w:rsid w:val="006939A5"/>
    <w:rsid w:val="006B09DB"/>
    <w:rsid w:val="006C2228"/>
    <w:rsid w:val="006D5223"/>
    <w:rsid w:val="006D5970"/>
    <w:rsid w:val="006E12FC"/>
    <w:rsid w:val="006F0F24"/>
    <w:rsid w:val="006F2B2E"/>
    <w:rsid w:val="006F6A5C"/>
    <w:rsid w:val="006F70AA"/>
    <w:rsid w:val="00703F6F"/>
    <w:rsid w:val="007052B3"/>
    <w:rsid w:val="00705962"/>
    <w:rsid w:val="00707C21"/>
    <w:rsid w:val="00712451"/>
    <w:rsid w:val="00717DE9"/>
    <w:rsid w:val="00721075"/>
    <w:rsid w:val="0072518B"/>
    <w:rsid w:val="00731041"/>
    <w:rsid w:val="007329E4"/>
    <w:rsid w:val="00732F08"/>
    <w:rsid w:val="007342F0"/>
    <w:rsid w:val="007354D6"/>
    <w:rsid w:val="0074190C"/>
    <w:rsid w:val="0075493D"/>
    <w:rsid w:val="00755009"/>
    <w:rsid w:val="00762576"/>
    <w:rsid w:val="007673CA"/>
    <w:rsid w:val="00791060"/>
    <w:rsid w:val="007926EA"/>
    <w:rsid w:val="00793F68"/>
    <w:rsid w:val="007A3640"/>
    <w:rsid w:val="007A4070"/>
    <w:rsid w:val="007A56A8"/>
    <w:rsid w:val="007B5626"/>
    <w:rsid w:val="007B6124"/>
    <w:rsid w:val="007C764B"/>
    <w:rsid w:val="007D3C53"/>
    <w:rsid w:val="007D65C8"/>
    <w:rsid w:val="007E3A0F"/>
    <w:rsid w:val="007F0AE6"/>
    <w:rsid w:val="007F2628"/>
    <w:rsid w:val="007F2FBA"/>
    <w:rsid w:val="007F7DF3"/>
    <w:rsid w:val="00800C3A"/>
    <w:rsid w:val="00804D00"/>
    <w:rsid w:val="0080570B"/>
    <w:rsid w:val="00811702"/>
    <w:rsid w:val="008148E1"/>
    <w:rsid w:val="0082274C"/>
    <w:rsid w:val="00822B33"/>
    <w:rsid w:val="00826A53"/>
    <w:rsid w:val="008316C6"/>
    <w:rsid w:val="008319BF"/>
    <w:rsid w:val="008415F0"/>
    <w:rsid w:val="008433C2"/>
    <w:rsid w:val="00844457"/>
    <w:rsid w:val="008454C8"/>
    <w:rsid w:val="00851D78"/>
    <w:rsid w:val="0087122A"/>
    <w:rsid w:val="008A016F"/>
    <w:rsid w:val="008A1A0D"/>
    <w:rsid w:val="008A72E1"/>
    <w:rsid w:val="008A76ED"/>
    <w:rsid w:val="008B18E2"/>
    <w:rsid w:val="008B2344"/>
    <w:rsid w:val="008B3C72"/>
    <w:rsid w:val="008C5FED"/>
    <w:rsid w:val="008D0E09"/>
    <w:rsid w:val="008D7DB7"/>
    <w:rsid w:val="008F52E8"/>
    <w:rsid w:val="008F6621"/>
    <w:rsid w:val="00903007"/>
    <w:rsid w:val="0090559D"/>
    <w:rsid w:val="00917DB3"/>
    <w:rsid w:val="00923816"/>
    <w:rsid w:val="0092727B"/>
    <w:rsid w:val="0093074B"/>
    <w:rsid w:val="00930E64"/>
    <w:rsid w:val="00933BCB"/>
    <w:rsid w:val="00933F8C"/>
    <w:rsid w:val="00943CF9"/>
    <w:rsid w:val="0095544E"/>
    <w:rsid w:val="00956F8C"/>
    <w:rsid w:val="009602E2"/>
    <w:rsid w:val="00961D57"/>
    <w:rsid w:val="00976716"/>
    <w:rsid w:val="0097693B"/>
    <w:rsid w:val="00983D13"/>
    <w:rsid w:val="00993355"/>
    <w:rsid w:val="009963F7"/>
    <w:rsid w:val="009A11CB"/>
    <w:rsid w:val="009A4A6D"/>
    <w:rsid w:val="009A5711"/>
    <w:rsid w:val="009B0E14"/>
    <w:rsid w:val="009B44DD"/>
    <w:rsid w:val="009B7E42"/>
    <w:rsid w:val="009C7235"/>
    <w:rsid w:val="009D2BB6"/>
    <w:rsid w:val="009D46CE"/>
    <w:rsid w:val="009D4ADA"/>
    <w:rsid w:val="009E13DD"/>
    <w:rsid w:val="009F547A"/>
    <w:rsid w:val="00A03D78"/>
    <w:rsid w:val="00A0503B"/>
    <w:rsid w:val="00A059CD"/>
    <w:rsid w:val="00A13265"/>
    <w:rsid w:val="00A14900"/>
    <w:rsid w:val="00A2159F"/>
    <w:rsid w:val="00A23C16"/>
    <w:rsid w:val="00A324FF"/>
    <w:rsid w:val="00A529BC"/>
    <w:rsid w:val="00A5346C"/>
    <w:rsid w:val="00A53F51"/>
    <w:rsid w:val="00A562F0"/>
    <w:rsid w:val="00A564FB"/>
    <w:rsid w:val="00A614C1"/>
    <w:rsid w:val="00A61EA6"/>
    <w:rsid w:val="00A657BF"/>
    <w:rsid w:val="00A71136"/>
    <w:rsid w:val="00A83F36"/>
    <w:rsid w:val="00A92578"/>
    <w:rsid w:val="00A94037"/>
    <w:rsid w:val="00A97FB1"/>
    <w:rsid w:val="00AA3FC8"/>
    <w:rsid w:val="00AA474C"/>
    <w:rsid w:val="00AA6536"/>
    <w:rsid w:val="00AB16DE"/>
    <w:rsid w:val="00AC35EF"/>
    <w:rsid w:val="00AC4D5B"/>
    <w:rsid w:val="00AD1DDB"/>
    <w:rsid w:val="00AD2697"/>
    <w:rsid w:val="00AD7E5F"/>
    <w:rsid w:val="00AE3066"/>
    <w:rsid w:val="00AF1D19"/>
    <w:rsid w:val="00AF68E4"/>
    <w:rsid w:val="00B00A87"/>
    <w:rsid w:val="00B01AA1"/>
    <w:rsid w:val="00B01F7F"/>
    <w:rsid w:val="00B06025"/>
    <w:rsid w:val="00B1173B"/>
    <w:rsid w:val="00B21EDC"/>
    <w:rsid w:val="00B24513"/>
    <w:rsid w:val="00B30C81"/>
    <w:rsid w:val="00B30DA1"/>
    <w:rsid w:val="00B44F9C"/>
    <w:rsid w:val="00B4793B"/>
    <w:rsid w:val="00B5574A"/>
    <w:rsid w:val="00B56099"/>
    <w:rsid w:val="00B573E4"/>
    <w:rsid w:val="00B63D9D"/>
    <w:rsid w:val="00B6469F"/>
    <w:rsid w:val="00B64A60"/>
    <w:rsid w:val="00B661AC"/>
    <w:rsid w:val="00B83C32"/>
    <w:rsid w:val="00B8468D"/>
    <w:rsid w:val="00B937D7"/>
    <w:rsid w:val="00B96B67"/>
    <w:rsid w:val="00BA49FA"/>
    <w:rsid w:val="00BB0EA4"/>
    <w:rsid w:val="00BC57EF"/>
    <w:rsid w:val="00BC58AB"/>
    <w:rsid w:val="00BC69DB"/>
    <w:rsid w:val="00BE6B6B"/>
    <w:rsid w:val="00BF1D1F"/>
    <w:rsid w:val="00BF25F9"/>
    <w:rsid w:val="00C00B04"/>
    <w:rsid w:val="00C053C5"/>
    <w:rsid w:val="00C13FD5"/>
    <w:rsid w:val="00C15633"/>
    <w:rsid w:val="00C15799"/>
    <w:rsid w:val="00C32E84"/>
    <w:rsid w:val="00C35415"/>
    <w:rsid w:val="00C357AD"/>
    <w:rsid w:val="00C516C7"/>
    <w:rsid w:val="00C51C5F"/>
    <w:rsid w:val="00C549D8"/>
    <w:rsid w:val="00C554CC"/>
    <w:rsid w:val="00C6069C"/>
    <w:rsid w:val="00C61E66"/>
    <w:rsid w:val="00C70477"/>
    <w:rsid w:val="00C7065E"/>
    <w:rsid w:val="00C72AD4"/>
    <w:rsid w:val="00C74745"/>
    <w:rsid w:val="00C842CB"/>
    <w:rsid w:val="00C85119"/>
    <w:rsid w:val="00C87190"/>
    <w:rsid w:val="00C95C48"/>
    <w:rsid w:val="00CA41E7"/>
    <w:rsid w:val="00CA7B05"/>
    <w:rsid w:val="00CB520D"/>
    <w:rsid w:val="00CB74C5"/>
    <w:rsid w:val="00CD170C"/>
    <w:rsid w:val="00CD320B"/>
    <w:rsid w:val="00CD397E"/>
    <w:rsid w:val="00CD3F37"/>
    <w:rsid w:val="00CD5431"/>
    <w:rsid w:val="00CE2D12"/>
    <w:rsid w:val="00CE4B93"/>
    <w:rsid w:val="00CE7B05"/>
    <w:rsid w:val="00CF2491"/>
    <w:rsid w:val="00CF3963"/>
    <w:rsid w:val="00CF4F0C"/>
    <w:rsid w:val="00D1252E"/>
    <w:rsid w:val="00D13D9D"/>
    <w:rsid w:val="00D14AFE"/>
    <w:rsid w:val="00D2557E"/>
    <w:rsid w:val="00D25E6E"/>
    <w:rsid w:val="00D35E8B"/>
    <w:rsid w:val="00D416A3"/>
    <w:rsid w:val="00D43DEC"/>
    <w:rsid w:val="00D459A2"/>
    <w:rsid w:val="00D530FF"/>
    <w:rsid w:val="00D53688"/>
    <w:rsid w:val="00D5407A"/>
    <w:rsid w:val="00D57772"/>
    <w:rsid w:val="00D72AE3"/>
    <w:rsid w:val="00D75A4D"/>
    <w:rsid w:val="00D8478B"/>
    <w:rsid w:val="00D86151"/>
    <w:rsid w:val="00D8748E"/>
    <w:rsid w:val="00D87D36"/>
    <w:rsid w:val="00D9172D"/>
    <w:rsid w:val="00D91D39"/>
    <w:rsid w:val="00D92F5F"/>
    <w:rsid w:val="00D97E84"/>
    <w:rsid w:val="00DA2263"/>
    <w:rsid w:val="00DA5641"/>
    <w:rsid w:val="00DA5CAA"/>
    <w:rsid w:val="00DA6B3D"/>
    <w:rsid w:val="00DA7595"/>
    <w:rsid w:val="00DA7944"/>
    <w:rsid w:val="00DB0A68"/>
    <w:rsid w:val="00DC0B5C"/>
    <w:rsid w:val="00DC15FB"/>
    <w:rsid w:val="00DC43A3"/>
    <w:rsid w:val="00DC4CF3"/>
    <w:rsid w:val="00DC5C01"/>
    <w:rsid w:val="00DD7C09"/>
    <w:rsid w:val="00DF0EB4"/>
    <w:rsid w:val="00DF111E"/>
    <w:rsid w:val="00DF3F60"/>
    <w:rsid w:val="00E0124F"/>
    <w:rsid w:val="00E1082F"/>
    <w:rsid w:val="00E11EC3"/>
    <w:rsid w:val="00E12837"/>
    <w:rsid w:val="00E25B99"/>
    <w:rsid w:val="00E4701D"/>
    <w:rsid w:val="00E5762A"/>
    <w:rsid w:val="00E6558E"/>
    <w:rsid w:val="00E674D3"/>
    <w:rsid w:val="00E70EF7"/>
    <w:rsid w:val="00E70FD0"/>
    <w:rsid w:val="00E72B2C"/>
    <w:rsid w:val="00E7309D"/>
    <w:rsid w:val="00E75917"/>
    <w:rsid w:val="00E77C4B"/>
    <w:rsid w:val="00E9301F"/>
    <w:rsid w:val="00E9690A"/>
    <w:rsid w:val="00E97DC7"/>
    <w:rsid w:val="00EA09C2"/>
    <w:rsid w:val="00EB21BE"/>
    <w:rsid w:val="00EC47EE"/>
    <w:rsid w:val="00EE02F7"/>
    <w:rsid w:val="00EF0DDB"/>
    <w:rsid w:val="00F000EF"/>
    <w:rsid w:val="00F00779"/>
    <w:rsid w:val="00F2504E"/>
    <w:rsid w:val="00F2585B"/>
    <w:rsid w:val="00F33A2A"/>
    <w:rsid w:val="00F4053F"/>
    <w:rsid w:val="00F501B1"/>
    <w:rsid w:val="00F516E7"/>
    <w:rsid w:val="00F57BF7"/>
    <w:rsid w:val="00F61F89"/>
    <w:rsid w:val="00F6263E"/>
    <w:rsid w:val="00F627C2"/>
    <w:rsid w:val="00F71146"/>
    <w:rsid w:val="00F736FD"/>
    <w:rsid w:val="00F83512"/>
    <w:rsid w:val="00F84067"/>
    <w:rsid w:val="00FA310A"/>
    <w:rsid w:val="00FA50B4"/>
    <w:rsid w:val="00FB0699"/>
    <w:rsid w:val="00FB6E83"/>
    <w:rsid w:val="00FC156A"/>
    <w:rsid w:val="00FC4527"/>
    <w:rsid w:val="00FD6235"/>
    <w:rsid w:val="00FE028D"/>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85880"/>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ECC Hyperlink,CEO_Hyperlink,超级链接"/>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82274C"/>
    <w:rPr>
      <w:rFonts w:eastAsia="BatangChe"/>
      <w:sz w:val="24"/>
      <w:szCs w:val="24"/>
    </w:rPr>
  </w:style>
  <w:style w:type="character" w:styleId="FollowedHyperlink">
    <w:name w:val="FollowedHyperlink"/>
    <w:basedOn w:val="DefaultParagraphFont"/>
    <w:semiHidden/>
    <w:unhideWhenUsed/>
    <w:rsid w:val="00630511"/>
    <w:rPr>
      <w:color w:val="800080" w:themeColor="followedHyperlink"/>
      <w:u w:val="single"/>
    </w:rPr>
  </w:style>
  <w:style w:type="character" w:customStyle="1" w:styleId="ECCParagraph">
    <w:name w:val="ECC Paragraph"/>
    <w:uiPriority w:val="1"/>
    <w:qFormat/>
    <w:rsid w:val="00D2557E"/>
    <w:rPr>
      <w:rFonts w:ascii="Times New Roman" w:hAnsi="Times New Roman" w:cs="Times New Roman"/>
      <w:sz w:val="22"/>
      <w:szCs w:val="22"/>
    </w:rPr>
  </w:style>
  <w:style w:type="character" w:customStyle="1" w:styleId="Heading8Char">
    <w:name w:val="Heading 8 Char"/>
    <w:basedOn w:val="DefaultParagraphFont"/>
    <w:link w:val="Heading8"/>
    <w:rsid w:val="002101BC"/>
    <w:rPr>
      <w:rFonts w:eastAsia="BatangChe"/>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68197">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dms_ties/itu-r/md/19/wp7c/c/R19-WP7C-C-0283!N05!MSW-E.docx" TargetMode="External"/><Relationship Id="rId18" Type="http://schemas.openxmlformats.org/officeDocument/2006/relationships/hyperlink" Target="https://www.apt.int/sites/default/files/2021/11/APG23-3-INP-30_J-3_WP3_PRELIMINARY_VIEWS_ON_WRC-23_AGENDA_ITEMS_1.12_1.13_1.14_9.1A_9.1D_AND_RES.655.docx" TargetMode="External"/><Relationship Id="rId26" Type="http://schemas.openxmlformats.org/officeDocument/2006/relationships/hyperlink" Target="https://www.apt.int/sites/default/files/2021/11/APG23-3-INP-26_WP3_Kor_1.12_1.13_1.14_9.1.a_9.1.d.docx" TargetMode="External"/><Relationship Id="rId39" Type="http://schemas.openxmlformats.org/officeDocument/2006/relationships/footer" Target="footer3.xml"/><Relationship Id="rId21" Type="http://schemas.openxmlformats.org/officeDocument/2006/relationships/hyperlink" Target="https://www.apt.int/sites/default/files/2021/11/APG23-3-INF-17_IARU_Views.docx"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pt.int/sites/default/files/2021/10/APG23-3-INP-17_Indonesia-Preliminary_Views_on_WRC-23_Agenda_Items_1.12_1.13_and_9.1_Topics_a.docx" TargetMode="External"/><Relationship Id="rId20" Type="http://schemas.openxmlformats.org/officeDocument/2006/relationships/hyperlink" Target="https://www.apt.int/sites/default/files/2021/10/APG23-3-INF-09_Briefing_on_AI1.12.docx" TargetMode="External"/><Relationship Id="rId29" Type="http://schemas.openxmlformats.org/officeDocument/2006/relationships/hyperlink" Target="https://www.apt.int/sites/default/files/2021/10/APG23-3-INF-09_Briefing_on_AI1.12.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P-RS/publications.aspx?lang=en&amp;parent=R-REP-RS.2455" TargetMode="External"/><Relationship Id="rId24" Type="http://schemas.openxmlformats.org/officeDocument/2006/relationships/hyperlink" Target="https://www.apt.int/sites/default/files/2021/10/APG23-3-INP-09_AUS_contribution_for_WP3_Preliminary_Views_on_WRC-23_Agenda_Items_1.12_1.13_1.14_9.1_Topics_a_and_d.docx" TargetMode="External"/><Relationship Id="rId32" Type="http://schemas.openxmlformats.org/officeDocument/2006/relationships/hyperlink" Target="https://www.apt.int/sites/default/files/2021/10/APG23-3-INF-09_Briefing_on_AI1.12.docx"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pt.int/sites/default/files/2021/10/APG23-3-INP-09_AUS_contribution_for_WP3_Preliminary_Views_on_WRC-23_Agenda_Items_1.12_1.13_1.14_9.1_Topics_a_and_d.docx" TargetMode="External"/><Relationship Id="rId23" Type="http://schemas.openxmlformats.org/officeDocument/2006/relationships/hyperlink" Target="https://www.apt.int/sites/default/files/2021/11/APG23-3-INF-39_Report_of_APM23-2.docx" TargetMode="External"/><Relationship Id="rId28" Type="http://schemas.openxmlformats.org/officeDocument/2006/relationships/hyperlink" Target="https://www.apt.int/sites/default/files/2021/11/APG23-3-INF-37_ASMG_Preparation_for_WRC-23.pdf" TargetMode="External"/><Relationship Id="rId36" Type="http://schemas.openxmlformats.org/officeDocument/2006/relationships/footer" Target="footer1.xml"/><Relationship Id="rId10" Type="http://schemas.openxmlformats.org/officeDocument/2006/relationships/hyperlink" Target="https://www.itu.int/rec/R-REC-RS.2042/en" TargetMode="External"/><Relationship Id="rId19" Type="http://schemas.openxmlformats.org/officeDocument/2006/relationships/hyperlink" Target="https://www.apt.int/sites/default/files/2021/10/APG23-3-INF-01_Preliminary_WMO_Position_on_WRC-23_Agenda.docx" TargetMode="External"/><Relationship Id="rId31" Type="http://schemas.openxmlformats.org/officeDocument/2006/relationships/hyperlink" Target="https://www.apt.int/sites/default/files/2021/11/APG23-3-INF-17_IARU_Views.docx" TargetMode="External"/><Relationship Id="rId4" Type="http://schemas.openxmlformats.org/officeDocument/2006/relationships/settings" Target="settings.xml"/><Relationship Id="rId9" Type="http://schemas.openxmlformats.org/officeDocument/2006/relationships/hyperlink" Target="https://www.itu.int/rec/R-REC-RS.2042/en" TargetMode="External"/><Relationship Id="rId14" Type="http://schemas.openxmlformats.org/officeDocument/2006/relationships/hyperlink" Target="https://www.itu.int/dms_ties/itu-r/md/19/wp7c/c/R19-WP7C-C-0283!N06!MSW-E.docx" TargetMode="External"/><Relationship Id="rId22" Type="http://schemas.openxmlformats.org/officeDocument/2006/relationships/hyperlink" Target="https://www.apt.int/sites/default/files/2021/11/APG23-3-INF-37_ASMG_Preparation_for_WRC-23.pdf" TargetMode="External"/><Relationship Id="rId27" Type="http://schemas.openxmlformats.org/officeDocument/2006/relationships/hyperlink" Target="https://www.apt.int/sites/default/files/2021/11/APG23-3-INP-30_J-3_WP3_PRELIMINARY_VIEWS_ON_WRC-23_AGENDA_ITEMS_1.12_1.13_1.14_9.1A_9.1D_AND_RES.655.docx" TargetMode="External"/><Relationship Id="rId30" Type="http://schemas.openxmlformats.org/officeDocument/2006/relationships/hyperlink" Target="https://www.apt.int/sites/default/files/2021/11/APG23-3-INF-39_Report_of_APM23-2.docx"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dms_ties/itu-r/md/19/wp7c/c/R19-WP7C-C-0283!N04!MSW-E.docx" TargetMode="External"/><Relationship Id="rId17" Type="http://schemas.openxmlformats.org/officeDocument/2006/relationships/hyperlink" Target="https://www.apt.int/sites/default/files/2021/11/APG23-3-INP-26_WP3_Kor_1.12_1.13_1.14_9.1.a_9.1.d.docx" TargetMode="External"/><Relationship Id="rId25" Type="http://schemas.openxmlformats.org/officeDocument/2006/relationships/hyperlink" Target="https://www.apt.int/sites/default/files/2021/10/APG23-3-INP-17_Indonesia-Preliminary_Views_on_WRC-23_Agenda_Items_1.12_1.13_and_9.1_Topics_a.docx" TargetMode="External"/><Relationship Id="rId33" Type="http://schemas.openxmlformats.org/officeDocument/2006/relationships/hyperlink" Target="https://www.apt.int/sites/default/files/2021/10/APG23-3-INF-01_Preliminary_WMO_Position_on_WRC-23_Agenda.docx" TargetMode="External"/><Relationship Id="rId3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Kevin.Knights@csiro.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720B-5F01-42DC-96A4-8D122DD3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4</Pages>
  <Words>1936</Words>
  <Characters>11041</Characters>
  <Application>Microsoft Office Word</Application>
  <DocSecurity>0</DocSecurity>
  <Lines>92</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163</cp:revision>
  <cp:lastPrinted>2015-02-02T07:28:00Z</cp:lastPrinted>
  <dcterms:created xsi:type="dcterms:W3CDTF">2021-04-18T05:14:00Z</dcterms:created>
  <dcterms:modified xsi:type="dcterms:W3CDTF">2021-11-15T02:46:00Z</dcterms:modified>
</cp:coreProperties>
</file>