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380593" w14:paraId="4EAD4EE6" w14:textId="77777777" w:rsidTr="003229E2">
        <w:trPr>
          <w:cantSplit/>
          <w:trHeight w:val="288"/>
        </w:trPr>
        <w:tc>
          <w:tcPr>
            <w:tcW w:w="1399" w:type="dxa"/>
            <w:vMerge w:val="restart"/>
            <w:tcBorders>
              <w:top w:val="nil"/>
              <w:left w:val="nil"/>
              <w:bottom w:val="single" w:sz="4" w:space="0" w:color="auto"/>
              <w:right w:val="nil"/>
            </w:tcBorders>
            <w:hideMark/>
          </w:tcPr>
          <w:p w14:paraId="26DFF71A" w14:textId="77777777" w:rsidR="00380593" w:rsidRDefault="00380593" w:rsidP="003229E2">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348BECB7" wp14:editId="7704F820">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79176F91" w14:textId="77777777" w:rsidR="00380593" w:rsidRDefault="00380593" w:rsidP="003229E2">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132006B0" w14:textId="77777777" w:rsidR="00380593" w:rsidRDefault="00380593" w:rsidP="003229E2">
            <w:pPr>
              <w:pStyle w:val="Heading8"/>
              <w:spacing w:before="40"/>
              <w:rPr>
                <w:sz w:val="24"/>
                <w:szCs w:val="24"/>
              </w:rPr>
            </w:pPr>
            <w:r>
              <w:rPr>
                <w:sz w:val="24"/>
                <w:szCs w:val="24"/>
              </w:rPr>
              <w:t>Document No:</w:t>
            </w:r>
          </w:p>
        </w:tc>
      </w:tr>
      <w:tr w:rsidR="00380593" w14:paraId="37BE675F" w14:textId="77777777" w:rsidTr="003229E2">
        <w:trPr>
          <w:cantSplit/>
          <w:trHeight w:val="504"/>
        </w:trPr>
        <w:tc>
          <w:tcPr>
            <w:tcW w:w="1399" w:type="dxa"/>
            <w:vMerge/>
            <w:tcBorders>
              <w:top w:val="nil"/>
              <w:left w:val="nil"/>
              <w:bottom w:val="single" w:sz="4" w:space="0" w:color="auto"/>
              <w:right w:val="nil"/>
            </w:tcBorders>
            <w:vAlign w:val="center"/>
            <w:hideMark/>
          </w:tcPr>
          <w:p w14:paraId="69B8B9E6" w14:textId="77777777" w:rsidR="00380593" w:rsidRDefault="00380593" w:rsidP="003229E2">
            <w:pPr>
              <w:rPr>
                <w:kern w:val="2"/>
                <w:lang w:eastAsia="ko-KR"/>
              </w:rPr>
            </w:pPr>
          </w:p>
        </w:tc>
        <w:tc>
          <w:tcPr>
            <w:tcW w:w="5760" w:type="dxa"/>
            <w:tcBorders>
              <w:top w:val="nil"/>
              <w:left w:val="nil"/>
              <w:bottom w:val="nil"/>
              <w:right w:val="nil"/>
            </w:tcBorders>
            <w:vAlign w:val="center"/>
            <w:hideMark/>
          </w:tcPr>
          <w:p w14:paraId="6EC09F6B" w14:textId="77777777" w:rsidR="00380593" w:rsidRDefault="00380593" w:rsidP="003229E2">
            <w:pPr>
              <w:spacing w:before="40"/>
            </w:pPr>
            <w:r>
              <w:rPr>
                <w:b/>
              </w:rPr>
              <w:t>The 3rd Meeting of the APT Conference Preparatory Group for WRC-23 (APG23-3)</w:t>
            </w:r>
          </w:p>
        </w:tc>
        <w:tc>
          <w:tcPr>
            <w:tcW w:w="2160" w:type="dxa"/>
            <w:tcBorders>
              <w:top w:val="nil"/>
              <w:left w:val="nil"/>
              <w:bottom w:val="nil"/>
              <w:right w:val="nil"/>
            </w:tcBorders>
          </w:tcPr>
          <w:p w14:paraId="6EB0B72A" w14:textId="20D76C28" w:rsidR="00380593" w:rsidRDefault="00380593" w:rsidP="003229E2">
            <w:pPr>
              <w:spacing w:before="40"/>
              <w:rPr>
                <w:rFonts w:cs="Angsana New"/>
                <w:b/>
                <w:bCs/>
                <w:szCs w:val="30"/>
                <w:lang w:bidi="th-TH"/>
              </w:rPr>
            </w:pPr>
            <w:r>
              <w:rPr>
                <w:b/>
                <w:bCs/>
                <w:lang w:val="fr-FR"/>
              </w:rPr>
              <w:t>APG23-3/OUT-22</w:t>
            </w:r>
          </w:p>
          <w:p w14:paraId="0C6FCAA9" w14:textId="77777777" w:rsidR="00380593" w:rsidRDefault="00380593" w:rsidP="003229E2">
            <w:pPr>
              <w:rPr>
                <w:b/>
                <w:bCs/>
                <w:lang w:val="en-GB"/>
              </w:rPr>
            </w:pPr>
          </w:p>
        </w:tc>
      </w:tr>
      <w:tr w:rsidR="00380593" w14:paraId="2DC8D261" w14:textId="77777777" w:rsidTr="003229E2">
        <w:trPr>
          <w:cantSplit/>
          <w:trHeight w:val="288"/>
        </w:trPr>
        <w:tc>
          <w:tcPr>
            <w:tcW w:w="1399" w:type="dxa"/>
            <w:vMerge/>
            <w:tcBorders>
              <w:top w:val="nil"/>
              <w:left w:val="nil"/>
              <w:bottom w:val="single" w:sz="4" w:space="0" w:color="auto"/>
              <w:right w:val="nil"/>
            </w:tcBorders>
            <w:vAlign w:val="center"/>
            <w:hideMark/>
          </w:tcPr>
          <w:p w14:paraId="1E908746" w14:textId="77777777" w:rsidR="00380593" w:rsidRDefault="00380593" w:rsidP="003229E2">
            <w:pPr>
              <w:rPr>
                <w:kern w:val="2"/>
                <w:lang w:eastAsia="ko-KR"/>
              </w:rPr>
            </w:pPr>
          </w:p>
        </w:tc>
        <w:tc>
          <w:tcPr>
            <w:tcW w:w="5760" w:type="dxa"/>
            <w:tcBorders>
              <w:top w:val="nil"/>
              <w:left w:val="nil"/>
              <w:bottom w:val="single" w:sz="4" w:space="0" w:color="auto"/>
              <w:right w:val="nil"/>
            </w:tcBorders>
            <w:vAlign w:val="bottom"/>
            <w:hideMark/>
          </w:tcPr>
          <w:p w14:paraId="29A24127" w14:textId="77777777" w:rsidR="00380593" w:rsidRDefault="00380593" w:rsidP="003229E2">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50AA3BE6" w14:textId="77777777" w:rsidR="00380593" w:rsidRDefault="00380593" w:rsidP="003229E2">
            <w:pPr>
              <w:spacing w:before="40"/>
              <w:rPr>
                <w:bCs/>
              </w:rPr>
            </w:pPr>
            <w:r>
              <w:rPr>
                <w:bCs/>
              </w:rPr>
              <w:t>13 November 2021</w:t>
            </w:r>
          </w:p>
        </w:tc>
      </w:tr>
    </w:tbl>
    <w:p w14:paraId="0C3B9554" w14:textId="77777777" w:rsidR="00380593" w:rsidRDefault="00380593" w:rsidP="00380593">
      <w:pPr>
        <w:rPr>
          <w:lang w:val="en-NZ"/>
        </w:rPr>
      </w:pPr>
    </w:p>
    <w:p w14:paraId="64DC72EF" w14:textId="77777777" w:rsidR="00380593" w:rsidRDefault="00380593" w:rsidP="00380593">
      <w:pPr>
        <w:jc w:val="center"/>
        <w:rPr>
          <w:lang w:val="en-NZ" w:eastAsia="ko-KR"/>
        </w:rPr>
      </w:pPr>
    </w:p>
    <w:p w14:paraId="7832163C" w14:textId="77777777" w:rsidR="00380593" w:rsidRPr="008F52E8" w:rsidRDefault="00380593" w:rsidP="00380593">
      <w:pPr>
        <w:jc w:val="center"/>
        <w:rPr>
          <w:rFonts w:cstheme="minorBidi"/>
          <w:szCs w:val="30"/>
          <w:cs/>
          <w:lang w:eastAsia="ko-KR" w:bidi="th-TH"/>
        </w:rPr>
      </w:pPr>
      <w:r>
        <w:rPr>
          <w:lang w:eastAsia="ko-KR"/>
        </w:rPr>
        <w:t>Working Party 3</w:t>
      </w:r>
    </w:p>
    <w:p w14:paraId="48D1EE17" w14:textId="77777777" w:rsidR="00B64A60" w:rsidRPr="002A0111" w:rsidRDefault="00B64A60" w:rsidP="00B64A60">
      <w:pPr>
        <w:jc w:val="center"/>
        <w:rPr>
          <w:bCs/>
          <w:caps/>
          <w:lang w:val="en-NZ"/>
        </w:rPr>
      </w:pPr>
    </w:p>
    <w:p w14:paraId="38A7B36F" w14:textId="165E186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1A1C96">
        <w:rPr>
          <w:b/>
          <w:bCs/>
          <w:caps/>
          <w:lang w:val="en-NZ"/>
        </w:rPr>
        <w:t>13</w:t>
      </w:r>
    </w:p>
    <w:p w14:paraId="149B8351" w14:textId="77777777" w:rsidR="00B64A60" w:rsidRPr="00441526" w:rsidRDefault="00B64A60" w:rsidP="00264566">
      <w:pPr>
        <w:spacing w:after="120"/>
        <w:rPr>
          <w:lang w:val="en-NZ"/>
        </w:rPr>
      </w:pPr>
    </w:p>
    <w:p w14:paraId="2D0973AC" w14:textId="0B3FD082" w:rsidR="002A0111" w:rsidRPr="00441526" w:rsidRDefault="002A0111" w:rsidP="002A0111">
      <w:pPr>
        <w:spacing w:after="120"/>
        <w:jc w:val="both"/>
        <w:rPr>
          <w:lang w:val="en-NZ"/>
        </w:rPr>
      </w:pPr>
      <w:r w:rsidRPr="00441526">
        <w:rPr>
          <w:b/>
          <w:lang w:val="en-NZ"/>
        </w:rPr>
        <w:t>Agenda Item 1.</w:t>
      </w:r>
      <w:r w:rsidR="001A1C96">
        <w:rPr>
          <w:b/>
          <w:lang w:val="en-NZ"/>
        </w:rPr>
        <w:t>13</w:t>
      </w:r>
      <w:r w:rsidRPr="00441526">
        <w:rPr>
          <w:b/>
          <w:lang w:val="en-NZ"/>
        </w:rPr>
        <w:t xml:space="preserve">: </w:t>
      </w:r>
    </w:p>
    <w:p w14:paraId="6718A8AC" w14:textId="77777777" w:rsidR="00742553" w:rsidRPr="00772529" w:rsidRDefault="00742553" w:rsidP="00742553">
      <w:pPr>
        <w:jc w:val="both"/>
        <w:rPr>
          <w:i/>
        </w:rPr>
      </w:pPr>
      <w:r w:rsidRPr="00772529">
        <w:rPr>
          <w:i/>
        </w:rPr>
        <w:t>to consider a possible upgrade of the allocation of the frequency band 14.8-15.35</w:t>
      </w:r>
      <w:r>
        <w:rPr>
          <w:i/>
        </w:rPr>
        <w:t> </w:t>
      </w:r>
      <w:r w:rsidRPr="00772529">
        <w:rPr>
          <w:i/>
        </w:rPr>
        <w:t>GHz to</w:t>
      </w:r>
    </w:p>
    <w:p w14:paraId="5EA75EA1" w14:textId="380BC911" w:rsidR="002A0111" w:rsidRPr="00441526" w:rsidRDefault="00742553" w:rsidP="00742553">
      <w:pPr>
        <w:spacing w:after="120"/>
        <w:jc w:val="both"/>
        <w:rPr>
          <w:i/>
          <w:lang w:val="en-NZ"/>
        </w:rPr>
      </w:pPr>
      <w:r w:rsidRPr="00772529">
        <w:rPr>
          <w:i/>
        </w:rPr>
        <w:t>the space research service, in accordance with Resolution</w:t>
      </w:r>
      <w:r>
        <w:rPr>
          <w:i/>
        </w:rPr>
        <w:t> </w:t>
      </w:r>
      <w:r w:rsidRPr="00772529">
        <w:rPr>
          <w:b/>
          <w:bCs/>
          <w:i/>
        </w:rPr>
        <w:t>661</w:t>
      </w:r>
      <w:r w:rsidRPr="00772529">
        <w:rPr>
          <w:i/>
        </w:rPr>
        <w:t xml:space="preserve"> </w:t>
      </w:r>
      <w:r w:rsidRPr="00772529">
        <w:rPr>
          <w:b/>
          <w:bCs/>
          <w:i/>
        </w:rPr>
        <w:t>(WRC</w:t>
      </w:r>
      <w:r>
        <w:rPr>
          <w:b/>
          <w:bCs/>
          <w:i/>
        </w:rPr>
        <w:noBreakHyphen/>
      </w:r>
      <w:r w:rsidRPr="00772529">
        <w:rPr>
          <w:b/>
          <w:bCs/>
          <w:i/>
        </w:rPr>
        <w:t>19</w:t>
      </w:r>
      <w:proofErr w:type="gramStart"/>
      <w:r w:rsidRPr="00772529">
        <w:rPr>
          <w:b/>
          <w:bCs/>
          <w:i/>
        </w:rPr>
        <w:t>)</w:t>
      </w:r>
      <w:r w:rsidRPr="00772529">
        <w:rPr>
          <w:i/>
        </w:rPr>
        <w:t>;</w:t>
      </w:r>
      <w:proofErr w:type="gramEnd"/>
    </w:p>
    <w:p w14:paraId="55E63BD3" w14:textId="77777777" w:rsidR="002A0111" w:rsidRPr="00441526" w:rsidRDefault="002A0111" w:rsidP="002A0111">
      <w:pPr>
        <w:jc w:val="both"/>
        <w:rPr>
          <w:lang w:val="en-NZ"/>
        </w:rPr>
      </w:pPr>
    </w:p>
    <w:p w14:paraId="7C91F8B9" w14:textId="0EECE455"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r>
      <w:r w:rsidR="007D64BB" w:rsidRPr="007D64BB">
        <w:rPr>
          <w:rFonts w:eastAsia="SimSun"/>
          <w:b/>
          <w:lang w:val="en-NZ" w:eastAsia="zh-CN"/>
        </w:rPr>
        <w:t>Background</w:t>
      </w:r>
    </w:p>
    <w:p w14:paraId="25C96C01" w14:textId="6B6D7B4E" w:rsidR="00353E3F" w:rsidRDefault="00C5561F" w:rsidP="00213EF3">
      <w:pPr>
        <w:spacing w:after="120"/>
        <w:jc w:val="both"/>
        <w:rPr>
          <w:iCs/>
          <w:lang w:val="en-NZ"/>
        </w:rPr>
      </w:pPr>
      <w:r w:rsidRPr="00C5561F">
        <w:rPr>
          <w:iCs/>
          <w:lang w:val="en-NZ"/>
        </w:rPr>
        <w:t>The frequency band 14.8-15.35 GHz is currently allocated to the SRS on a secondary basis</w:t>
      </w:r>
      <w:r w:rsidR="00353E3F">
        <w:rPr>
          <w:iCs/>
          <w:lang w:val="en-NZ"/>
        </w:rPr>
        <w:t xml:space="preserve">, which is used by some administrations for </w:t>
      </w:r>
      <w:r w:rsidR="00353E3F" w:rsidRPr="003C576F">
        <w:rPr>
          <w:iCs/>
          <w:lang w:val="en-NZ"/>
        </w:rPr>
        <w:t>data relay systems (DRS)</w:t>
      </w:r>
      <w:r w:rsidR="0008692D">
        <w:rPr>
          <w:iCs/>
          <w:lang w:val="en-NZ"/>
        </w:rPr>
        <w:t xml:space="preserve">. </w:t>
      </w:r>
      <w:r w:rsidR="00353E3F" w:rsidRPr="003C576F">
        <w:rPr>
          <w:iCs/>
          <w:lang w:val="en-NZ"/>
        </w:rPr>
        <w:t>Considering that there is an interest among space agencies and administrations to use this frequency band in scientific missions, WRC-19 adopted Resolution</w:t>
      </w:r>
      <w:r w:rsidR="00353E3F" w:rsidRPr="001E3CD3">
        <w:rPr>
          <w:b/>
          <w:bCs/>
          <w:iCs/>
          <w:lang w:val="en-NZ"/>
        </w:rPr>
        <w:t xml:space="preserve"> 661</w:t>
      </w:r>
      <w:r w:rsidR="001E3CD3" w:rsidRPr="001E3CD3">
        <w:rPr>
          <w:b/>
          <w:bCs/>
          <w:iCs/>
          <w:lang w:val="en-NZ"/>
        </w:rPr>
        <w:t xml:space="preserve"> (WRC-19)</w:t>
      </w:r>
      <w:r w:rsidR="00353E3F" w:rsidRPr="003C576F">
        <w:rPr>
          <w:iCs/>
          <w:lang w:val="en-NZ"/>
        </w:rPr>
        <w:t xml:space="preserve"> to develop compatibility and sharing studies on this frequency band during WRC-23</w:t>
      </w:r>
      <w:r w:rsidR="005C4124">
        <w:rPr>
          <w:iCs/>
          <w:lang w:val="en-NZ"/>
        </w:rPr>
        <w:t xml:space="preserve">, </w:t>
      </w:r>
      <w:r w:rsidR="005C4124" w:rsidRPr="00C5561F">
        <w:rPr>
          <w:iCs/>
          <w:lang w:val="en-NZ"/>
        </w:rPr>
        <w:t>with a view to ensuring protection of the primary services and the technical and regulatory conditions determined in the ITU</w:t>
      </w:r>
      <w:r w:rsidR="005C4124">
        <w:rPr>
          <w:iCs/>
          <w:lang w:val="en-NZ"/>
        </w:rPr>
        <w:t>-</w:t>
      </w:r>
      <w:r w:rsidR="005C4124" w:rsidRPr="00C5561F">
        <w:rPr>
          <w:iCs/>
          <w:lang w:val="en-NZ"/>
        </w:rPr>
        <w:t>R according to the results of the aforementioned studies.</w:t>
      </w:r>
    </w:p>
    <w:p w14:paraId="3403334E" w14:textId="4E5D3763" w:rsidR="00AE4B61" w:rsidRDefault="00543F5B" w:rsidP="00213EF3">
      <w:pPr>
        <w:spacing w:before="120" w:after="120"/>
        <w:jc w:val="both"/>
        <w:rPr>
          <w:lang w:val="en-NZ"/>
        </w:rPr>
      </w:pPr>
      <w:r>
        <w:rPr>
          <w:lang w:val="en-NZ"/>
        </w:rPr>
        <w:t>In accordance with the decision made by CPM23-1, as the responsible group, ITU-R Working Party </w:t>
      </w:r>
      <w:r w:rsidR="00B55C93">
        <w:rPr>
          <w:lang w:val="en-NZ"/>
        </w:rPr>
        <w:t>7B (WP 7B)</w:t>
      </w:r>
      <w:r>
        <w:rPr>
          <w:lang w:val="en-NZ"/>
        </w:rPr>
        <w:t xml:space="preserve"> is conducting the above studies. </w:t>
      </w:r>
      <w:r w:rsidR="00B55C93" w:rsidRPr="00D95227">
        <w:rPr>
          <w:lang w:val="en-NZ"/>
        </w:rPr>
        <w:t xml:space="preserve">At its meeting held in </w:t>
      </w:r>
      <w:r w:rsidR="001A4E77" w:rsidRPr="001A4E77">
        <w:rPr>
          <w:lang w:val="en-NZ"/>
        </w:rPr>
        <w:t>September</w:t>
      </w:r>
      <w:r w:rsidR="00B55C93" w:rsidRPr="00D95227">
        <w:rPr>
          <w:lang w:val="en-NZ"/>
        </w:rPr>
        <w:t xml:space="preserve"> 202</w:t>
      </w:r>
      <w:r w:rsidR="00AE4B61">
        <w:rPr>
          <w:lang w:val="en-NZ"/>
        </w:rPr>
        <w:t>1</w:t>
      </w:r>
      <w:r w:rsidR="00B55C93" w:rsidRPr="00D95227">
        <w:rPr>
          <w:lang w:val="en-NZ"/>
        </w:rPr>
        <w:t xml:space="preserve">, ITU-R WP 7B </w:t>
      </w:r>
      <w:r w:rsidR="00AE4B61">
        <w:rPr>
          <w:lang w:val="en-NZ"/>
        </w:rPr>
        <w:t xml:space="preserve">made further progress on </w:t>
      </w:r>
      <w:r w:rsidR="00B55C93" w:rsidRPr="00D95227">
        <w:rPr>
          <w:lang w:val="en-NZ"/>
        </w:rPr>
        <w:t xml:space="preserve">Recommendation </w:t>
      </w:r>
      <w:r w:rsidR="00AE4B61">
        <w:rPr>
          <w:lang w:val="en-NZ"/>
        </w:rPr>
        <w:t xml:space="preserve">and </w:t>
      </w:r>
      <w:r w:rsidR="00B55C93" w:rsidRPr="00D95227">
        <w:rPr>
          <w:lang w:val="en-NZ"/>
        </w:rPr>
        <w:t xml:space="preserve">Report </w:t>
      </w:r>
      <w:r w:rsidR="00AE4B61">
        <w:rPr>
          <w:lang w:val="en-NZ"/>
        </w:rPr>
        <w:t xml:space="preserve">for </w:t>
      </w:r>
      <w:r w:rsidR="00B9389C">
        <w:rPr>
          <w:lang w:val="en-NZ"/>
        </w:rPr>
        <w:t xml:space="preserve">the activities associated with the study, SRS </w:t>
      </w:r>
      <w:r w:rsidR="00B9389C">
        <w:t xml:space="preserve">technical characteristics and </w:t>
      </w:r>
      <w:r w:rsidR="00534D46">
        <w:t>sharing</w:t>
      </w:r>
      <w:r w:rsidR="00534D46" w:rsidRPr="000A5B07">
        <w:t xml:space="preserve"> analysis</w:t>
      </w:r>
      <w:r w:rsidR="00534D46">
        <w:t xml:space="preserve"> </w:t>
      </w:r>
      <w:r w:rsidR="00534D46" w:rsidRPr="00534D46">
        <w:t>conducted under this agenda item</w:t>
      </w:r>
      <w:r w:rsidR="00534D46">
        <w:t>, respectively.</w:t>
      </w:r>
    </w:p>
    <w:p w14:paraId="6C0F51CE" w14:textId="77777777" w:rsidR="00701130" w:rsidRDefault="00701130" w:rsidP="00701130">
      <w:pPr>
        <w:widowControl w:val="0"/>
        <w:autoSpaceDE w:val="0"/>
        <w:autoSpaceDN w:val="0"/>
        <w:spacing w:after="120"/>
        <w:rPr>
          <w:rFonts w:eastAsia="SimSun"/>
          <w:lang w:eastAsia="zh-CN"/>
        </w:rPr>
      </w:pPr>
      <w:r>
        <w:rPr>
          <w:rFonts w:eastAsia="SimSun"/>
          <w:lang w:eastAsia="zh-CN"/>
        </w:rPr>
        <w:t>Relevant ITU-R documents:</w:t>
      </w:r>
    </w:p>
    <w:p w14:paraId="22C24320" w14:textId="77777777" w:rsidR="00701130" w:rsidRDefault="00017173" w:rsidP="00701130">
      <w:pPr>
        <w:pStyle w:val="ListParagraph"/>
        <w:widowControl w:val="0"/>
        <w:numPr>
          <w:ilvl w:val="0"/>
          <w:numId w:val="23"/>
        </w:numPr>
        <w:autoSpaceDE w:val="0"/>
        <w:autoSpaceDN w:val="0"/>
        <w:spacing w:after="120"/>
        <w:rPr>
          <w:rFonts w:eastAsia="SimSun"/>
          <w:lang w:eastAsia="zh-CN"/>
        </w:rPr>
      </w:pPr>
      <w:hyperlink r:id="rId9" w:history="1">
        <w:r w:rsidR="00701130" w:rsidRPr="00DB2B3E">
          <w:rPr>
            <w:rStyle w:val="Hyperlink"/>
            <w:rFonts w:eastAsia="SimSun"/>
            <w:lang w:eastAsia="zh-CN"/>
          </w:rPr>
          <w:t xml:space="preserve">Resolution </w:t>
        </w:r>
        <w:r w:rsidR="00701130" w:rsidRPr="00DB2B3E">
          <w:rPr>
            <w:rStyle w:val="Hyperlink"/>
            <w:rFonts w:eastAsia="SimSun"/>
            <w:b/>
            <w:bCs/>
            <w:lang w:eastAsia="zh-CN"/>
          </w:rPr>
          <w:t>661</w:t>
        </w:r>
        <w:r w:rsidR="00701130" w:rsidRPr="00DB2B3E">
          <w:rPr>
            <w:rStyle w:val="Hyperlink"/>
            <w:rFonts w:eastAsia="SimSun"/>
            <w:lang w:eastAsia="zh-CN"/>
          </w:rPr>
          <w:t xml:space="preserve"> (WRC-19)</w:t>
        </w:r>
      </w:hyperlink>
      <w:r w:rsidR="00701130" w:rsidRPr="00DB2B3E">
        <w:rPr>
          <w:rFonts w:eastAsia="SimSun"/>
          <w:lang w:eastAsia="zh-CN"/>
        </w:rPr>
        <w:t xml:space="preserve"> “Examination of a possible upgrade to primary status of the secondary allocation to the space research service in the frequency band 14.8-15.35 GHz”</w:t>
      </w:r>
    </w:p>
    <w:p w14:paraId="1195DCB3" w14:textId="77777777" w:rsidR="00701130" w:rsidRDefault="00017173" w:rsidP="00701130">
      <w:pPr>
        <w:pStyle w:val="ListParagraph"/>
        <w:widowControl w:val="0"/>
        <w:numPr>
          <w:ilvl w:val="0"/>
          <w:numId w:val="23"/>
        </w:numPr>
        <w:autoSpaceDE w:val="0"/>
        <w:autoSpaceDN w:val="0"/>
        <w:spacing w:after="120"/>
        <w:rPr>
          <w:rFonts w:eastAsia="SimSun"/>
          <w:lang w:eastAsia="zh-CN"/>
        </w:rPr>
      </w:pPr>
      <w:hyperlink r:id="rId10" w:history="1">
        <w:r w:rsidR="00701130" w:rsidRPr="00DB2B3E">
          <w:rPr>
            <w:rStyle w:val="Hyperlink"/>
            <w:rFonts w:eastAsia="SimSun"/>
            <w:lang w:eastAsia="zh-CN"/>
          </w:rPr>
          <w:t>ITU-R Rec. SA.510-3</w:t>
        </w:r>
      </w:hyperlink>
      <w:r w:rsidR="00701130" w:rsidRPr="00DB2B3E">
        <w:rPr>
          <w:rFonts w:eastAsia="SimSun"/>
          <w:lang w:eastAsia="zh-CN"/>
        </w:rPr>
        <w:t xml:space="preserve"> “Feasibility of frequency sharing between the space research service and other services in bands near 14 and 15 GHz - Potential interference from data relay satellite systems”</w:t>
      </w:r>
    </w:p>
    <w:p w14:paraId="7C69620A" w14:textId="77777777" w:rsidR="00701130" w:rsidRDefault="00017173" w:rsidP="00701130">
      <w:pPr>
        <w:pStyle w:val="ListParagraph"/>
        <w:widowControl w:val="0"/>
        <w:numPr>
          <w:ilvl w:val="0"/>
          <w:numId w:val="23"/>
        </w:numPr>
        <w:autoSpaceDE w:val="0"/>
        <w:autoSpaceDN w:val="0"/>
        <w:spacing w:after="120"/>
        <w:rPr>
          <w:rFonts w:eastAsia="SimSun"/>
          <w:lang w:eastAsia="zh-CN"/>
        </w:rPr>
      </w:pPr>
      <w:hyperlink r:id="rId11" w:history="1">
        <w:r w:rsidR="00701130" w:rsidRPr="003D68FC">
          <w:rPr>
            <w:rStyle w:val="Hyperlink"/>
            <w:rFonts w:eastAsia="SimSun"/>
            <w:lang w:eastAsia="zh-CN"/>
          </w:rPr>
          <w:t>ITU-R Rec. SA.1414-2</w:t>
        </w:r>
      </w:hyperlink>
      <w:r w:rsidR="00701130">
        <w:rPr>
          <w:rFonts w:eastAsia="SimSun"/>
          <w:lang w:eastAsia="zh-CN"/>
        </w:rPr>
        <w:t xml:space="preserve"> “</w:t>
      </w:r>
      <w:r w:rsidR="00701130" w:rsidRPr="003D68FC">
        <w:rPr>
          <w:rFonts w:eastAsia="SimSun"/>
          <w:lang w:eastAsia="zh-CN"/>
        </w:rPr>
        <w:t>Characteristics of data relay satellite systems</w:t>
      </w:r>
      <w:r w:rsidR="00701130">
        <w:rPr>
          <w:rFonts w:eastAsia="SimSun"/>
          <w:lang w:eastAsia="zh-CN"/>
        </w:rPr>
        <w:t>”</w:t>
      </w:r>
    </w:p>
    <w:p w14:paraId="577B7ED4" w14:textId="1F939936" w:rsidR="00AE4B61" w:rsidRPr="00701130" w:rsidRDefault="00017173" w:rsidP="00701130">
      <w:pPr>
        <w:pStyle w:val="ListParagraph"/>
        <w:widowControl w:val="0"/>
        <w:numPr>
          <w:ilvl w:val="0"/>
          <w:numId w:val="23"/>
        </w:numPr>
        <w:autoSpaceDE w:val="0"/>
        <w:autoSpaceDN w:val="0"/>
        <w:spacing w:after="120"/>
        <w:rPr>
          <w:rFonts w:eastAsia="SimSun"/>
          <w:lang w:eastAsia="zh-CN"/>
        </w:rPr>
      </w:pPr>
      <w:hyperlink r:id="rId12" w:history="1">
        <w:r w:rsidR="00701130" w:rsidRPr="00701130">
          <w:rPr>
            <w:rStyle w:val="Hyperlink"/>
            <w:rFonts w:eastAsia="SimSun"/>
            <w:lang w:eastAsia="zh-CN"/>
          </w:rPr>
          <w:t>ITU-R Rec. SA.1626-1</w:t>
        </w:r>
      </w:hyperlink>
      <w:r w:rsidR="00701130" w:rsidRPr="00701130">
        <w:rPr>
          <w:rFonts w:eastAsia="SimSun"/>
          <w:lang w:eastAsia="zh-CN"/>
        </w:rPr>
        <w:t xml:space="preserve"> “Feasibility of sharing between the space research service (space-to-Earth) and the fixed and mobile services in the band 14.8-15.35 GHz”</w:t>
      </w:r>
    </w:p>
    <w:p w14:paraId="6F9BA06F" w14:textId="3092116C" w:rsidR="00913236" w:rsidRDefault="00017173" w:rsidP="00913236">
      <w:pPr>
        <w:pStyle w:val="ListParagraph"/>
        <w:widowControl w:val="0"/>
        <w:numPr>
          <w:ilvl w:val="0"/>
          <w:numId w:val="23"/>
        </w:numPr>
        <w:autoSpaceDE w:val="0"/>
        <w:autoSpaceDN w:val="0"/>
        <w:spacing w:after="120"/>
        <w:rPr>
          <w:rFonts w:eastAsia="SimSun"/>
          <w:lang w:eastAsia="zh-CN"/>
        </w:rPr>
      </w:pPr>
      <w:hyperlink r:id="rId13" w:history="1">
        <w:r w:rsidR="00633D07">
          <w:rPr>
            <w:rStyle w:val="Hyperlink"/>
            <w:rFonts w:eastAsia="SimSun"/>
            <w:lang w:eastAsia="zh-CN"/>
          </w:rPr>
          <w:t>Chairman's Report 7B/158 (Annex 1)</w:t>
        </w:r>
      </w:hyperlink>
      <w:r w:rsidR="00633D07">
        <w:rPr>
          <w:rFonts w:eastAsia="SimSun"/>
          <w:lang w:eastAsia="zh-CN"/>
        </w:rPr>
        <w:t xml:space="preserve"> “</w:t>
      </w:r>
      <w:r w:rsidR="00633D07" w:rsidRPr="00AA087E">
        <w:rPr>
          <w:rFonts w:eastAsia="SimSun"/>
          <w:lang w:eastAsia="zh-CN"/>
        </w:rPr>
        <w:t>Draft CPM text framework for WRC-23 agenda item 1.13</w:t>
      </w:r>
      <w:r w:rsidR="00633D07">
        <w:rPr>
          <w:rFonts w:eastAsia="SimSun"/>
          <w:lang w:eastAsia="zh-CN"/>
        </w:rPr>
        <w:t>”</w:t>
      </w:r>
    </w:p>
    <w:p w14:paraId="574B0DEA" w14:textId="05265B44" w:rsidR="00913236" w:rsidRDefault="00017173" w:rsidP="00913236">
      <w:pPr>
        <w:pStyle w:val="ListParagraph"/>
        <w:widowControl w:val="0"/>
        <w:numPr>
          <w:ilvl w:val="0"/>
          <w:numId w:val="23"/>
        </w:numPr>
        <w:autoSpaceDE w:val="0"/>
        <w:autoSpaceDN w:val="0"/>
        <w:spacing w:after="120"/>
        <w:rPr>
          <w:rFonts w:eastAsia="SimSun"/>
          <w:lang w:eastAsia="zh-CN"/>
        </w:rPr>
      </w:pPr>
      <w:hyperlink r:id="rId14" w:history="1">
        <w:r w:rsidR="00633D07">
          <w:rPr>
            <w:rStyle w:val="Hyperlink"/>
            <w:rFonts w:eastAsia="SimSun"/>
            <w:lang w:eastAsia="zh-CN"/>
          </w:rPr>
          <w:t>Chairman's Report 7B/158 (Annex 2)</w:t>
        </w:r>
      </w:hyperlink>
      <w:r w:rsidR="00633D07">
        <w:rPr>
          <w:rFonts w:eastAsia="SimSun"/>
          <w:lang w:eastAsia="zh-CN"/>
        </w:rPr>
        <w:t xml:space="preserve"> “</w:t>
      </w:r>
      <w:r w:rsidR="00633D07" w:rsidRPr="00DD4419">
        <w:rPr>
          <w:rFonts w:eastAsia="SimSun"/>
          <w:lang w:eastAsia="zh-CN"/>
        </w:rPr>
        <w:t>Working document towards a preliminary draft new Report ITU-R SA.[15 GHZ SRS SHARING]</w:t>
      </w:r>
      <w:r w:rsidR="00633D07">
        <w:rPr>
          <w:rFonts w:eastAsia="SimSun"/>
          <w:lang w:eastAsia="zh-CN"/>
        </w:rPr>
        <w:t>”</w:t>
      </w:r>
    </w:p>
    <w:p w14:paraId="7AA756A3" w14:textId="2E7DC2AA" w:rsidR="00AE4B61" w:rsidRDefault="00017173" w:rsidP="00913236">
      <w:pPr>
        <w:pStyle w:val="ListParagraph"/>
        <w:widowControl w:val="0"/>
        <w:numPr>
          <w:ilvl w:val="0"/>
          <w:numId w:val="23"/>
        </w:numPr>
        <w:autoSpaceDE w:val="0"/>
        <w:autoSpaceDN w:val="0"/>
        <w:spacing w:after="120"/>
        <w:rPr>
          <w:rFonts w:eastAsia="SimSun"/>
          <w:lang w:eastAsia="zh-CN"/>
        </w:rPr>
      </w:pPr>
      <w:hyperlink r:id="rId15" w:history="1">
        <w:r w:rsidR="00633D07">
          <w:rPr>
            <w:rStyle w:val="Hyperlink"/>
            <w:rFonts w:eastAsia="SimSun"/>
            <w:lang w:eastAsia="zh-CN"/>
          </w:rPr>
          <w:t>Chairman's Report 7B/158 (Annex 3)</w:t>
        </w:r>
      </w:hyperlink>
      <w:r w:rsidR="00633D07">
        <w:rPr>
          <w:rFonts w:eastAsia="SimSun"/>
          <w:lang w:eastAsia="zh-CN"/>
        </w:rPr>
        <w:t xml:space="preserve"> “Proposed Working Party 7B w</w:t>
      </w:r>
      <w:r w:rsidR="00633D07" w:rsidRPr="00D726A1">
        <w:rPr>
          <w:rFonts w:eastAsia="SimSun"/>
          <w:lang w:eastAsia="zh-CN"/>
        </w:rPr>
        <w:t xml:space="preserve">orkplan for </w:t>
      </w:r>
      <w:r w:rsidR="00633D07">
        <w:rPr>
          <w:rFonts w:eastAsia="SimSun"/>
          <w:lang w:eastAsia="zh-CN"/>
        </w:rPr>
        <w:t>Agenda Item</w:t>
      </w:r>
      <w:r w:rsidR="00633D07" w:rsidRPr="00D726A1">
        <w:rPr>
          <w:rFonts w:eastAsia="SimSun"/>
          <w:lang w:eastAsia="zh-CN"/>
        </w:rPr>
        <w:t xml:space="preserve"> 1.13</w:t>
      </w:r>
      <w:r w:rsidR="00633D07">
        <w:rPr>
          <w:rFonts w:eastAsia="SimSun"/>
          <w:lang w:eastAsia="zh-CN"/>
        </w:rPr>
        <w:t>”</w:t>
      </w:r>
    </w:p>
    <w:p w14:paraId="69152D6B" w14:textId="43E9A521" w:rsidR="00633D07" w:rsidRPr="00913236" w:rsidRDefault="00017173" w:rsidP="00913236">
      <w:pPr>
        <w:pStyle w:val="ListParagraph"/>
        <w:widowControl w:val="0"/>
        <w:numPr>
          <w:ilvl w:val="0"/>
          <w:numId w:val="23"/>
        </w:numPr>
        <w:autoSpaceDE w:val="0"/>
        <w:autoSpaceDN w:val="0"/>
        <w:spacing w:after="120"/>
        <w:rPr>
          <w:rFonts w:eastAsia="SimSun"/>
          <w:lang w:eastAsia="zh-CN"/>
        </w:rPr>
      </w:pPr>
      <w:hyperlink r:id="rId16" w:history="1">
        <w:r w:rsidR="00633D07">
          <w:rPr>
            <w:rStyle w:val="Hyperlink"/>
            <w:rFonts w:eastAsia="SimSun"/>
            <w:lang w:eastAsia="zh-CN"/>
          </w:rPr>
          <w:t>7/30</w:t>
        </w:r>
      </w:hyperlink>
      <w:r w:rsidR="00633D07">
        <w:rPr>
          <w:rFonts w:eastAsia="SimSun"/>
          <w:lang w:eastAsia="zh-CN"/>
        </w:rPr>
        <w:t xml:space="preserve"> “</w:t>
      </w:r>
      <w:r w:rsidR="00633D07">
        <w:rPr>
          <w:rFonts w:eastAsia="SimSun" w:hint="eastAsia"/>
          <w:lang w:eastAsia="zh-CN"/>
        </w:rPr>
        <w:t>D</w:t>
      </w:r>
      <w:r w:rsidR="00633D07">
        <w:rPr>
          <w:rFonts w:eastAsia="SimSun"/>
          <w:lang w:eastAsia="zh-CN"/>
        </w:rPr>
        <w:t>raft new</w:t>
      </w:r>
      <w:r w:rsidR="00633D07" w:rsidRPr="00706E3C">
        <w:rPr>
          <w:rFonts w:eastAsia="SimSun"/>
          <w:lang w:eastAsia="zh-CN"/>
        </w:rPr>
        <w:t xml:space="preserve"> R</w:t>
      </w:r>
      <w:r w:rsidR="00633D07">
        <w:rPr>
          <w:rFonts w:eastAsia="SimSun"/>
          <w:lang w:eastAsia="zh-CN"/>
        </w:rPr>
        <w:t>ecommendation</w:t>
      </w:r>
      <w:r w:rsidR="00633D07" w:rsidRPr="00706E3C">
        <w:rPr>
          <w:rFonts w:eastAsia="SimSun"/>
          <w:lang w:eastAsia="zh-CN"/>
        </w:rPr>
        <w:t xml:space="preserve"> ITU-R SA.[</w:t>
      </w:r>
      <w:r w:rsidR="00633D07">
        <w:t>15 GHZ SRS CHARACTERISTICS</w:t>
      </w:r>
      <w:r w:rsidR="00633D07" w:rsidRPr="00706E3C">
        <w:rPr>
          <w:rFonts w:eastAsia="SimSun"/>
          <w:lang w:eastAsia="zh-CN"/>
        </w:rPr>
        <w:t>]</w:t>
      </w:r>
      <w:r w:rsidR="00633D07">
        <w:rPr>
          <w:rFonts w:eastAsia="SimSun"/>
          <w:lang w:eastAsia="zh-CN"/>
        </w:rPr>
        <w:t>”</w:t>
      </w:r>
    </w:p>
    <w:p w14:paraId="496B4203" w14:textId="5ECA4CBA" w:rsidR="006111C9" w:rsidRDefault="006111C9" w:rsidP="009D7F9B">
      <w:pPr>
        <w:spacing w:after="120"/>
        <w:jc w:val="both"/>
        <w:rPr>
          <w:lang w:val="en-NZ"/>
        </w:rPr>
      </w:pPr>
    </w:p>
    <w:p w14:paraId="11EE5CD5" w14:textId="006C0204" w:rsidR="009D7F9B" w:rsidRDefault="009D7F9B" w:rsidP="009D7F9B">
      <w:pPr>
        <w:spacing w:after="120"/>
        <w:jc w:val="both"/>
        <w:rPr>
          <w:lang w:val="en-NZ"/>
        </w:rPr>
      </w:pPr>
    </w:p>
    <w:p w14:paraId="03200A1F"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9363EC5" w14:textId="416124CE" w:rsidR="009D7F9B" w:rsidRPr="00441526" w:rsidRDefault="009D7F9B" w:rsidP="008167DF">
      <w:pPr>
        <w:numPr>
          <w:ilvl w:val="0"/>
          <w:numId w:val="18"/>
        </w:numPr>
        <w:spacing w:after="120"/>
        <w:ind w:leftChars="145" w:left="705" w:hanging="357"/>
        <w:jc w:val="both"/>
        <w:rPr>
          <w:lang w:val="en-NZ"/>
        </w:rPr>
      </w:pPr>
      <w:r w:rsidRPr="00441526">
        <w:rPr>
          <w:lang w:val="en-NZ"/>
        </w:rPr>
        <w:t xml:space="preserve">Input Documents </w:t>
      </w:r>
      <w:r w:rsidR="008100D4" w:rsidRPr="006A27B0">
        <w:rPr>
          <w:lang w:val="en-NZ"/>
        </w:rPr>
        <w:t>APG23-</w:t>
      </w:r>
      <w:r w:rsidR="008100D4">
        <w:rPr>
          <w:lang w:val="en-NZ"/>
        </w:rPr>
        <w:t>3</w:t>
      </w:r>
      <w:r w:rsidR="008100D4" w:rsidRPr="006A27B0">
        <w:rPr>
          <w:lang w:val="en-NZ"/>
        </w:rPr>
        <w:t>/</w:t>
      </w:r>
      <w:hyperlink r:id="rId17" w:history="1">
        <w:r w:rsidR="00181E6F" w:rsidRPr="00964762">
          <w:rPr>
            <w:rStyle w:val="Hyperlink"/>
            <w:rFonts w:eastAsia="MS Mincho"/>
            <w:lang w:eastAsia="ja-JP"/>
          </w:rPr>
          <w:t>INP-09</w:t>
        </w:r>
      </w:hyperlink>
      <w:r w:rsidR="00181E6F" w:rsidRPr="006A27B0">
        <w:rPr>
          <w:lang w:val="en-NZ"/>
        </w:rPr>
        <w:t xml:space="preserve"> (</w:t>
      </w:r>
      <w:r w:rsidR="00181E6F">
        <w:rPr>
          <w:lang w:val="en-NZ"/>
        </w:rPr>
        <w:t>AUS</w:t>
      </w:r>
      <w:r w:rsidR="00181E6F" w:rsidRPr="006A27B0">
        <w:rPr>
          <w:lang w:val="en-NZ"/>
        </w:rPr>
        <w:t xml:space="preserve">), </w:t>
      </w:r>
      <w:hyperlink r:id="rId18" w:history="1">
        <w:r w:rsidR="00181E6F" w:rsidRPr="00964762">
          <w:rPr>
            <w:rStyle w:val="Hyperlink"/>
            <w:rFonts w:eastAsia="MS Mincho"/>
            <w:lang w:eastAsia="ja-JP"/>
          </w:rPr>
          <w:t>INP-17</w:t>
        </w:r>
      </w:hyperlink>
      <w:r w:rsidR="00181E6F" w:rsidRPr="006A27B0">
        <w:rPr>
          <w:rFonts w:eastAsia="MS Mincho"/>
          <w:lang w:eastAsia="ja-JP"/>
        </w:rPr>
        <w:t xml:space="preserve"> (</w:t>
      </w:r>
      <w:r w:rsidR="00181E6F">
        <w:rPr>
          <w:rFonts w:eastAsia="MS Mincho"/>
          <w:lang w:eastAsia="ja-JP"/>
        </w:rPr>
        <w:t>INS</w:t>
      </w:r>
      <w:r w:rsidR="00181E6F" w:rsidRPr="006A27B0">
        <w:rPr>
          <w:rFonts w:eastAsia="MS Mincho"/>
          <w:lang w:eastAsia="ja-JP"/>
        </w:rPr>
        <w:t xml:space="preserve">), </w:t>
      </w:r>
      <w:hyperlink r:id="rId19" w:history="1">
        <w:r w:rsidR="00181E6F" w:rsidRPr="00964762">
          <w:rPr>
            <w:rStyle w:val="Hyperlink"/>
            <w:rFonts w:eastAsia="MS Mincho"/>
            <w:lang w:eastAsia="ja-JP"/>
          </w:rPr>
          <w:t>INP-26</w:t>
        </w:r>
      </w:hyperlink>
      <w:r w:rsidR="00181E6F" w:rsidRPr="006A27B0">
        <w:rPr>
          <w:rFonts w:eastAsia="MS Mincho"/>
          <w:lang w:eastAsia="ja-JP"/>
        </w:rPr>
        <w:t xml:space="preserve"> (KOR), </w:t>
      </w:r>
      <w:hyperlink r:id="rId20" w:history="1">
        <w:r w:rsidR="00181E6F" w:rsidRPr="00CD6573">
          <w:rPr>
            <w:rStyle w:val="Hyperlink"/>
            <w:rFonts w:eastAsia="MS Mincho"/>
            <w:lang w:eastAsia="ja-JP"/>
          </w:rPr>
          <w:t>INP-30</w:t>
        </w:r>
      </w:hyperlink>
      <w:r w:rsidR="00181E6F" w:rsidRPr="006A27B0">
        <w:rPr>
          <w:rFonts w:eastAsia="MS Mincho"/>
          <w:lang w:eastAsia="ja-JP"/>
        </w:rPr>
        <w:t xml:space="preserve"> (</w:t>
      </w:r>
      <w:r w:rsidR="00181E6F">
        <w:rPr>
          <w:rFonts w:eastAsia="MS Mincho"/>
          <w:lang w:eastAsia="ja-JP"/>
        </w:rPr>
        <w:t>J</w:t>
      </w:r>
      <w:r w:rsidR="00181E6F" w:rsidRPr="006A27B0">
        <w:rPr>
          <w:rFonts w:eastAsia="MS Mincho"/>
          <w:lang w:eastAsia="ja-JP"/>
        </w:rPr>
        <w:t>)</w:t>
      </w:r>
      <w:r w:rsidR="00181E6F">
        <w:rPr>
          <w:rFonts w:eastAsia="MS Mincho"/>
          <w:lang w:eastAsia="ja-JP"/>
        </w:rPr>
        <w:t xml:space="preserve">, </w:t>
      </w:r>
      <w:hyperlink r:id="rId21" w:history="1">
        <w:r w:rsidR="00181E6F" w:rsidRPr="00CD6573">
          <w:rPr>
            <w:rStyle w:val="Hyperlink"/>
          </w:rPr>
          <w:t>INP-43</w:t>
        </w:r>
      </w:hyperlink>
      <w:r w:rsidR="00181E6F" w:rsidRPr="006A27B0">
        <w:rPr>
          <w:rFonts w:eastAsia="MS Mincho"/>
          <w:lang w:eastAsia="ja-JP"/>
        </w:rPr>
        <w:t xml:space="preserve"> (CHN)</w:t>
      </w:r>
      <w:r w:rsidR="00181E6F">
        <w:rPr>
          <w:rFonts w:eastAsia="MS Mincho"/>
          <w:lang w:eastAsia="ja-JP"/>
        </w:rPr>
        <w:t>,</w:t>
      </w:r>
      <w:r w:rsidR="009949FD">
        <w:rPr>
          <w:rFonts w:eastAsia="MS Mincho"/>
          <w:lang w:eastAsia="ja-JP"/>
        </w:rPr>
        <w:t xml:space="preserve"> </w:t>
      </w:r>
      <w:hyperlink r:id="rId22" w:history="1">
        <w:r w:rsidR="009949FD" w:rsidRPr="00CD6573">
          <w:rPr>
            <w:rStyle w:val="Hyperlink"/>
          </w:rPr>
          <w:t>INP-48</w:t>
        </w:r>
      </w:hyperlink>
      <w:r w:rsidR="009949FD" w:rsidRPr="006A27B0">
        <w:rPr>
          <w:rFonts w:eastAsia="MS Mincho"/>
          <w:lang w:eastAsia="ja-JP"/>
        </w:rPr>
        <w:t xml:space="preserve"> (</w:t>
      </w:r>
      <w:r w:rsidR="009949FD">
        <w:rPr>
          <w:rFonts w:eastAsia="MS Mincho"/>
          <w:lang w:eastAsia="ja-JP"/>
        </w:rPr>
        <w:t>IRN</w:t>
      </w:r>
      <w:r w:rsidR="009949FD" w:rsidRPr="006A27B0">
        <w:rPr>
          <w:rFonts w:eastAsia="MS Mincho"/>
          <w:lang w:eastAsia="ja-JP"/>
        </w:rPr>
        <w:t>)</w:t>
      </w:r>
      <w:r w:rsidR="009949FD">
        <w:rPr>
          <w:rFonts w:eastAsia="MS Mincho"/>
          <w:lang w:eastAsia="ja-JP"/>
        </w:rPr>
        <w:t xml:space="preserve">, </w:t>
      </w:r>
      <w:hyperlink r:id="rId23" w:history="1">
        <w:r w:rsidR="009949FD" w:rsidRPr="00CD6573">
          <w:rPr>
            <w:rStyle w:val="Hyperlink"/>
          </w:rPr>
          <w:t>INP-53</w:t>
        </w:r>
      </w:hyperlink>
      <w:r w:rsidR="009949FD" w:rsidRPr="006A27B0">
        <w:rPr>
          <w:rFonts w:eastAsia="MS Mincho"/>
          <w:lang w:eastAsia="ja-JP"/>
        </w:rPr>
        <w:t xml:space="preserve"> (</w:t>
      </w:r>
      <w:r w:rsidR="009949FD">
        <w:rPr>
          <w:rFonts w:eastAsia="MS Mincho"/>
          <w:lang w:eastAsia="ja-JP"/>
        </w:rPr>
        <w:t>VTN</w:t>
      </w:r>
      <w:r w:rsidR="009949FD" w:rsidRPr="006A27B0">
        <w:rPr>
          <w:rFonts w:eastAsia="MS Mincho"/>
          <w:lang w:eastAsia="ja-JP"/>
        </w:rPr>
        <w:t>)</w:t>
      </w:r>
    </w:p>
    <w:p w14:paraId="31130AF3" w14:textId="6AB583CB" w:rsidR="009D7F9B" w:rsidRPr="00441526" w:rsidRDefault="009D7F9B" w:rsidP="008167DF">
      <w:pPr>
        <w:numPr>
          <w:ilvl w:val="0"/>
          <w:numId w:val="18"/>
        </w:numPr>
        <w:spacing w:before="120" w:after="120"/>
        <w:ind w:leftChars="145" w:left="705" w:hanging="357"/>
        <w:jc w:val="both"/>
        <w:rPr>
          <w:lang w:val="en-NZ"/>
        </w:rPr>
      </w:pPr>
      <w:r w:rsidRPr="00441526">
        <w:rPr>
          <w:lang w:val="en-NZ"/>
        </w:rPr>
        <w:t xml:space="preserve">Information Documents </w:t>
      </w:r>
      <w:r w:rsidR="00972766" w:rsidRPr="00E474C8">
        <w:rPr>
          <w:lang w:val="en-NZ"/>
        </w:rPr>
        <w:t>APG23-2/</w:t>
      </w:r>
      <w:hyperlink r:id="rId24" w:history="1">
        <w:r w:rsidR="00687114" w:rsidRPr="00CE0CAB">
          <w:rPr>
            <w:rStyle w:val="Hyperlink"/>
            <w:rFonts w:eastAsia="MS Mincho"/>
            <w:lang w:val="en-NZ" w:eastAsia="ja-JP"/>
          </w:rPr>
          <w:t>INF-</w:t>
        </w:r>
        <w:r w:rsidR="00687114">
          <w:rPr>
            <w:rStyle w:val="Hyperlink"/>
            <w:rFonts w:eastAsia="MS Mincho"/>
            <w:lang w:val="en-NZ" w:eastAsia="ja-JP"/>
          </w:rPr>
          <w:t>1</w:t>
        </w:r>
        <w:r w:rsidR="00687114" w:rsidRPr="00CE0CAB">
          <w:rPr>
            <w:rStyle w:val="Hyperlink"/>
            <w:rFonts w:eastAsia="MS Mincho"/>
            <w:lang w:val="en-NZ" w:eastAsia="ja-JP"/>
          </w:rPr>
          <w:t>0</w:t>
        </w:r>
      </w:hyperlink>
      <w:r w:rsidR="00687114" w:rsidRPr="00E474C8">
        <w:rPr>
          <w:b/>
          <w:bCs/>
          <w:lang w:val="en-NZ"/>
        </w:rPr>
        <w:t xml:space="preserve"> </w:t>
      </w:r>
      <w:r w:rsidR="00687114" w:rsidRPr="00E474C8">
        <w:rPr>
          <w:lang w:val="en-NZ"/>
        </w:rPr>
        <w:t xml:space="preserve">(DG Chair), </w:t>
      </w:r>
      <w:hyperlink r:id="rId25" w:history="1">
        <w:r w:rsidR="00687114" w:rsidRPr="00891E89">
          <w:rPr>
            <w:rStyle w:val="Hyperlink"/>
            <w:rFonts w:eastAsia="MS Mincho"/>
            <w:lang w:val="en-NZ" w:eastAsia="ja-JP"/>
          </w:rPr>
          <w:t>INF-01</w:t>
        </w:r>
      </w:hyperlink>
      <w:r w:rsidR="00687114" w:rsidRPr="00E474C8">
        <w:rPr>
          <w:lang w:val="en-NZ"/>
        </w:rPr>
        <w:t xml:space="preserve"> (</w:t>
      </w:r>
      <w:r w:rsidR="00687114">
        <w:rPr>
          <w:lang w:val="en-NZ"/>
        </w:rPr>
        <w:t>WMO</w:t>
      </w:r>
      <w:r w:rsidR="00687114" w:rsidRPr="00E474C8">
        <w:rPr>
          <w:lang w:val="en-NZ"/>
        </w:rPr>
        <w:t xml:space="preserve">), </w:t>
      </w:r>
      <w:hyperlink r:id="rId26" w:history="1">
        <w:r w:rsidR="00687114" w:rsidRPr="00891E89">
          <w:rPr>
            <w:rStyle w:val="Hyperlink"/>
            <w:rFonts w:eastAsia="MS Mincho"/>
            <w:lang w:val="en-NZ" w:eastAsia="ja-JP"/>
          </w:rPr>
          <w:t>INF-15</w:t>
        </w:r>
      </w:hyperlink>
      <w:r w:rsidR="00687114" w:rsidRPr="00E474C8">
        <w:rPr>
          <w:lang w:val="en-NZ"/>
        </w:rPr>
        <w:t xml:space="preserve"> (</w:t>
      </w:r>
      <w:r w:rsidR="00687114">
        <w:rPr>
          <w:lang w:val="en-NZ"/>
        </w:rPr>
        <w:t>ICAO</w:t>
      </w:r>
      <w:r w:rsidR="00687114" w:rsidRPr="00E474C8">
        <w:rPr>
          <w:lang w:val="en-NZ"/>
        </w:rPr>
        <w:t xml:space="preserve">), </w:t>
      </w:r>
      <w:hyperlink r:id="rId27" w:history="1">
        <w:r w:rsidR="00687114" w:rsidRPr="00964762">
          <w:rPr>
            <w:rStyle w:val="Hyperlink"/>
            <w:rFonts w:eastAsia="MS Mincho"/>
            <w:lang w:eastAsia="ja-JP"/>
          </w:rPr>
          <w:t>INF-20</w:t>
        </w:r>
      </w:hyperlink>
      <w:r w:rsidR="00687114" w:rsidRPr="00E474C8">
        <w:rPr>
          <w:lang w:val="en-NZ"/>
        </w:rPr>
        <w:t xml:space="preserve"> (CEPT)</w:t>
      </w:r>
      <w:r w:rsidR="008773AC">
        <w:rPr>
          <w:lang w:val="en-NZ"/>
        </w:rPr>
        <w:t xml:space="preserve">, </w:t>
      </w:r>
      <w:hyperlink r:id="rId28" w:history="1">
        <w:r w:rsidR="008773AC" w:rsidRPr="008773AC">
          <w:rPr>
            <w:rStyle w:val="Hyperlink"/>
            <w:rFonts w:eastAsia="MS Mincho"/>
            <w:lang w:val="en-NZ" w:eastAsia="ja-JP"/>
          </w:rPr>
          <w:t>INF-37</w:t>
        </w:r>
      </w:hyperlink>
      <w:r w:rsidR="008773AC" w:rsidRPr="008773AC">
        <w:rPr>
          <w:rStyle w:val="Hyperlink"/>
          <w:rFonts w:eastAsia="MS Mincho"/>
          <w:color w:val="auto"/>
          <w:u w:val="none"/>
          <w:lang w:val="en-NZ" w:eastAsia="ja-JP"/>
        </w:rPr>
        <w:t xml:space="preserve"> (</w:t>
      </w:r>
      <w:r w:rsidR="008773AC">
        <w:rPr>
          <w:rStyle w:val="Hyperlink"/>
          <w:rFonts w:eastAsia="MS Mincho"/>
          <w:color w:val="auto"/>
          <w:u w:val="none"/>
          <w:lang w:val="en-NZ" w:eastAsia="ja-JP"/>
        </w:rPr>
        <w:t>ASMG</w:t>
      </w:r>
      <w:r w:rsidR="008773AC" w:rsidRPr="008773AC">
        <w:rPr>
          <w:rStyle w:val="Hyperlink"/>
          <w:rFonts w:eastAsia="MS Mincho"/>
          <w:color w:val="auto"/>
          <w:u w:val="none"/>
          <w:lang w:val="en-NZ" w:eastAsia="ja-JP"/>
        </w:rPr>
        <w:t>)</w:t>
      </w:r>
      <w:r w:rsidR="009D4B3D">
        <w:rPr>
          <w:rStyle w:val="Hyperlink"/>
          <w:rFonts w:eastAsia="MS Mincho"/>
          <w:color w:val="auto"/>
          <w:u w:val="none"/>
          <w:lang w:val="en-NZ" w:eastAsia="ja-JP"/>
        </w:rPr>
        <w:t xml:space="preserve">, </w:t>
      </w:r>
      <w:hyperlink r:id="rId29" w:history="1">
        <w:r w:rsidR="009D4B3D" w:rsidRPr="009D4B3D">
          <w:rPr>
            <w:rStyle w:val="Hyperlink"/>
            <w:rFonts w:eastAsia="MS Mincho"/>
            <w:lang w:val="en-NZ" w:eastAsia="ja-JP"/>
          </w:rPr>
          <w:t>INF-39</w:t>
        </w:r>
      </w:hyperlink>
      <w:r w:rsidR="009D4B3D">
        <w:rPr>
          <w:rStyle w:val="Hyperlink"/>
          <w:rFonts w:eastAsia="MS Mincho"/>
          <w:lang w:val="en-NZ" w:eastAsia="ja-JP"/>
        </w:rPr>
        <w:t xml:space="preserve"> </w:t>
      </w:r>
      <w:r w:rsidR="009D4B3D" w:rsidRPr="008773AC">
        <w:rPr>
          <w:rStyle w:val="Hyperlink"/>
          <w:rFonts w:eastAsia="MS Mincho"/>
          <w:color w:val="auto"/>
          <w:u w:val="none"/>
          <w:lang w:val="en-NZ" w:eastAsia="ja-JP"/>
        </w:rPr>
        <w:t>(</w:t>
      </w:r>
      <w:r w:rsidR="009D4B3D">
        <w:rPr>
          <w:rStyle w:val="Hyperlink"/>
          <w:rFonts w:eastAsia="MS Mincho"/>
          <w:color w:val="auto"/>
          <w:u w:val="none"/>
          <w:lang w:val="en-NZ" w:eastAsia="ja-JP"/>
        </w:rPr>
        <w:t>ATU</w:t>
      </w:r>
      <w:r w:rsidR="009D4B3D" w:rsidRPr="008773AC">
        <w:rPr>
          <w:rStyle w:val="Hyperlink"/>
          <w:rFonts w:eastAsia="MS Mincho"/>
          <w:color w:val="auto"/>
          <w:u w:val="none"/>
          <w:lang w:val="en-NZ" w:eastAsia="ja-JP"/>
        </w:rPr>
        <w:t>)</w:t>
      </w:r>
    </w:p>
    <w:p w14:paraId="1EA8DAF0" w14:textId="0513AC6C" w:rsidR="002A0111" w:rsidRPr="00441526" w:rsidRDefault="002A0111" w:rsidP="008167DF">
      <w:pPr>
        <w:spacing w:before="120" w:after="120"/>
        <w:rPr>
          <w:b/>
          <w:lang w:val="en-NZ" w:eastAsia="ko-KR"/>
        </w:rPr>
      </w:pPr>
      <w:r w:rsidRPr="00441526">
        <w:rPr>
          <w:b/>
          <w:lang w:val="en-NZ" w:eastAsia="ko-KR"/>
        </w:rPr>
        <w:t xml:space="preserve">3. </w:t>
      </w:r>
      <w:r w:rsidRPr="00441526">
        <w:rPr>
          <w:b/>
          <w:lang w:val="en-NZ" w:eastAsia="ko-KR"/>
        </w:rPr>
        <w:tab/>
        <w:t>Summary of discussions</w:t>
      </w:r>
    </w:p>
    <w:p w14:paraId="4EE3DBC3" w14:textId="77777777" w:rsidR="002A0111" w:rsidRPr="00441526" w:rsidRDefault="002A0111" w:rsidP="00BC6688">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64A15A2" w14:textId="61FBB58A"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2E07B9" w:rsidRPr="00FD58A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2E07B9">
        <w:rPr>
          <w:b/>
          <w:lang w:val="en-NZ" w:eastAsia="ko-KR"/>
        </w:rPr>
        <w:t>3</w:t>
      </w:r>
      <w:r w:rsidRPr="002E07B9">
        <w:rPr>
          <w:bCs/>
          <w:lang w:val="en-NZ" w:eastAsia="ko-KR"/>
        </w:rPr>
        <w:t>/</w:t>
      </w:r>
      <w:hyperlink r:id="rId30" w:history="1">
        <w:r w:rsidR="002E07B9" w:rsidRPr="002E07B9">
          <w:rPr>
            <w:rStyle w:val="Hyperlink"/>
            <w:rFonts w:eastAsia="MS Mincho"/>
            <w:b/>
            <w:lang w:eastAsia="ja-JP"/>
          </w:rPr>
          <w:t>INP-09</w:t>
        </w:r>
      </w:hyperlink>
    </w:p>
    <w:p w14:paraId="132CD7DF" w14:textId="76D8E05F" w:rsidR="002A0111" w:rsidRPr="00441526" w:rsidRDefault="00300F4A" w:rsidP="00224036">
      <w:pPr>
        <w:spacing w:before="120" w:after="120"/>
        <w:jc w:val="both"/>
        <w:rPr>
          <w:lang w:val="en-NZ"/>
        </w:rPr>
      </w:pPr>
      <w:r w:rsidRPr="00300F4A">
        <w:rPr>
          <w:lang w:val="en-NZ"/>
        </w:rPr>
        <w:t>Australia supports studies assessing the feasibility of upgrading the current secondary allocation to the SRS in the frequency band 14.8-15.35 GHz to primary status. If the results of the studies show that protection of existing primary services is feasible, then Australia supports an upgrade to primary status, while ensuring protections to primary fixed service and mobile service systems in the frequency band 14.8-15.35 GHz.</w:t>
      </w:r>
    </w:p>
    <w:p w14:paraId="68749D5A" w14:textId="09E93C9E"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57109D" w:rsidRPr="0057109D">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57109D">
        <w:rPr>
          <w:b/>
          <w:lang w:val="en-NZ" w:eastAsia="ko-KR"/>
        </w:rPr>
        <w:t>3</w:t>
      </w:r>
      <w:r w:rsidRPr="00441526">
        <w:rPr>
          <w:b/>
          <w:lang w:val="en-NZ" w:eastAsia="ko-KR"/>
        </w:rPr>
        <w:t>/</w:t>
      </w:r>
      <w:r w:rsidR="00813E36" w:rsidRPr="006A27B0">
        <w:rPr>
          <w:lang w:val="en-NZ"/>
        </w:rPr>
        <w:t xml:space="preserve"> </w:t>
      </w:r>
      <w:hyperlink r:id="rId31" w:history="1">
        <w:r w:rsidR="0057109D" w:rsidRPr="0057109D">
          <w:rPr>
            <w:rStyle w:val="Hyperlink"/>
            <w:rFonts w:eastAsia="MS Mincho"/>
            <w:b/>
            <w:bCs/>
            <w:lang w:eastAsia="ja-JP"/>
          </w:rPr>
          <w:t>INP-17</w:t>
        </w:r>
      </w:hyperlink>
    </w:p>
    <w:p w14:paraId="5CC571F7" w14:textId="66C7320F" w:rsidR="002A0111" w:rsidRPr="00441526" w:rsidRDefault="00BB3DCC" w:rsidP="00224036">
      <w:pPr>
        <w:spacing w:before="120" w:after="120"/>
        <w:jc w:val="both"/>
        <w:rPr>
          <w:lang w:val="en-NZ"/>
        </w:rPr>
      </w:pPr>
      <w:r w:rsidRPr="00BB3DCC">
        <w:rPr>
          <w:lang w:val="en-NZ"/>
        </w:rPr>
        <w:t>Indonesia is of the view to support studies by ITU-R in ensuring protection and compatibility between SRS and incumbent services in the band 14.8-15.35 GHz and in the adjacent bands 15.35-15.4 GHz and that upgrading to primary status the allocation of the frequency band 14.8-15.35 GHz for the SRS should not impose constraints on existing and planned systems of primary services in the frequency band 14.8-15.35 GHz.</w:t>
      </w:r>
    </w:p>
    <w:p w14:paraId="2DEB3328" w14:textId="2237352C" w:rsidR="002A0111" w:rsidRPr="00CE640D" w:rsidRDefault="002A0111" w:rsidP="00CE640D">
      <w:pPr>
        <w:spacing w:after="120"/>
        <w:jc w:val="both"/>
        <w:rPr>
          <w:b/>
          <w:bCs/>
          <w:lang w:val="en-NZ" w:eastAsia="ko-KR"/>
        </w:rPr>
      </w:pPr>
      <w:r w:rsidRPr="00441526">
        <w:rPr>
          <w:b/>
          <w:lang w:val="en-NZ" w:eastAsia="ko-KR"/>
        </w:rPr>
        <w:t>3.1.</w:t>
      </w:r>
      <w:r w:rsidR="00471366">
        <w:rPr>
          <w:b/>
          <w:lang w:val="en-NZ" w:eastAsia="ko-KR"/>
        </w:rPr>
        <w:t>3</w:t>
      </w:r>
      <w:r w:rsidRPr="00441526">
        <w:rPr>
          <w:b/>
          <w:lang w:val="en-NZ" w:eastAsia="ko-KR"/>
        </w:rPr>
        <w:tab/>
      </w:r>
      <w:r w:rsidR="00EB171D"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455BF5">
        <w:rPr>
          <w:b/>
          <w:lang w:val="en-NZ" w:eastAsia="ko-KR"/>
        </w:rPr>
        <w:t>3</w:t>
      </w:r>
      <w:r w:rsidRPr="00455BF5">
        <w:rPr>
          <w:b/>
          <w:lang w:val="en-NZ" w:eastAsia="ko-KR"/>
        </w:rPr>
        <w:t>/</w:t>
      </w:r>
      <w:hyperlink r:id="rId32" w:history="1">
        <w:r w:rsidR="00455BF5" w:rsidRPr="00455BF5">
          <w:rPr>
            <w:rStyle w:val="Hyperlink"/>
            <w:rFonts w:eastAsia="MS Mincho"/>
            <w:b/>
            <w:lang w:eastAsia="ja-JP"/>
          </w:rPr>
          <w:t>INP-26</w:t>
        </w:r>
      </w:hyperlink>
    </w:p>
    <w:p w14:paraId="54F2A992" w14:textId="7C603C46" w:rsidR="00455BF5" w:rsidRPr="00441526" w:rsidRDefault="00455BF5" w:rsidP="00224036">
      <w:pPr>
        <w:spacing w:before="120" w:after="120"/>
        <w:jc w:val="both"/>
        <w:rPr>
          <w:lang w:val="en-NZ"/>
        </w:rPr>
      </w:pPr>
      <w:r>
        <w:rPr>
          <w:rFonts w:hint="eastAsia"/>
        </w:rPr>
        <w:t>T</w:t>
      </w:r>
      <w:r>
        <w:t xml:space="preserve">he Republic of Korea is of the view that in order to determine the feasibility of upgrading the SRS allocation to primary status in the frequency band 14.8-15.35 GHz, compatibility and sharing studies in ITU-R considering all relevant scenarios should ensure </w:t>
      </w:r>
      <w:r>
        <w:rPr>
          <w:rFonts w:hint="eastAsia"/>
          <w:lang w:eastAsia="ko-KR"/>
        </w:rPr>
        <w:t>t</w:t>
      </w:r>
      <w:r>
        <w:rPr>
          <w:lang w:eastAsia="ko-KR"/>
        </w:rPr>
        <w:t xml:space="preserve">he </w:t>
      </w:r>
      <w:r>
        <w:t xml:space="preserve">protection of the </w:t>
      </w:r>
      <w:r w:rsidRPr="001847E0">
        <w:rPr>
          <w:szCs w:val="28"/>
          <w:shd w:val="clear" w:color="auto" w:fill="FFFFFF"/>
        </w:rPr>
        <w:t>incumbent services in this frequency band without imposing constraints on the services in the frequency band</w:t>
      </w:r>
      <w:r w:rsidRPr="001847E0">
        <w:rPr>
          <w:sz w:val="22"/>
        </w:rPr>
        <w:t xml:space="preserve"> </w:t>
      </w:r>
      <w:r>
        <w:t xml:space="preserve">14.8-15.35 GHz and </w:t>
      </w:r>
      <w:r w:rsidRPr="002858B6">
        <w:t>15.35-15.4 GHz</w:t>
      </w:r>
      <w:r>
        <w:t>. Appropriate transitional measure needs to be developed to protect incumbent service allocated on a secondary basis in the frequency band 15.2-15.35 GHz.</w:t>
      </w:r>
    </w:p>
    <w:p w14:paraId="7AB2B3D2" w14:textId="79BA7D0A" w:rsidR="00471366" w:rsidRDefault="00471366" w:rsidP="00471366">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F6012A" w:rsidRPr="00F6012A">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F6012A">
        <w:rPr>
          <w:b/>
          <w:lang w:val="en-NZ" w:eastAsia="ko-KR"/>
        </w:rPr>
        <w:t>3</w:t>
      </w:r>
      <w:r w:rsidRPr="00441526">
        <w:rPr>
          <w:b/>
          <w:lang w:val="en-NZ" w:eastAsia="ko-KR"/>
        </w:rPr>
        <w:t>/</w:t>
      </w:r>
      <w:hyperlink r:id="rId33" w:history="1">
        <w:r w:rsidR="00F6012A" w:rsidRPr="00F6012A">
          <w:rPr>
            <w:rStyle w:val="Hyperlink"/>
            <w:rFonts w:eastAsia="MS Mincho"/>
            <w:b/>
            <w:bCs/>
            <w:lang w:eastAsia="ja-JP"/>
          </w:rPr>
          <w:t>INP-30</w:t>
        </w:r>
      </w:hyperlink>
    </w:p>
    <w:p w14:paraId="1975D870" w14:textId="2EC01063" w:rsidR="00471366" w:rsidRPr="0068113A" w:rsidRDefault="008B512D" w:rsidP="00224036">
      <w:pPr>
        <w:spacing w:before="120" w:after="120"/>
        <w:jc w:val="both"/>
      </w:pPr>
      <w:r w:rsidRPr="008B512D">
        <w:t>Japan supports ITU-R studies for the consideration of upgrading the SRS allocation from secondary to primary in the frequency band 14.8-15.35 GHz, while ensuring protection and not imposing constraints on incumbent services in this frequency band as well as the band 15.35-15.4 GHz and appropriate transitional measures need to be developed to protect incumbent service allocated on a secondary basis in the frequency band 15.2-15.35 GHz.</w:t>
      </w:r>
    </w:p>
    <w:p w14:paraId="6781A9B5" w14:textId="377D76EA" w:rsidR="00471366" w:rsidRPr="00441526" w:rsidRDefault="00471366" w:rsidP="00471366">
      <w:pPr>
        <w:spacing w:after="120"/>
        <w:jc w:val="both"/>
        <w:rPr>
          <w:lang w:val="en-NZ"/>
        </w:rPr>
      </w:pPr>
      <w:r w:rsidRPr="00441526">
        <w:rPr>
          <w:b/>
          <w:lang w:val="en-NZ" w:eastAsia="ko-KR"/>
        </w:rPr>
        <w:t>3.1.</w:t>
      </w:r>
      <w:r>
        <w:rPr>
          <w:b/>
          <w:lang w:val="en-NZ" w:eastAsia="ko-KR"/>
        </w:rPr>
        <w:t>5</w:t>
      </w:r>
      <w:r w:rsidRPr="00441526">
        <w:rPr>
          <w:b/>
          <w:lang w:val="en-NZ" w:eastAsia="ko-KR"/>
        </w:rPr>
        <w:tab/>
      </w:r>
      <w:r w:rsidR="0068113A" w:rsidRPr="0068113A">
        <w:rPr>
          <w:b/>
          <w:lang w:val="en-NZ" w:eastAsia="ko-KR"/>
        </w:rPr>
        <w:t>China (People’s Republic of)</w:t>
      </w:r>
      <w:r w:rsidRPr="00441526">
        <w:rPr>
          <w:b/>
          <w:lang w:val="en-NZ" w:eastAsia="ko-KR"/>
        </w:rPr>
        <w:t xml:space="preserve"> </w:t>
      </w:r>
      <w:r w:rsidRPr="00441526">
        <w:t xml:space="preserve">- </w:t>
      </w:r>
      <w:r w:rsidRPr="00441526">
        <w:rPr>
          <w:b/>
          <w:lang w:val="en-NZ" w:eastAsia="ko-KR"/>
        </w:rPr>
        <w:t xml:space="preserve">Document </w:t>
      </w:r>
      <w:r w:rsidRPr="00165D87">
        <w:rPr>
          <w:b/>
          <w:lang w:val="en-NZ" w:eastAsia="ko-KR"/>
        </w:rPr>
        <w:t>APG23-</w:t>
      </w:r>
      <w:r w:rsidR="00165D87">
        <w:rPr>
          <w:b/>
          <w:lang w:val="en-NZ" w:eastAsia="ko-KR"/>
        </w:rPr>
        <w:t>3</w:t>
      </w:r>
      <w:r w:rsidRPr="00381E49">
        <w:rPr>
          <w:b/>
          <w:lang w:val="en-NZ" w:eastAsia="ko-KR"/>
        </w:rPr>
        <w:t>/</w:t>
      </w:r>
      <w:hyperlink r:id="rId34" w:history="1">
        <w:r w:rsidR="00165D87" w:rsidRPr="00165D87">
          <w:rPr>
            <w:rStyle w:val="Hyperlink"/>
            <w:b/>
            <w:bCs/>
          </w:rPr>
          <w:t>INP-43</w:t>
        </w:r>
      </w:hyperlink>
    </w:p>
    <w:p w14:paraId="7CA04DD1" w14:textId="41980737" w:rsidR="002A0111" w:rsidRDefault="00165D87" w:rsidP="00165D87">
      <w:pPr>
        <w:pStyle w:val="ListParagraph1"/>
        <w:spacing w:beforeLines="50" w:before="120" w:afterLines="50" w:after="120"/>
        <w:ind w:firstLineChars="0" w:firstLine="0"/>
        <w:jc w:val="both"/>
        <w:rPr>
          <w:rFonts w:eastAsia="SimSun"/>
          <w:lang w:eastAsia="zh-CN"/>
        </w:rPr>
      </w:pPr>
      <w:r w:rsidRPr="00083B60">
        <w:t xml:space="preserve">China supports the studies on this agenda item carried out in ITU-R WP 7B and supports the possible upgrading of </w:t>
      </w:r>
      <w:r>
        <w:rPr>
          <w:bCs/>
          <w:lang w:val="en-NZ" w:eastAsia="ko-KR"/>
        </w:rPr>
        <w:t xml:space="preserve">the </w:t>
      </w:r>
      <w:r w:rsidRPr="00756AF2">
        <w:rPr>
          <w:bCs/>
          <w:lang w:val="en-NZ" w:eastAsia="ko-KR"/>
        </w:rPr>
        <w:t>SRS allocation from secondary to primary</w:t>
      </w:r>
      <w:r>
        <w:rPr>
          <w:bCs/>
          <w:lang w:val="en-NZ" w:eastAsia="ko-KR"/>
        </w:rPr>
        <w:t xml:space="preserve"> status, if the </w:t>
      </w:r>
      <w:r>
        <w:rPr>
          <w:rFonts w:eastAsia="SimSun" w:hint="eastAsia"/>
          <w:lang w:eastAsia="zh-CN"/>
        </w:rPr>
        <w:t>studies show that sharing and compatibility</w:t>
      </w:r>
      <w:r>
        <w:rPr>
          <w:rFonts w:eastAsia="SimSun"/>
          <w:lang w:eastAsia="zh-CN"/>
        </w:rPr>
        <w:t xml:space="preserve"> </w:t>
      </w:r>
      <w:r>
        <w:rPr>
          <w:rFonts w:eastAsia="SimSun" w:hint="eastAsia"/>
          <w:lang w:eastAsia="zh-CN"/>
        </w:rPr>
        <w:t>is feasible with existing c</w:t>
      </w:r>
      <w:r w:rsidRPr="007358F3">
        <w:rPr>
          <w:rFonts w:eastAsia="SimSun"/>
          <w:lang w:eastAsia="zh-CN"/>
        </w:rPr>
        <w:t>o-</w:t>
      </w:r>
      <w:r>
        <w:rPr>
          <w:rFonts w:eastAsia="SimSun"/>
          <w:lang w:eastAsia="zh-CN"/>
        </w:rPr>
        <w:t>frequencies</w:t>
      </w:r>
      <w:r w:rsidRPr="007358F3">
        <w:rPr>
          <w:rFonts w:eastAsia="SimSun"/>
          <w:lang w:eastAsia="zh-CN"/>
        </w:rPr>
        <w:t xml:space="preserve"> and adjacent-</w:t>
      </w:r>
      <w:r>
        <w:rPr>
          <w:rFonts w:eastAsia="SimSun"/>
          <w:lang w:eastAsia="zh-CN"/>
        </w:rPr>
        <w:t>frequencies</w:t>
      </w:r>
      <w:r w:rsidRPr="007358F3">
        <w:rPr>
          <w:rFonts w:eastAsia="SimSun"/>
          <w:lang w:eastAsia="zh-CN"/>
        </w:rPr>
        <w:t xml:space="preserve"> primary and secondary </w:t>
      </w:r>
      <w:r>
        <w:rPr>
          <w:rFonts w:eastAsia="SimSun" w:hint="eastAsia"/>
          <w:lang w:eastAsia="zh-CN"/>
        </w:rPr>
        <w:t>services and systems</w:t>
      </w:r>
      <w:r>
        <w:rPr>
          <w:rFonts w:eastAsia="SimSun"/>
          <w:lang w:eastAsia="zh-CN"/>
        </w:rPr>
        <w:t>.</w:t>
      </w:r>
    </w:p>
    <w:p w14:paraId="00599CC1" w14:textId="46914FCD" w:rsidR="00756353" w:rsidRDefault="00756353" w:rsidP="00165D87">
      <w:pPr>
        <w:pStyle w:val="ListParagraph1"/>
        <w:spacing w:beforeLines="50" w:before="120" w:afterLines="50" w:after="120"/>
        <w:ind w:firstLineChars="0" w:firstLine="0"/>
        <w:jc w:val="both"/>
        <w:rPr>
          <w:rStyle w:val="Hyperlink"/>
          <w:b/>
          <w:bCs/>
        </w:rPr>
      </w:pPr>
      <w:r w:rsidRPr="00441526">
        <w:rPr>
          <w:b/>
          <w:lang w:val="en-NZ" w:eastAsia="ko-KR"/>
        </w:rPr>
        <w:t>3.1.</w:t>
      </w:r>
      <w:r>
        <w:rPr>
          <w:b/>
          <w:lang w:val="en-NZ" w:eastAsia="ko-KR"/>
        </w:rPr>
        <w:t>6</w:t>
      </w:r>
      <w:r w:rsidRPr="00441526">
        <w:rPr>
          <w:b/>
          <w:lang w:val="en-NZ" w:eastAsia="ko-KR"/>
        </w:rPr>
        <w:tab/>
      </w:r>
      <w:r w:rsidR="00702E84" w:rsidRPr="00702E84">
        <w:rPr>
          <w:b/>
          <w:lang w:val="en-NZ" w:eastAsia="ko-KR"/>
        </w:rPr>
        <w:t>Iran (Islamic Republic of)</w:t>
      </w:r>
      <w:r w:rsidRPr="00441526">
        <w:rPr>
          <w:b/>
          <w:lang w:val="en-NZ" w:eastAsia="ko-KR"/>
        </w:rPr>
        <w:t xml:space="preserve"> </w:t>
      </w:r>
      <w:r w:rsidRPr="00441526">
        <w:t xml:space="preserve">- </w:t>
      </w:r>
      <w:r w:rsidRPr="00441526">
        <w:rPr>
          <w:b/>
          <w:lang w:val="en-NZ" w:eastAsia="ko-KR"/>
        </w:rPr>
        <w:t xml:space="preserve">Document </w:t>
      </w:r>
      <w:r w:rsidRPr="00165D87">
        <w:rPr>
          <w:b/>
          <w:lang w:val="en-NZ" w:eastAsia="ko-KR"/>
        </w:rPr>
        <w:t>APG23-</w:t>
      </w:r>
      <w:r>
        <w:rPr>
          <w:b/>
          <w:lang w:val="en-NZ" w:eastAsia="ko-KR"/>
        </w:rPr>
        <w:t>3</w:t>
      </w:r>
      <w:r w:rsidRPr="00381E49">
        <w:rPr>
          <w:b/>
          <w:lang w:val="en-NZ" w:eastAsia="ko-KR"/>
        </w:rPr>
        <w:t>/</w:t>
      </w:r>
      <w:hyperlink r:id="rId35" w:history="1">
        <w:r w:rsidRPr="00756353">
          <w:rPr>
            <w:rStyle w:val="Hyperlink"/>
            <w:b/>
            <w:bCs/>
          </w:rPr>
          <w:t>INP-48</w:t>
        </w:r>
      </w:hyperlink>
    </w:p>
    <w:p w14:paraId="7316B420" w14:textId="1ED8D8F2" w:rsidR="00756353" w:rsidRDefault="00702E84" w:rsidP="00165D87">
      <w:pPr>
        <w:pStyle w:val="ListParagraph1"/>
        <w:spacing w:beforeLines="50" w:before="120" w:afterLines="50" w:after="120"/>
        <w:ind w:firstLineChars="0" w:firstLine="0"/>
        <w:jc w:val="both"/>
      </w:pPr>
      <w:r w:rsidRPr="00AA6EE6">
        <w:rPr>
          <w:rFonts w:hint="eastAsia"/>
        </w:rPr>
        <w:t>A</w:t>
      </w:r>
      <w:r w:rsidRPr="00AA6EE6">
        <w:t xml:space="preserve">PT Members support ITU-R studies for the consideration of upgrading the SRS allocation from secondary to primary in the frequency band 14.8-15.35 GHz, while ensuring protection and not </w:t>
      </w:r>
      <w:r w:rsidRPr="00AA6EE6">
        <w:lastRenderedPageBreak/>
        <w:t>adversely affecting incumbent services in this frequency band as well as the band 15.35-15.4 GHz and appropriate transitional measures need to be developed to protect incumbent services allocated on a secondary basis in the frequency band 15.2-15.35 GHz.</w:t>
      </w:r>
    </w:p>
    <w:p w14:paraId="00078FFD" w14:textId="4F16A169" w:rsidR="00511A6E" w:rsidRDefault="00511A6E" w:rsidP="00165D87">
      <w:pPr>
        <w:pStyle w:val="ListParagraph1"/>
        <w:spacing w:beforeLines="50" w:before="120" w:afterLines="50" w:after="120"/>
        <w:ind w:firstLineChars="0" w:firstLine="0"/>
        <w:jc w:val="both"/>
        <w:rPr>
          <w:rStyle w:val="Hyperlink"/>
          <w:b/>
          <w:bCs/>
        </w:rPr>
      </w:pPr>
      <w:r w:rsidRPr="00441526">
        <w:rPr>
          <w:b/>
          <w:lang w:val="en-NZ" w:eastAsia="ko-KR"/>
        </w:rPr>
        <w:t>3.1.</w:t>
      </w:r>
      <w:r>
        <w:rPr>
          <w:b/>
          <w:lang w:val="en-NZ" w:eastAsia="ko-KR"/>
        </w:rPr>
        <w:t>7</w:t>
      </w:r>
      <w:r w:rsidRPr="00441526">
        <w:rPr>
          <w:b/>
          <w:lang w:val="en-NZ" w:eastAsia="ko-KR"/>
        </w:rPr>
        <w:tab/>
      </w:r>
      <w:r w:rsidRPr="00511A6E">
        <w:rPr>
          <w:b/>
          <w:lang w:val="en-NZ" w:eastAsia="ko-KR"/>
        </w:rPr>
        <w:t>Socialist Republic of Viet Nam</w:t>
      </w:r>
      <w:r w:rsidRPr="00441526">
        <w:rPr>
          <w:b/>
          <w:lang w:val="en-NZ" w:eastAsia="ko-KR"/>
        </w:rPr>
        <w:t xml:space="preserve"> </w:t>
      </w:r>
      <w:r w:rsidRPr="00441526">
        <w:t xml:space="preserve">- </w:t>
      </w:r>
      <w:r w:rsidRPr="00441526">
        <w:rPr>
          <w:b/>
          <w:lang w:val="en-NZ" w:eastAsia="ko-KR"/>
        </w:rPr>
        <w:t xml:space="preserve">Document </w:t>
      </w:r>
      <w:r w:rsidRPr="00165D87">
        <w:rPr>
          <w:b/>
          <w:lang w:val="en-NZ" w:eastAsia="ko-KR"/>
        </w:rPr>
        <w:t>APG23-</w:t>
      </w:r>
      <w:r>
        <w:rPr>
          <w:b/>
          <w:lang w:val="en-NZ" w:eastAsia="ko-KR"/>
        </w:rPr>
        <w:t>3</w:t>
      </w:r>
      <w:r w:rsidRPr="00381E49">
        <w:rPr>
          <w:b/>
          <w:lang w:val="en-NZ" w:eastAsia="ko-KR"/>
        </w:rPr>
        <w:t>/</w:t>
      </w:r>
      <w:hyperlink r:id="rId36" w:history="1">
        <w:r w:rsidRPr="00511A6E">
          <w:rPr>
            <w:rStyle w:val="Hyperlink"/>
            <w:b/>
            <w:bCs/>
          </w:rPr>
          <w:t>INP-53</w:t>
        </w:r>
      </w:hyperlink>
    </w:p>
    <w:p w14:paraId="323B226C" w14:textId="115D7CE6" w:rsidR="00511A6E" w:rsidRPr="00702E84" w:rsidRDefault="00511A6E" w:rsidP="00165D87">
      <w:pPr>
        <w:pStyle w:val="ListParagraph1"/>
        <w:spacing w:beforeLines="50" w:before="120" w:afterLines="50" w:after="120"/>
        <w:ind w:firstLineChars="0" w:firstLine="0"/>
        <w:jc w:val="both"/>
        <w:rPr>
          <w:rFonts w:eastAsia="SimSun"/>
          <w:lang w:eastAsia="zh-CN"/>
        </w:rPr>
      </w:pPr>
      <w:r>
        <w:rPr>
          <w:rFonts w:eastAsiaTheme="minorEastAsia"/>
          <w:lang w:val="en-NZ" w:eastAsia="zh-CN"/>
        </w:rPr>
        <w:t>Viet Nam</w:t>
      </w:r>
      <w:r w:rsidRPr="00CD485C">
        <w:rPr>
          <w:rFonts w:eastAsiaTheme="minorEastAsia"/>
          <w:lang w:val="en-NZ" w:eastAsia="zh-CN"/>
        </w:rPr>
        <w:t xml:space="preserve"> </w:t>
      </w:r>
      <w:r>
        <w:t>supports</w:t>
      </w:r>
      <w:r w:rsidRPr="001D50DD">
        <w:t xml:space="preserve"> </w:t>
      </w:r>
      <w:r>
        <w:t xml:space="preserve">conducting </w:t>
      </w:r>
      <w:r w:rsidRPr="001D50DD">
        <w:t>sharing and compatibility studies</w:t>
      </w:r>
      <w:r w:rsidRPr="00E1190E">
        <w:t xml:space="preserve"> </w:t>
      </w:r>
      <w:r>
        <w:t xml:space="preserve">in ITU-R in accordance with Resolution </w:t>
      </w:r>
      <w:r>
        <w:rPr>
          <w:b/>
        </w:rPr>
        <w:t>661</w:t>
      </w:r>
      <w:r w:rsidRPr="003F2C8D">
        <w:rPr>
          <w:b/>
        </w:rPr>
        <w:t xml:space="preserve"> (WRC-19)</w:t>
      </w:r>
      <w:r>
        <w:rPr>
          <w:b/>
        </w:rPr>
        <w:t xml:space="preserve"> </w:t>
      </w:r>
      <w:r>
        <w:rPr>
          <w:color w:val="201F1E"/>
          <w:shd w:val="clear" w:color="auto" w:fill="FFFFFF"/>
        </w:rPr>
        <w:t xml:space="preserve">to consider a possible </w:t>
      </w:r>
      <w:r w:rsidRPr="00D265B9">
        <w:rPr>
          <w:color w:val="201F1E"/>
          <w:shd w:val="clear" w:color="auto" w:fill="FFFFFF"/>
        </w:rPr>
        <w:t>upgrade of the allocation of the frequency band 14.8-15.35 GHz to</w:t>
      </w:r>
      <w:r>
        <w:rPr>
          <w:color w:val="201F1E"/>
          <w:shd w:val="clear" w:color="auto" w:fill="FFFFFF"/>
        </w:rPr>
        <w:t xml:space="preserve"> </w:t>
      </w:r>
      <w:r w:rsidRPr="00D265B9">
        <w:rPr>
          <w:color w:val="201F1E"/>
          <w:shd w:val="clear" w:color="auto" w:fill="FFFFFF"/>
        </w:rPr>
        <w:t>the space research service</w:t>
      </w:r>
      <w:r>
        <w:rPr>
          <w:color w:val="201F1E"/>
          <w:shd w:val="clear" w:color="auto" w:fill="FFFFFF"/>
        </w:rPr>
        <w:t xml:space="preserve">, while </w:t>
      </w:r>
      <w:r w:rsidRPr="001C5635">
        <w:t xml:space="preserve">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w:t>
      </w:r>
      <w:r>
        <w:rPr>
          <w:rFonts w:eastAsia="SimSun"/>
          <w:lang w:eastAsia="zh-CN"/>
        </w:rPr>
        <w:t xml:space="preserve"> in the same and adjacent frequency bands, in particular the </w:t>
      </w:r>
      <w:r>
        <w:t>fixed service allocated in the frequency band 14.5-15.35 GHz.</w:t>
      </w:r>
    </w:p>
    <w:p w14:paraId="5665BBFA" w14:textId="4B81A458" w:rsidR="00F15CD2" w:rsidRPr="00777CB7" w:rsidRDefault="002A0111" w:rsidP="00777CB7">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645E1B48" w14:textId="00EA9D6F" w:rsidR="00ED0CF6" w:rsidRDefault="00C3627A" w:rsidP="00ED0CF6">
      <w:pPr>
        <w:spacing w:before="120" w:after="120"/>
        <w:jc w:val="both"/>
        <w:rPr>
          <w:rFonts w:eastAsiaTheme="minorEastAsia"/>
          <w:lang w:val="en-NZ" w:eastAsia="zh-CN"/>
        </w:rPr>
      </w:pPr>
      <w:r w:rsidRPr="00777CB7">
        <w:rPr>
          <w:lang w:val="en-NZ"/>
        </w:rPr>
        <w:t>None</w:t>
      </w:r>
      <w:r w:rsidR="00777CB7">
        <w:rPr>
          <w:rFonts w:asciiTheme="minorEastAsia" w:eastAsiaTheme="minorEastAsia" w:hAnsiTheme="minorEastAsia" w:hint="eastAsia"/>
          <w:lang w:val="en-NZ" w:eastAsia="zh-CN"/>
        </w:rPr>
        <w:t>.</w:t>
      </w:r>
    </w:p>
    <w:p w14:paraId="56F39FDE" w14:textId="1BDE533E"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w:t>
      </w:r>
    </w:p>
    <w:p w14:paraId="763080A7" w14:textId="2B20FDC6" w:rsidR="00050611" w:rsidRPr="00306E44" w:rsidRDefault="00C42A7B" w:rsidP="002438F7">
      <w:pPr>
        <w:spacing w:before="120" w:after="120"/>
        <w:jc w:val="both"/>
      </w:pPr>
      <w:r w:rsidRPr="00306E44">
        <w:rPr>
          <w:rFonts w:eastAsiaTheme="minorEastAsia" w:hint="eastAsia"/>
          <w:lang w:val="en-NZ" w:eastAsia="zh-CN"/>
        </w:rPr>
        <w:t>A</w:t>
      </w:r>
      <w:r w:rsidRPr="00306E44">
        <w:rPr>
          <w:rFonts w:eastAsiaTheme="minorEastAsia"/>
          <w:lang w:val="en-NZ" w:eastAsia="zh-CN"/>
        </w:rPr>
        <w:t xml:space="preserve">PT </w:t>
      </w:r>
      <w:r w:rsidR="00162CB8" w:rsidRPr="00306E44">
        <w:rPr>
          <w:rFonts w:eastAsiaTheme="minorEastAsia"/>
          <w:lang w:val="en-NZ" w:eastAsia="zh-CN"/>
        </w:rPr>
        <w:t>M</w:t>
      </w:r>
      <w:r w:rsidRPr="00306E44">
        <w:rPr>
          <w:rFonts w:eastAsiaTheme="minorEastAsia"/>
          <w:lang w:val="en-NZ" w:eastAsia="zh-CN"/>
        </w:rPr>
        <w:t xml:space="preserve">embers </w:t>
      </w:r>
      <w:r w:rsidR="00251897" w:rsidRPr="00306E44">
        <w:rPr>
          <w:rFonts w:eastAsiaTheme="minorEastAsia"/>
          <w:lang w:val="en-NZ" w:eastAsia="zh-CN"/>
        </w:rPr>
        <w:t xml:space="preserve">support ITU-R </w:t>
      </w:r>
      <w:r w:rsidR="00965BE4" w:rsidRPr="00306E44">
        <w:rPr>
          <w:rFonts w:eastAsiaTheme="minorEastAsia"/>
          <w:lang w:val="en-NZ" w:eastAsia="zh-CN"/>
        </w:rPr>
        <w:t xml:space="preserve">sharing and compatibility </w:t>
      </w:r>
      <w:r w:rsidR="00251897" w:rsidRPr="00306E44">
        <w:rPr>
          <w:rFonts w:eastAsiaTheme="minorEastAsia"/>
          <w:lang w:val="en-NZ" w:eastAsia="zh-CN"/>
        </w:rPr>
        <w:t xml:space="preserve">studies for the consideration of upgrading the SRS allocation from secondary to primary in the frequency band 14.8-15.35 GHz, while ensuring protection </w:t>
      </w:r>
      <w:r w:rsidR="00B6724B">
        <w:rPr>
          <w:rFonts w:eastAsiaTheme="minorEastAsia"/>
          <w:lang w:val="en-NZ" w:eastAsia="zh-CN"/>
        </w:rPr>
        <w:t xml:space="preserve">of </w:t>
      </w:r>
      <w:r w:rsidR="007412C8" w:rsidRPr="00306E44">
        <w:rPr>
          <w:rFonts w:eastAsiaTheme="minorEastAsia"/>
          <w:lang w:val="en-NZ" w:eastAsia="zh-CN"/>
        </w:rPr>
        <w:t xml:space="preserve">and not </w:t>
      </w:r>
      <w:r w:rsidR="00965BE4" w:rsidRPr="00306E44">
        <w:rPr>
          <w:rFonts w:eastAsiaTheme="minorEastAsia"/>
          <w:lang w:val="en-NZ" w:eastAsia="zh-CN"/>
        </w:rPr>
        <w:t>adversely affecting</w:t>
      </w:r>
      <w:r w:rsidR="007412C8" w:rsidRPr="00306E44">
        <w:rPr>
          <w:rFonts w:eastAsiaTheme="minorEastAsia"/>
          <w:lang w:val="en-NZ" w:eastAsia="zh-CN"/>
        </w:rPr>
        <w:t xml:space="preserve"> </w:t>
      </w:r>
      <w:r w:rsidR="00447B0C" w:rsidRPr="00306E44">
        <w:rPr>
          <w:rFonts w:eastAsiaTheme="minorEastAsia"/>
          <w:lang w:val="en-NZ" w:eastAsia="zh-CN"/>
        </w:rPr>
        <w:t xml:space="preserve">incumbent services </w:t>
      </w:r>
      <w:r w:rsidR="00447B0C" w:rsidRPr="00306E44">
        <w:rPr>
          <w:lang w:val="en-NZ"/>
        </w:rPr>
        <w:t xml:space="preserve">in this frequency band </w:t>
      </w:r>
      <w:r w:rsidR="00424EDB" w:rsidRPr="00306E44">
        <w:rPr>
          <w:lang w:val="en-NZ"/>
        </w:rPr>
        <w:t>as well as</w:t>
      </w:r>
      <w:r w:rsidR="00447B0C" w:rsidRPr="00306E44">
        <w:rPr>
          <w:lang w:val="en-NZ"/>
        </w:rPr>
        <w:t xml:space="preserve"> </w:t>
      </w:r>
      <w:r w:rsidR="00950B0B" w:rsidRPr="00306E44">
        <w:rPr>
          <w:lang w:val="en-NZ"/>
        </w:rPr>
        <w:t>the adjacent bands.</w:t>
      </w:r>
    </w:p>
    <w:p w14:paraId="73277CAC" w14:textId="74FC2C56" w:rsidR="00800F1F" w:rsidRPr="00306E44" w:rsidRDefault="00965BE4" w:rsidP="002438F7">
      <w:pPr>
        <w:spacing w:before="120" w:after="120"/>
        <w:jc w:val="both"/>
        <w:rPr>
          <w:lang w:val="en-NZ"/>
        </w:rPr>
      </w:pPr>
      <w:r w:rsidRPr="00306E44">
        <w:t>A</w:t>
      </w:r>
      <w:r w:rsidR="000A33CE" w:rsidRPr="00306E44">
        <w:t>ppropriate transitional measure</w:t>
      </w:r>
      <w:r w:rsidR="00C3627A" w:rsidRPr="00306E44">
        <w:t>s</w:t>
      </w:r>
      <w:r w:rsidR="000A33CE" w:rsidRPr="00306E44">
        <w:t xml:space="preserve"> need to be developed to protect incumbent service</w:t>
      </w:r>
      <w:r w:rsidR="00C3627A" w:rsidRPr="00306E44">
        <w:t>s</w:t>
      </w:r>
      <w:r w:rsidR="000A33CE" w:rsidRPr="00306E44">
        <w:t xml:space="preserve"> </w:t>
      </w:r>
      <w:r w:rsidR="00C3627A" w:rsidRPr="00306E44">
        <w:t xml:space="preserve">that are </w:t>
      </w:r>
      <w:r w:rsidR="000A33CE" w:rsidRPr="00306E44">
        <w:t>allocated on a secondary basis in the frequency band 15.2-15.35 GHz.</w:t>
      </w:r>
    </w:p>
    <w:p w14:paraId="309CEA98"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1101DFD" w14:textId="6A8C5125" w:rsidR="002A0111" w:rsidRDefault="00C3627A" w:rsidP="006C1461">
      <w:pPr>
        <w:spacing w:before="120" w:after="120"/>
        <w:rPr>
          <w:lang w:val="en-NZ"/>
        </w:rPr>
      </w:pPr>
      <w:r w:rsidRPr="00306E44">
        <w:rPr>
          <w:rFonts w:eastAsiaTheme="minorEastAsia"/>
          <w:lang w:val="en-NZ" w:eastAsia="zh-CN"/>
        </w:rPr>
        <w:t>None</w:t>
      </w:r>
      <w:r w:rsidR="00306E44" w:rsidRPr="00306E44">
        <w:rPr>
          <w:rFonts w:eastAsiaTheme="minorEastAsia"/>
          <w:lang w:val="en-NZ" w:eastAsia="zh-CN"/>
        </w:rPr>
        <w:t>.</w:t>
      </w:r>
    </w:p>
    <w:p w14:paraId="45905CEB"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74830E9" w14:textId="35948566" w:rsidR="00CC5094" w:rsidRDefault="00CC5094" w:rsidP="00895CE9">
      <w:pPr>
        <w:spacing w:before="120" w:after="120"/>
        <w:jc w:val="both"/>
        <w:rPr>
          <w:rFonts w:eastAsiaTheme="minorEastAsia"/>
          <w:lang w:val="en-NZ" w:eastAsia="zh-CN"/>
        </w:rPr>
      </w:pPr>
      <w:r w:rsidRPr="00306E44">
        <w:rPr>
          <w:rFonts w:eastAsiaTheme="minorEastAsia"/>
          <w:lang w:val="en-NZ" w:eastAsia="zh-CN"/>
        </w:rPr>
        <w:t xml:space="preserve">APT Members are encouraged to participate in and contribute to the work of WP 7B at its next meeting in </w:t>
      </w:r>
      <w:r w:rsidR="00366136" w:rsidRPr="00306E44">
        <w:rPr>
          <w:rFonts w:eastAsiaTheme="minorEastAsia"/>
          <w:lang w:val="en-NZ" w:eastAsia="zh-CN"/>
        </w:rPr>
        <w:t>April</w:t>
      </w:r>
      <w:r w:rsidRPr="00306E44">
        <w:rPr>
          <w:rFonts w:eastAsiaTheme="minorEastAsia"/>
          <w:lang w:val="en-NZ" w:eastAsia="zh-CN"/>
        </w:rPr>
        <w:t xml:space="preserve"> 20</w:t>
      </w:r>
      <w:r w:rsidR="00742C02" w:rsidRPr="00306E44">
        <w:rPr>
          <w:rFonts w:eastAsiaTheme="minorEastAsia"/>
          <w:lang w:val="en-NZ" w:eastAsia="zh-CN"/>
        </w:rPr>
        <w:t>2</w:t>
      </w:r>
      <w:r w:rsidR="00366136" w:rsidRPr="00306E44">
        <w:rPr>
          <w:rFonts w:eastAsiaTheme="minorEastAsia"/>
          <w:lang w:val="en-NZ" w:eastAsia="zh-CN"/>
        </w:rPr>
        <w:t>2</w:t>
      </w:r>
      <w:r w:rsidRPr="00306E44">
        <w:rPr>
          <w:rFonts w:eastAsiaTheme="minorEastAsia"/>
          <w:lang w:val="en-NZ" w:eastAsia="zh-CN"/>
        </w:rPr>
        <w:t xml:space="preserve"> and as well as to </w:t>
      </w:r>
      <w:r w:rsidR="001B3695" w:rsidRPr="00306E44">
        <w:rPr>
          <w:rFonts w:eastAsiaTheme="minorEastAsia"/>
          <w:lang w:val="en-NZ" w:eastAsia="zh-CN"/>
        </w:rPr>
        <w:t xml:space="preserve">future </w:t>
      </w:r>
      <w:r w:rsidRPr="00306E44">
        <w:rPr>
          <w:rFonts w:eastAsiaTheme="minorEastAsia"/>
          <w:lang w:val="en-NZ" w:eastAsia="zh-CN"/>
        </w:rPr>
        <w:t>APG</w:t>
      </w:r>
      <w:r w:rsidR="00124AFD" w:rsidRPr="00306E44">
        <w:rPr>
          <w:rFonts w:eastAsiaTheme="minorEastAsia"/>
          <w:lang w:val="en-NZ" w:eastAsia="zh-CN"/>
        </w:rPr>
        <w:t>23</w:t>
      </w:r>
      <w:r w:rsidR="001B3695" w:rsidRPr="00306E44">
        <w:rPr>
          <w:rFonts w:eastAsiaTheme="minorEastAsia"/>
          <w:lang w:val="en-NZ" w:eastAsia="zh-CN"/>
        </w:rPr>
        <w:t xml:space="preserve"> meetings</w:t>
      </w:r>
      <w:r w:rsidRPr="00306E44">
        <w:rPr>
          <w:rFonts w:eastAsiaTheme="minorEastAsia"/>
          <w:lang w:val="en-NZ" w:eastAsia="zh-CN"/>
        </w:rPr>
        <w:t>.</w:t>
      </w:r>
    </w:p>
    <w:p w14:paraId="5CF701BE"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5946ED19" w14:textId="3AEA3423" w:rsidR="002A0111" w:rsidRPr="00441526" w:rsidRDefault="002A0111" w:rsidP="00ED39B3">
      <w:pPr>
        <w:spacing w:before="120" w:after="120"/>
        <w:ind w:firstLine="720"/>
        <w:jc w:val="both"/>
        <w:rPr>
          <w:lang w:val="en-NZ"/>
        </w:rPr>
      </w:pPr>
      <w:r w:rsidRPr="006F518F">
        <w:rPr>
          <w:lang w:val="en-NZ"/>
        </w:rPr>
        <w:t>APG</w:t>
      </w:r>
      <w:r w:rsidR="006B09DB">
        <w:rPr>
          <w:lang w:val="en-NZ"/>
        </w:rPr>
        <w:t>23</w:t>
      </w:r>
      <w:r w:rsidR="003D3D47">
        <w:rPr>
          <w:lang w:val="en-NZ"/>
        </w:rPr>
        <w:t>-</w:t>
      </w:r>
      <w:r w:rsidR="008113A0">
        <w:rPr>
          <w:lang w:val="en-NZ"/>
        </w:rPr>
        <w:t>3</w:t>
      </w:r>
      <w:r w:rsidR="003D3D47">
        <w:rPr>
          <w:lang w:val="en-NZ"/>
        </w:rPr>
        <w:t>)</w:t>
      </w:r>
    </w:p>
    <w:p w14:paraId="1102CBA0" w14:textId="77777777" w:rsidR="002A0111" w:rsidRPr="00441526" w:rsidRDefault="005206E9" w:rsidP="00ED39B3">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334A700C" w14:textId="0F74A9E2" w:rsidR="002A0111"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7405CB">
        <w:rPr>
          <w:b/>
          <w:lang w:val="en-NZ" w:eastAsia="ko-KR"/>
        </w:rPr>
        <w:t>3</w:t>
      </w:r>
      <w:r w:rsidR="002A0111" w:rsidRPr="00F03E5B">
        <w:rPr>
          <w:b/>
          <w:lang w:val="en-NZ" w:eastAsia="ko-KR"/>
        </w:rPr>
        <w:t>/</w:t>
      </w:r>
      <w:bookmarkStart w:id="0" w:name="_Hlk87389037"/>
      <w:r w:rsidR="00EF3477">
        <w:fldChar w:fldCharType="begin"/>
      </w:r>
      <w:r w:rsidR="00EF3477">
        <w:instrText xml:space="preserve"> HYPERLINK "https://www.apt.int/sites/default/files/2021/11/APG23-3-INF-37_ASMG_Preparation_for_WRC-23.pdf" </w:instrText>
      </w:r>
      <w:r w:rsidR="00EF3477">
        <w:fldChar w:fldCharType="separate"/>
      </w:r>
      <w:r w:rsidR="007405CB" w:rsidRPr="007405CB">
        <w:rPr>
          <w:rStyle w:val="Hyperlink"/>
          <w:rFonts w:eastAsia="MS Mincho"/>
          <w:b/>
          <w:bCs/>
          <w:lang w:val="en-NZ" w:eastAsia="ja-JP"/>
        </w:rPr>
        <w:t>INF-</w:t>
      </w:r>
      <w:r w:rsidR="008773AC">
        <w:rPr>
          <w:rStyle w:val="Hyperlink"/>
          <w:rFonts w:eastAsia="MS Mincho"/>
          <w:b/>
          <w:bCs/>
          <w:lang w:val="en-NZ" w:eastAsia="ja-JP"/>
        </w:rPr>
        <w:t>37</w:t>
      </w:r>
      <w:r w:rsidR="00EF3477">
        <w:rPr>
          <w:rStyle w:val="Hyperlink"/>
          <w:rFonts w:eastAsia="MS Mincho"/>
          <w:b/>
          <w:bCs/>
          <w:lang w:val="en-NZ" w:eastAsia="ja-JP"/>
        </w:rPr>
        <w:fldChar w:fldCharType="end"/>
      </w:r>
      <w:bookmarkEnd w:id="0"/>
    </w:p>
    <w:p w14:paraId="48D6FA31" w14:textId="70EE3116" w:rsidR="00ED39B3" w:rsidRPr="00C9185F" w:rsidRDefault="002B20D5" w:rsidP="002A0111">
      <w:pPr>
        <w:spacing w:after="120"/>
        <w:jc w:val="both"/>
        <w:rPr>
          <w:rFonts w:eastAsia="SimSun"/>
          <w:bCs/>
          <w:lang w:val="en-NZ" w:eastAsia="zh-CN"/>
        </w:rPr>
      </w:pPr>
      <w:r>
        <w:rPr>
          <w:rFonts w:eastAsia="SimSun"/>
          <w:bCs/>
          <w:lang w:val="en-NZ" w:eastAsia="zh-CN"/>
        </w:rPr>
        <w:t>Follow-up studies under this agenda</w:t>
      </w:r>
      <w:r w:rsidR="006D1EA3">
        <w:rPr>
          <w:rFonts w:eastAsia="SimSun"/>
          <w:bCs/>
          <w:lang w:val="en-NZ" w:eastAsia="zh-CN"/>
        </w:rPr>
        <w:t xml:space="preserve"> item, focusing on protecting existing services, especially microwave links operation in the band 14.8-15.35 GHz and radio services in adjacent bands, without imposing additional restrictions on existing </w:t>
      </w:r>
      <w:r w:rsidR="00C9185F">
        <w:rPr>
          <w:rFonts w:eastAsia="SimSun"/>
          <w:bCs/>
          <w:lang w:val="en-NZ" w:eastAsia="zh-CN"/>
        </w:rPr>
        <w:t>primary service and systems in the band and adjacent bands.</w:t>
      </w:r>
    </w:p>
    <w:p w14:paraId="0CC58942" w14:textId="6FD468CD" w:rsidR="005A5168" w:rsidRDefault="005A5168" w:rsidP="002A0111">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Pr>
          <w:b/>
          <w:lang w:val="en-NZ" w:eastAsia="ko-KR"/>
        </w:rPr>
        <w:t>ATU</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w:t>
      </w:r>
      <w:bookmarkStart w:id="1" w:name="_Hlk87389066"/>
      <w:r w:rsidR="00EF3477">
        <w:fldChar w:fldCharType="begin"/>
      </w:r>
      <w:r w:rsidR="00EF3477">
        <w:instrText xml:space="preserve"> HYPERLINK "https://www.apt.int/sites/default/files/2021/11/APG23-3-INF-39_Report_of_APM23-2.docx" </w:instrText>
      </w:r>
      <w:r w:rsidR="00EF3477">
        <w:fldChar w:fldCharType="separate"/>
      </w:r>
      <w:r w:rsidRPr="007405CB">
        <w:rPr>
          <w:rStyle w:val="Hyperlink"/>
          <w:rFonts w:eastAsia="MS Mincho"/>
          <w:b/>
          <w:bCs/>
          <w:lang w:val="en-NZ" w:eastAsia="ja-JP"/>
        </w:rPr>
        <w:t>INF-</w:t>
      </w:r>
      <w:r w:rsidR="009D4B3D">
        <w:rPr>
          <w:rStyle w:val="Hyperlink"/>
          <w:rFonts w:eastAsia="MS Mincho"/>
          <w:b/>
          <w:bCs/>
          <w:lang w:val="en-NZ" w:eastAsia="ja-JP"/>
        </w:rPr>
        <w:t>39</w:t>
      </w:r>
      <w:r w:rsidR="00EF3477">
        <w:rPr>
          <w:rStyle w:val="Hyperlink"/>
          <w:rFonts w:eastAsia="MS Mincho"/>
          <w:b/>
          <w:bCs/>
          <w:lang w:val="en-NZ" w:eastAsia="ja-JP"/>
        </w:rPr>
        <w:fldChar w:fldCharType="end"/>
      </w:r>
      <w:bookmarkEnd w:id="1"/>
    </w:p>
    <w:p w14:paraId="6416DBFD" w14:textId="6A2AAF6F" w:rsidR="005A5168" w:rsidRPr="005A5168" w:rsidRDefault="005A5168" w:rsidP="002A0111">
      <w:pPr>
        <w:spacing w:after="120"/>
        <w:jc w:val="both"/>
        <w:rPr>
          <w:rFonts w:eastAsia="SimSun"/>
          <w:bCs/>
          <w:lang w:val="en-NZ" w:eastAsia="zh-CN"/>
        </w:rPr>
      </w:pPr>
      <w:r w:rsidRPr="006B61A0">
        <w:rPr>
          <w:rFonts w:eastAsia="SimSun"/>
          <w:bCs/>
          <w:lang w:val="en-NZ" w:eastAsia="zh-CN"/>
        </w:rPr>
        <w:t>Support the studies under this Agenda Item to upgrade the use of SRS in the band 14.8</w:t>
      </w:r>
      <w:r>
        <w:rPr>
          <w:rFonts w:eastAsia="SimSun"/>
          <w:bCs/>
          <w:lang w:val="en-NZ" w:eastAsia="zh-CN"/>
        </w:rPr>
        <w:t>-</w:t>
      </w:r>
      <w:r w:rsidRPr="006B61A0">
        <w:rPr>
          <w:rFonts w:eastAsia="SimSun"/>
          <w:bCs/>
          <w:lang w:val="en-NZ" w:eastAsia="zh-CN"/>
        </w:rPr>
        <w:t>15.35 GHz without imposing constraints on existing systems of primary allocation in-band and adjacent bands. Specifically ensuring the protection of Radio Astronomy, Earth Exploration and SRS passive in the band 15.35</w:t>
      </w:r>
      <w:r>
        <w:rPr>
          <w:rFonts w:eastAsia="SimSun"/>
          <w:bCs/>
          <w:lang w:val="en-NZ" w:eastAsia="zh-CN"/>
        </w:rPr>
        <w:t>-</w:t>
      </w:r>
      <w:r w:rsidRPr="006B61A0">
        <w:rPr>
          <w:rFonts w:eastAsia="SimSun"/>
          <w:bCs/>
          <w:lang w:val="en-NZ" w:eastAsia="zh-CN"/>
        </w:rPr>
        <w:t>15.4 GHz.</w:t>
      </w:r>
    </w:p>
    <w:p w14:paraId="7A5FAE93" w14:textId="52975511"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5A5168">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96341A">
        <w:rPr>
          <w:b/>
          <w:lang w:val="en-NZ" w:eastAsia="ko-KR"/>
        </w:rPr>
        <w:t>3</w:t>
      </w:r>
      <w:r w:rsidR="002A0111" w:rsidRPr="00441526">
        <w:rPr>
          <w:b/>
          <w:lang w:val="en-NZ" w:eastAsia="ko-KR"/>
        </w:rPr>
        <w:t>/</w:t>
      </w:r>
      <w:hyperlink r:id="rId37" w:history="1">
        <w:r w:rsidR="0096341A" w:rsidRPr="0096341A">
          <w:rPr>
            <w:rStyle w:val="Hyperlink"/>
            <w:rFonts w:eastAsia="MS Mincho"/>
            <w:b/>
            <w:bCs/>
            <w:lang w:eastAsia="ja-JP"/>
          </w:rPr>
          <w:t>INF-20</w:t>
        </w:r>
      </w:hyperlink>
    </w:p>
    <w:p w14:paraId="35E5BFFB" w14:textId="61BF178E" w:rsidR="00ED39B3" w:rsidRPr="001A2A58" w:rsidRDefault="008039B4" w:rsidP="008039B4">
      <w:pPr>
        <w:spacing w:after="120"/>
        <w:jc w:val="both"/>
        <w:rPr>
          <w:rFonts w:eastAsiaTheme="minorEastAsia"/>
          <w:bCs/>
          <w:lang w:val="en-NZ" w:eastAsia="zh-CN"/>
        </w:rPr>
      </w:pPr>
      <w:r w:rsidRPr="008039B4">
        <w:rPr>
          <w:rFonts w:eastAsiaTheme="minorEastAsia"/>
          <w:bCs/>
          <w:lang w:val="en-NZ" w:eastAsia="zh-CN"/>
        </w:rPr>
        <w:t>CEPT is supporting upgrade of SRS allocation from secondary to primary while ensuring protection for in</w:t>
      </w:r>
      <w:r w:rsidR="008B4428">
        <w:rPr>
          <w:rFonts w:eastAsiaTheme="minorEastAsia" w:hint="eastAsia"/>
          <w:bCs/>
          <w:lang w:val="en-NZ" w:eastAsia="zh-CN"/>
        </w:rPr>
        <w:t>-</w:t>
      </w:r>
      <w:r w:rsidRPr="008039B4">
        <w:rPr>
          <w:rFonts w:eastAsiaTheme="minorEastAsia"/>
          <w:bCs/>
          <w:lang w:val="en-NZ" w:eastAsia="zh-CN"/>
        </w:rPr>
        <w:t>band FS/MS</w:t>
      </w:r>
      <w:r>
        <w:rPr>
          <w:rFonts w:eastAsiaTheme="minorEastAsia" w:hint="eastAsia"/>
          <w:bCs/>
          <w:lang w:val="en-NZ" w:eastAsia="zh-CN"/>
        </w:rPr>
        <w:t xml:space="preserve"> </w:t>
      </w:r>
      <w:r w:rsidRPr="008039B4">
        <w:rPr>
          <w:rFonts w:eastAsiaTheme="minorEastAsia"/>
          <w:bCs/>
          <w:lang w:val="en-NZ" w:eastAsia="zh-CN"/>
        </w:rPr>
        <w:t>and for radioastronomy service in the adjacent band 15.3</w:t>
      </w:r>
      <w:r w:rsidR="00121CBE">
        <w:rPr>
          <w:rFonts w:eastAsiaTheme="minorEastAsia"/>
          <w:bCs/>
          <w:lang w:val="en-NZ" w:eastAsia="zh-CN"/>
        </w:rPr>
        <w:t>5-</w:t>
      </w:r>
      <w:r w:rsidRPr="008039B4">
        <w:rPr>
          <w:rFonts w:eastAsiaTheme="minorEastAsia"/>
          <w:bCs/>
          <w:lang w:val="en-NZ" w:eastAsia="zh-CN"/>
        </w:rPr>
        <w:t>15.4 GHz. Upgrading of the allocation of the frequency</w:t>
      </w:r>
      <w:r>
        <w:rPr>
          <w:rFonts w:eastAsiaTheme="minorEastAsia" w:hint="eastAsia"/>
          <w:bCs/>
          <w:lang w:val="en-NZ" w:eastAsia="zh-CN"/>
        </w:rPr>
        <w:t xml:space="preserve"> </w:t>
      </w:r>
      <w:r w:rsidRPr="008039B4">
        <w:rPr>
          <w:rFonts w:eastAsiaTheme="minorEastAsia"/>
          <w:bCs/>
          <w:lang w:val="en-NZ" w:eastAsia="zh-CN"/>
        </w:rPr>
        <w:t>band 14.8</w:t>
      </w:r>
      <w:r w:rsidRPr="008039B4">
        <w:rPr>
          <w:rFonts w:eastAsiaTheme="minorEastAsia" w:hint="eastAsia"/>
          <w:bCs/>
          <w:lang w:val="en-NZ" w:eastAsia="zh-CN"/>
        </w:rPr>
        <w:t>‐</w:t>
      </w:r>
      <w:r w:rsidRPr="008039B4">
        <w:rPr>
          <w:rFonts w:eastAsiaTheme="minorEastAsia"/>
          <w:bCs/>
          <w:lang w:val="en-NZ" w:eastAsia="zh-CN"/>
        </w:rPr>
        <w:t>15.35 GHz to the space research service should not impose constraints on existing systems of FS and MS in</w:t>
      </w:r>
      <w:r>
        <w:rPr>
          <w:rFonts w:eastAsiaTheme="minorEastAsia" w:hint="eastAsia"/>
          <w:bCs/>
          <w:lang w:val="en-NZ" w:eastAsia="zh-CN"/>
        </w:rPr>
        <w:t xml:space="preserve"> </w:t>
      </w:r>
      <w:r w:rsidRPr="008039B4">
        <w:rPr>
          <w:rFonts w:eastAsiaTheme="minorEastAsia"/>
          <w:bCs/>
          <w:lang w:val="en-NZ" w:eastAsia="zh-CN"/>
        </w:rPr>
        <w:t>the frequency band 14.8</w:t>
      </w:r>
      <w:r w:rsidR="00121CBE">
        <w:rPr>
          <w:rFonts w:eastAsiaTheme="minorEastAsia" w:hint="eastAsia"/>
          <w:bCs/>
          <w:lang w:val="en-NZ" w:eastAsia="zh-CN"/>
        </w:rPr>
        <w:t>-</w:t>
      </w:r>
      <w:r w:rsidRPr="008039B4">
        <w:rPr>
          <w:rFonts w:eastAsiaTheme="minorEastAsia"/>
          <w:bCs/>
          <w:lang w:val="en-NZ" w:eastAsia="zh-CN"/>
        </w:rPr>
        <w:t>15.35 GHz.</w:t>
      </w:r>
    </w:p>
    <w:p w14:paraId="2B3C123B" w14:textId="66A1DD54" w:rsidR="002A0111" w:rsidRDefault="005206E9" w:rsidP="002A0111">
      <w:pPr>
        <w:spacing w:after="120"/>
        <w:jc w:val="both"/>
        <w:rPr>
          <w:b/>
          <w:lang w:val="en-NZ" w:eastAsia="ko-KR"/>
        </w:rPr>
      </w:pPr>
      <w:r>
        <w:rPr>
          <w:b/>
          <w:lang w:val="en-NZ" w:eastAsia="ko-KR"/>
        </w:rPr>
        <w:lastRenderedPageBreak/>
        <w:t>7</w:t>
      </w:r>
      <w:r w:rsidR="002A0111" w:rsidRPr="00441526">
        <w:rPr>
          <w:b/>
          <w:lang w:val="en-NZ" w:eastAsia="ko-KR"/>
        </w:rPr>
        <w:t>.1.</w:t>
      </w:r>
      <w:r w:rsidR="00AF39A0">
        <w:rPr>
          <w:b/>
          <w:lang w:val="en-NZ" w:eastAsia="ko-KR"/>
        </w:rPr>
        <w:t>4</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AF39A0">
        <w:rPr>
          <w:b/>
          <w:lang w:val="en-NZ" w:eastAsia="ko-KR"/>
        </w:rPr>
        <w:t>3</w:t>
      </w:r>
      <w:r w:rsidR="002A0111" w:rsidRPr="00441526">
        <w:rPr>
          <w:b/>
          <w:lang w:val="en-NZ" w:eastAsia="ko-KR"/>
        </w:rPr>
        <w:t>/</w:t>
      </w:r>
      <w:hyperlink r:id="rId38" w:history="1">
        <w:r w:rsidR="00AF39A0" w:rsidRPr="007405CB">
          <w:rPr>
            <w:rStyle w:val="Hyperlink"/>
            <w:rFonts w:eastAsia="MS Mincho"/>
            <w:b/>
            <w:bCs/>
            <w:lang w:val="en-NZ" w:eastAsia="ja-JP"/>
          </w:rPr>
          <w:t>INF-10</w:t>
        </w:r>
      </w:hyperlink>
    </w:p>
    <w:p w14:paraId="681D04C0" w14:textId="483AC1F0" w:rsidR="00ED39B3" w:rsidRPr="009245C7" w:rsidRDefault="00A249B6" w:rsidP="002A0111">
      <w:pPr>
        <w:spacing w:after="120"/>
        <w:jc w:val="both"/>
        <w:rPr>
          <w:rFonts w:eastAsiaTheme="minorEastAsia"/>
          <w:bCs/>
          <w:lang w:val="en-NZ" w:eastAsia="zh-CN"/>
        </w:rPr>
      </w:pPr>
      <w:r w:rsidRPr="005F78BC">
        <w:rPr>
          <w:bCs/>
          <w:lang w:val="en-NZ" w:eastAsia="ko-KR"/>
        </w:rPr>
        <w:t>An Administration supports studies in accordance with Resolution 661 (Rev. WRC-19) to consider a possible upgrade to the existing global allocation to the SRS in the frequency range 14.8-15.35 GHz, taking into account the need to provide protection to and to not impose constraints on incumbent services in this frequency band and adjacent frequency bands.</w:t>
      </w:r>
    </w:p>
    <w:p w14:paraId="5A078F69" w14:textId="1F2B6E5C" w:rsidR="002A0111" w:rsidRDefault="005206E9" w:rsidP="002A0111">
      <w:pPr>
        <w:spacing w:after="120"/>
        <w:jc w:val="both"/>
        <w:rPr>
          <w:b/>
          <w:lang w:val="en-NZ" w:eastAsia="ko-KR"/>
        </w:rPr>
      </w:pPr>
      <w:r>
        <w:rPr>
          <w:b/>
          <w:lang w:val="en-NZ" w:eastAsia="ko-KR"/>
        </w:rPr>
        <w:t>7</w:t>
      </w:r>
      <w:r w:rsidR="002A0111" w:rsidRPr="00441526">
        <w:rPr>
          <w:b/>
          <w:lang w:val="en-NZ" w:eastAsia="ko-KR"/>
        </w:rPr>
        <w:t>.1.</w:t>
      </w:r>
      <w:r w:rsidR="004A5476">
        <w:rPr>
          <w:b/>
          <w:lang w:val="en-NZ" w:eastAsia="ko-KR"/>
        </w:rPr>
        <w:t>5</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E17155">
        <w:rPr>
          <w:b/>
          <w:lang w:val="en-NZ" w:eastAsia="ko-KR"/>
        </w:rPr>
        <w:t>3</w:t>
      </w:r>
      <w:r w:rsidR="002A0111" w:rsidRPr="00441526">
        <w:rPr>
          <w:b/>
          <w:lang w:val="en-NZ" w:eastAsia="ko-KR"/>
        </w:rPr>
        <w:t>/</w:t>
      </w:r>
      <w:hyperlink r:id="rId39" w:history="1">
        <w:r w:rsidR="004A5476" w:rsidRPr="007405CB">
          <w:rPr>
            <w:rStyle w:val="Hyperlink"/>
            <w:rFonts w:eastAsia="MS Mincho"/>
            <w:b/>
            <w:bCs/>
            <w:lang w:val="en-NZ" w:eastAsia="ja-JP"/>
          </w:rPr>
          <w:t>INF-10</w:t>
        </w:r>
      </w:hyperlink>
    </w:p>
    <w:p w14:paraId="5529DC4E" w14:textId="67FAA5BC" w:rsidR="00927408" w:rsidRPr="004A5476" w:rsidRDefault="004A5476" w:rsidP="004A5476">
      <w:pPr>
        <w:spacing w:after="120"/>
        <w:jc w:val="both"/>
        <w:rPr>
          <w:rFonts w:eastAsiaTheme="minorEastAsia"/>
          <w:bCs/>
          <w:lang w:val="en-NZ" w:eastAsia="zh-CN"/>
        </w:rPr>
      </w:pPr>
      <w:r w:rsidRPr="004A5476">
        <w:rPr>
          <w:bCs/>
          <w:lang w:val="en-NZ" w:eastAsia="ko-KR"/>
        </w:rPr>
        <w:t>The RCC Administrations are in favour of upgrading the allocation of the frequency band 14.8-15.35 GHz to the space research service while protecting FS and MS in the subject frequency band, as well as passive services in the adjacent frequency band 15,35-15,4 GHz, taking into account results of the compatibly and sharing studies. Upgrading the SRS allocation should not impose constraints on the incumbent FS and MS systems in the frequency band 14.8-15.35 GHz.</w:t>
      </w:r>
    </w:p>
    <w:p w14:paraId="174ED028" w14:textId="4A33A7F6" w:rsidR="002A0111" w:rsidRPr="00441526" w:rsidRDefault="005206E9" w:rsidP="00622EAC">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w:t>
      </w:r>
      <w:r w:rsidR="005933DA">
        <w:rPr>
          <w:b/>
          <w:lang w:val="en-NZ" w:eastAsia="ko-KR"/>
        </w:rPr>
        <w:t>z</w:t>
      </w:r>
      <w:r w:rsidR="002A0111" w:rsidRPr="00441526">
        <w:rPr>
          <w:b/>
          <w:lang w:val="en-NZ" w:eastAsia="ko-KR"/>
        </w:rPr>
        <w:t>ations</w:t>
      </w:r>
    </w:p>
    <w:p w14:paraId="5B497A7F" w14:textId="7B672F8D" w:rsidR="002A0111" w:rsidRDefault="005206E9" w:rsidP="00ED39B3">
      <w:pPr>
        <w:spacing w:after="120"/>
        <w:jc w:val="both"/>
        <w:rPr>
          <w:b/>
          <w:lang w:val="en-NZ" w:eastAsia="ko-KR"/>
        </w:rPr>
      </w:pPr>
      <w:r>
        <w:rPr>
          <w:b/>
          <w:lang w:val="en-NZ" w:eastAsia="ko-KR"/>
        </w:rPr>
        <w:t>7</w:t>
      </w:r>
      <w:r w:rsidR="002A0111" w:rsidRPr="00441526">
        <w:rPr>
          <w:b/>
          <w:lang w:val="en-NZ" w:eastAsia="ko-KR"/>
        </w:rPr>
        <w:t>.2.</w:t>
      </w:r>
      <w:r w:rsidR="007609D6">
        <w:rPr>
          <w:b/>
          <w:lang w:val="en-NZ" w:eastAsia="ko-KR"/>
        </w:rPr>
        <w:t>1</w:t>
      </w:r>
      <w:r w:rsidR="002A0111" w:rsidRPr="00441526">
        <w:rPr>
          <w:b/>
          <w:lang w:val="en-NZ" w:eastAsia="ko-KR"/>
        </w:rPr>
        <w:t xml:space="preserve"> </w:t>
      </w:r>
      <w:r w:rsidR="002A0111" w:rsidRPr="00441526">
        <w:rPr>
          <w:b/>
          <w:lang w:val="en-NZ" w:eastAsia="ko-KR"/>
        </w:rPr>
        <w:tab/>
      </w:r>
      <w:r w:rsidR="00F03E5B">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3E5B">
        <w:rPr>
          <w:b/>
          <w:lang w:val="en-NZ" w:eastAsia="ko-KR"/>
        </w:rPr>
        <w:t>3</w:t>
      </w:r>
      <w:r w:rsidR="002A0111" w:rsidRPr="00441526">
        <w:rPr>
          <w:b/>
          <w:lang w:val="en-NZ" w:eastAsia="ko-KR"/>
        </w:rPr>
        <w:t>/</w:t>
      </w:r>
      <w:hyperlink r:id="rId40" w:history="1">
        <w:r w:rsidR="00F03E5B" w:rsidRPr="00F03E5B">
          <w:rPr>
            <w:rStyle w:val="Hyperlink"/>
            <w:rFonts w:eastAsia="MS Mincho"/>
            <w:b/>
            <w:lang w:val="en-NZ" w:eastAsia="ja-JP"/>
          </w:rPr>
          <w:t>INF-01</w:t>
        </w:r>
      </w:hyperlink>
    </w:p>
    <w:p w14:paraId="6930C3D0" w14:textId="0CE342C6" w:rsidR="00ED39B3" w:rsidRPr="007A6482" w:rsidRDefault="0006268B" w:rsidP="007A6482">
      <w:pPr>
        <w:spacing w:after="120"/>
        <w:jc w:val="both"/>
        <w:rPr>
          <w:rFonts w:eastAsiaTheme="minorEastAsia"/>
          <w:bCs/>
          <w:lang w:val="en-NZ" w:eastAsia="zh-CN"/>
        </w:rPr>
      </w:pPr>
      <w:r w:rsidRPr="0006268B">
        <w:rPr>
          <w:rFonts w:eastAsiaTheme="minorEastAsia"/>
          <w:bCs/>
          <w:lang w:val="en-NZ" w:eastAsia="zh-CN"/>
        </w:rPr>
        <w:t>WMO is not opposed to the upgrading the existing space research service (SRS) secondary allocation in 14.8-15.35 GHz to primary status.</w:t>
      </w:r>
    </w:p>
    <w:p w14:paraId="19993041" w14:textId="3C90EBC7" w:rsidR="00ED39B3" w:rsidRDefault="007A6482" w:rsidP="00ED39B3">
      <w:pPr>
        <w:spacing w:after="120"/>
        <w:jc w:val="both"/>
        <w:rPr>
          <w:rStyle w:val="Hyperlink"/>
          <w:rFonts w:eastAsia="MS Mincho"/>
          <w:b/>
          <w:bCs/>
          <w:lang w:val="en-NZ" w:eastAsia="ja-JP"/>
        </w:rPr>
      </w:pPr>
      <w:r>
        <w:rPr>
          <w:b/>
          <w:lang w:val="en-NZ" w:eastAsia="ko-KR"/>
        </w:rPr>
        <w:t>7</w:t>
      </w:r>
      <w:r w:rsidRPr="00441526">
        <w:rPr>
          <w:b/>
          <w:lang w:val="en-NZ" w:eastAsia="ko-KR"/>
        </w:rPr>
        <w:t>.2.</w:t>
      </w:r>
      <w:r w:rsidR="00CC2B7A">
        <w:rPr>
          <w:b/>
          <w:lang w:val="en-NZ" w:eastAsia="ko-KR"/>
        </w:rPr>
        <w:t>2</w:t>
      </w:r>
      <w:r w:rsidRPr="00441526">
        <w:rPr>
          <w:b/>
          <w:lang w:val="en-NZ" w:eastAsia="ko-KR"/>
        </w:rPr>
        <w:t xml:space="preserve"> </w:t>
      </w:r>
      <w:r w:rsidRPr="00441526">
        <w:rPr>
          <w:b/>
          <w:lang w:val="en-NZ" w:eastAsia="ko-KR"/>
        </w:rPr>
        <w:tab/>
      </w:r>
      <w:r w:rsidR="001C6412">
        <w:rPr>
          <w:b/>
          <w:lang w:val="en-NZ" w:eastAsia="ko-KR"/>
        </w:rPr>
        <w:t>ICAO</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97D50">
        <w:rPr>
          <w:b/>
          <w:lang w:val="en-NZ" w:eastAsia="ko-KR"/>
        </w:rPr>
        <w:t>3</w:t>
      </w:r>
      <w:r w:rsidRPr="00441526">
        <w:rPr>
          <w:b/>
          <w:lang w:val="en-NZ" w:eastAsia="ko-KR"/>
        </w:rPr>
        <w:t>/</w:t>
      </w:r>
      <w:hyperlink r:id="rId41" w:history="1">
        <w:r w:rsidR="001C6412" w:rsidRPr="001C6412">
          <w:rPr>
            <w:rStyle w:val="Hyperlink"/>
            <w:rFonts w:eastAsia="MS Mincho"/>
            <w:b/>
            <w:bCs/>
            <w:lang w:val="en-NZ" w:eastAsia="ja-JP"/>
          </w:rPr>
          <w:t>INF-15</w:t>
        </w:r>
      </w:hyperlink>
    </w:p>
    <w:p w14:paraId="66CD11AC" w14:textId="77777777" w:rsidR="003432B3" w:rsidRPr="003432B3" w:rsidRDefault="003432B3" w:rsidP="003432B3">
      <w:pPr>
        <w:autoSpaceDE w:val="0"/>
        <w:autoSpaceDN w:val="0"/>
        <w:adjustRightInd w:val="0"/>
        <w:spacing w:after="120"/>
        <w:jc w:val="both"/>
        <w:rPr>
          <w:rFonts w:eastAsia="SimSun"/>
          <w:lang w:val="en-GB"/>
        </w:rPr>
      </w:pPr>
      <w:r w:rsidRPr="003432B3">
        <w:rPr>
          <w:rFonts w:eastAsia="SimSun"/>
          <w:lang w:val="en-GB"/>
        </w:rPr>
        <w:t xml:space="preserve">To support studies called for by Resolution </w:t>
      </w:r>
      <w:r w:rsidRPr="003432B3">
        <w:rPr>
          <w:rFonts w:eastAsia="SimSun"/>
          <w:b/>
          <w:bCs/>
          <w:lang w:val="en-GB"/>
        </w:rPr>
        <w:t>661</w:t>
      </w:r>
      <w:r w:rsidRPr="003432B3">
        <w:rPr>
          <w:rFonts w:eastAsia="SimSun"/>
          <w:lang w:val="en-GB"/>
        </w:rPr>
        <w:t xml:space="preserve"> (WRC 19) ensuring that they take account of systems operating in the aeronautical mobile service.</w:t>
      </w:r>
    </w:p>
    <w:p w14:paraId="57B5D0C9" w14:textId="28EC2676" w:rsidR="005E0EA9" w:rsidRDefault="003432B3" w:rsidP="003432B3">
      <w:pPr>
        <w:spacing w:after="120"/>
        <w:jc w:val="both"/>
        <w:rPr>
          <w:b/>
          <w:lang w:val="en-NZ" w:eastAsia="ko-KR"/>
        </w:rPr>
      </w:pPr>
      <w:r w:rsidRPr="003432B3">
        <w:rPr>
          <w:rFonts w:eastAsia="SimSun"/>
          <w:lang w:val="en-GB"/>
        </w:rPr>
        <w:t>To ensure that any radio regulatory action taken as a result of agreed studies does not adversely affect the provision of aeronautical services</w:t>
      </w:r>
      <w:r>
        <w:rPr>
          <w:rFonts w:eastAsia="SimSun"/>
          <w:lang w:val="en-GB"/>
        </w:rPr>
        <w:t>.</w:t>
      </w:r>
    </w:p>
    <w:p w14:paraId="6AFF8151" w14:textId="38D56EBF" w:rsidR="005E0EA9" w:rsidRDefault="005E0EA9" w:rsidP="005E0EA9">
      <w:pPr>
        <w:spacing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SFCG</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332376">
        <w:rPr>
          <w:b/>
          <w:lang w:val="en-NZ" w:eastAsia="ko-KR"/>
        </w:rPr>
        <w:t>3</w:t>
      </w:r>
      <w:r w:rsidRPr="00441526">
        <w:rPr>
          <w:b/>
          <w:lang w:val="en-NZ" w:eastAsia="ko-KR"/>
        </w:rPr>
        <w:t>/</w:t>
      </w:r>
      <w:hyperlink r:id="rId42" w:history="1">
        <w:r w:rsidR="00E17155" w:rsidRPr="007405CB">
          <w:rPr>
            <w:rStyle w:val="Hyperlink"/>
            <w:rFonts w:eastAsia="MS Mincho"/>
            <w:b/>
            <w:bCs/>
            <w:lang w:val="en-NZ" w:eastAsia="ja-JP"/>
          </w:rPr>
          <w:t>INF-10</w:t>
        </w:r>
      </w:hyperlink>
    </w:p>
    <w:p w14:paraId="61FA775D" w14:textId="77777777" w:rsidR="00332376" w:rsidRPr="00332376" w:rsidRDefault="00332376" w:rsidP="00332376">
      <w:pPr>
        <w:spacing w:after="120"/>
        <w:jc w:val="both"/>
        <w:rPr>
          <w:bCs/>
          <w:lang w:val="en-NZ" w:eastAsia="ko-KR"/>
        </w:rPr>
      </w:pPr>
      <w:r w:rsidRPr="00332376">
        <w:rPr>
          <w:bCs/>
          <w:lang w:val="en-NZ" w:eastAsia="ko-KR"/>
        </w:rPr>
        <w:t>SFCG supports the upgrade of the SRS allocation from secondary to primary status in the band 14.8-15.35 GHz subject to the completion of studies in ITU-R in order to guarantee the compatibility between SRS and MS and FS in the band 14.8-15.35 GHz, and between SRS and RAS in the adjacent band 15.35-15.4 GHz.</w:t>
      </w:r>
    </w:p>
    <w:p w14:paraId="6710F28F" w14:textId="60C227FD" w:rsidR="005E0EA9" w:rsidRPr="009275AE" w:rsidRDefault="00332376" w:rsidP="00332376">
      <w:pPr>
        <w:spacing w:after="120"/>
        <w:jc w:val="both"/>
        <w:rPr>
          <w:bCs/>
          <w:lang w:val="en-NZ" w:eastAsia="ko-KR"/>
        </w:rPr>
      </w:pPr>
      <w:r w:rsidRPr="00A04D4E">
        <w:rPr>
          <w:bCs/>
          <w:lang w:val="en-NZ" w:eastAsia="ko-KR"/>
        </w:rPr>
        <w:t>SFCG believes that the band 15.35-15.4 GHz should remain a viable option for future passive sensing missions as this band is covered by FN 5.340. However, addressing the protection of EESS (passive) and SRS (passive) in this band from out of band emissions of SRS operated in the 14.8-15.35 GHz band may be problematic due to the lack of operational characteristics for EESS (passive) and SRS (passive) in the concerned band.</w:t>
      </w:r>
    </w:p>
    <w:p w14:paraId="48E4DED4" w14:textId="04C16290" w:rsidR="00ED39B3" w:rsidRDefault="00ED39B3" w:rsidP="00ED39B3">
      <w:pPr>
        <w:spacing w:after="120"/>
        <w:jc w:val="both"/>
        <w:rPr>
          <w:b/>
          <w:lang w:val="en-NZ" w:eastAsia="ko-KR"/>
        </w:rPr>
      </w:pPr>
    </w:p>
    <w:p w14:paraId="09EEE730" w14:textId="77777777" w:rsidR="009275AE" w:rsidRPr="005E0EA9" w:rsidRDefault="009275AE" w:rsidP="00ED39B3">
      <w:pPr>
        <w:spacing w:after="120"/>
        <w:jc w:val="both"/>
        <w:rPr>
          <w:b/>
          <w:lang w:val="en-NZ" w:eastAsia="ko-KR"/>
        </w:rPr>
      </w:pPr>
    </w:p>
    <w:p w14:paraId="2CED3A92" w14:textId="77777777" w:rsidR="002A0111" w:rsidRPr="00710333" w:rsidRDefault="002A0111" w:rsidP="002A0111">
      <w:pPr>
        <w:jc w:val="center"/>
        <w:rPr>
          <w:snapToGrid w:val="0"/>
          <w:lang w:val="en-NZ"/>
        </w:rPr>
      </w:pPr>
      <w:r w:rsidRPr="00441526">
        <w:rPr>
          <w:lang w:val="en-NZ"/>
        </w:rPr>
        <w:t>____________</w:t>
      </w:r>
    </w:p>
    <w:p w14:paraId="23ECC41D" w14:textId="77777777" w:rsidR="002A0111" w:rsidRPr="007673CA" w:rsidRDefault="002A0111" w:rsidP="002A0111">
      <w:pPr>
        <w:jc w:val="both"/>
        <w:rPr>
          <w:lang w:val="en-NZ"/>
        </w:rPr>
      </w:pPr>
    </w:p>
    <w:p w14:paraId="582D3221" w14:textId="77777777" w:rsidR="00654896" w:rsidRPr="002A0111" w:rsidRDefault="002A0111" w:rsidP="002A0111">
      <w:pPr>
        <w:tabs>
          <w:tab w:val="left" w:pos="1410"/>
        </w:tabs>
        <w:rPr>
          <w:lang w:val="en-NZ"/>
        </w:rPr>
      </w:pPr>
      <w:r>
        <w:rPr>
          <w:lang w:val="en-NZ"/>
        </w:rPr>
        <w:tab/>
      </w:r>
    </w:p>
    <w:sectPr w:rsidR="00654896" w:rsidRPr="002A0111" w:rsidSect="00C516C7">
      <w:headerReference w:type="even" r:id="rId43"/>
      <w:headerReference w:type="default" r:id="rId44"/>
      <w:footerReference w:type="even" r:id="rId45"/>
      <w:footerReference w:type="default" r:id="rId46"/>
      <w:headerReference w:type="first" r:id="rId47"/>
      <w:footerReference w:type="first" r:id="rId4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8891" w14:textId="77777777" w:rsidR="00017173" w:rsidRDefault="00017173">
      <w:r>
        <w:separator/>
      </w:r>
    </w:p>
  </w:endnote>
  <w:endnote w:type="continuationSeparator" w:id="0">
    <w:p w14:paraId="26617ED4" w14:textId="77777777" w:rsidR="00017173" w:rsidRDefault="0001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3739"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F7EF1"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FDBA" w14:textId="6D17ADA9"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D00D74">
      <w:rPr>
        <w:lang w:eastAsia="ko-KR"/>
      </w:rPr>
      <w:t>3</w:t>
    </w:r>
    <w:r w:rsidR="002A0111">
      <w:rPr>
        <w:lang w:eastAsia="ko-KR"/>
      </w:rPr>
      <w:t>/</w:t>
    </w:r>
    <w:r w:rsidR="00E371AA">
      <w:rPr>
        <w:lang w:eastAsia="ko-KR"/>
      </w:rPr>
      <w:t>OUT</w:t>
    </w:r>
    <w:r>
      <w:rPr>
        <w:lang w:eastAsia="ko-KR"/>
      </w:rPr>
      <w:t>-</w:t>
    </w:r>
    <w:r w:rsidR="009978CD">
      <w:rPr>
        <w:lang w:eastAsia="ko-KR"/>
      </w:rPr>
      <w:t>2</w:t>
    </w:r>
    <w:r w:rsidR="00E371AA">
      <w:rPr>
        <w:lang w:eastAsia="ko-KR"/>
      </w:rPr>
      <w:t>2</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D35A5C9" w14:textId="77777777" w:rsidTr="00BB0EA4">
      <w:trPr>
        <w:trHeight w:val="432"/>
      </w:trPr>
      <w:tc>
        <w:tcPr>
          <w:tcW w:w="1296" w:type="dxa"/>
          <w:tcBorders>
            <w:top w:val="single" w:sz="8" w:space="0" w:color="auto"/>
            <w:bottom w:val="nil"/>
            <w:right w:val="nil"/>
          </w:tcBorders>
        </w:tcPr>
        <w:p w14:paraId="66242372"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370BEFC" w14:textId="74AEB3D5" w:rsidR="0092727B" w:rsidRDefault="001A1C96" w:rsidP="0092727B">
          <w:pPr>
            <w:pStyle w:val="Footer"/>
            <w:tabs>
              <w:tab w:val="clear" w:pos="4320"/>
              <w:tab w:val="clear" w:pos="8640"/>
            </w:tabs>
          </w:pPr>
          <w:r w:rsidRPr="001A1C96">
            <w:t>Rui Han</w:t>
          </w:r>
        </w:p>
        <w:p w14:paraId="675B729B" w14:textId="144C538B" w:rsidR="002A0111" w:rsidRPr="002A0111" w:rsidRDefault="002A0111" w:rsidP="0092727B">
          <w:pPr>
            <w:pStyle w:val="Footer"/>
            <w:tabs>
              <w:tab w:val="clear" w:pos="4320"/>
              <w:tab w:val="clear" w:pos="8640"/>
            </w:tabs>
          </w:pPr>
          <w:r>
            <w:t>Chairman, DG AI1.</w:t>
          </w:r>
          <w:r w:rsidR="001A1C96">
            <w:t>13</w:t>
          </w:r>
        </w:p>
      </w:tc>
      <w:tc>
        <w:tcPr>
          <w:tcW w:w="2880" w:type="dxa"/>
          <w:tcBorders>
            <w:top w:val="single" w:sz="8" w:space="0" w:color="auto"/>
            <w:left w:val="nil"/>
            <w:bottom w:val="nil"/>
          </w:tcBorders>
        </w:tcPr>
        <w:p w14:paraId="3A4892D4" w14:textId="5DBF9935" w:rsidR="0092727B" w:rsidRPr="0092727B" w:rsidRDefault="0092727B" w:rsidP="0092727B">
          <w:pPr>
            <w:pStyle w:val="Footer"/>
            <w:tabs>
              <w:tab w:val="clear" w:pos="4320"/>
              <w:tab w:val="clear" w:pos="8640"/>
            </w:tabs>
          </w:pPr>
          <w:r w:rsidRPr="009978CD">
            <w:rPr>
              <w:b/>
              <w:bCs/>
            </w:rPr>
            <w:t>Email:</w:t>
          </w:r>
          <w:r w:rsidR="001A1C96">
            <w:t xml:space="preserve"> </w:t>
          </w:r>
          <w:hyperlink r:id="rId1" w:history="1">
            <w:r w:rsidR="009978CD" w:rsidRPr="00B607DA">
              <w:rPr>
                <w:rStyle w:val="Hyperlink"/>
              </w:rPr>
              <w:t>hanrui@srrc.org.cn</w:t>
            </w:r>
          </w:hyperlink>
          <w:r w:rsidR="009978CD">
            <w:t xml:space="preserve"> </w:t>
          </w:r>
        </w:p>
      </w:tc>
    </w:tr>
  </w:tbl>
  <w:p w14:paraId="5E25D08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F5E7" w14:textId="77777777" w:rsidR="00017173" w:rsidRDefault="00017173">
      <w:r>
        <w:separator/>
      </w:r>
    </w:p>
  </w:footnote>
  <w:footnote w:type="continuationSeparator" w:id="0">
    <w:p w14:paraId="39C38FCE" w14:textId="77777777" w:rsidR="00017173" w:rsidRDefault="0001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BCA9" w14:textId="77777777" w:rsidR="00E371AA" w:rsidRDefault="00E3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8E5A" w14:textId="77777777" w:rsidR="0097693B" w:rsidRDefault="0097693B" w:rsidP="0092727B">
    <w:pPr>
      <w:pStyle w:val="Header"/>
      <w:tabs>
        <w:tab w:val="clear" w:pos="4320"/>
        <w:tab w:val="clear" w:pos="8640"/>
      </w:tabs>
      <w:rPr>
        <w:lang w:eastAsia="ko-KR"/>
      </w:rPr>
    </w:pPr>
  </w:p>
  <w:p w14:paraId="739ED095"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C403"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025255"/>
    <w:multiLevelType w:val="hybridMultilevel"/>
    <w:tmpl w:val="B2AE44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2"/>
  </w:num>
  <w:num w:numId="2">
    <w:abstractNumId w:val="7"/>
  </w:num>
  <w:num w:numId="3">
    <w:abstractNumId w:val="6"/>
  </w:num>
  <w:num w:numId="4">
    <w:abstractNumId w:val="19"/>
  </w:num>
  <w:num w:numId="5">
    <w:abstractNumId w:val="11"/>
  </w:num>
  <w:num w:numId="6">
    <w:abstractNumId w:val="13"/>
  </w:num>
  <w:num w:numId="7">
    <w:abstractNumId w:val="4"/>
  </w:num>
  <w:num w:numId="8">
    <w:abstractNumId w:val="2"/>
  </w:num>
  <w:num w:numId="9">
    <w:abstractNumId w:val="22"/>
  </w:num>
  <w:num w:numId="10">
    <w:abstractNumId w:val="17"/>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6"/>
  </w:num>
  <w:num w:numId="18">
    <w:abstractNumId w:val="14"/>
  </w:num>
  <w:num w:numId="19">
    <w:abstractNumId w:val="21"/>
  </w:num>
  <w:num w:numId="20">
    <w:abstractNumId w:val="10"/>
  </w:num>
  <w:num w:numId="21">
    <w:abstractNumId w:val="20"/>
  </w:num>
  <w:num w:numId="22">
    <w:abstractNumId w:val="24"/>
  </w:num>
  <w:num w:numId="23">
    <w:abstractNumId w:val="1"/>
  </w:num>
  <w:num w:numId="24">
    <w:abstractNumId w:val="3"/>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1EC0"/>
    <w:rsid w:val="00017173"/>
    <w:rsid w:val="0003595B"/>
    <w:rsid w:val="00036517"/>
    <w:rsid w:val="00036CC9"/>
    <w:rsid w:val="00040149"/>
    <w:rsid w:val="00043B14"/>
    <w:rsid w:val="00050611"/>
    <w:rsid w:val="00060ED6"/>
    <w:rsid w:val="0006268B"/>
    <w:rsid w:val="00063ACC"/>
    <w:rsid w:val="000656DA"/>
    <w:rsid w:val="00070642"/>
    <w:rsid w:val="000713CF"/>
    <w:rsid w:val="00071FF6"/>
    <w:rsid w:val="00075C14"/>
    <w:rsid w:val="000822B5"/>
    <w:rsid w:val="00082F88"/>
    <w:rsid w:val="0008692D"/>
    <w:rsid w:val="000927C0"/>
    <w:rsid w:val="00094B87"/>
    <w:rsid w:val="0009765F"/>
    <w:rsid w:val="000A012B"/>
    <w:rsid w:val="000A33CE"/>
    <w:rsid w:val="000A45AB"/>
    <w:rsid w:val="000A5418"/>
    <w:rsid w:val="000B6A95"/>
    <w:rsid w:val="000D47FB"/>
    <w:rsid w:val="000E56F7"/>
    <w:rsid w:val="000E606A"/>
    <w:rsid w:val="000F345F"/>
    <w:rsid w:val="000F517C"/>
    <w:rsid w:val="000F5540"/>
    <w:rsid w:val="001054E8"/>
    <w:rsid w:val="00105F1A"/>
    <w:rsid w:val="00111D92"/>
    <w:rsid w:val="00112D4C"/>
    <w:rsid w:val="00121CBE"/>
    <w:rsid w:val="00124AFD"/>
    <w:rsid w:val="00125FBD"/>
    <w:rsid w:val="00140724"/>
    <w:rsid w:val="001409B2"/>
    <w:rsid w:val="00152636"/>
    <w:rsid w:val="001539DD"/>
    <w:rsid w:val="00156782"/>
    <w:rsid w:val="00162CB8"/>
    <w:rsid w:val="00163AC4"/>
    <w:rsid w:val="00165D87"/>
    <w:rsid w:val="00165F01"/>
    <w:rsid w:val="0016769A"/>
    <w:rsid w:val="001731F4"/>
    <w:rsid w:val="00181E6F"/>
    <w:rsid w:val="001844CC"/>
    <w:rsid w:val="001916F2"/>
    <w:rsid w:val="001930A7"/>
    <w:rsid w:val="00196568"/>
    <w:rsid w:val="00197C18"/>
    <w:rsid w:val="001A1C96"/>
    <w:rsid w:val="001A2A58"/>
    <w:rsid w:val="001A2F16"/>
    <w:rsid w:val="001A4E77"/>
    <w:rsid w:val="001B1804"/>
    <w:rsid w:val="001B18C2"/>
    <w:rsid w:val="001B3695"/>
    <w:rsid w:val="001C443F"/>
    <w:rsid w:val="001C61A5"/>
    <w:rsid w:val="001C6412"/>
    <w:rsid w:val="001C6707"/>
    <w:rsid w:val="001C7B9A"/>
    <w:rsid w:val="001D5547"/>
    <w:rsid w:val="001D5D7E"/>
    <w:rsid w:val="001E2360"/>
    <w:rsid w:val="001E3CD3"/>
    <w:rsid w:val="001E7D43"/>
    <w:rsid w:val="001F5947"/>
    <w:rsid w:val="00202410"/>
    <w:rsid w:val="00204DAD"/>
    <w:rsid w:val="00213EF3"/>
    <w:rsid w:val="00214A0C"/>
    <w:rsid w:val="0021588B"/>
    <w:rsid w:val="002161B6"/>
    <w:rsid w:val="002216AC"/>
    <w:rsid w:val="00224036"/>
    <w:rsid w:val="00226096"/>
    <w:rsid w:val="0023212E"/>
    <w:rsid w:val="002434AB"/>
    <w:rsid w:val="002438F7"/>
    <w:rsid w:val="002449AF"/>
    <w:rsid w:val="002475E2"/>
    <w:rsid w:val="002506D2"/>
    <w:rsid w:val="00250DE2"/>
    <w:rsid w:val="00251897"/>
    <w:rsid w:val="00254A1B"/>
    <w:rsid w:val="0026064A"/>
    <w:rsid w:val="00260BA6"/>
    <w:rsid w:val="00264566"/>
    <w:rsid w:val="00270EEC"/>
    <w:rsid w:val="00281247"/>
    <w:rsid w:val="0028454D"/>
    <w:rsid w:val="00291C9E"/>
    <w:rsid w:val="002926D4"/>
    <w:rsid w:val="0029734E"/>
    <w:rsid w:val="002A0111"/>
    <w:rsid w:val="002A3CF5"/>
    <w:rsid w:val="002A3D0F"/>
    <w:rsid w:val="002B06A3"/>
    <w:rsid w:val="002B20D5"/>
    <w:rsid w:val="002B37BC"/>
    <w:rsid w:val="002B435C"/>
    <w:rsid w:val="002B447F"/>
    <w:rsid w:val="002C07DA"/>
    <w:rsid w:val="002C286E"/>
    <w:rsid w:val="002C2A49"/>
    <w:rsid w:val="002C7EA9"/>
    <w:rsid w:val="002E07B9"/>
    <w:rsid w:val="002F575D"/>
    <w:rsid w:val="00300F4A"/>
    <w:rsid w:val="003050AD"/>
    <w:rsid w:val="00306E44"/>
    <w:rsid w:val="003113D7"/>
    <w:rsid w:val="00311E8A"/>
    <w:rsid w:val="00332376"/>
    <w:rsid w:val="00342F20"/>
    <w:rsid w:val="003432B3"/>
    <w:rsid w:val="00350D74"/>
    <w:rsid w:val="00353E3F"/>
    <w:rsid w:val="00360377"/>
    <w:rsid w:val="00366136"/>
    <w:rsid w:val="00366548"/>
    <w:rsid w:val="00375CB8"/>
    <w:rsid w:val="003768B0"/>
    <w:rsid w:val="0038005B"/>
    <w:rsid w:val="00380593"/>
    <w:rsid w:val="003809C7"/>
    <w:rsid w:val="00381E49"/>
    <w:rsid w:val="0038236C"/>
    <w:rsid w:val="00393DCD"/>
    <w:rsid w:val="00395B40"/>
    <w:rsid w:val="003A2006"/>
    <w:rsid w:val="003A6568"/>
    <w:rsid w:val="003B4FD1"/>
    <w:rsid w:val="003B6263"/>
    <w:rsid w:val="003C29E6"/>
    <w:rsid w:val="003C4170"/>
    <w:rsid w:val="003C576F"/>
    <w:rsid w:val="003C64A7"/>
    <w:rsid w:val="003D1128"/>
    <w:rsid w:val="003D1671"/>
    <w:rsid w:val="003D3D47"/>
    <w:rsid w:val="003D3FDA"/>
    <w:rsid w:val="003D68BE"/>
    <w:rsid w:val="003D6D00"/>
    <w:rsid w:val="003E166F"/>
    <w:rsid w:val="003F307E"/>
    <w:rsid w:val="004001E5"/>
    <w:rsid w:val="00403AD7"/>
    <w:rsid w:val="00404197"/>
    <w:rsid w:val="0041313C"/>
    <w:rsid w:val="00420822"/>
    <w:rsid w:val="00420C74"/>
    <w:rsid w:val="00424EDB"/>
    <w:rsid w:val="00441526"/>
    <w:rsid w:val="004465AA"/>
    <w:rsid w:val="00446A5E"/>
    <w:rsid w:val="00447B0C"/>
    <w:rsid w:val="0045050A"/>
    <w:rsid w:val="0045458F"/>
    <w:rsid w:val="00455BF5"/>
    <w:rsid w:val="004633B4"/>
    <w:rsid w:val="00471366"/>
    <w:rsid w:val="004748BE"/>
    <w:rsid w:val="004802BC"/>
    <w:rsid w:val="00484B8C"/>
    <w:rsid w:val="004852DB"/>
    <w:rsid w:val="00494BD1"/>
    <w:rsid w:val="00495CED"/>
    <w:rsid w:val="004A2F96"/>
    <w:rsid w:val="004A4BDF"/>
    <w:rsid w:val="004A5476"/>
    <w:rsid w:val="004B3553"/>
    <w:rsid w:val="004B3F4B"/>
    <w:rsid w:val="004B4C85"/>
    <w:rsid w:val="004D07A3"/>
    <w:rsid w:val="004E1FCA"/>
    <w:rsid w:val="004E2014"/>
    <w:rsid w:val="004E2239"/>
    <w:rsid w:val="004E47D6"/>
    <w:rsid w:val="004F03CF"/>
    <w:rsid w:val="004F4015"/>
    <w:rsid w:val="00503189"/>
    <w:rsid w:val="00510C2D"/>
    <w:rsid w:val="00511A6E"/>
    <w:rsid w:val="00516BD1"/>
    <w:rsid w:val="005206E9"/>
    <w:rsid w:val="00524EE1"/>
    <w:rsid w:val="00526D01"/>
    <w:rsid w:val="00530E8C"/>
    <w:rsid w:val="00534508"/>
    <w:rsid w:val="00534D46"/>
    <w:rsid w:val="00535D34"/>
    <w:rsid w:val="00543F5B"/>
    <w:rsid w:val="00545933"/>
    <w:rsid w:val="00546037"/>
    <w:rsid w:val="00552105"/>
    <w:rsid w:val="005562F2"/>
    <w:rsid w:val="00557544"/>
    <w:rsid w:val="005605B9"/>
    <w:rsid w:val="0056537E"/>
    <w:rsid w:val="00565BBB"/>
    <w:rsid w:val="0057109D"/>
    <w:rsid w:val="00571B26"/>
    <w:rsid w:val="00585F3C"/>
    <w:rsid w:val="00586CA0"/>
    <w:rsid w:val="00587875"/>
    <w:rsid w:val="0059265D"/>
    <w:rsid w:val="005933DA"/>
    <w:rsid w:val="005A5168"/>
    <w:rsid w:val="005A63EB"/>
    <w:rsid w:val="005A7F6B"/>
    <w:rsid w:val="005B0876"/>
    <w:rsid w:val="005B30AE"/>
    <w:rsid w:val="005B3496"/>
    <w:rsid w:val="005B4052"/>
    <w:rsid w:val="005C2A47"/>
    <w:rsid w:val="005C33B6"/>
    <w:rsid w:val="005C4124"/>
    <w:rsid w:val="005C5867"/>
    <w:rsid w:val="005D6202"/>
    <w:rsid w:val="005D6E98"/>
    <w:rsid w:val="005E0EA9"/>
    <w:rsid w:val="006034C5"/>
    <w:rsid w:val="00604700"/>
    <w:rsid w:val="00607E2B"/>
    <w:rsid w:val="006111C9"/>
    <w:rsid w:val="006139D6"/>
    <w:rsid w:val="00616D1B"/>
    <w:rsid w:val="00622EAC"/>
    <w:rsid w:val="00623CE1"/>
    <w:rsid w:val="00627880"/>
    <w:rsid w:val="0063062B"/>
    <w:rsid w:val="00633D07"/>
    <w:rsid w:val="00634A82"/>
    <w:rsid w:val="00637351"/>
    <w:rsid w:val="00646166"/>
    <w:rsid w:val="00652BDD"/>
    <w:rsid w:val="00654896"/>
    <w:rsid w:val="00656407"/>
    <w:rsid w:val="006621F0"/>
    <w:rsid w:val="006647BA"/>
    <w:rsid w:val="00667229"/>
    <w:rsid w:val="0068113A"/>
    <w:rsid w:val="00682BE5"/>
    <w:rsid w:val="00683846"/>
    <w:rsid w:val="00687114"/>
    <w:rsid w:val="00690FED"/>
    <w:rsid w:val="006939A5"/>
    <w:rsid w:val="006949E7"/>
    <w:rsid w:val="00697D50"/>
    <w:rsid w:val="00697DB3"/>
    <w:rsid w:val="006A29C4"/>
    <w:rsid w:val="006B09DB"/>
    <w:rsid w:val="006C1461"/>
    <w:rsid w:val="006D1EA3"/>
    <w:rsid w:val="006D5223"/>
    <w:rsid w:val="006D5970"/>
    <w:rsid w:val="006E12FC"/>
    <w:rsid w:val="006F0F24"/>
    <w:rsid w:val="006F2B2E"/>
    <w:rsid w:val="006F3274"/>
    <w:rsid w:val="006F6A5C"/>
    <w:rsid w:val="00701130"/>
    <w:rsid w:val="00702E84"/>
    <w:rsid w:val="00703F6F"/>
    <w:rsid w:val="00704C66"/>
    <w:rsid w:val="007052B3"/>
    <w:rsid w:val="00705962"/>
    <w:rsid w:val="00707C21"/>
    <w:rsid w:val="00712451"/>
    <w:rsid w:val="00717DE9"/>
    <w:rsid w:val="0072518B"/>
    <w:rsid w:val="00730DB1"/>
    <w:rsid w:val="00731041"/>
    <w:rsid w:val="007329E4"/>
    <w:rsid w:val="00732F08"/>
    <w:rsid w:val="007342F0"/>
    <w:rsid w:val="007405CB"/>
    <w:rsid w:val="007412C8"/>
    <w:rsid w:val="0074190C"/>
    <w:rsid w:val="00742553"/>
    <w:rsid w:val="00742C02"/>
    <w:rsid w:val="00743754"/>
    <w:rsid w:val="0075493D"/>
    <w:rsid w:val="00756353"/>
    <w:rsid w:val="007609D6"/>
    <w:rsid w:val="00760E9E"/>
    <w:rsid w:val="00762576"/>
    <w:rsid w:val="007673CA"/>
    <w:rsid w:val="00777CB7"/>
    <w:rsid w:val="00791060"/>
    <w:rsid w:val="007926EA"/>
    <w:rsid w:val="007973C2"/>
    <w:rsid w:val="00797532"/>
    <w:rsid w:val="007A3150"/>
    <w:rsid w:val="007A424B"/>
    <w:rsid w:val="007A6482"/>
    <w:rsid w:val="007B5626"/>
    <w:rsid w:val="007B6124"/>
    <w:rsid w:val="007D35E8"/>
    <w:rsid w:val="007D3C53"/>
    <w:rsid w:val="007D64BB"/>
    <w:rsid w:val="007E3A0F"/>
    <w:rsid w:val="007E3A1D"/>
    <w:rsid w:val="007F0AE6"/>
    <w:rsid w:val="007F2628"/>
    <w:rsid w:val="007F2FBA"/>
    <w:rsid w:val="007F5972"/>
    <w:rsid w:val="00800C3A"/>
    <w:rsid w:val="00800F1F"/>
    <w:rsid w:val="008039B4"/>
    <w:rsid w:val="00804E92"/>
    <w:rsid w:val="0080570B"/>
    <w:rsid w:val="008100D4"/>
    <w:rsid w:val="008113A0"/>
    <w:rsid w:val="00813E36"/>
    <w:rsid w:val="008148E1"/>
    <w:rsid w:val="008167DF"/>
    <w:rsid w:val="00820B7E"/>
    <w:rsid w:val="00822B33"/>
    <w:rsid w:val="00823DBA"/>
    <w:rsid w:val="008319BF"/>
    <w:rsid w:val="008415F0"/>
    <w:rsid w:val="008425D6"/>
    <w:rsid w:val="008433C2"/>
    <w:rsid w:val="00844457"/>
    <w:rsid w:val="008454C8"/>
    <w:rsid w:val="00851D78"/>
    <w:rsid w:val="00853C20"/>
    <w:rsid w:val="00867702"/>
    <w:rsid w:val="0087122A"/>
    <w:rsid w:val="008773AC"/>
    <w:rsid w:val="008807EB"/>
    <w:rsid w:val="00895CE9"/>
    <w:rsid w:val="00897C68"/>
    <w:rsid w:val="008A016F"/>
    <w:rsid w:val="008A10B5"/>
    <w:rsid w:val="008A1A0D"/>
    <w:rsid w:val="008A72E1"/>
    <w:rsid w:val="008A76ED"/>
    <w:rsid w:val="008B3C72"/>
    <w:rsid w:val="008B4428"/>
    <w:rsid w:val="008B512D"/>
    <w:rsid w:val="008C5FED"/>
    <w:rsid w:val="008D0E09"/>
    <w:rsid w:val="008D37F9"/>
    <w:rsid w:val="008F1EA1"/>
    <w:rsid w:val="00903007"/>
    <w:rsid w:val="00913236"/>
    <w:rsid w:val="0091570F"/>
    <w:rsid w:val="00923816"/>
    <w:rsid w:val="009245C7"/>
    <w:rsid w:val="0092727B"/>
    <w:rsid w:val="00927408"/>
    <w:rsid w:val="009275AE"/>
    <w:rsid w:val="0093074B"/>
    <w:rsid w:val="00930E64"/>
    <w:rsid w:val="0093362F"/>
    <w:rsid w:val="00936E57"/>
    <w:rsid w:val="00942060"/>
    <w:rsid w:val="00943CF9"/>
    <w:rsid w:val="00950B0B"/>
    <w:rsid w:val="00952638"/>
    <w:rsid w:val="00956F8C"/>
    <w:rsid w:val="00961607"/>
    <w:rsid w:val="00961D57"/>
    <w:rsid w:val="009625B9"/>
    <w:rsid w:val="0096341A"/>
    <w:rsid w:val="00965BE4"/>
    <w:rsid w:val="00972766"/>
    <w:rsid w:val="00976716"/>
    <w:rsid w:val="0097693B"/>
    <w:rsid w:val="0099138B"/>
    <w:rsid w:val="00993355"/>
    <w:rsid w:val="009949FD"/>
    <w:rsid w:val="009963F7"/>
    <w:rsid w:val="009978CD"/>
    <w:rsid w:val="009A11CB"/>
    <w:rsid w:val="009A4A6D"/>
    <w:rsid w:val="009B0E99"/>
    <w:rsid w:val="009B44DD"/>
    <w:rsid w:val="009B7181"/>
    <w:rsid w:val="009B7E42"/>
    <w:rsid w:val="009C0218"/>
    <w:rsid w:val="009C47D9"/>
    <w:rsid w:val="009C7235"/>
    <w:rsid w:val="009D46CE"/>
    <w:rsid w:val="009D4ADA"/>
    <w:rsid w:val="009D4B3D"/>
    <w:rsid w:val="009D513F"/>
    <w:rsid w:val="009D7F9B"/>
    <w:rsid w:val="009E13DD"/>
    <w:rsid w:val="009F547A"/>
    <w:rsid w:val="00A03D78"/>
    <w:rsid w:val="00A0503B"/>
    <w:rsid w:val="00A059CD"/>
    <w:rsid w:val="00A13265"/>
    <w:rsid w:val="00A14900"/>
    <w:rsid w:val="00A2159F"/>
    <w:rsid w:val="00A23C16"/>
    <w:rsid w:val="00A249B6"/>
    <w:rsid w:val="00A324FF"/>
    <w:rsid w:val="00A412BC"/>
    <w:rsid w:val="00A5009D"/>
    <w:rsid w:val="00A529BC"/>
    <w:rsid w:val="00A5346C"/>
    <w:rsid w:val="00A53F51"/>
    <w:rsid w:val="00A562F0"/>
    <w:rsid w:val="00A564FB"/>
    <w:rsid w:val="00A614C1"/>
    <w:rsid w:val="00A61EA6"/>
    <w:rsid w:val="00A657BF"/>
    <w:rsid w:val="00A70C8F"/>
    <w:rsid w:val="00A71136"/>
    <w:rsid w:val="00A840D9"/>
    <w:rsid w:val="00A92578"/>
    <w:rsid w:val="00AA474C"/>
    <w:rsid w:val="00AA56C1"/>
    <w:rsid w:val="00AB77A4"/>
    <w:rsid w:val="00AC35EF"/>
    <w:rsid w:val="00AC4D5B"/>
    <w:rsid w:val="00AD1DDB"/>
    <w:rsid w:val="00AD2697"/>
    <w:rsid w:val="00AD7E5F"/>
    <w:rsid w:val="00AE3066"/>
    <w:rsid w:val="00AE4B61"/>
    <w:rsid w:val="00AF39A0"/>
    <w:rsid w:val="00AF68E4"/>
    <w:rsid w:val="00B00A87"/>
    <w:rsid w:val="00B01AA1"/>
    <w:rsid w:val="00B06025"/>
    <w:rsid w:val="00B13A35"/>
    <w:rsid w:val="00B30C81"/>
    <w:rsid w:val="00B30DA1"/>
    <w:rsid w:val="00B4793B"/>
    <w:rsid w:val="00B55C93"/>
    <w:rsid w:val="00B56099"/>
    <w:rsid w:val="00B64A60"/>
    <w:rsid w:val="00B661AC"/>
    <w:rsid w:val="00B6724B"/>
    <w:rsid w:val="00B77F5A"/>
    <w:rsid w:val="00B83B51"/>
    <w:rsid w:val="00B8468D"/>
    <w:rsid w:val="00B937D7"/>
    <w:rsid w:val="00B9389C"/>
    <w:rsid w:val="00B96B67"/>
    <w:rsid w:val="00BB0EA4"/>
    <w:rsid w:val="00BB3DCC"/>
    <w:rsid w:val="00BC57EF"/>
    <w:rsid w:val="00BC6688"/>
    <w:rsid w:val="00BC69DB"/>
    <w:rsid w:val="00BE6B6B"/>
    <w:rsid w:val="00BE7287"/>
    <w:rsid w:val="00BF25F9"/>
    <w:rsid w:val="00BF6A1B"/>
    <w:rsid w:val="00C00B04"/>
    <w:rsid w:val="00C13FD5"/>
    <w:rsid w:val="00C15633"/>
    <w:rsid w:val="00C15799"/>
    <w:rsid w:val="00C16ABB"/>
    <w:rsid w:val="00C32E84"/>
    <w:rsid w:val="00C35415"/>
    <w:rsid w:val="00C357AD"/>
    <w:rsid w:val="00C3627A"/>
    <w:rsid w:val="00C42A7B"/>
    <w:rsid w:val="00C44732"/>
    <w:rsid w:val="00C516C7"/>
    <w:rsid w:val="00C51C5F"/>
    <w:rsid w:val="00C5496C"/>
    <w:rsid w:val="00C554CC"/>
    <w:rsid w:val="00C5561F"/>
    <w:rsid w:val="00C6069C"/>
    <w:rsid w:val="00C70477"/>
    <w:rsid w:val="00C72AD4"/>
    <w:rsid w:val="00C74745"/>
    <w:rsid w:val="00C77AD1"/>
    <w:rsid w:val="00C804FE"/>
    <w:rsid w:val="00C85119"/>
    <w:rsid w:val="00C9185F"/>
    <w:rsid w:val="00C95C48"/>
    <w:rsid w:val="00CA41E7"/>
    <w:rsid w:val="00CA7572"/>
    <w:rsid w:val="00CC2B7A"/>
    <w:rsid w:val="00CC5094"/>
    <w:rsid w:val="00CD170C"/>
    <w:rsid w:val="00CD320B"/>
    <w:rsid w:val="00CD3F37"/>
    <w:rsid w:val="00CD5431"/>
    <w:rsid w:val="00CE4B93"/>
    <w:rsid w:val="00CE4D81"/>
    <w:rsid w:val="00CE640D"/>
    <w:rsid w:val="00CF2491"/>
    <w:rsid w:val="00CF3963"/>
    <w:rsid w:val="00D00D74"/>
    <w:rsid w:val="00D1252E"/>
    <w:rsid w:val="00D13D9D"/>
    <w:rsid w:val="00D14AFE"/>
    <w:rsid w:val="00D21C2B"/>
    <w:rsid w:val="00D311D5"/>
    <w:rsid w:val="00D416A3"/>
    <w:rsid w:val="00D459A2"/>
    <w:rsid w:val="00D530FF"/>
    <w:rsid w:val="00D53688"/>
    <w:rsid w:val="00D5407A"/>
    <w:rsid w:val="00D5458D"/>
    <w:rsid w:val="00D5534F"/>
    <w:rsid w:val="00D57772"/>
    <w:rsid w:val="00D72AE3"/>
    <w:rsid w:val="00D75A4D"/>
    <w:rsid w:val="00D824E7"/>
    <w:rsid w:val="00D8478B"/>
    <w:rsid w:val="00D86151"/>
    <w:rsid w:val="00D9172D"/>
    <w:rsid w:val="00D92A2D"/>
    <w:rsid w:val="00D95227"/>
    <w:rsid w:val="00D97E84"/>
    <w:rsid w:val="00DA5641"/>
    <w:rsid w:val="00DA7595"/>
    <w:rsid w:val="00DB0A68"/>
    <w:rsid w:val="00DB5597"/>
    <w:rsid w:val="00DC36E3"/>
    <w:rsid w:val="00DC43A3"/>
    <w:rsid w:val="00DC4CF3"/>
    <w:rsid w:val="00DC5C01"/>
    <w:rsid w:val="00DD3FFD"/>
    <w:rsid w:val="00DD7C09"/>
    <w:rsid w:val="00DE0163"/>
    <w:rsid w:val="00DE56B6"/>
    <w:rsid w:val="00DF0EB4"/>
    <w:rsid w:val="00DF111E"/>
    <w:rsid w:val="00DF2B75"/>
    <w:rsid w:val="00E0124F"/>
    <w:rsid w:val="00E043AA"/>
    <w:rsid w:val="00E17155"/>
    <w:rsid w:val="00E31853"/>
    <w:rsid w:val="00E31B16"/>
    <w:rsid w:val="00E32B96"/>
    <w:rsid w:val="00E371AA"/>
    <w:rsid w:val="00E3799B"/>
    <w:rsid w:val="00E5762A"/>
    <w:rsid w:val="00E656B0"/>
    <w:rsid w:val="00E674D3"/>
    <w:rsid w:val="00E70FD0"/>
    <w:rsid w:val="00E72B2C"/>
    <w:rsid w:val="00E7309D"/>
    <w:rsid w:val="00E77C4B"/>
    <w:rsid w:val="00E9301F"/>
    <w:rsid w:val="00E9690A"/>
    <w:rsid w:val="00E97DC7"/>
    <w:rsid w:val="00EB171D"/>
    <w:rsid w:val="00EC193E"/>
    <w:rsid w:val="00EC466A"/>
    <w:rsid w:val="00EC47EE"/>
    <w:rsid w:val="00ED0CF6"/>
    <w:rsid w:val="00ED3143"/>
    <w:rsid w:val="00ED39B3"/>
    <w:rsid w:val="00EE2B5A"/>
    <w:rsid w:val="00EF3477"/>
    <w:rsid w:val="00F000EF"/>
    <w:rsid w:val="00F03E5B"/>
    <w:rsid w:val="00F15CD2"/>
    <w:rsid w:val="00F2504E"/>
    <w:rsid w:val="00F2585B"/>
    <w:rsid w:val="00F4053F"/>
    <w:rsid w:val="00F516E7"/>
    <w:rsid w:val="00F57BF7"/>
    <w:rsid w:val="00F6012A"/>
    <w:rsid w:val="00F61F89"/>
    <w:rsid w:val="00F6263E"/>
    <w:rsid w:val="00F627C2"/>
    <w:rsid w:val="00F63D6B"/>
    <w:rsid w:val="00F720EF"/>
    <w:rsid w:val="00F736FD"/>
    <w:rsid w:val="00F84067"/>
    <w:rsid w:val="00FA50B4"/>
    <w:rsid w:val="00FB6E83"/>
    <w:rsid w:val="00FC156A"/>
    <w:rsid w:val="00FD58AE"/>
    <w:rsid w:val="00FD6235"/>
    <w:rsid w:val="00FE13D1"/>
    <w:rsid w:val="00FE3DE5"/>
    <w:rsid w:val="00FF2C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B01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701130"/>
    <w:rPr>
      <w:rFonts w:eastAsia="BatangChe"/>
      <w:sz w:val="24"/>
      <w:szCs w:val="24"/>
    </w:rPr>
  </w:style>
  <w:style w:type="paragraph" w:customStyle="1" w:styleId="ListParagraph1">
    <w:name w:val="List Paragraph1"/>
    <w:basedOn w:val="Normal"/>
    <w:uiPriority w:val="34"/>
    <w:qFormat/>
    <w:rsid w:val="0068113A"/>
    <w:pPr>
      <w:ind w:firstLineChars="200" w:firstLine="420"/>
    </w:pPr>
  </w:style>
  <w:style w:type="character" w:styleId="FollowedHyperlink">
    <w:name w:val="FollowedHyperlink"/>
    <w:basedOn w:val="DefaultParagraphFont"/>
    <w:semiHidden/>
    <w:unhideWhenUsed/>
    <w:rsid w:val="00F720EF"/>
    <w:rPr>
      <w:color w:val="800080" w:themeColor="followedHyperlink"/>
      <w:u w:val="single"/>
    </w:rPr>
  </w:style>
  <w:style w:type="character" w:styleId="PlaceholderText">
    <w:name w:val="Placeholder Text"/>
    <w:basedOn w:val="DefaultParagraphFont"/>
    <w:uiPriority w:val="99"/>
    <w:semiHidden/>
    <w:rsid w:val="007D64BB"/>
    <w:rPr>
      <w:color w:val="808080"/>
    </w:rPr>
  </w:style>
  <w:style w:type="character" w:customStyle="1" w:styleId="Heading8Char">
    <w:name w:val="Heading 8 Char"/>
    <w:basedOn w:val="DefaultParagraphFont"/>
    <w:link w:val="Heading8"/>
    <w:rsid w:val="00704C66"/>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ties/itu-r/md/19/wp7b/c/R19-WP7B-C-0158!N01!MSW-E.docx" TargetMode="External"/><Relationship Id="rId18" Type="http://schemas.openxmlformats.org/officeDocument/2006/relationships/hyperlink" Target="https://www.apt.int/sites/default/files/2021/10/APG23-3-INP-17_Indonesia-Preliminary_Views_on_WRC-23_Agenda_Items_1.12_1.13_and_9.1_Topics_a.docx" TargetMode="External"/><Relationship Id="rId26" Type="http://schemas.openxmlformats.org/officeDocument/2006/relationships/hyperlink" Target="https://www.apt.int/sites/default/files/2021/10/APG23-3-INF-15_ICAO-Position_for_ITU_WRC-23.docx" TargetMode="External"/><Relationship Id="rId39" Type="http://schemas.openxmlformats.org/officeDocument/2006/relationships/hyperlink" Target="https://www.apt.int/sites/default/files/2021/10/APG23-3-INF-10_Briefing_on_AI1.13.docx" TargetMode="External"/><Relationship Id="rId21" Type="http://schemas.openxmlformats.org/officeDocument/2006/relationships/hyperlink" Target="https://www.apt.int/sites/default/files/2021/11/APG23-3-INP-43_China_WP3.docx" TargetMode="External"/><Relationship Id="rId34" Type="http://schemas.openxmlformats.org/officeDocument/2006/relationships/hyperlink" Target="https://www.apt.int/sites/default/files/2021/11/APG23-3-INP-43_China_WP3.docx" TargetMode="External"/><Relationship Id="rId42" Type="http://schemas.openxmlformats.org/officeDocument/2006/relationships/hyperlink" Target="https://www.apt.int/sites/default/files/2021/10/APG23-3-INF-10_Briefing_on_AI1.13.doc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SG07-C-0030/en" TargetMode="External"/><Relationship Id="rId29" Type="http://schemas.openxmlformats.org/officeDocument/2006/relationships/hyperlink" Target="https://www.apt.int/sites/default/files/2021/11/APG23-3-INF-39_Report_of_APM23-2.docx" TargetMode="External"/><Relationship Id="rId11" Type="http://schemas.openxmlformats.org/officeDocument/2006/relationships/hyperlink" Target="https://www.itu.int/rec/R-REC-SA.1414-2-201707-I/en" TargetMode="External"/><Relationship Id="rId24" Type="http://schemas.openxmlformats.org/officeDocument/2006/relationships/hyperlink" Target="https://www.apt.int/sites/default/files/2021/10/APG23-3-INF-10_Briefing_on_AI1.13.docx" TargetMode="External"/><Relationship Id="rId32" Type="http://schemas.openxmlformats.org/officeDocument/2006/relationships/hyperlink" Target="https://www.apt.int/sites/default/files/2021/11/APG23-3-INP-26_WP3_Kor_1.12_1.13_1.14_9.1.a_9.1.d.docx" TargetMode="External"/><Relationship Id="rId37" Type="http://schemas.openxmlformats.org/officeDocument/2006/relationships/hyperlink" Target="https://www.apt.int/sites/default/files/2021/11/APG23-3-INF-20_Status_of_CEPT_Preparation_for_WRC-23_and_RA-23.pdf" TargetMode="External"/><Relationship Id="rId40" Type="http://schemas.openxmlformats.org/officeDocument/2006/relationships/hyperlink" Target="https://www.apt.int/sites/default/files/2021/10/APG23-3-INF-01_Preliminary_WMO_Position_on_WRC-23_Agenda.doc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dms_ties/itu-r/md/19/wp7b/c/R19-WP7B-C-0158!N03!MSW-E.docx" TargetMode="External"/><Relationship Id="rId23" Type="http://schemas.openxmlformats.org/officeDocument/2006/relationships/hyperlink" Target="https://www.apt.int/sites/default/files/2021/11/APG23-3-INP-53_VTN_WP3_PV_1.13.docx" TargetMode="External"/><Relationship Id="rId28" Type="http://schemas.openxmlformats.org/officeDocument/2006/relationships/hyperlink" Target="https://www.apt.int/sites/default/files/2021/11/APG23-3-INF-37_ASMG_Preparation_for_WRC-23.pdf" TargetMode="External"/><Relationship Id="rId36" Type="http://schemas.openxmlformats.org/officeDocument/2006/relationships/hyperlink" Target="https://www.apt.int/sites/default/files/2021/11/APG23-3-INP-53_VTN_WP3_PV_1.13.docx" TargetMode="External"/><Relationship Id="rId49" Type="http://schemas.openxmlformats.org/officeDocument/2006/relationships/fontTable" Target="fontTable.xml"/><Relationship Id="rId10" Type="http://schemas.openxmlformats.org/officeDocument/2006/relationships/hyperlink" Target="https://www.itu.int/rec/R-REC-SA.510-3-201707-I/en" TargetMode="External"/><Relationship Id="rId19" Type="http://schemas.openxmlformats.org/officeDocument/2006/relationships/hyperlink" Target="https://www.apt.int/sites/default/files/2021/11/APG23-3-INP-26_WP3_Kor_1.12_1.13_1.14_9.1.a_9.1.d.docx" TargetMode="External"/><Relationship Id="rId31" Type="http://schemas.openxmlformats.org/officeDocument/2006/relationships/hyperlink" Target="https://www.apt.int/sites/default/files/2021/10/APG23-3-INP-17_Indonesia-Preliminary_Views_on_WRC-23_Agenda_Items_1.12_1.13_and_9.1_Topics_a.docx"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dms_pub/itu-r/oth/0c/0a/R0C0A00000D0013PDFE.pdf" TargetMode="External"/><Relationship Id="rId14" Type="http://schemas.openxmlformats.org/officeDocument/2006/relationships/hyperlink" Target="https://www.itu.int/dms_ties/itu-r/md/19/wp7b/c/R19-WP7B-C-0158!N02!MSW-E.docx" TargetMode="External"/><Relationship Id="rId22" Type="http://schemas.openxmlformats.org/officeDocument/2006/relationships/hyperlink" Target="https://www.apt.int/sites/default/files/2021/11/APG23-3-INP-48_Iran-AI1.13.docx" TargetMode="External"/><Relationship Id="rId27" Type="http://schemas.openxmlformats.org/officeDocument/2006/relationships/hyperlink" Target="https://www.apt.int/sites/default/files/2021/11/APG23-3-INF-20_Status_of_CEPT_Preparation_for_WRC-23_and_RA-23.pdf" TargetMode="External"/><Relationship Id="rId30" Type="http://schemas.openxmlformats.org/officeDocument/2006/relationships/hyperlink" Target="https://www.apt.int/sites/default/files/2021/10/APG23-3-INP-09_AUS_contribution_for_WP3_Preliminary_Views_on_WRC-23_Agenda_Items_1.12_1.13_1.14_9.1_Topics_a_and_d.docx" TargetMode="External"/><Relationship Id="rId35" Type="http://schemas.openxmlformats.org/officeDocument/2006/relationships/hyperlink" Target="https://www.apt.int/sites/default/files/2021/11/APG23-3-INP-48_Iran-AI1.13.doc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rec/R-REC-SA.1626-1-201312-I/en" TargetMode="External"/><Relationship Id="rId17" Type="http://schemas.openxmlformats.org/officeDocument/2006/relationships/hyperlink" Target="https://www.apt.int/sites/default/files/2021/10/APG23-3-INP-09_AUS_contribution_for_WP3_Preliminary_Views_on_WRC-23_Agenda_Items_1.12_1.13_1.14_9.1_Topics_a_and_d.docx" TargetMode="External"/><Relationship Id="rId25" Type="http://schemas.openxmlformats.org/officeDocument/2006/relationships/hyperlink" Target="https://www.apt.int/sites/default/files/2021/10/APG23-3-INF-01_Preliminary_WMO_Position_on_WRC-23_Agenda.docx" TargetMode="External"/><Relationship Id="rId33" Type="http://schemas.openxmlformats.org/officeDocument/2006/relationships/hyperlink" Target="https://www.apt.int/sites/default/files/2021/11/APG23-3-INP-30_J-3_WP3_PRELIMINARY_VIEWS_ON_WRC-23_AGENDA_ITEMS_1.12_1.13_1.14_9.1A_9.1D_AND_RES.655.docx" TargetMode="External"/><Relationship Id="rId38" Type="http://schemas.openxmlformats.org/officeDocument/2006/relationships/hyperlink" Target="https://www.apt.int/sites/default/files/2021/10/APG23-3-INF-10_Briefing_on_AI1.13.docx" TargetMode="External"/><Relationship Id="rId46" Type="http://schemas.openxmlformats.org/officeDocument/2006/relationships/footer" Target="footer2.xml"/><Relationship Id="rId20" Type="http://schemas.openxmlformats.org/officeDocument/2006/relationships/hyperlink" Target="https://www.apt.int/sites/default/files/2021/11/APG23-3-INP-30_J-3_WP3_PRELIMINARY_VIEWS_ON_WRC-23_AGENDA_ITEMS_1.12_1.13_1.14_9.1A_9.1D_AND_RES.655.docx" TargetMode="External"/><Relationship Id="rId41" Type="http://schemas.openxmlformats.org/officeDocument/2006/relationships/hyperlink" Target="https://www.apt.int/sites/default/files/2021/10/APG23-3-INF-15_ICAO-Position_for_ITU_WRC-23.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mailto:hanrui@srrc.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2167</Words>
  <Characters>12355</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2021-11-22T03:47:00Z</dcterms:created>
  <dcterms:modified xsi:type="dcterms:W3CDTF">2021-11-22T03:47:00Z</dcterms:modified>
</cp:coreProperties>
</file>