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9431F6" w14:paraId="003A28DA" w14:textId="77777777" w:rsidTr="003229E2">
        <w:trPr>
          <w:cantSplit/>
          <w:trHeight w:val="288"/>
        </w:trPr>
        <w:tc>
          <w:tcPr>
            <w:tcW w:w="1399" w:type="dxa"/>
            <w:vMerge w:val="restart"/>
            <w:tcBorders>
              <w:top w:val="nil"/>
              <w:left w:val="nil"/>
              <w:bottom w:val="single" w:sz="4" w:space="0" w:color="auto"/>
              <w:right w:val="nil"/>
            </w:tcBorders>
            <w:hideMark/>
          </w:tcPr>
          <w:p w14:paraId="7A489867" w14:textId="77777777" w:rsidR="009431F6" w:rsidRDefault="009431F6" w:rsidP="003229E2">
            <w:pPr>
              <w:pStyle w:val="Note"/>
              <w:widowControl w:val="0"/>
              <w:tabs>
                <w:tab w:val="clear" w:pos="284"/>
                <w:tab w:val="left" w:pos="720"/>
              </w:tabs>
              <w:wordWrap w:val="0"/>
              <w:spacing w:before="0"/>
              <w:rPr>
                <w:noProof w:val="0"/>
                <w:kern w:val="2"/>
                <w:sz w:val="24"/>
                <w:szCs w:val="24"/>
              </w:rPr>
            </w:pPr>
            <w:r>
              <w:rPr>
                <w:kern w:val="2"/>
                <w:sz w:val="24"/>
                <w:szCs w:val="24"/>
                <w:lang w:eastAsia="en-US"/>
              </w:rPr>
              <w:drawing>
                <wp:inline distT="0" distB="0" distL="0" distR="0" wp14:anchorId="081BC31C" wp14:editId="2C18C5F1">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4E0B9A82" w14:textId="77777777" w:rsidR="009431F6" w:rsidRDefault="009431F6" w:rsidP="003229E2">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2E334711" w14:textId="77777777" w:rsidR="009431F6" w:rsidRDefault="009431F6" w:rsidP="003229E2">
            <w:pPr>
              <w:pStyle w:val="Heading8"/>
              <w:spacing w:before="40"/>
              <w:rPr>
                <w:sz w:val="24"/>
                <w:szCs w:val="24"/>
              </w:rPr>
            </w:pPr>
            <w:r>
              <w:rPr>
                <w:sz w:val="24"/>
                <w:szCs w:val="24"/>
              </w:rPr>
              <w:t>Document No:</w:t>
            </w:r>
          </w:p>
        </w:tc>
      </w:tr>
      <w:tr w:rsidR="009431F6" w14:paraId="05373411" w14:textId="77777777" w:rsidTr="003229E2">
        <w:trPr>
          <w:cantSplit/>
          <w:trHeight w:val="504"/>
        </w:trPr>
        <w:tc>
          <w:tcPr>
            <w:tcW w:w="1399" w:type="dxa"/>
            <w:vMerge/>
            <w:tcBorders>
              <w:top w:val="nil"/>
              <w:left w:val="nil"/>
              <w:bottom w:val="single" w:sz="4" w:space="0" w:color="auto"/>
              <w:right w:val="nil"/>
            </w:tcBorders>
            <w:vAlign w:val="center"/>
            <w:hideMark/>
          </w:tcPr>
          <w:p w14:paraId="523DE638" w14:textId="77777777" w:rsidR="009431F6" w:rsidRDefault="009431F6" w:rsidP="003229E2">
            <w:pPr>
              <w:rPr>
                <w:kern w:val="2"/>
                <w:lang w:eastAsia="ko-KR"/>
              </w:rPr>
            </w:pPr>
          </w:p>
        </w:tc>
        <w:tc>
          <w:tcPr>
            <w:tcW w:w="5760" w:type="dxa"/>
            <w:tcBorders>
              <w:top w:val="nil"/>
              <w:left w:val="nil"/>
              <w:bottom w:val="nil"/>
              <w:right w:val="nil"/>
            </w:tcBorders>
            <w:vAlign w:val="center"/>
            <w:hideMark/>
          </w:tcPr>
          <w:p w14:paraId="2BB5E6EF" w14:textId="77777777" w:rsidR="009431F6" w:rsidRDefault="009431F6" w:rsidP="003229E2">
            <w:pPr>
              <w:spacing w:before="40"/>
            </w:pPr>
            <w:r>
              <w:rPr>
                <w:b/>
              </w:rPr>
              <w:t>The 3rd Meeting of the APT Conference Preparatory Group for WRC-23 (APG23-3)</w:t>
            </w:r>
          </w:p>
        </w:tc>
        <w:tc>
          <w:tcPr>
            <w:tcW w:w="2160" w:type="dxa"/>
            <w:tcBorders>
              <w:top w:val="nil"/>
              <w:left w:val="nil"/>
              <w:bottom w:val="nil"/>
              <w:right w:val="nil"/>
            </w:tcBorders>
          </w:tcPr>
          <w:p w14:paraId="7C6938F6" w14:textId="252C1244" w:rsidR="009431F6" w:rsidRDefault="009431F6" w:rsidP="003229E2">
            <w:pPr>
              <w:spacing w:before="40"/>
              <w:rPr>
                <w:rFonts w:cs="Angsana New"/>
                <w:b/>
                <w:bCs/>
                <w:szCs w:val="30"/>
                <w:lang w:bidi="th-TH"/>
              </w:rPr>
            </w:pPr>
            <w:r>
              <w:rPr>
                <w:b/>
                <w:bCs/>
                <w:lang w:val="fr-FR"/>
              </w:rPr>
              <w:t>APG23-3/OUT-24</w:t>
            </w:r>
          </w:p>
          <w:p w14:paraId="6BBB22E9" w14:textId="77777777" w:rsidR="009431F6" w:rsidRDefault="009431F6" w:rsidP="003229E2">
            <w:pPr>
              <w:rPr>
                <w:b/>
                <w:bCs/>
                <w:lang w:val="en-GB"/>
              </w:rPr>
            </w:pPr>
          </w:p>
        </w:tc>
      </w:tr>
      <w:tr w:rsidR="009431F6" w14:paraId="3556B068" w14:textId="77777777" w:rsidTr="003229E2">
        <w:trPr>
          <w:cantSplit/>
          <w:trHeight w:val="288"/>
        </w:trPr>
        <w:tc>
          <w:tcPr>
            <w:tcW w:w="1399" w:type="dxa"/>
            <w:vMerge/>
            <w:tcBorders>
              <w:top w:val="nil"/>
              <w:left w:val="nil"/>
              <w:bottom w:val="single" w:sz="4" w:space="0" w:color="auto"/>
              <w:right w:val="nil"/>
            </w:tcBorders>
            <w:vAlign w:val="center"/>
            <w:hideMark/>
          </w:tcPr>
          <w:p w14:paraId="31D5278D" w14:textId="77777777" w:rsidR="009431F6" w:rsidRDefault="009431F6" w:rsidP="003229E2">
            <w:pPr>
              <w:rPr>
                <w:kern w:val="2"/>
                <w:lang w:eastAsia="ko-KR"/>
              </w:rPr>
            </w:pPr>
          </w:p>
        </w:tc>
        <w:tc>
          <w:tcPr>
            <w:tcW w:w="5760" w:type="dxa"/>
            <w:tcBorders>
              <w:top w:val="nil"/>
              <w:left w:val="nil"/>
              <w:bottom w:val="single" w:sz="4" w:space="0" w:color="auto"/>
              <w:right w:val="nil"/>
            </w:tcBorders>
            <w:vAlign w:val="bottom"/>
            <w:hideMark/>
          </w:tcPr>
          <w:p w14:paraId="595B089D" w14:textId="77777777" w:rsidR="009431F6" w:rsidRDefault="009431F6" w:rsidP="003229E2">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14665850" w14:textId="77777777" w:rsidR="009431F6" w:rsidRDefault="009431F6" w:rsidP="003229E2">
            <w:pPr>
              <w:spacing w:before="40"/>
              <w:rPr>
                <w:bCs/>
              </w:rPr>
            </w:pPr>
            <w:r>
              <w:rPr>
                <w:bCs/>
              </w:rPr>
              <w:t>13 November 2021</w:t>
            </w:r>
          </w:p>
        </w:tc>
      </w:tr>
    </w:tbl>
    <w:p w14:paraId="59BA5A39" w14:textId="77777777" w:rsidR="009431F6" w:rsidRDefault="009431F6" w:rsidP="009431F6">
      <w:pPr>
        <w:rPr>
          <w:lang w:val="en-NZ"/>
        </w:rPr>
      </w:pPr>
    </w:p>
    <w:p w14:paraId="5D2431BE" w14:textId="77777777" w:rsidR="009431F6" w:rsidRDefault="009431F6" w:rsidP="009431F6">
      <w:pPr>
        <w:jc w:val="center"/>
        <w:rPr>
          <w:lang w:val="en-NZ" w:eastAsia="ko-KR"/>
        </w:rPr>
      </w:pPr>
    </w:p>
    <w:p w14:paraId="50953B96" w14:textId="77777777" w:rsidR="009431F6" w:rsidRPr="008F52E8" w:rsidRDefault="009431F6" w:rsidP="009431F6">
      <w:pPr>
        <w:jc w:val="center"/>
        <w:rPr>
          <w:rFonts w:cstheme="minorBidi"/>
          <w:szCs w:val="30"/>
          <w:cs/>
          <w:lang w:eastAsia="ko-KR" w:bidi="th-TH"/>
        </w:rPr>
      </w:pPr>
      <w:r>
        <w:rPr>
          <w:lang w:eastAsia="ko-KR"/>
        </w:rPr>
        <w:t>Working Party 3</w:t>
      </w:r>
    </w:p>
    <w:p w14:paraId="5802CEF6" w14:textId="77777777" w:rsidR="00B64A60" w:rsidRPr="002A0111" w:rsidRDefault="00B64A60" w:rsidP="00B64A60">
      <w:pPr>
        <w:jc w:val="center"/>
        <w:rPr>
          <w:bCs/>
          <w:caps/>
          <w:lang w:val="en-NZ"/>
        </w:rPr>
      </w:pPr>
    </w:p>
    <w:p w14:paraId="7ECAA76D" w14:textId="63F2C7EF" w:rsidR="00B64A60" w:rsidRPr="000C455D" w:rsidRDefault="00B64A60" w:rsidP="00B64A60">
      <w:pPr>
        <w:jc w:val="center"/>
        <w:rPr>
          <w:b/>
          <w:bCs/>
          <w:caps/>
        </w:rPr>
      </w:pPr>
      <w:r w:rsidRPr="00441526">
        <w:rPr>
          <w:b/>
          <w:bCs/>
          <w:caps/>
          <w:lang w:val="en-NZ"/>
        </w:rPr>
        <w:t>PRELIMINARY VIEWs on WRC-</w:t>
      </w:r>
      <w:r w:rsidR="007F0AE6">
        <w:rPr>
          <w:b/>
          <w:bCs/>
          <w:caps/>
          <w:lang w:val="en-NZ"/>
        </w:rPr>
        <w:t>23</w:t>
      </w:r>
      <w:r w:rsidRPr="00441526">
        <w:rPr>
          <w:b/>
          <w:bCs/>
          <w:caps/>
          <w:lang w:val="en-NZ"/>
        </w:rPr>
        <w:t xml:space="preserve"> agenda item </w:t>
      </w:r>
      <w:r w:rsidR="00487927">
        <w:rPr>
          <w:b/>
          <w:bCs/>
          <w:caps/>
          <w:lang w:val="en-NZ"/>
        </w:rPr>
        <w:t>9.</w:t>
      </w:r>
      <w:r w:rsidRPr="00441526">
        <w:rPr>
          <w:b/>
          <w:bCs/>
          <w:caps/>
          <w:lang w:val="en-NZ"/>
        </w:rPr>
        <w:t>1</w:t>
      </w:r>
      <w:r w:rsidR="00487927">
        <w:rPr>
          <w:b/>
          <w:bCs/>
          <w:caps/>
          <w:lang w:val="en-NZ"/>
        </w:rPr>
        <w:t>, topic a</w:t>
      </w:r>
      <w:r w:rsidR="00A3464D">
        <w:rPr>
          <w:b/>
          <w:bCs/>
          <w:caps/>
          <w:lang w:val="en-NZ"/>
        </w:rPr>
        <w:t>)</w:t>
      </w:r>
    </w:p>
    <w:p w14:paraId="3F860EA9" w14:textId="77777777" w:rsidR="00B64A60" w:rsidRPr="00441526" w:rsidRDefault="00B64A60" w:rsidP="00264566">
      <w:pPr>
        <w:spacing w:after="120"/>
        <w:rPr>
          <w:lang w:val="en-NZ"/>
        </w:rPr>
      </w:pPr>
    </w:p>
    <w:p w14:paraId="14ED5239" w14:textId="65262D04" w:rsidR="002A0111" w:rsidRPr="00441526" w:rsidRDefault="002A0111" w:rsidP="002A0111">
      <w:pPr>
        <w:spacing w:after="120"/>
        <w:jc w:val="both"/>
        <w:rPr>
          <w:lang w:val="en-NZ"/>
        </w:rPr>
      </w:pPr>
      <w:r w:rsidRPr="00441526">
        <w:rPr>
          <w:b/>
          <w:lang w:val="en-NZ"/>
        </w:rPr>
        <w:t xml:space="preserve">Agenda Item </w:t>
      </w:r>
      <w:r w:rsidR="00487927">
        <w:rPr>
          <w:b/>
          <w:lang w:val="en-NZ"/>
        </w:rPr>
        <w:t>9.</w:t>
      </w:r>
      <w:r w:rsidRPr="00441526">
        <w:rPr>
          <w:b/>
          <w:lang w:val="en-NZ"/>
        </w:rPr>
        <w:t>1:</w:t>
      </w:r>
    </w:p>
    <w:p w14:paraId="35A13FF2" w14:textId="77777777" w:rsidR="00487927" w:rsidRPr="002B6EFF" w:rsidRDefault="00487927" w:rsidP="00487927">
      <w:pPr>
        <w:spacing w:after="120"/>
        <w:jc w:val="both"/>
        <w:rPr>
          <w:i/>
          <w:lang w:val="en-NZ"/>
        </w:rPr>
      </w:pPr>
      <w:r w:rsidRPr="002B6EFF">
        <w:rPr>
          <w:i/>
          <w:lang w:val="en-NZ"/>
        </w:rPr>
        <w:t>9.1</w:t>
      </w:r>
      <w:r w:rsidRPr="002B6EFF">
        <w:rPr>
          <w:i/>
          <w:lang w:val="en-NZ"/>
        </w:rPr>
        <w:tab/>
        <w:t>on the activities of the ITU Radiocommunication Sector since WRC 19:</w:t>
      </w:r>
    </w:p>
    <w:p w14:paraId="061F01E2" w14:textId="77777777" w:rsidR="00487927" w:rsidRDefault="00487927" w:rsidP="00487927">
      <w:pPr>
        <w:spacing w:after="120"/>
        <w:ind w:left="720" w:hangingChars="300" w:hanging="720"/>
        <w:jc w:val="both"/>
        <w:rPr>
          <w:i/>
          <w:lang w:val="en-NZ"/>
        </w:rPr>
      </w:pPr>
      <w:r w:rsidRPr="002B6EFF">
        <w:rPr>
          <w:rFonts w:hint="eastAsia"/>
          <w:i/>
          <w:lang w:val="en-NZ"/>
        </w:rPr>
        <w:t>–</w:t>
      </w:r>
      <w:r w:rsidRPr="002B6EFF">
        <w:rPr>
          <w:i/>
          <w:lang w:val="en-NZ"/>
        </w:rPr>
        <w:tab/>
        <w:t>In accordance with Resolution</w:t>
      </w:r>
      <w:r w:rsidRPr="002B6EFF">
        <w:rPr>
          <w:b/>
          <w:bCs/>
          <w:i/>
          <w:lang w:val="en-NZ"/>
        </w:rPr>
        <w:t xml:space="preserve"> 657 (Rev. WRC 19)</w:t>
      </w:r>
      <w:r w:rsidRPr="002B6EFF">
        <w:rPr>
          <w:i/>
          <w:lang w:val="en-NZ"/>
        </w:rPr>
        <w:t xml:space="preserve">,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w:t>
      </w:r>
      <w:proofErr w:type="gramStart"/>
      <w:r w:rsidRPr="002B6EFF">
        <w:rPr>
          <w:i/>
          <w:lang w:val="en-NZ"/>
        </w:rPr>
        <w:t>services;</w:t>
      </w:r>
      <w:proofErr w:type="gramEnd"/>
    </w:p>
    <w:p w14:paraId="6B885D1D" w14:textId="77777777" w:rsidR="002A0111" w:rsidRPr="00487927" w:rsidRDefault="002A0111" w:rsidP="002A0111">
      <w:pPr>
        <w:jc w:val="both"/>
        <w:rPr>
          <w:lang w:val="en-NZ"/>
        </w:rPr>
      </w:pPr>
    </w:p>
    <w:p w14:paraId="69691466"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61B99FFB" w14:textId="2CC92C45" w:rsidR="00C95BF2" w:rsidRDefault="00C95BF2" w:rsidP="00C95BF2">
      <w:pPr>
        <w:spacing w:afterLines="50" w:after="120"/>
        <w:jc w:val="both"/>
      </w:pPr>
      <w:r w:rsidRPr="009E254D">
        <w:t xml:space="preserve">Space weather refers to the physical processes occurring in the space environment that ultimately affects human activities on Earth and in space. Space weather is influenced by the </w:t>
      </w:r>
      <w:r>
        <w:t xml:space="preserve">X-ray, </w:t>
      </w:r>
      <w:r w:rsidR="00422C1B">
        <w:t>u</w:t>
      </w:r>
      <w:r w:rsidRPr="008E32E7">
        <w:rPr>
          <w:rFonts w:eastAsia="MS Mincho" w:hint="eastAsia"/>
          <w:lang w:eastAsia="ja-JP"/>
        </w:rPr>
        <w:t>l</w:t>
      </w:r>
      <w:r w:rsidRPr="008E32E7">
        <w:rPr>
          <w:rFonts w:eastAsia="MS Mincho"/>
          <w:lang w:eastAsia="ja-JP"/>
        </w:rPr>
        <w:t>traviolet (U</w:t>
      </w:r>
      <w:r>
        <w:t xml:space="preserve">V), high energic particles and </w:t>
      </w:r>
      <w:r w:rsidRPr="008E32E7">
        <w:rPr>
          <w:rFonts w:eastAsia="MS Mincho" w:hint="eastAsia"/>
          <w:lang w:eastAsia="ja-JP"/>
        </w:rPr>
        <w:t>s</w:t>
      </w:r>
      <w:r w:rsidRPr="008E32E7">
        <w:rPr>
          <w:rFonts w:eastAsia="MS Mincho"/>
          <w:lang w:eastAsia="ja-JP"/>
        </w:rPr>
        <w:t xml:space="preserve">trong </w:t>
      </w:r>
      <w:r w:rsidRPr="009E254D">
        <w:t xml:space="preserve">solar wind </w:t>
      </w:r>
      <w:r>
        <w:t>generated by Coronal Mass Ejection (CME)</w:t>
      </w:r>
      <w:r w:rsidRPr="009E254D">
        <w:t xml:space="preserve">. Space weather observations are important for detecting </w:t>
      </w:r>
      <w:r w:rsidRPr="00D807A0">
        <w:t xml:space="preserve">and forecasting </w:t>
      </w:r>
      <w:r w:rsidRPr="009E254D">
        <w:t xml:space="preserve">solar activity events that impact services critical to the economy, safety and security of administrations and their population. These observations are made from ground-based and space-based systems. Some of the sensors operate by receiving signals of opportunity, including low-level natural emissions of the Sun, Earth’s </w:t>
      </w:r>
      <w:proofErr w:type="gramStart"/>
      <w:r w:rsidRPr="009E254D">
        <w:t>atmosphere</w:t>
      </w:r>
      <w:proofErr w:type="gramEnd"/>
      <w:r w:rsidRPr="009E254D">
        <w:t xml:space="preserve"> and other celestial bodies, and therefore may suffer harmful interference at levels which could be tolerated by other radio systems. However, no frequency bands have been documented in the Radio Regulations for space weather sensor applications.</w:t>
      </w:r>
    </w:p>
    <w:p w14:paraId="643B7B2A" w14:textId="11B7212A" w:rsidR="00C95BF2" w:rsidRDefault="00C95BF2" w:rsidP="00C95BF2">
      <w:pPr>
        <w:spacing w:afterLines="50" w:after="120"/>
        <w:jc w:val="both"/>
      </w:pPr>
      <w:r w:rsidRPr="00010C82">
        <w:t>Agenda item 9.1</w:t>
      </w:r>
      <w:r w:rsidR="004E6B3C">
        <w:rPr>
          <w:rFonts w:eastAsia="MS Mincho" w:hint="eastAsia"/>
          <w:lang w:eastAsia="ja-JP"/>
        </w:rPr>
        <w:t>,</w:t>
      </w:r>
      <w:r w:rsidRPr="00010C82">
        <w:t xml:space="preserve"> topic a was therefore established with a view to describing appropriate recognition and protection of space weather sensors in the Radio Regulations without placing additional constraints on incumbent services.</w:t>
      </w:r>
      <w:r>
        <w:t xml:space="preserve"> </w:t>
      </w:r>
    </w:p>
    <w:p w14:paraId="7F72FB3F" w14:textId="3C0960B1" w:rsidR="00B77E74" w:rsidRDefault="00C95BF2" w:rsidP="009F3102">
      <w:pPr>
        <w:spacing w:afterLines="50" w:after="120"/>
        <w:jc w:val="both"/>
      </w:pPr>
      <w:r>
        <w:t>ITU-R Working Party (WP) 7C is designated as the responsible group for this topic</w:t>
      </w:r>
      <w:r w:rsidR="00B77E74">
        <w:t xml:space="preserve"> and </w:t>
      </w:r>
      <w:r w:rsidR="00B77E74" w:rsidRPr="001B0487">
        <w:t xml:space="preserve">has undertaken the study of </w:t>
      </w:r>
      <w:r w:rsidR="004465B8" w:rsidRPr="004465B8">
        <w:t>the technical and operational characteristics, spectrum requirements and appropriate radio service designations for space weather sensors</w:t>
      </w:r>
      <w:r w:rsidR="00B77E74">
        <w:rPr>
          <w:spacing w:val="-1"/>
        </w:rPr>
        <w:t xml:space="preserve"> in response to Resolution </w:t>
      </w:r>
      <w:r w:rsidR="00B77E74" w:rsidRPr="00B77E74">
        <w:rPr>
          <w:b/>
          <w:bCs/>
          <w:spacing w:val="-1"/>
        </w:rPr>
        <w:t>657 (Rev.WRC-19)</w:t>
      </w:r>
      <w:r w:rsidR="00B77E74">
        <w:rPr>
          <w:spacing w:val="-1"/>
        </w:rPr>
        <w:t>.</w:t>
      </w:r>
    </w:p>
    <w:p w14:paraId="1C8D3BFF" w14:textId="39800600" w:rsidR="009F3102" w:rsidRDefault="00B77E74" w:rsidP="009F3102">
      <w:pPr>
        <w:spacing w:afterLines="50" w:after="120"/>
        <w:jc w:val="both"/>
      </w:pPr>
      <w:r w:rsidRPr="00577565">
        <w:t xml:space="preserve">In the previous study cycle, Report ITU-R </w:t>
      </w:r>
      <w:hyperlink r:id="rId9" w:history="1">
        <w:r w:rsidRPr="00870B91">
          <w:rPr>
            <w:rStyle w:val="Hyperlink"/>
          </w:rPr>
          <w:t>RS.2456-0</w:t>
        </w:r>
      </w:hyperlink>
      <w:r w:rsidRPr="00577565">
        <w:t xml:space="preserve"> was developed, which summarizes the </w:t>
      </w:r>
      <w:proofErr w:type="gramStart"/>
      <w:r w:rsidRPr="00577565">
        <w:t>current status</w:t>
      </w:r>
      <w:proofErr w:type="gramEnd"/>
      <w:r w:rsidRPr="00577565">
        <w:t xml:space="preserve"> of operational space weather sensor systems. At the WP 7C meeting in September 202</w:t>
      </w:r>
      <w:r>
        <w:t>1</w:t>
      </w:r>
      <w:r w:rsidRPr="00577565">
        <w:t xml:space="preserve">, revisions to Report ITU-R RS.2456 was proposed and converted to </w:t>
      </w:r>
      <w:hyperlink r:id="rId10" w:history="1">
        <w:r w:rsidRPr="00CB16F3">
          <w:rPr>
            <w:rStyle w:val="Hyperlink"/>
          </w:rPr>
          <w:t xml:space="preserve">Annex </w:t>
        </w:r>
        <w:r>
          <w:rPr>
            <w:rStyle w:val="Hyperlink"/>
          </w:rPr>
          <w:t>10</w:t>
        </w:r>
      </w:hyperlink>
      <w:r w:rsidRPr="00577565">
        <w:t xml:space="preserve"> to the Chairman’s Report</w:t>
      </w:r>
      <w:r>
        <w:t xml:space="preserve"> (Doc. </w:t>
      </w:r>
      <w:hyperlink r:id="rId11" w:history="1">
        <w:r w:rsidRPr="00140A87">
          <w:rPr>
            <w:rStyle w:val="Hyperlink"/>
          </w:rPr>
          <w:t>7C/</w:t>
        </w:r>
        <w:r>
          <w:rPr>
            <w:rStyle w:val="Hyperlink"/>
          </w:rPr>
          <w:t>283</w:t>
        </w:r>
      </w:hyperlink>
      <w:r>
        <w:t>)</w:t>
      </w:r>
      <w:r w:rsidRPr="00577565">
        <w:t>.</w:t>
      </w:r>
      <w:r>
        <w:t xml:space="preserve"> </w:t>
      </w:r>
      <w:r w:rsidRPr="00CB16F3">
        <w:t xml:space="preserve">Working documents towards ITU-R Reports on </w:t>
      </w:r>
      <w:r>
        <w:t xml:space="preserve">receive-only </w:t>
      </w:r>
      <w:r w:rsidRPr="00CB16F3">
        <w:t>space weather sensor spectrum requirements</w:t>
      </w:r>
      <w:r>
        <w:t>,</w:t>
      </w:r>
      <w:r w:rsidRPr="00CB16F3">
        <w:t xml:space="preserve"> on </w:t>
      </w:r>
      <w:r>
        <w:t xml:space="preserve">receive-only </w:t>
      </w:r>
      <w:r w:rsidRPr="00CB16F3">
        <w:t>space weather sensor interference criteria</w:t>
      </w:r>
      <w:r>
        <w:t xml:space="preserve"> and on active </w:t>
      </w:r>
      <w:r w:rsidRPr="00CB16F3">
        <w:t xml:space="preserve">space weather sensor spectrum requirements, respectively, are being developed. Their latest versions are attached to the Chairman’s Report as </w:t>
      </w:r>
      <w:hyperlink r:id="rId12" w:history="1">
        <w:r w:rsidRPr="00CB16F3">
          <w:rPr>
            <w:rStyle w:val="Hyperlink"/>
          </w:rPr>
          <w:t>Annexes 8</w:t>
        </w:r>
      </w:hyperlink>
      <w:r>
        <w:rPr>
          <w:rStyle w:val="Hyperlink"/>
        </w:rPr>
        <w:t>,</w:t>
      </w:r>
      <w:r w:rsidRPr="00CB16F3">
        <w:t xml:space="preserve"> </w:t>
      </w:r>
      <w:hyperlink r:id="rId13" w:history="1">
        <w:r w:rsidRPr="009B6621">
          <w:rPr>
            <w:rStyle w:val="Hyperlink"/>
          </w:rPr>
          <w:t>7</w:t>
        </w:r>
      </w:hyperlink>
      <w:r>
        <w:t xml:space="preserve"> </w:t>
      </w:r>
      <w:r w:rsidRPr="00CB16F3">
        <w:t xml:space="preserve">and </w:t>
      </w:r>
      <w:hyperlink r:id="rId14" w:history="1">
        <w:r w:rsidRPr="00CB16F3">
          <w:rPr>
            <w:rStyle w:val="Hyperlink"/>
          </w:rPr>
          <w:t>9</w:t>
        </w:r>
      </w:hyperlink>
      <w:r w:rsidRPr="00CB16F3">
        <w:t>, respectively.</w:t>
      </w:r>
      <w:r>
        <w:t xml:space="preserve"> Due to time constraints, these documents could not be fully reviewed and will therefore be considered in the correspondence group (its terms of reference are attached to the Chairman’s Report as </w:t>
      </w:r>
      <w:hyperlink r:id="rId15" w:history="1">
        <w:r w:rsidRPr="009B6621">
          <w:rPr>
            <w:rStyle w:val="Hyperlink"/>
          </w:rPr>
          <w:t>Annex 13</w:t>
        </w:r>
      </w:hyperlink>
      <w:r>
        <w:t>).</w:t>
      </w:r>
    </w:p>
    <w:p w14:paraId="5DCCD87F" w14:textId="71437056" w:rsidR="009F3102" w:rsidRDefault="009F3102" w:rsidP="009F3102">
      <w:pPr>
        <w:spacing w:afterLines="50" w:after="120"/>
        <w:jc w:val="both"/>
        <w:rPr>
          <w:lang w:eastAsia="ko-KR"/>
        </w:rPr>
      </w:pPr>
      <w:r>
        <w:rPr>
          <w:rFonts w:eastAsia="MS Mincho"/>
          <w:lang w:eastAsia="ja-JP"/>
        </w:rPr>
        <w:lastRenderedPageBreak/>
        <w:t xml:space="preserve">At the September 2021 meeting, WP 7C started work on </w:t>
      </w:r>
      <w:r w:rsidRPr="001D0E9F">
        <w:rPr>
          <w:rFonts w:eastAsia="MS Mincho"/>
          <w:lang w:eastAsia="ja-JP"/>
        </w:rPr>
        <w:t xml:space="preserve">a document </w:t>
      </w:r>
      <w:r>
        <w:rPr>
          <w:rFonts w:eastAsia="MS Mincho"/>
          <w:lang w:eastAsia="ja-JP"/>
        </w:rPr>
        <w:t>regarding</w:t>
      </w:r>
      <w:r w:rsidRPr="001D0E9F">
        <w:rPr>
          <w:rFonts w:eastAsia="MS Mincho"/>
          <w:lang w:eastAsia="ja-JP"/>
        </w:rPr>
        <w:t xml:space="preserve"> WP</w:t>
      </w:r>
      <w:r>
        <w:rPr>
          <w:rFonts w:eastAsia="MS Mincho"/>
          <w:lang w:eastAsia="ja-JP"/>
        </w:rPr>
        <w:t xml:space="preserve"> </w:t>
      </w:r>
      <w:r w:rsidRPr="001D0E9F">
        <w:rPr>
          <w:rFonts w:eastAsia="MS Mincho"/>
          <w:lang w:eastAsia="ja-JP"/>
        </w:rPr>
        <w:t xml:space="preserve">7C views </w:t>
      </w:r>
      <w:r>
        <w:rPr>
          <w:rFonts w:eastAsia="MS Mincho"/>
          <w:lang w:eastAsia="ja-JP"/>
        </w:rPr>
        <w:t>on</w:t>
      </w:r>
      <w:r w:rsidRPr="001D0E9F">
        <w:rPr>
          <w:rFonts w:eastAsia="MS Mincho"/>
          <w:lang w:eastAsia="ja-JP"/>
        </w:rPr>
        <w:t xml:space="preserve"> this </w:t>
      </w:r>
      <w:r>
        <w:rPr>
          <w:rFonts w:eastAsia="MS Mincho"/>
          <w:lang w:eastAsia="ja-JP"/>
        </w:rPr>
        <w:t xml:space="preserve">agenda item and a draft CPM text. The former document addresses the possible planned course of action for this agenda item, including the </w:t>
      </w:r>
      <w:r w:rsidRPr="00AD1BDB">
        <w:rPr>
          <w:rFonts w:eastAsia="MS Mincho"/>
          <w:lang w:eastAsia="ja-JP"/>
        </w:rPr>
        <w:t>definition for space weather</w:t>
      </w:r>
      <w:r>
        <w:rPr>
          <w:rFonts w:eastAsia="MS Mincho"/>
          <w:lang w:eastAsia="ja-JP"/>
        </w:rPr>
        <w:t>, the designation of the radio service</w:t>
      </w:r>
      <w:r w:rsidRPr="00AD1BDB">
        <w:rPr>
          <w:rFonts w:eastAsia="MS Mincho"/>
          <w:lang w:eastAsia="ja-JP"/>
        </w:rPr>
        <w:t xml:space="preserve"> </w:t>
      </w:r>
      <w:r>
        <w:rPr>
          <w:rFonts w:eastAsia="MS Mincho"/>
          <w:lang w:eastAsia="ja-JP"/>
        </w:rPr>
        <w:t>for space weather sensors, their</w:t>
      </w:r>
      <w:r w:rsidRPr="00AD1BDB">
        <w:rPr>
          <w:rFonts w:eastAsia="MS Mincho"/>
          <w:lang w:eastAsia="ja-JP"/>
        </w:rPr>
        <w:t xml:space="preserve"> possible inclusion in the Radio Regulations</w:t>
      </w:r>
      <w:r>
        <w:rPr>
          <w:rFonts w:eastAsia="MS Mincho"/>
          <w:lang w:eastAsia="ja-JP"/>
        </w:rPr>
        <w:t xml:space="preserve"> and further elaboration of an agenda item of WRC-27. These documents are attached to Chairman’s Report as </w:t>
      </w:r>
      <w:hyperlink r:id="rId16" w:history="1">
        <w:r w:rsidRPr="009B6621">
          <w:rPr>
            <w:rStyle w:val="Hyperlink"/>
            <w:rFonts w:eastAsia="MS Mincho"/>
            <w:lang w:eastAsia="ja-JP"/>
          </w:rPr>
          <w:t>Annexes 11</w:t>
        </w:r>
      </w:hyperlink>
      <w:r>
        <w:rPr>
          <w:rFonts w:eastAsia="MS Mincho"/>
          <w:lang w:eastAsia="ja-JP"/>
        </w:rPr>
        <w:t xml:space="preserve"> and </w:t>
      </w:r>
      <w:hyperlink r:id="rId17" w:history="1">
        <w:r w:rsidRPr="009B6621">
          <w:rPr>
            <w:rStyle w:val="Hyperlink"/>
            <w:rFonts w:eastAsia="MS Mincho"/>
            <w:lang w:eastAsia="ja-JP"/>
          </w:rPr>
          <w:t>12</w:t>
        </w:r>
      </w:hyperlink>
      <w:r>
        <w:rPr>
          <w:rFonts w:eastAsia="MS Mincho"/>
          <w:lang w:eastAsia="ja-JP"/>
        </w:rPr>
        <w:t>.</w:t>
      </w:r>
    </w:p>
    <w:p w14:paraId="65CD5932" w14:textId="77777777" w:rsidR="002A0111" w:rsidRPr="00441526" w:rsidRDefault="002A0111" w:rsidP="002A0111">
      <w:pPr>
        <w:jc w:val="both"/>
        <w:rPr>
          <w:lang w:val="en-NZ"/>
        </w:rPr>
      </w:pPr>
    </w:p>
    <w:p w14:paraId="11E3BF24"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50BF35B0" w14:textId="4FE83DF2" w:rsidR="002A0111" w:rsidRPr="00441526" w:rsidRDefault="00DC1642" w:rsidP="003D3D47">
      <w:pPr>
        <w:numPr>
          <w:ilvl w:val="0"/>
          <w:numId w:val="18"/>
        </w:numPr>
        <w:ind w:leftChars="145" w:left="708"/>
        <w:jc w:val="both"/>
        <w:rPr>
          <w:lang w:val="en-NZ"/>
        </w:rPr>
      </w:pPr>
      <w:r w:rsidRPr="00DC1642">
        <w:rPr>
          <w:lang w:val="en-NZ"/>
        </w:rPr>
        <w:t>Input Documents APG23-</w:t>
      </w:r>
      <w:r w:rsidR="00850520">
        <w:rPr>
          <w:lang w:val="en-NZ"/>
        </w:rPr>
        <w:t>3</w:t>
      </w:r>
      <w:r w:rsidRPr="00DC1642">
        <w:rPr>
          <w:lang w:val="en-NZ"/>
        </w:rPr>
        <w:t>/INP-</w:t>
      </w:r>
      <w:r w:rsidR="00850520">
        <w:rPr>
          <w:lang w:val="en-NZ"/>
        </w:rPr>
        <w:t>09</w:t>
      </w:r>
      <w:r w:rsidR="00A92B86">
        <w:rPr>
          <w:lang w:val="en-NZ"/>
        </w:rPr>
        <w:t xml:space="preserve"> </w:t>
      </w:r>
      <w:r w:rsidRPr="00DC1642">
        <w:rPr>
          <w:lang w:val="en-NZ"/>
        </w:rPr>
        <w:t>(</w:t>
      </w:r>
      <w:r w:rsidR="00850520">
        <w:rPr>
          <w:lang w:val="en-NZ"/>
        </w:rPr>
        <w:t>AUS</w:t>
      </w:r>
      <w:r w:rsidRPr="00DC1642">
        <w:rPr>
          <w:lang w:val="en-NZ"/>
        </w:rPr>
        <w:t xml:space="preserve">), </w:t>
      </w:r>
      <w:r w:rsidR="00A92B86">
        <w:rPr>
          <w:lang w:val="en-NZ"/>
        </w:rPr>
        <w:t xml:space="preserve">17 </w:t>
      </w:r>
      <w:r w:rsidRPr="00DC1642">
        <w:rPr>
          <w:lang w:val="en-NZ"/>
        </w:rPr>
        <w:t>(</w:t>
      </w:r>
      <w:r w:rsidR="00A92B86">
        <w:rPr>
          <w:lang w:val="en-NZ"/>
        </w:rPr>
        <w:t>INS</w:t>
      </w:r>
      <w:r w:rsidRPr="00DC1642">
        <w:rPr>
          <w:lang w:val="en-NZ"/>
        </w:rPr>
        <w:t xml:space="preserve">), </w:t>
      </w:r>
      <w:r w:rsidR="00A92B86">
        <w:rPr>
          <w:lang w:val="en-NZ"/>
        </w:rPr>
        <w:t xml:space="preserve">26 </w:t>
      </w:r>
      <w:r w:rsidRPr="00DC1642">
        <w:rPr>
          <w:lang w:val="en-NZ"/>
        </w:rPr>
        <w:t xml:space="preserve">(KOR), </w:t>
      </w:r>
      <w:r w:rsidR="00A92B86">
        <w:rPr>
          <w:lang w:val="en-NZ"/>
        </w:rPr>
        <w:t xml:space="preserve">30 </w:t>
      </w:r>
      <w:r w:rsidRPr="00DC1642">
        <w:rPr>
          <w:lang w:val="en-NZ"/>
        </w:rPr>
        <w:t>(</w:t>
      </w:r>
      <w:r w:rsidR="00A92B86">
        <w:rPr>
          <w:lang w:val="en-NZ"/>
        </w:rPr>
        <w:t>J</w:t>
      </w:r>
      <w:r w:rsidRPr="00DC1642">
        <w:rPr>
          <w:lang w:val="en-NZ"/>
        </w:rPr>
        <w:t>)</w:t>
      </w:r>
      <w:r w:rsidR="002A0111" w:rsidRPr="00441526">
        <w:rPr>
          <w:lang w:val="en-NZ"/>
        </w:rPr>
        <w:t xml:space="preserve"> </w:t>
      </w:r>
    </w:p>
    <w:p w14:paraId="52409992" w14:textId="5D804ACC" w:rsidR="00DC1642" w:rsidRDefault="00DC1642" w:rsidP="0014279D">
      <w:pPr>
        <w:numPr>
          <w:ilvl w:val="0"/>
          <w:numId w:val="18"/>
        </w:numPr>
        <w:ind w:leftChars="145" w:left="708"/>
        <w:rPr>
          <w:lang w:val="en-NZ"/>
        </w:rPr>
      </w:pPr>
      <w:bookmarkStart w:id="0" w:name="_Hlk86837746"/>
      <w:r w:rsidRPr="00DC1642">
        <w:rPr>
          <w:lang w:val="en-NZ"/>
        </w:rPr>
        <w:t>Information Documents APG23-</w:t>
      </w:r>
      <w:r w:rsidR="00A92B86">
        <w:rPr>
          <w:lang w:val="en-NZ"/>
        </w:rPr>
        <w:t>3</w:t>
      </w:r>
      <w:r w:rsidRPr="00DC1642">
        <w:rPr>
          <w:lang w:val="en-NZ"/>
        </w:rPr>
        <w:t>/INF-</w:t>
      </w:r>
      <w:r w:rsidR="00A92B86">
        <w:rPr>
          <w:lang w:val="en-NZ"/>
        </w:rPr>
        <w:t>01</w:t>
      </w:r>
      <w:r w:rsidR="00A92B86" w:rsidRPr="00DC1642">
        <w:rPr>
          <w:lang w:val="en-NZ"/>
        </w:rPr>
        <w:t xml:space="preserve"> </w:t>
      </w:r>
      <w:r w:rsidR="00A92B86">
        <w:rPr>
          <w:lang w:val="en-NZ"/>
        </w:rPr>
        <w:t>(WM</w:t>
      </w:r>
      <w:r w:rsidR="003F33F1">
        <w:rPr>
          <w:lang w:val="en-NZ"/>
        </w:rPr>
        <w:t>O</w:t>
      </w:r>
      <w:r w:rsidR="00A92B86">
        <w:rPr>
          <w:lang w:val="en-NZ"/>
        </w:rPr>
        <w:t xml:space="preserve">), </w:t>
      </w:r>
      <w:r w:rsidR="0014279D">
        <w:rPr>
          <w:lang w:val="en-NZ"/>
        </w:rPr>
        <w:t xml:space="preserve">12 (DG Chair), </w:t>
      </w:r>
      <w:r w:rsidR="00A92B86">
        <w:rPr>
          <w:lang w:val="en-NZ"/>
        </w:rPr>
        <w:t xml:space="preserve">17 </w:t>
      </w:r>
      <w:r w:rsidRPr="00DC1642">
        <w:rPr>
          <w:lang w:val="en-NZ"/>
        </w:rPr>
        <w:t xml:space="preserve">(IARU), </w:t>
      </w:r>
      <w:r w:rsidR="0014279D">
        <w:rPr>
          <w:lang w:val="en-NZ"/>
        </w:rPr>
        <w:br/>
      </w:r>
      <w:r w:rsidR="003F33F1">
        <w:rPr>
          <w:lang w:val="en-NZ"/>
        </w:rPr>
        <w:t xml:space="preserve">20 </w:t>
      </w:r>
      <w:r w:rsidR="000F40EA">
        <w:rPr>
          <w:lang w:val="en-NZ"/>
        </w:rPr>
        <w:t>(CEPT</w:t>
      </w:r>
      <w:r w:rsidR="00CB2E89">
        <w:rPr>
          <w:lang w:val="en-NZ"/>
        </w:rPr>
        <w:t>)</w:t>
      </w:r>
      <w:r w:rsidR="001C5852">
        <w:rPr>
          <w:rFonts w:eastAsia="MS Mincho" w:hint="eastAsia"/>
          <w:lang w:val="en-NZ" w:eastAsia="ja-JP"/>
        </w:rPr>
        <w:t>,</w:t>
      </w:r>
      <w:r w:rsidR="001C5852">
        <w:rPr>
          <w:rFonts w:eastAsia="MS Mincho"/>
          <w:lang w:val="en-NZ" w:eastAsia="ja-JP"/>
        </w:rPr>
        <w:t xml:space="preserve"> 37 (ASMG)</w:t>
      </w:r>
      <w:r w:rsidR="006772FA">
        <w:rPr>
          <w:rFonts w:eastAsia="MS Mincho"/>
          <w:lang w:val="en-NZ" w:eastAsia="ja-JP"/>
        </w:rPr>
        <w:t>, 39 (ATU)</w:t>
      </w:r>
    </w:p>
    <w:bookmarkEnd w:id="0"/>
    <w:p w14:paraId="6EC262B8" w14:textId="77777777" w:rsidR="002A0111" w:rsidRPr="00DC1642" w:rsidRDefault="002A0111" w:rsidP="002A0111">
      <w:pPr>
        <w:rPr>
          <w:b/>
          <w:lang w:val="en-NZ" w:eastAsia="ko-KR"/>
        </w:rPr>
      </w:pPr>
    </w:p>
    <w:p w14:paraId="145DA548" w14:textId="77777777" w:rsidR="002A0111" w:rsidRPr="00441526" w:rsidRDefault="002A0111" w:rsidP="00D4413F">
      <w:pPr>
        <w:spacing w:after="120"/>
        <w:jc w:val="both"/>
        <w:rPr>
          <w:b/>
          <w:lang w:val="en-NZ" w:eastAsia="ko-KR"/>
        </w:rPr>
      </w:pPr>
      <w:r w:rsidRPr="00441526">
        <w:rPr>
          <w:b/>
          <w:lang w:val="en-NZ" w:eastAsia="ko-KR"/>
        </w:rPr>
        <w:t xml:space="preserve">3. </w:t>
      </w:r>
      <w:r w:rsidRPr="00441526">
        <w:rPr>
          <w:b/>
          <w:lang w:val="en-NZ" w:eastAsia="ko-KR"/>
        </w:rPr>
        <w:tab/>
        <w:t>Summary of discussions</w:t>
      </w:r>
    </w:p>
    <w:p w14:paraId="679A70F4"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198B2145" w14:textId="55ECD535" w:rsidR="00850520" w:rsidRPr="00441526" w:rsidRDefault="00850520" w:rsidP="00850520">
      <w:pPr>
        <w:spacing w:after="120"/>
        <w:jc w:val="both"/>
        <w:rPr>
          <w:b/>
          <w:lang w:val="en-NZ" w:eastAsia="ko-KR"/>
        </w:rPr>
      </w:pPr>
      <w:r w:rsidRPr="00441526">
        <w:rPr>
          <w:b/>
          <w:lang w:val="en-NZ" w:eastAsia="ko-KR"/>
        </w:rPr>
        <w:t>3.1.</w:t>
      </w:r>
      <w:r>
        <w:rPr>
          <w:b/>
          <w:lang w:val="en-NZ" w:eastAsia="ko-KR"/>
        </w:rPr>
        <w:t>1</w:t>
      </w:r>
      <w:r w:rsidRPr="00441526">
        <w:rPr>
          <w:b/>
          <w:lang w:val="en-NZ" w:eastAsia="ko-KR"/>
        </w:rPr>
        <w:t xml:space="preserve"> </w:t>
      </w:r>
      <w:r w:rsidRPr="00441526">
        <w:rPr>
          <w:b/>
          <w:lang w:val="en-NZ" w:eastAsia="ko-KR"/>
        </w:rPr>
        <w:tab/>
      </w:r>
      <w:r w:rsidRPr="00FB31B8">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/INP-</w:t>
      </w:r>
      <w:r>
        <w:rPr>
          <w:b/>
          <w:lang w:val="en-NZ" w:eastAsia="ko-KR"/>
        </w:rPr>
        <w:t>09</w:t>
      </w:r>
    </w:p>
    <w:p w14:paraId="353F4F39" w14:textId="1DB166D3" w:rsidR="00850520" w:rsidRPr="00B064D2" w:rsidRDefault="00850520" w:rsidP="00850520">
      <w:pPr>
        <w:pStyle w:val="ListParagraph"/>
        <w:spacing w:afterLines="50" w:after="120"/>
        <w:ind w:leftChars="-1" w:left="-2"/>
        <w:jc w:val="both"/>
        <w:rPr>
          <w:rFonts w:eastAsia="MS Mincho"/>
          <w:lang w:eastAsia="ja-JP"/>
        </w:rPr>
      </w:pPr>
      <w:r w:rsidRPr="00850520">
        <w:rPr>
          <w:rFonts w:eastAsia="MS Mincho"/>
          <w:lang w:eastAsia="ja-JP"/>
        </w:rPr>
        <w:t>Australia supports studies addressing space weather sensors with a view to ensuring the Radio Regulations include appropriate recognition and future protection for space weather sensors. These studies should ensure that additional constraints are not placed on incumbent services.</w:t>
      </w:r>
      <w:r w:rsidRPr="00B064D2">
        <w:rPr>
          <w:rFonts w:eastAsia="MS Mincho"/>
          <w:lang w:eastAsia="ja-JP"/>
        </w:rPr>
        <w:t xml:space="preserve"> </w:t>
      </w:r>
    </w:p>
    <w:p w14:paraId="06242444" w14:textId="41F074F5" w:rsidR="001D11E1" w:rsidRDefault="001D11E1" w:rsidP="001D11E1">
      <w:pPr>
        <w:spacing w:after="120"/>
        <w:jc w:val="both"/>
        <w:rPr>
          <w:b/>
          <w:lang w:val="en-NZ" w:eastAsia="ko-KR"/>
        </w:rPr>
      </w:pPr>
      <w:r w:rsidRPr="00441526">
        <w:rPr>
          <w:b/>
          <w:lang w:val="en-NZ" w:eastAsia="ko-KR"/>
        </w:rPr>
        <w:t>3.1.</w:t>
      </w:r>
      <w:r>
        <w:rPr>
          <w:rFonts w:eastAsia="MS Mincho"/>
          <w:b/>
          <w:lang w:val="en-NZ" w:eastAsia="ja-JP"/>
        </w:rPr>
        <w:t>2</w:t>
      </w:r>
      <w:r w:rsidRPr="00441526">
        <w:rPr>
          <w:b/>
          <w:lang w:val="en-NZ" w:eastAsia="ko-KR"/>
        </w:rPr>
        <w:tab/>
      </w:r>
      <w:r>
        <w:rPr>
          <w:b/>
          <w:lang w:val="en-NZ" w:eastAsia="ko-KR"/>
        </w:rPr>
        <w:t>Indonesia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/INP-</w:t>
      </w:r>
      <w:r>
        <w:rPr>
          <w:b/>
          <w:lang w:val="en-NZ" w:eastAsia="ko-KR"/>
        </w:rPr>
        <w:t>17</w:t>
      </w:r>
    </w:p>
    <w:p w14:paraId="1666B10F" w14:textId="77777777" w:rsidR="001D11E1" w:rsidRDefault="001D11E1" w:rsidP="001D11E1">
      <w:pPr>
        <w:spacing w:after="120"/>
        <w:jc w:val="both"/>
        <w:rPr>
          <w:b/>
          <w:lang w:val="en-NZ"/>
        </w:rPr>
      </w:pPr>
      <w:r w:rsidRPr="007E203B">
        <w:t>Indonesia is of the view to support studies by ITU-R relating to the technical and operational characteristics, spectrum requirements</w:t>
      </w:r>
      <w:r>
        <w:t>, interference criteria, as well as</w:t>
      </w:r>
      <w:r w:rsidRPr="007E203B">
        <w:t xml:space="preserve"> appropriate radio service designations </w:t>
      </w:r>
      <w:r>
        <w:t>of</w:t>
      </w:r>
      <w:r w:rsidRPr="007E203B">
        <w:t xml:space="preserve"> space weather sensors with a view to describing appropriate recognition and protection in the Radio Regulations without placing additional constraints on incumbent services.</w:t>
      </w:r>
    </w:p>
    <w:p w14:paraId="58590480" w14:textId="5916A82A" w:rsidR="001D11E1" w:rsidRPr="00441526" w:rsidRDefault="001D11E1" w:rsidP="001D11E1">
      <w:pPr>
        <w:spacing w:after="120"/>
        <w:jc w:val="both"/>
        <w:rPr>
          <w:b/>
          <w:lang w:val="en-NZ" w:eastAsia="ko-KR"/>
        </w:rPr>
      </w:pPr>
      <w:r w:rsidRPr="00441526">
        <w:rPr>
          <w:b/>
          <w:lang w:val="en-NZ" w:eastAsia="ko-KR"/>
        </w:rPr>
        <w:t>3.1.</w:t>
      </w:r>
      <w:r>
        <w:rPr>
          <w:b/>
          <w:lang w:val="en-NZ" w:eastAsia="ko-KR"/>
        </w:rPr>
        <w:t>3</w:t>
      </w:r>
      <w:r w:rsidRPr="00441526">
        <w:rPr>
          <w:b/>
          <w:lang w:val="en-NZ" w:eastAsia="ko-KR"/>
        </w:rPr>
        <w:tab/>
      </w:r>
      <w:r>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711D4B">
        <w:rPr>
          <w:b/>
          <w:lang w:val="en-NZ" w:eastAsia="ko-KR"/>
        </w:rPr>
        <w:t>3</w:t>
      </w:r>
      <w:r w:rsidRPr="00441526">
        <w:rPr>
          <w:b/>
          <w:lang w:val="en-NZ" w:eastAsia="ko-KR"/>
        </w:rPr>
        <w:t>/INP-</w:t>
      </w:r>
      <w:r>
        <w:rPr>
          <w:b/>
          <w:lang w:val="en-NZ" w:eastAsia="ko-KR"/>
        </w:rPr>
        <w:t>2</w:t>
      </w:r>
      <w:r w:rsidR="00483028">
        <w:rPr>
          <w:b/>
          <w:lang w:val="en-NZ" w:eastAsia="ko-KR"/>
        </w:rPr>
        <w:t>6</w:t>
      </w:r>
    </w:p>
    <w:p w14:paraId="6A0E7B96" w14:textId="1C53BF88" w:rsidR="001D11E1" w:rsidRPr="00441526" w:rsidRDefault="00711D4B" w:rsidP="001D11E1">
      <w:pPr>
        <w:spacing w:afterLines="50" w:after="120"/>
        <w:jc w:val="both"/>
        <w:rPr>
          <w:lang w:val="en-NZ"/>
        </w:rPr>
      </w:pPr>
      <w:r w:rsidRPr="00711D4B">
        <w:rPr>
          <w:lang w:val="en-NZ"/>
        </w:rPr>
        <w:t>The Republic of Korea is of the view that space weather sensors, their technical and operational characteristics, spectrum requirements and appropriate radio service designations need to be studied in ITU-R for protection by appropriate and the potential regulatory provisions should not place additional constraints on incumbent services.</w:t>
      </w:r>
    </w:p>
    <w:p w14:paraId="595B45EE" w14:textId="48DD7705" w:rsidR="002A0111" w:rsidRPr="00441526" w:rsidRDefault="002A0111" w:rsidP="003D3D47">
      <w:pPr>
        <w:spacing w:after="120"/>
        <w:jc w:val="both"/>
        <w:rPr>
          <w:b/>
          <w:lang w:val="en-NZ" w:eastAsia="ko-KR"/>
        </w:rPr>
      </w:pPr>
      <w:r w:rsidRPr="00441526">
        <w:rPr>
          <w:b/>
          <w:lang w:val="en-NZ" w:eastAsia="ko-KR"/>
        </w:rPr>
        <w:t>3.1.</w:t>
      </w:r>
      <w:r w:rsidR="00EB30FF">
        <w:rPr>
          <w:b/>
          <w:lang w:val="en-NZ" w:eastAsia="ko-KR"/>
        </w:rPr>
        <w:t>4</w:t>
      </w:r>
      <w:r w:rsidRPr="00441526">
        <w:rPr>
          <w:b/>
          <w:lang w:val="en-NZ" w:eastAsia="ko-KR"/>
        </w:rPr>
        <w:t xml:space="preserve"> </w:t>
      </w:r>
      <w:r w:rsidRPr="00441526">
        <w:rPr>
          <w:b/>
          <w:lang w:val="en-NZ" w:eastAsia="ko-KR"/>
        </w:rPr>
        <w:tab/>
      </w:r>
      <w:r w:rsidR="007C1DEA" w:rsidRPr="007C1DEA">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EB30FF">
        <w:rPr>
          <w:b/>
          <w:lang w:val="en-NZ" w:eastAsia="ko-KR"/>
        </w:rPr>
        <w:t>3</w:t>
      </w:r>
      <w:r w:rsidRPr="00441526">
        <w:rPr>
          <w:b/>
          <w:lang w:val="en-NZ" w:eastAsia="ko-KR"/>
        </w:rPr>
        <w:t>/INP-</w:t>
      </w:r>
      <w:r w:rsidR="00483028">
        <w:rPr>
          <w:b/>
          <w:lang w:val="en-NZ" w:eastAsia="ko-KR"/>
        </w:rPr>
        <w:t>30</w:t>
      </w:r>
    </w:p>
    <w:p w14:paraId="70FAA030" w14:textId="77777777" w:rsidR="00483028" w:rsidRDefault="00483028" w:rsidP="00483028">
      <w:pPr>
        <w:jc w:val="both"/>
      </w:pPr>
      <w:r w:rsidRPr="00B064D2">
        <w:rPr>
          <w:rFonts w:eastAsia="MS Mincho"/>
          <w:lang w:eastAsia="ja-JP"/>
        </w:rPr>
        <w:t xml:space="preserve">Japan supports </w:t>
      </w:r>
      <w:r>
        <w:rPr>
          <w:rFonts w:eastAsia="MS Mincho"/>
          <w:lang w:eastAsia="ja-JP"/>
        </w:rPr>
        <w:t>ITU-R studies on space weather sensors being conducted concerning</w:t>
      </w:r>
      <w:r w:rsidRPr="005F388B">
        <w:rPr>
          <w:rFonts w:eastAsia="MS Mincho"/>
          <w:lang w:eastAsia="ja-JP"/>
        </w:rPr>
        <w:t xml:space="preserve"> appropriate</w:t>
      </w:r>
      <w:r>
        <w:rPr>
          <w:rFonts w:eastAsia="MS Mincho" w:hint="eastAsia"/>
          <w:lang w:eastAsia="ja-JP"/>
        </w:rPr>
        <w:t xml:space="preserve"> </w:t>
      </w:r>
      <w:r w:rsidRPr="005F388B">
        <w:rPr>
          <w:rFonts w:eastAsia="MS Mincho"/>
          <w:lang w:eastAsia="ja-JP"/>
        </w:rPr>
        <w:t xml:space="preserve">recognition and protection </w:t>
      </w:r>
      <w:r>
        <w:rPr>
          <w:rFonts w:eastAsia="MS Mincho"/>
          <w:lang w:eastAsia="ja-JP"/>
        </w:rPr>
        <w:t xml:space="preserve">thereof. </w:t>
      </w:r>
      <w:r w:rsidRPr="004F6190">
        <w:rPr>
          <w:rFonts w:eastAsia="MS Mincho"/>
          <w:lang w:eastAsia="ja-JP"/>
        </w:rPr>
        <w:t>For th</w:t>
      </w:r>
      <w:r>
        <w:rPr>
          <w:rFonts w:eastAsia="MS Mincho"/>
          <w:lang w:eastAsia="ja-JP"/>
        </w:rPr>
        <w:t>e recognition</w:t>
      </w:r>
      <w:r w:rsidRPr="004F6190">
        <w:rPr>
          <w:rFonts w:eastAsia="MS Mincho"/>
          <w:lang w:eastAsia="ja-JP"/>
        </w:rPr>
        <w:t xml:space="preserve">, Japan considers it necessary to develop appropriate recognition of the space weather sensors in the Radio Regulations (RR) and determine the appropriate radio service for space weather sensors. </w:t>
      </w:r>
      <w:r>
        <w:rPr>
          <w:rFonts w:eastAsia="MS Mincho"/>
          <w:lang w:eastAsia="ja-JP"/>
        </w:rPr>
        <w:t xml:space="preserve">For protection, </w:t>
      </w:r>
      <w:r w:rsidRPr="004F6190">
        <w:rPr>
          <w:rFonts w:eastAsia="MS Mincho"/>
          <w:lang w:eastAsia="ja-JP"/>
        </w:rPr>
        <w:t xml:space="preserve">Japan supports </w:t>
      </w:r>
      <w:r>
        <w:rPr>
          <w:rFonts w:eastAsia="MS Mincho"/>
          <w:lang w:eastAsia="ja-JP"/>
        </w:rPr>
        <w:t>further study on spectrum requirements and the relevant interference criteria for passive space weather sensors, especially those that are highly used and operational for space weather monitoring/forecasting</w:t>
      </w:r>
      <w:r w:rsidRPr="00B064D2">
        <w:rPr>
          <w:rFonts w:eastAsia="MS Mincho"/>
          <w:lang w:eastAsia="ja-JP"/>
        </w:rPr>
        <w:t>.</w:t>
      </w:r>
    </w:p>
    <w:p w14:paraId="71804BE2" w14:textId="77777777" w:rsidR="001D11E1" w:rsidRDefault="001D11E1" w:rsidP="002A0111">
      <w:pPr>
        <w:spacing w:after="120"/>
        <w:jc w:val="both"/>
        <w:rPr>
          <w:b/>
          <w:lang w:val="en-NZ"/>
        </w:rPr>
      </w:pPr>
    </w:p>
    <w:p w14:paraId="00EDC506" w14:textId="1A754CF6"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4A600BC8" w14:textId="1894C5CF" w:rsidR="002A0111" w:rsidRDefault="00AF6256" w:rsidP="003D3D47">
      <w:pPr>
        <w:jc w:val="both"/>
        <w:rPr>
          <w:rFonts w:eastAsia="MS Mincho"/>
          <w:lang w:val="en-NZ" w:eastAsia="ja-JP"/>
        </w:rPr>
      </w:pPr>
      <w:r>
        <w:rPr>
          <w:rFonts w:eastAsia="MS Mincho"/>
          <w:lang w:val="en-NZ" w:eastAsia="ja-JP"/>
        </w:rPr>
        <w:t xml:space="preserve">The APT preliminary views below were developed in the drafting group based on the preliminary views from APT </w:t>
      </w:r>
      <w:r w:rsidR="004D7E8A">
        <w:rPr>
          <w:rFonts w:eastAsia="MS Mincho"/>
          <w:lang w:val="en-NZ" w:eastAsia="ja-JP"/>
        </w:rPr>
        <w:t>M</w:t>
      </w:r>
      <w:r>
        <w:rPr>
          <w:rFonts w:eastAsia="MS Mincho"/>
          <w:lang w:val="en-NZ" w:eastAsia="ja-JP"/>
        </w:rPr>
        <w:t>embers.</w:t>
      </w:r>
    </w:p>
    <w:p w14:paraId="1E755EE2" w14:textId="17C5BEEC" w:rsidR="004D015B" w:rsidRDefault="004D015B" w:rsidP="003D3D47">
      <w:pPr>
        <w:jc w:val="both"/>
        <w:rPr>
          <w:rFonts w:eastAsia="MS Mincho"/>
          <w:lang w:val="en-NZ" w:eastAsia="ja-JP"/>
        </w:rPr>
      </w:pPr>
    </w:p>
    <w:p w14:paraId="183A2DC4" w14:textId="0AFA7D5E" w:rsidR="004D015B" w:rsidRDefault="004D015B" w:rsidP="003D3D47">
      <w:pPr>
        <w:jc w:val="both"/>
        <w:rPr>
          <w:rFonts w:eastAsia="MS Mincho"/>
          <w:lang w:val="en-NZ" w:eastAsia="ja-JP"/>
        </w:rPr>
      </w:pPr>
    </w:p>
    <w:p w14:paraId="46A8255D" w14:textId="77777777" w:rsidR="004D015B" w:rsidRPr="00A76B1F" w:rsidRDefault="004D015B" w:rsidP="003D3D47">
      <w:pPr>
        <w:jc w:val="both"/>
        <w:rPr>
          <w:rFonts w:eastAsia="MS Mincho"/>
          <w:lang w:val="en-NZ" w:eastAsia="ja-JP"/>
        </w:rPr>
      </w:pPr>
    </w:p>
    <w:p w14:paraId="7F8BEE52" w14:textId="77777777" w:rsidR="00B24E93" w:rsidRPr="00DD7985" w:rsidRDefault="00B24E93" w:rsidP="003D3D47">
      <w:pPr>
        <w:jc w:val="both"/>
        <w:rPr>
          <w:lang w:val="en-NZ"/>
        </w:rPr>
      </w:pPr>
    </w:p>
    <w:p w14:paraId="28456195" w14:textId="77777777" w:rsidR="002A0111" w:rsidRPr="00441526" w:rsidRDefault="002A0111" w:rsidP="002A0111">
      <w:pPr>
        <w:spacing w:after="120"/>
        <w:jc w:val="both"/>
        <w:rPr>
          <w:b/>
          <w:lang w:val="en-NZ" w:eastAsia="ko-KR"/>
        </w:rPr>
      </w:pPr>
      <w:r w:rsidRPr="00441526">
        <w:rPr>
          <w:b/>
          <w:lang w:val="en-NZ" w:eastAsia="ko-KR"/>
        </w:rPr>
        <w:lastRenderedPageBreak/>
        <w:t xml:space="preserve">4. </w:t>
      </w:r>
      <w:r w:rsidRPr="00441526">
        <w:rPr>
          <w:b/>
          <w:lang w:val="en-NZ" w:eastAsia="ko-KR"/>
        </w:rPr>
        <w:tab/>
        <w:t>APT Preliminary View(s)</w:t>
      </w:r>
    </w:p>
    <w:p w14:paraId="32FCC734" w14:textId="018214DE" w:rsidR="00E24CCD" w:rsidRDefault="00E24CCD" w:rsidP="00E24CCD">
      <w:pPr>
        <w:spacing w:afterLines="50" w:after="120"/>
        <w:jc w:val="both"/>
        <w:rPr>
          <w:lang w:val="en-NZ" w:eastAsia="ko-KR"/>
        </w:rPr>
      </w:pPr>
      <w:r w:rsidRPr="005339EE">
        <w:rPr>
          <w:rFonts w:eastAsiaTheme="minorEastAsia" w:hint="eastAsia"/>
          <w:lang w:val="en-NZ" w:eastAsia="zh-CN"/>
        </w:rPr>
        <w:t xml:space="preserve">APT Members </w:t>
      </w:r>
      <w:r w:rsidRPr="005339EE">
        <w:rPr>
          <w:lang w:val="en-NZ" w:eastAsia="ko-KR"/>
        </w:rPr>
        <w:t xml:space="preserve">support ITU-R studies relating to </w:t>
      </w:r>
      <w:r w:rsidR="00C60A0F" w:rsidRPr="005339EE">
        <w:rPr>
          <w:lang w:val="en-NZ" w:eastAsia="ko-KR"/>
        </w:rPr>
        <w:t xml:space="preserve">the identification of space weather sensors, </w:t>
      </w:r>
      <w:r w:rsidRPr="005339EE">
        <w:rPr>
          <w:lang w:val="en-NZ" w:eastAsia="ko-KR"/>
        </w:rPr>
        <w:t>the</w:t>
      </w:r>
      <w:r w:rsidR="00C60A0F" w:rsidRPr="005339EE">
        <w:rPr>
          <w:lang w:val="en-NZ" w:eastAsia="ko-KR"/>
        </w:rPr>
        <w:t>ir</w:t>
      </w:r>
      <w:r w:rsidRPr="005339EE">
        <w:rPr>
          <w:lang w:val="en-NZ" w:eastAsia="ko-KR"/>
        </w:rPr>
        <w:t xml:space="preserve"> technical and operational characteristics, spectrum requirements and appropriate radio service designations with a view to describing appropriate recognition and protection in the Radio Regulations without placing additional constraints</w:t>
      </w:r>
      <w:r w:rsidRPr="005339EE">
        <w:rPr>
          <w:rFonts w:eastAsia="MS Mincho" w:hint="eastAsia"/>
          <w:lang w:val="en-NZ" w:eastAsia="ja-JP"/>
        </w:rPr>
        <w:t xml:space="preserve"> </w:t>
      </w:r>
      <w:r w:rsidRPr="005339EE">
        <w:rPr>
          <w:lang w:val="en-NZ" w:eastAsia="ko-KR"/>
        </w:rPr>
        <w:t>on incumbent services.</w:t>
      </w:r>
    </w:p>
    <w:p w14:paraId="38D5DCAA" w14:textId="77777777" w:rsidR="002A0111" w:rsidRPr="00441526" w:rsidRDefault="002A0111" w:rsidP="002A0111">
      <w:pPr>
        <w:rPr>
          <w:lang w:val="en-NZ"/>
        </w:rPr>
      </w:pPr>
    </w:p>
    <w:p w14:paraId="7F7F33FB"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193DFF5B" w14:textId="4A819421" w:rsidR="005206E9" w:rsidRDefault="00DD7985" w:rsidP="002A0111">
      <w:pPr>
        <w:rPr>
          <w:rFonts w:eastAsia="MS Mincho"/>
          <w:lang w:val="en-NZ" w:eastAsia="ja-JP"/>
        </w:rPr>
      </w:pPr>
      <w:r>
        <w:rPr>
          <w:rFonts w:eastAsia="MS Mincho"/>
          <w:lang w:val="en-NZ" w:eastAsia="ja-JP"/>
        </w:rPr>
        <w:t>None</w:t>
      </w:r>
    </w:p>
    <w:p w14:paraId="30CB615C" w14:textId="77777777" w:rsidR="000D5AEC" w:rsidRPr="000D5AEC" w:rsidRDefault="000D5AEC" w:rsidP="002A0111">
      <w:pPr>
        <w:rPr>
          <w:rFonts w:eastAsia="MS Mincho"/>
          <w:lang w:val="en-NZ" w:eastAsia="ja-JP"/>
        </w:rPr>
      </w:pPr>
    </w:p>
    <w:p w14:paraId="7A7A0D9D"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7DD3B9DD" w14:textId="2B75E2A6" w:rsidR="00D30AE2" w:rsidRPr="00522816" w:rsidRDefault="00D30AE2" w:rsidP="003426C0">
      <w:pPr>
        <w:spacing w:afterLines="50" w:after="120"/>
        <w:jc w:val="both"/>
        <w:rPr>
          <w:lang w:val="en-NZ"/>
        </w:rPr>
      </w:pPr>
      <w:r w:rsidRPr="005339EE">
        <w:rPr>
          <w:rFonts w:eastAsiaTheme="minorEastAsia" w:hint="eastAsia"/>
          <w:lang w:val="en-NZ" w:eastAsia="zh-CN"/>
        </w:rPr>
        <w:t xml:space="preserve">APT Members are encouraged </w:t>
      </w:r>
      <w:r w:rsidRPr="005339EE">
        <w:rPr>
          <w:rFonts w:eastAsiaTheme="minorEastAsia"/>
          <w:lang w:val="en-NZ" w:eastAsia="zh-CN"/>
        </w:rPr>
        <w:t xml:space="preserve">to contribute to the next APG meeting for further consideration on </w:t>
      </w:r>
      <w:r w:rsidR="00B823EF">
        <w:rPr>
          <w:rFonts w:eastAsiaTheme="minorEastAsia"/>
          <w:lang w:val="en-NZ" w:eastAsia="zh-CN"/>
        </w:rPr>
        <w:t>a</w:t>
      </w:r>
      <w:r w:rsidRPr="005339EE">
        <w:rPr>
          <w:rFonts w:eastAsiaTheme="minorEastAsia"/>
          <w:lang w:val="en-NZ" w:eastAsia="zh-CN"/>
        </w:rPr>
        <w:t xml:space="preserve">genda item 9.1, topic a, </w:t>
      </w:r>
      <w:proofErr w:type="gramStart"/>
      <w:r w:rsidRPr="005339EE">
        <w:rPr>
          <w:rFonts w:eastAsiaTheme="minorEastAsia"/>
          <w:lang w:val="en-NZ" w:eastAsia="zh-CN"/>
        </w:rPr>
        <w:t>taking into account</w:t>
      </w:r>
      <w:proofErr w:type="gramEnd"/>
      <w:r w:rsidRPr="005339EE">
        <w:rPr>
          <w:rFonts w:eastAsiaTheme="minorEastAsia"/>
          <w:lang w:val="en-NZ" w:eastAsia="zh-CN"/>
        </w:rPr>
        <w:t xml:space="preserve"> the progress of ITU-R studies.</w:t>
      </w:r>
    </w:p>
    <w:p w14:paraId="4BDD7138" w14:textId="77777777" w:rsidR="002A0111" w:rsidRPr="00441526" w:rsidRDefault="002A0111" w:rsidP="003D3D47">
      <w:pPr>
        <w:jc w:val="both"/>
        <w:rPr>
          <w:lang w:val="en-NZ"/>
        </w:rPr>
      </w:pPr>
    </w:p>
    <w:p w14:paraId="094D402C" w14:textId="5FB70FF3" w:rsidR="00C26B15" w:rsidRPr="00C26B15" w:rsidRDefault="002A0111" w:rsidP="00C26B15">
      <w:pPr>
        <w:spacing w:after="120"/>
        <w:jc w:val="both"/>
        <w:rPr>
          <w:b/>
          <w:lang w:val="en-NZ" w:eastAsia="ko-KR"/>
        </w:rPr>
      </w:pPr>
      <w:r>
        <w:rPr>
          <w:b/>
          <w:lang w:val="en-NZ" w:eastAsia="ko-KR"/>
        </w:rPr>
        <w:t>7</w:t>
      </w:r>
      <w:r w:rsidRPr="00441526">
        <w:rPr>
          <w:b/>
          <w:lang w:val="en-NZ" w:eastAsia="ko-KR"/>
        </w:rPr>
        <w:t xml:space="preserve">. </w:t>
      </w:r>
      <w:r w:rsidRPr="00441526">
        <w:rPr>
          <w:b/>
          <w:lang w:val="en-NZ" w:eastAsia="ko-KR"/>
        </w:rPr>
        <w:tab/>
        <w:t>Views from Other Organisations</w:t>
      </w:r>
    </w:p>
    <w:p w14:paraId="093C3C4F"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66E24683" w14:textId="58716EE0"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1C5852">
        <w:rPr>
          <w:b/>
          <w:lang w:val="en-NZ" w:eastAsia="ko-KR"/>
        </w:rPr>
        <w:t>3</w:t>
      </w:r>
      <w:r w:rsidR="002A0111" w:rsidRPr="00441526">
        <w:rPr>
          <w:b/>
          <w:lang w:val="en-NZ" w:eastAsia="ko-KR"/>
        </w:rPr>
        <w:t>/INF-</w:t>
      </w:r>
      <w:r w:rsidR="001C5852">
        <w:rPr>
          <w:b/>
          <w:lang w:val="en-NZ" w:eastAsia="ko-KR"/>
        </w:rPr>
        <w:t>37</w:t>
      </w:r>
    </w:p>
    <w:p w14:paraId="6342ECEF" w14:textId="44F80CEF" w:rsidR="002A0111" w:rsidRPr="001C5852" w:rsidRDefault="001C5852" w:rsidP="00721850">
      <w:pPr>
        <w:spacing w:afterLines="50" w:after="120"/>
        <w:jc w:val="both"/>
        <w:rPr>
          <w:rFonts w:eastAsiaTheme="minorEastAsia"/>
          <w:lang w:val="en-NZ" w:eastAsia="zh-CN"/>
        </w:rPr>
      </w:pPr>
      <w:r w:rsidRPr="001C5852">
        <w:rPr>
          <w:rFonts w:eastAsiaTheme="minorEastAsia"/>
          <w:lang w:val="en-NZ" w:eastAsia="zh-CN"/>
        </w:rPr>
        <w:t>Follow-up the studies to identify priority bands that provide critical data for recognition and</w:t>
      </w:r>
      <w:r>
        <w:rPr>
          <w:rFonts w:eastAsiaTheme="minorEastAsia"/>
          <w:lang w:val="en-NZ" w:eastAsia="zh-CN"/>
        </w:rPr>
        <w:t xml:space="preserve"> </w:t>
      </w:r>
      <w:r w:rsidRPr="001C5852">
        <w:rPr>
          <w:rFonts w:eastAsiaTheme="minorEastAsia"/>
          <w:lang w:val="en-NZ" w:eastAsia="zh-CN"/>
        </w:rPr>
        <w:t>protection of space weather systems and to develop appropriate definitions in the Radio</w:t>
      </w:r>
      <w:r>
        <w:rPr>
          <w:rFonts w:eastAsiaTheme="minorEastAsia"/>
          <w:lang w:val="en-NZ" w:eastAsia="zh-CN"/>
        </w:rPr>
        <w:t xml:space="preserve"> </w:t>
      </w:r>
      <w:r w:rsidRPr="001C5852">
        <w:rPr>
          <w:rFonts w:eastAsiaTheme="minorEastAsia"/>
          <w:lang w:val="en-NZ" w:eastAsia="zh-CN"/>
        </w:rPr>
        <w:t>Regulations (RR) used by space weather sensors without imposing any additional restrictions on</w:t>
      </w:r>
      <w:r>
        <w:rPr>
          <w:rFonts w:eastAsiaTheme="minorEastAsia"/>
          <w:lang w:val="en-NZ" w:eastAsia="zh-CN"/>
        </w:rPr>
        <w:t xml:space="preserve"> </w:t>
      </w:r>
      <w:r w:rsidRPr="001C5852">
        <w:rPr>
          <w:rFonts w:eastAsiaTheme="minorEastAsia"/>
          <w:lang w:val="en-NZ" w:eastAsia="zh-CN"/>
        </w:rPr>
        <w:t>existing services.</w:t>
      </w:r>
    </w:p>
    <w:p w14:paraId="362E8F5F" w14:textId="75A8F631" w:rsidR="009D235B" w:rsidRPr="00441526" w:rsidRDefault="009D235B" w:rsidP="009D235B">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rsidRPr="00441526">
        <w:t xml:space="preserve">- </w:t>
      </w:r>
      <w:r w:rsidRPr="00441526">
        <w:rPr>
          <w:b/>
          <w:lang w:val="en-NZ" w:eastAsia="ko-KR"/>
        </w:rPr>
        <w:t>Document APG</w:t>
      </w:r>
      <w:r>
        <w:rPr>
          <w:b/>
          <w:lang w:val="en-NZ" w:eastAsia="ko-KR"/>
        </w:rPr>
        <w:t>23</w:t>
      </w:r>
      <w:r w:rsidRPr="00441526">
        <w:rPr>
          <w:b/>
          <w:lang w:val="en-NZ" w:eastAsia="ko-KR"/>
        </w:rPr>
        <w:t>-</w:t>
      </w:r>
      <w:r w:rsidR="001349D4">
        <w:rPr>
          <w:b/>
          <w:lang w:val="en-NZ" w:eastAsia="ko-KR"/>
        </w:rPr>
        <w:t>3</w:t>
      </w:r>
      <w:r w:rsidRPr="00441526">
        <w:rPr>
          <w:b/>
          <w:lang w:val="en-NZ" w:eastAsia="ko-KR"/>
        </w:rPr>
        <w:t>/INF-</w:t>
      </w:r>
      <w:r w:rsidR="001349D4">
        <w:rPr>
          <w:b/>
          <w:lang w:val="en-NZ" w:eastAsia="ko-KR"/>
        </w:rPr>
        <w:t>39</w:t>
      </w:r>
    </w:p>
    <w:p w14:paraId="381FC753" w14:textId="6D544159" w:rsidR="009D235B" w:rsidRPr="00DB5644" w:rsidRDefault="001349D4" w:rsidP="00DB5644">
      <w:pPr>
        <w:spacing w:afterLines="50" w:after="120"/>
        <w:rPr>
          <w:lang w:val="en-NZ"/>
        </w:rPr>
      </w:pPr>
      <w:r w:rsidRPr="001349D4">
        <w:rPr>
          <w:lang w:val="en-NZ"/>
        </w:rPr>
        <w:t>Support the recognition and protection of the application given the importance of space weather system in human welfare and national security while ensuring that services, in the identified Broadcasting, Broadcasting and Fixed satellites, Radio Astronomy and other incumbent service are protected.</w:t>
      </w:r>
    </w:p>
    <w:p w14:paraId="67740A43" w14:textId="5F16F8BE" w:rsidR="00CB2E89" w:rsidRPr="00441526" w:rsidRDefault="00CB2E89" w:rsidP="00CB2E89">
      <w:pPr>
        <w:spacing w:after="120"/>
        <w:jc w:val="both"/>
        <w:rPr>
          <w:b/>
          <w:lang w:val="en-NZ" w:eastAsia="ko-KR"/>
        </w:rPr>
      </w:pPr>
      <w:r>
        <w:rPr>
          <w:b/>
          <w:lang w:val="en-NZ" w:eastAsia="ko-KR"/>
        </w:rPr>
        <w:t>7</w:t>
      </w:r>
      <w:r w:rsidRPr="00441526">
        <w:rPr>
          <w:b/>
          <w:lang w:val="en-NZ" w:eastAsia="ko-KR"/>
        </w:rPr>
        <w:t>.1.</w:t>
      </w:r>
      <w:r w:rsidR="009D235B">
        <w:rPr>
          <w:b/>
          <w:lang w:val="en-NZ" w:eastAsia="ko-KR"/>
        </w:rPr>
        <w:t>3</w:t>
      </w:r>
      <w:r w:rsidRPr="00441526">
        <w:rPr>
          <w:b/>
          <w:lang w:val="en-NZ" w:eastAsia="ko-KR"/>
        </w:rPr>
        <w:t xml:space="preserve"> </w:t>
      </w:r>
      <w:r w:rsidRPr="00441526">
        <w:rPr>
          <w:b/>
          <w:lang w:val="en-NZ" w:eastAsia="ko-KR"/>
        </w:rPr>
        <w:tab/>
      </w:r>
      <w:r>
        <w:rPr>
          <w:b/>
          <w:lang w:val="en-NZ" w:eastAsia="ko-KR"/>
        </w:rPr>
        <w:t>CEPT</w:t>
      </w:r>
      <w:r w:rsidRPr="00441526">
        <w:t xml:space="preserve"> - </w:t>
      </w:r>
      <w:r w:rsidRPr="00441526">
        <w:rPr>
          <w:b/>
          <w:lang w:val="en-NZ" w:eastAsia="ko-KR"/>
        </w:rPr>
        <w:t>Document APG</w:t>
      </w:r>
      <w:r>
        <w:rPr>
          <w:b/>
          <w:lang w:val="en-NZ" w:eastAsia="ko-KR"/>
        </w:rPr>
        <w:t>23-</w:t>
      </w:r>
      <w:r w:rsidR="003F33F1">
        <w:rPr>
          <w:b/>
          <w:lang w:val="en-NZ" w:eastAsia="ko-KR"/>
        </w:rPr>
        <w:t>3</w:t>
      </w:r>
      <w:r w:rsidRPr="00441526">
        <w:rPr>
          <w:b/>
          <w:lang w:val="en-NZ" w:eastAsia="ko-KR"/>
        </w:rPr>
        <w:t>/INF-</w:t>
      </w:r>
      <w:r w:rsidR="003F33F1">
        <w:rPr>
          <w:b/>
          <w:lang w:val="en-NZ" w:eastAsia="ko-KR"/>
        </w:rPr>
        <w:t>20</w:t>
      </w:r>
    </w:p>
    <w:p w14:paraId="15FE7250" w14:textId="77777777" w:rsidR="003129CF" w:rsidRPr="003129CF" w:rsidRDefault="003129CF" w:rsidP="003129CF">
      <w:pPr>
        <w:spacing w:afterLines="50" w:after="120"/>
        <w:rPr>
          <w:lang w:val="en-NZ"/>
        </w:rPr>
      </w:pPr>
      <w:r w:rsidRPr="003129CF">
        <w:rPr>
          <w:lang w:val="en-NZ"/>
        </w:rPr>
        <w:t>CEPT supports the following definition for space weather:</w:t>
      </w:r>
    </w:p>
    <w:p w14:paraId="4D24C689" w14:textId="706232C1" w:rsidR="003129CF" w:rsidRPr="003129CF" w:rsidRDefault="003129CF" w:rsidP="003129CF">
      <w:pPr>
        <w:spacing w:afterLines="50" w:after="120"/>
        <w:rPr>
          <w:i/>
          <w:iCs/>
          <w:lang w:val="en-NZ"/>
        </w:rPr>
      </w:pPr>
      <w:r w:rsidRPr="003129CF">
        <w:rPr>
          <w:i/>
          <w:iCs/>
          <w:lang w:val="en-NZ"/>
        </w:rPr>
        <w:t>space weather: information relating to the characteristics of natural phenomena occurring in space and in high atmosphere that impact Earth’s environment and human activities.</w:t>
      </w:r>
    </w:p>
    <w:p w14:paraId="16E15A8D" w14:textId="77777777" w:rsidR="003129CF" w:rsidRPr="003129CF" w:rsidRDefault="003129CF" w:rsidP="003129CF">
      <w:pPr>
        <w:spacing w:afterLines="50" w:after="120"/>
        <w:rPr>
          <w:lang w:val="en-NZ"/>
        </w:rPr>
      </w:pPr>
      <w:r w:rsidRPr="003129CF">
        <w:rPr>
          <w:lang w:val="en-NZ"/>
        </w:rPr>
        <w:t>CEPT also supports the:</w:t>
      </w:r>
    </w:p>
    <w:p w14:paraId="7A0E9E64" w14:textId="01ADF965" w:rsidR="003129CF" w:rsidRPr="009F7D37" w:rsidRDefault="003129CF" w:rsidP="009F7D37">
      <w:pPr>
        <w:pStyle w:val="ListParagraph"/>
        <w:numPr>
          <w:ilvl w:val="0"/>
          <w:numId w:val="27"/>
        </w:numPr>
        <w:spacing w:afterLines="50" w:after="120"/>
        <w:rPr>
          <w:lang w:val="en-NZ"/>
        </w:rPr>
      </w:pPr>
      <w:r w:rsidRPr="003129CF">
        <w:rPr>
          <w:lang w:val="en-NZ"/>
        </w:rPr>
        <w:t>Identification of priority frequency bands used for providing data critical for space weather</w:t>
      </w:r>
      <w:r w:rsidR="009F7D37">
        <w:rPr>
          <w:lang w:val="en-NZ"/>
        </w:rPr>
        <w:t xml:space="preserve"> </w:t>
      </w:r>
      <w:r w:rsidRPr="009F7D37">
        <w:rPr>
          <w:lang w:val="en-NZ"/>
        </w:rPr>
        <w:t xml:space="preserve">forecasting/warnings and that will require </w:t>
      </w:r>
      <w:proofErr w:type="gramStart"/>
      <w:r w:rsidRPr="009F7D37">
        <w:rPr>
          <w:lang w:val="en-NZ"/>
        </w:rPr>
        <w:t>protection;</w:t>
      </w:r>
      <w:proofErr w:type="gramEnd"/>
    </w:p>
    <w:p w14:paraId="1DDF6741" w14:textId="36653F9A" w:rsidR="003129CF" w:rsidRPr="003129CF" w:rsidRDefault="003129CF" w:rsidP="009F7D37">
      <w:pPr>
        <w:pStyle w:val="ListParagraph"/>
        <w:numPr>
          <w:ilvl w:val="0"/>
          <w:numId w:val="27"/>
        </w:numPr>
        <w:spacing w:afterLines="50" w:after="120"/>
        <w:rPr>
          <w:lang w:val="en-NZ"/>
        </w:rPr>
      </w:pPr>
      <w:r w:rsidRPr="003129CF">
        <w:rPr>
          <w:lang w:val="en-NZ"/>
        </w:rPr>
        <w:t xml:space="preserve">Recognition in the Radio Regulations of space weather </w:t>
      </w:r>
      <w:proofErr w:type="gramStart"/>
      <w:r w:rsidRPr="003129CF">
        <w:rPr>
          <w:lang w:val="en-NZ"/>
        </w:rPr>
        <w:t>sensors;</w:t>
      </w:r>
      <w:proofErr w:type="gramEnd"/>
    </w:p>
    <w:p w14:paraId="1E88E515" w14:textId="03956123" w:rsidR="003129CF" w:rsidRPr="003129CF" w:rsidRDefault="003129CF" w:rsidP="009F7D37">
      <w:pPr>
        <w:pStyle w:val="ListParagraph"/>
        <w:numPr>
          <w:ilvl w:val="0"/>
          <w:numId w:val="27"/>
        </w:numPr>
        <w:spacing w:afterLines="50" w:after="120"/>
        <w:rPr>
          <w:lang w:val="en-NZ"/>
        </w:rPr>
      </w:pPr>
      <w:r w:rsidRPr="003129CF">
        <w:rPr>
          <w:lang w:val="en-NZ"/>
        </w:rPr>
        <w:t>Determination of the appropriate service(s) in line with the space weather definition.</w:t>
      </w:r>
    </w:p>
    <w:p w14:paraId="3DC25984" w14:textId="0618766E" w:rsidR="003129CF" w:rsidRDefault="003129CF" w:rsidP="003129CF">
      <w:pPr>
        <w:spacing w:afterLines="50" w:after="120"/>
        <w:rPr>
          <w:lang w:val="en-NZ"/>
        </w:rPr>
      </w:pPr>
      <w:r w:rsidRPr="003129CF">
        <w:rPr>
          <w:lang w:val="en-NZ"/>
        </w:rPr>
        <w:t>In addition, CEPT supports the new agenda item for WRC</w:t>
      </w:r>
      <w:r w:rsidR="003F33F1">
        <w:rPr>
          <w:rFonts w:ascii="MS Mincho" w:eastAsia="MS Mincho" w:hAnsi="MS Mincho" w:cs="MS Mincho" w:hint="eastAsia"/>
          <w:lang w:val="en-NZ" w:eastAsia="ja-JP"/>
        </w:rPr>
        <w:t>-</w:t>
      </w:r>
      <w:r w:rsidRPr="003129CF">
        <w:rPr>
          <w:lang w:val="en-NZ"/>
        </w:rPr>
        <w:t>27 in line with the preliminary agenda approved by WRC</w:t>
      </w:r>
      <w:r w:rsidR="009F7D37">
        <w:rPr>
          <w:rFonts w:ascii="MS Mincho" w:eastAsia="MS Mincho" w:hAnsi="MS Mincho" w:cs="MS Mincho"/>
          <w:lang w:val="en-NZ"/>
        </w:rPr>
        <w:t>-</w:t>
      </w:r>
      <w:r w:rsidRPr="003129CF">
        <w:rPr>
          <w:lang w:val="en-NZ"/>
        </w:rPr>
        <w:t>19</w:t>
      </w:r>
      <w:r w:rsidR="009F7D37">
        <w:rPr>
          <w:lang w:val="en-NZ"/>
        </w:rPr>
        <w:t xml:space="preserve"> </w:t>
      </w:r>
      <w:r w:rsidRPr="003129CF">
        <w:rPr>
          <w:lang w:val="en-NZ"/>
        </w:rPr>
        <w:t>(agenda item 2.6) under WRC</w:t>
      </w:r>
      <w:r w:rsidR="009F7D37">
        <w:rPr>
          <w:lang w:val="en-NZ"/>
        </w:rPr>
        <w:t>-</w:t>
      </w:r>
      <w:r w:rsidRPr="003129CF">
        <w:rPr>
          <w:lang w:val="en-NZ"/>
        </w:rPr>
        <w:t>23 agenda item 10.</w:t>
      </w:r>
    </w:p>
    <w:p w14:paraId="449E8F73" w14:textId="24FB8C08" w:rsidR="009D235B" w:rsidRPr="00441526" w:rsidRDefault="009D235B" w:rsidP="009D235B">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/INF-</w:t>
      </w:r>
      <w:r w:rsidR="001B215C">
        <w:rPr>
          <w:b/>
          <w:lang w:val="en-NZ" w:eastAsia="ko-KR"/>
        </w:rPr>
        <w:t>34</w:t>
      </w:r>
    </w:p>
    <w:p w14:paraId="62FAA526" w14:textId="77E2B0E0" w:rsidR="009D235B" w:rsidRPr="00DB5644" w:rsidRDefault="00DB5644" w:rsidP="00DB5644">
      <w:pPr>
        <w:spacing w:afterLines="50" w:after="120"/>
        <w:rPr>
          <w:lang w:val="en-NZ"/>
        </w:rPr>
      </w:pPr>
      <w:r>
        <w:rPr>
          <w:lang w:val="en-NZ"/>
        </w:rPr>
        <w:t>To be developed</w:t>
      </w:r>
      <w:r w:rsidRPr="00186FD5">
        <w:rPr>
          <w:lang w:val="en-NZ"/>
        </w:rPr>
        <w:t xml:space="preserve"> </w:t>
      </w:r>
    </w:p>
    <w:p w14:paraId="081D36D9" w14:textId="32468F84" w:rsidR="00DB5644" w:rsidRPr="00441526" w:rsidRDefault="00DB5644" w:rsidP="00DB5644">
      <w:pPr>
        <w:spacing w:after="120"/>
        <w:jc w:val="both"/>
        <w:rPr>
          <w:b/>
          <w:lang w:val="en-NZ" w:eastAsia="ko-KR"/>
        </w:rPr>
      </w:pPr>
      <w:r>
        <w:rPr>
          <w:b/>
          <w:lang w:val="en-NZ" w:eastAsia="ko-KR"/>
        </w:rPr>
        <w:t>7</w:t>
      </w:r>
      <w:r w:rsidRPr="00441526">
        <w:rPr>
          <w:b/>
          <w:lang w:val="en-NZ" w:eastAsia="ko-KR"/>
        </w:rPr>
        <w:t xml:space="preserve">.1.5 </w:t>
      </w:r>
      <w:r w:rsidRPr="00441526">
        <w:rPr>
          <w:b/>
          <w:lang w:val="en-NZ" w:eastAsia="ko-KR"/>
        </w:rPr>
        <w:tab/>
        <w:t xml:space="preserve">RCC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/INF-</w:t>
      </w:r>
      <w:r w:rsidR="001B215C">
        <w:rPr>
          <w:b/>
          <w:lang w:val="en-NZ" w:eastAsia="ko-KR"/>
        </w:rPr>
        <w:t>36</w:t>
      </w:r>
    </w:p>
    <w:p w14:paraId="4EA8809A" w14:textId="77777777" w:rsidR="00DB5644" w:rsidRPr="00DB5644" w:rsidRDefault="00DB5644" w:rsidP="00DB5644">
      <w:pPr>
        <w:spacing w:afterLines="50" w:after="120"/>
        <w:rPr>
          <w:lang w:val="en-NZ"/>
        </w:rPr>
      </w:pPr>
      <w:r>
        <w:rPr>
          <w:lang w:val="en-NZ"/>
        </w:rPr>
        <w:t>To be developed</w:t>
      </w:r>
      <w:r w:rsidRPr="00186FD5">
        <w:rPr>
          <w:lang w:val="en-NZ"/>
        </w:rPr>
        <w:t xml:space="preserve"> </w:t>
      </w:r>
    </w:p>
    <w:p w14:paraId="46FA3703" w14:textId="77777777" w:rsidR="00DB5644" w:rsidRDefault="00DB5644" w:rsidP="002A0111">
      <w:pPr>
        <w:spacing w:after="120"/>
        <w:jc w:val="both"/>
        <w:rPr>
          <w:b/>
          <w:lang w:val="en-NZ" w:eastAsia="ko-KR"/>
        </w:rPr>
      </w:pPr>
    </w:p>
    <w:p w14:paraId="198887DC" w14:textId="733054C2" w:rsidR="002A0111" w:rsidRPr="00441526" w:rsidRDefault="005206E9" w:rsidP="002A0111">
      <w:pPr>
        <w:spacing w:after="120"/>
        <w:jc w:val="both"/>
        <w:rPr>
          <w:b/>
          <w:lang w:val="en-NZ" w:eastAsia="ko-KR"/>
        </w:rPr>
      </w:pPr>
      <w:r>
        <w:rPr>
          <w:b/>
          <w:lang w:val="en-NZ" w:eastAsia="ko-KR"/>
        </w:rPr>
        <w:lastRenderedPageBreak/>
        <w:t>7</w:t>
      </w:r>
      <w:r w:rsidR="002A0111" w:rsidRPr="00441526">
        <w:rPr>
          <w:b/>
          <w:lang w:val="en-NZ" w:eastAsia="ko-KR"/>
        </w:rPr>
        <w:t xml:space="preserve">.2 </w:t>
      </w:r>
      <w:r w:rsidR="002A0111" w:rsidRPr="00441526">
        <w:rPr>
          <w:b/>
          <w:lang w:val="en-NZ" w:eastAsia="ko-KR"/>
        </w:rPr>
        <w:tab/>
        <w:t>International Organisations</w:t>
      </w:r>
    </w:p>
    <w:p w14:paraId="25D0C024" w14:textId="2DA94999" w:rsidR="002A0111" w:rsidRPr="00441526" w:rsidRDefault="005206E9" w:rsidP="008776E4">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A92B86">
        <w:rPr>
          <w:b/>
          <w:lang w:val="en-NZ" w:eastAsia="ko-KR"/>
        </w:rPr>
        <w:t>3</w:t>
      </w:r>
      <w:r w:rsidR="002A0111" w:rsidRPr="00441526">
        <w:rPr>
          <w:b/>
          <w:lang w:val="en-NZ" w:eastAsia="ko-KR"/>
        </w:rPr>
        <w:t>/INF-</w:t>
      </w:r>
      <w:r w:rsidR="00A92B86">
        <w:rPr>
          <w:b/>
          <w:lang w:val="en-NZ" w:eastAsia="ko-KR"/>
        </w:rPr>
        <w:t>17</w:t>
      </w:r>
    </w:p>
    <w:p w14:paraId="266D1359" w14:textId="77777777" w:rsidR="00A92B86" w:rsidRPr="00A92B86" w:rsidRDefault="00A92B86" w:rsidP="00A92B86">
      <w:pPr>
        <w:spacing w:after="120"/>
        <w:jc w:val="both"/>
        <w:rPr>
          <w:bCs/>
          <w:lang w:eastAsia="ko-KR"/>
        </w:rPr>
      </w:pPr>
      <w:r w:rsidRPr="00A92B86">
        <w:rPr>
          <w:bCs/>
          <w:lang w:eastAsia="ko-KR"/>
        </w:rPr>
        <w:t>The IARU notes that the scope of Resolution 657 is very broad. The systems described in Report ITU-R RS.2456-0 utilize radio frequencies from 13 kHz up to at least 15 GHz.</w:t>
      </w:r>
    </w:p>
    <w:p w14:paraId="418BF3BB" w14:textId="77777777" w:rsidR="00A92B86" w:rsidRPr="00A92B86" w:rsidRDefault="00A92B86" w:rsidP="00A92B86">
      <w:pPr>
        <w:spacing w:after="120"/>
        <w:jc w:val="both"/>
        <w:rPr>
          <w:bCs/>
          <w:lang w:eastAsia="ko-KR"/>
        </w:rPr>
      </w:pPr>
      <w:r w:rsidRPr="00A92B86">
        <w:rPr>
          <w:bCs/>
          <w:lang w:eastAsia="ko-KR"/>
        </w:rPr>
        <w:t>A significant proportion of amateur activity is directly affected by daily and longer-term variations in space weather. Consequently, amateurs have a significant interest in space weather and its impact on the ionosphere and radio wave propagation. At the same time, the amateur and amateur-satellite services are incumbent services with allocations in frequency bands ranging from 135.7 kHz to 250 GHz.</w:t>
      </w:r>
    </w:p>
    <w:p w14:paraId="311221D4" w14:textId="77777777" w:rsidR="00A92B86" w:rsidRPr="00A92B86" w:rsidRDefault="00A92B86" w:rsidP="00A92B86">
      <w:pPr>
        <w:spacing w:after="120"/>
        <w:jc w:val="both"/>
        <w:rPr>
          <w:bCs/>
          <w:lang w:eastAsia="ko-KR"/>
        </w:rPr>
      </w:pPr>
      <w:r w:rsidRPr="00A92B86">
        <w:rPr>
          <w:bCs/>
          <w:lang w:eastAsia="ko-KR"/>
        </w:rPr>
        <w:t>In considering potential new regulatory provisions for the recognition of space weather systems, additional constraints on incumbent services including the amateur and amateur satellite services must be avoided.</w:t>
      </w:r>
    </w:p>
    <w:p w14:paraId="15DA027D" w14:textId="3FA20F95" w:rsidR="00A92B86" w:rsidRDefault="00A92B86" w:rsidP="00A92B86">
      <w:pPr>
        <w:spacing w:after="120"/>
        <w:jc w:val="both"/>
        <w:rPr>
          <w:bCs/>
          <w:lang w:eastAsia="ko-KR"/>
        </w:rPr>
      </w:pPr>
      <w:r w:rsidRPr="00A92B86">
        <w:rPr>
          <w:bCs/>
          <w:lang w:eastAsia="ko-KR"/>
        </w:rPr>
        <w:t>IARU will monitor developments in WP 7C and will contribute to inputs via WP 5A.</w:t>
      </w:r>
    </w:p>
    <w:p w14:paraId="4DD30786" w14:textId="61D2EBF8" w:rsidR="00045973" w:rsidRPr="008776E4" w:rsidRDefault="00045973" w:rsidP="00045973">
      <w:pPr>
        <w:spacing w:after="120"/>
        <w:jc w:val="both"/>
        <w:rPr>
          <w:b/>
          <w:lang w:val="en-NZ" w:eastAsia="ko-KR"/>
        </w:rPr>
      </w:pPr>
      <w:r w:rsidRPr="008776E4">
        <w:rPr>
          <w:b/>
          <w:lang w:val="en-NZ" w:eastAsia="ko-KR"/>
        </w:rPr>
        <w:t>7.2.</w:t>
      </w:r>
      <w:r>
        <w:rPr>
          <w:b/>
          <w:lang w:val="en-NZ" w:eastAsia="ko-KR"/>
        </w:rPr>
        <w:t>2</w:t>
      </w:r>
      <w:r w:rsidRPr="008776E4">
        <w:rPr>
          <w:b/>
          <w:lang w:val="en-NZ" w:eastAsia="ko-KR"/>
        </w:rPr>
        <w:t xml:space="preserve"> </w:t>
      </w:r>
      <w:r w:rsidRPr="008776E4">
        <w:rPr>
          <w:b/>
          <w:lang w:val="en-NZ" w:eastAsia="ko-KR"/>
        </w:rPr>
        <w:tab/>
        <w:t>WMO - Document APG23-3/INF-01</w:t>
      </w:r>
    </w:p>
    <w:p w14:paraId="473C9A73" w14:textId="2800727C" w:rsidR="008776E4" w:rsidRPr="008776E4" w:rsidRDefault="00045973" w:rsidP="00A92B86">
      <w:pPr>
        <w:spacing w:after="120"/>
        <w:jc w:val="both"/>
        <w:rPr>
          <w:bCs/>
          <w:lang w:eastAsia="ko-KR"/>
        </w:rPr>
      </w:pPr>
      <w:r w:rsidRPr="008776E4">
        <w:rPr>
          <w:bCs/>
          <w:lang w:eastAsia="ko-KR"/>
        </w:rPr>
        <w:t>WMO supports ensuring the protection of space weather sensors that use radio spectrum and will contribute to the corresponding studies.</w:t>
      </w:r>
    </w:p>
    <w:p w14:paraId="7BEA3380" w14:textId="0ADC0E8E" w:rsidR="002A0111" w:rsidRPr="00D2267F" w:rsidRDefault="002A0111" w:rsidP="00D2267F">
      <w:pPr>
        <w:jc w:val="center"/>
        <w:rPr>
          <w:snapToGrid w:val="0"/>
          <w:lang w:val="en-NZ"/>
        </w:rPr>
      </w:pPr>
      <w:r w:rsidRPr="00441526">
        <w:rPr>
          <w:lang w:val="en-NZ"/>
        </w:rPr>
        <w:t>____________</w:t>
      </w:r>
    </w:p>
    <w:p w14:paraId="62C6BF37" w14:textId="77777777" w:rsidR="00654896" w:rsidRPr="002A0111" w:rsidRDefault="002A0111" w:rsidP="002A0111">
      <w:pPr>
        <w:tabs>
          <w:tab w:val="left" w:pos="1410"/>
        </w:tabs>
        <w:rPr>
          <w:lang w:val="en-NZ"/>
        </w:rPr>
      </w:pPr>
      <w:r>
        <w:rPr>
          <w:lang w:val="en-NZ"/>
        </w:rPr>
        <w:tab/>
      </w:r>
    </w:p>
    <w:sectPr w:rsidR="00654896" w:rsidRPr="002A0111" w:rsidSect="00C516C7">
      <w:headerReference w:type="even" r:id="rId18"/>
      <w:headerReference w:type="default" r:id="rId19"/>
      <w:footerReference w:type="even" r:id="rId20"/>
      <w:footerReference w:type="default" r:id="rId21"/>
      <w:headerReference w:type="first" r:id="rId22"/>
      <w:footerReference w:type="first" r:id="rId2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62E0" w14:textId="77777777" w:rsidR="00F5680D" w:rsidRDefault="00F5680D">
      <w:r>
        <w:separator/>
      </w:r>
    </w:p>
  </w:endnote>
  <w:endnote w:type="continuationSeparator" w:id="0">
    <w:p w14:paraId="5327A89D" w14:textId="77777777" w:rsidR="00F5680D" w:rsidRDefault="00F5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8CD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49615"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3C88" w14:textId="65F0448D"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833E99">
      <w:rPr>
        <w:lang w:eastAsia="ko-KR"/>
      </w:rPr>
      <w:t>3</w:t>
    </w:r>
    <w:r w:rsidR="002A0111">
      <w:rPr>
        <w:lang w:eastAsia="ko-KR"/>
      </w:rPr>
      <w:t>/</w:t>
    </w:r>
    <w:r w:rsidR="000C455D">
      <w:rPr>
        <w:lang w:eastAsia="ko-KR"/>
      </w:rPr>
      <w:t>OUT</w:t>
    </w:r>
    <w:r>
      <w:rPr>
        <w:lang w:eastAsia="ko-KR"/>
      </w:rPr>
      <w:t>-</w:t>
    </w:r>
    <w:r w:rsidR="004D015B">
      <w:rPr>
        <w:lang w:eastAsia="ko-KR"/>
      </w:rPr>
      <w:t>2</w:t>
    </w:r>
    <w:r w:rsidR="000C455D">
      <w:rPr>
        <w:lang w:eastAsia="ko-KR"/>
      </w:rPr>
      <w:t>4</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15EB0DDC" w14:textId="77777777" w:rsidTr="00BB0EA4">
      <w:trPr>
        <w:trHeight w:val="432"/>
      </w:trPr>
      <w:tc>
        <w:tcPr>
          <w:tcW w:w="1296" w:type="dxa"/>
          <w:tcBorders>
            <w:top w:val="single" w:sz="8" w:space="0" w:color="auto"/>
            <w:bottom w:val="nil"/>
            <w:right w:val="nil"/>
          </w:tcBorders>
        </w:tcPr>
        <w:p w14:paraId="44CB1F5A"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3F7E9198" w14:textId="3900D4C7" w:rsidR="0092727B" w:rsidRDefault="000B6CC2" w:rsidP="0092727B">
          <w:pPr>
            <w:pStyle w:val="Footer"/>
            <w:tabs>
              <w:tab w:val="clear" w:pos="4320"/>
              <w:tab w:val="clear" w:pos="8640"/>
            </w:tabs>
          </w:pPr>
          <w:r>
            <w:t>Takahiro Yokoyama</w:t>
          </w:r>
        </w:p>
        <w:p w14:paraId="75A43C26" w14:textId="1DBB8B4A" w:rsidR="002A0111" w:rsidRPr="002A0111" w:rsidRDefault="002A0111" w:rsidP="0092727B">
          <w:pPr>
            <w:pStyle w:val="Footer"/>
            <w:tabs>
              <w:tab w:val="clear" w:pos="4320"/>
              <w:tab w:val="clear" w:pos="8640"/>
            </w:tabs>
          </w:pPr>
          <w:r>
            <w:t>Chairman, DG AI</w:t>
          </w:r>
          <w:r w:rsidR="000B6CC2">
            <w:t>9.</w:t>
          </w:r>
          <w:r>
            <w:t>1</w:t>
          </w:r>
        </w:p>
      </w:tc>
      <w:tc>
        <w:tcPr>
          <w:tcW w:w="2880" w:type="dxa"/>
          <w:tcBorders>
            <w:top w:val="single" w:sz="8" w:space="0" w:color="auto"/>
            <w:left w:val="nil"/>
            <w:bottom w:val="nil"/>
          </w:tcBorders>
        </w:tcPr>
        <w:p w14:paraId="7F9CA8F1" w14:textId="16E424E5" w:rsidR="0092727B" w:rsidRPr="004D015B" w:rsidRDefault="0092727B" w:rsidP="0092727B">
          <w:pPr>
            <w:pStyle w:val="Footer"/>
            <w:tabs>
              <w:tab w:val="clear" w:pos="4320"/>
              <w:tab w:val="clear" w:pos="8640"/>
            </w:tabs>
            <w:rPr>
              <w:b/>
              <w:bCs/>
            </w:rPr>
          </w:pPr>
          <w:r w:rsidRPr="004D015B">
            <w:rPr>
              <w:b/>
              <w:bCs/>
            </w:rPr>
            <w:t>Email:</w:t>
          </w:r>
        </w:p>
        <w:p w14:paraId="38A46608" w14:textId="59ABD939" w:rsidR="000B6CC2" w:rsidRPr="000B6CC2" w:rsidRDefault="00F5680D" w:rsidP="0092727B">
          <w:pPr>
            <w:pStyle w:val="Footer"/>
            <w:tabs>
              <w:tab w:val="clear" w:pos="4320"/>
              <w:tab w:val="clear" w:pos="8640"/>
            </w:tabs>
            <w:rPr>
              <w:rFonts w:eastAsia="MS Mincho"/>
              <w:lang w:eastAsia="ja-JP"/>
            </w:rPr>
          </w:pPr>
          <w:hyperlink r:id="rId1" w:history="1">
            <w:r w:rsidR="004D015B" w:rsidRPr="003768AD">
              <w:rPr>
                <w:rStyle w:val="Hyperlink"/>
                <w:rFonts w:eastAsia="MS Mincho" w:hint="eastAsia"/>
                <w:lang w:eastAsia="ja-JP"/>
              </w:rPr>
              <w:t>t</w:t>
            </w:r>
            <w:r w:rsidR="004D015B" w:rsidRPr="003768AD">
              <w:rPr>
                <w:rStyle w:val="Hyperlink"/>
                <w:rFonts w:eastAsia="MS Mincho"/>
                <w:lang w:eastAsia="ja-JP"/>
              </w:rPr>
              <w:t>.yokoyama@joy.ocn.ne.jp</w:t>
            </w:r>
          </w:hyperlink>
          <w:r w:rsidR="004D015B">
            <w:rPr>
              <w:rFonts w:eastAsia="MS Mincho"/>
              <w:lang w:eastAsia="ja-JP"/>
            </w:rPr>
            <w:t xml:space="preserve"> </w:t>
          </w:r>
        </w:p>
      </w:tc>
    </w:tr>
  </w:tbl>
  <w:p w14:paraId="757F794D"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5B03" w14:textId="77777777" w:rsidR="00F5680D" w:rsidRDefault="00F5680D">
      <w:r>
        <w:separator/>
      </w:r>
    </w:p>
  </w:footnote>
  <w:footnote w:type="continuationSeparator" w:id="0">
    <w:p w14:paraId="65320CDF" w14:textId="77777777" w:rsidR="00F5680D" w:rsidRDefault="00F56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A892" w14:textId="77777777" w:rsidR="000C455D" w:rsidRDefault="000C4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A2E" w14:textId="77777777" w:rsidR="0097693B" w:rsidRDefault="0097693B" w:rsidP="0092727B">
    <w:pPr>
      <w:pStyle w:val="Header"/>
      <w:tabs>
        <w:tab w:val="clear" w:pos="4320"/>
        <w:tab w:val="clear" w:pos="8640"/>
      </w:tabs>
      <w:rPr>
        <w:lang w:eastAsia="ko-KR"/>
      </w:rPr>
    </w:pPr>
  </w:p>
  <w:p w14:paraId="01093D6A"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74C"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7AF"/>
    <w:multiLevelType w:val="hybridMultilevel"/>
    <w:tmpl w:val="01E861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35D1348"/>
    <w:multiLevelType w:val="hybridMultilevel"/>
    <w:tmpl w:val="EBBAF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DA492F"/>
    <w:multiLevelType w:val="hybridMultilevel"/>
    <w:tmpl w:val="ECF03AF8"/>
    <w:lvl w:ilvl="0" w:tplc="7382B4D6">
      <w:numFmt w:val="bullet"/>
      <w:lvlText w:val="•"/>
      <w:lvlJc w:val="left"/>
      <w:pPr>
        <w:ind w:left="720" w:hanging="360"/>
      </w:pPr>
      <w:rPr>
        <w:rFonts w:ascii="BatangChe" w:eastAsia="BatangChe" w:hAnsi="BatangChe"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61B44BA"/>
    <w:multiLevelType w:val="hybridMultilevel"/>
    <w:tmpl w:val="9A7E3BE8"/>
    <w:lvl w:ilvl="0" w:tplc="B47805CA">
      <w:numFmt w:val="bullet"/>
      <w:lvlText w:val="•"/>
      <w:lvlJc w:val="left"/>
      <w:pPr>
        <w:ind w:left="360" w:hanging="360"/>
      </w:pPr>
      <w:rPr>
        <w:rFonts w:ascii="BatangChe" w:eastAsia="BatangChe" w:hAnsi="BatangCh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FF45C5"/>
    <w:multiLevelType w:val="hybridMultilevel"/>
    <w:tmpl w:val="A4420E8C"/>
    <w:lvl w:ilvl="0" w:tplc="B47805CA">
      <w:numFmt w:val="bullet"/>
      <w:lvlText w:val="•"/>
      <w:lvlJc w:val="left"/>
      <w:pPr>
        <w:ind w:left="720" w:hanging="360"/>
      </w:pPr>
      <w:rPr>
        <w:rFonts w:ascii="BatangChe" w:eastAsia="BatangChe" w:hAnsi="BatangChe"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2"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4"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3"/>
  </w:num>
  <w:num w:numId="2">
    <w:abstractNumId w:val="9"/>
  </w:num>
  <w:num w:numId="3">
    <w:abstractNumId w:val="8"/>
  </w:num>
  <w:num w:numId="4">
    <w:abstractNumId w:val="20"/>
  </w:num>
  <w:num w:numId="5">
    <w:abstractNumId w:val="12"/>
  </w:num>
  <w:num w:numId="6">
    <w:abstractNumId w:val="14"/>
  </w:num>
  <w:num w:numId="7">
    <w:abstractNumId w:val="6"/>
  </w:num>
  <w:num w:numId="8">
    <w:abstractNumId w:val="2"/>
  </w:num>
  <w:num w:numId="9">
    <w:abstractNumId w:val="23"/>
  </w:num>
  <w:num w:numId="10">
    <w:abstractNumId w:val="18"/>
  </w:num>
  <w:num w:numId="11">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17"/>
  </w:num>
  <w:num w:numId="18">
    <w:abstractNumId w:val="15"/>
  </w:num>
  <w:num w:numId="19">
    <w:abstractNumId w:val="22"/>
  </w:num>
  <w:num w:numId="20">
    <w:abstractNumId w:val="11"/>
  </w:num>
  <w:num w:numId="21">
    <w:abstractNumId w:val="21"/>
  </w:num>
  <w:num w:numId="22">
    <w:abstractNumId w:val="25"/>
  </w:num>
  <w:num w:numId="23">
    <w:abstractNumId w:val="3"/>
  </w:num>
  <w:num w:numId="24">
    <w:abstractNumId w:val="4"/>
  </w:num>
  <w:num w:numId="25">
    <w:abstractNumId w:val="0"/>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257"/>
    <w:rsid w:val="00010C8E"/>
    <w:rsid w:val="0003595B"/>
    <w:rsid w:val="00036517"/>
    <w:rsid w:val="00036CC9"/>
    <w:rsid w:val="00040149"/>
    <w:rsid w:val="00045973"/>
    <w:rsid w:val="00070642"/>
    <w:rsid w:val="000713CF"/>
    <w:rsid w:val="00075C14"/>
    <w:rsid w:val="000822B5"/>
    <w:rsid w:val="00083F27"/>
    <w:rsid w:val="00094B87"/>
    <w:rsid w:val="000A012B"/>
    <w:rsid w:val="000A5418"/>
    <w:rsid w:val="000B6CC2"/>
    <w:rsid w:val="000C455D"/>
    <w:rsid w:val="000D47FB"/>
    <w:rsid w:val="000D5AEC"/>
    <w:rsid w:val="000E5518"/>
    <w:rsid w:val="000F345F"/>
    <w:rsid w:val="000F40EA"/>
    <w:rsid w:val="000F517C"/>
    <w:rsid w:val="000F5540"/>
    <w:rsid w:val="00105F1A"/>
    <w:rsid w:val="00125FBD"/>
    <w:rsid w:val="001349D4"/>
    <w:rsid w:val="001409B2"/>
    <w:rsid w:val="0014279D"/>
    <w:rsid w:val="00152636"/>
    <w:rsid w:val="001539DD"/>
    <w:rsid w:val="00156782"/>
    <w:rsid w:val="00165F01"/>
    <w:rsid w:val="001676BD"/>
    <w:rsid w:val="001731F4"/>
    <w:rsid w:val="00186FD5"/>
    <w:rsid w:val="001916F2"/>
    <w:rsid w:val="001930A7"/>
    <w:rsid w:val="00196568"/>
    <w:rsid w:val="00197C18"/>
    <w:rsid w:val="001A2F16"/>
    <w:rsid w:val="001B1804"/>
    <w:rsid w:val="001B18C2"/>
    <w:rsid w:val="001B215C"/>
    <w:rsid w:val="001C443F"/>
    <w:rsid w:val="001C5852"/>
    <w:rsid w:val="001C61A5"/>
    <w:rsid w:val="001C6707"/>
    <w:rsid w:val="001D11E1"/>
    <w:rsid w:val="001D5D7E"/>
    <w:rsid w:val="001F5947"/>
    <w:rsid w:val="001F6304"/>
    <w:rsid w:val="00202410"/>
    <w:rsid w:val="00214A0C"/>
    <w:rsid w:val="0021588B"/>
    <w:rsid w:val="002161B6"/>
    <w:rsid w:val="002216AC"/>
    <w:rsid w:val="0023212E"/>
    <w:rsid w:val="002475E2"/>
    <w:rsid w:val="002506D2"/>
    <w:rsid w:val="00250DE2"/>
    <w:rsid w:val="00254A1B"/>
    <w:rsid w:val="0026064A"/>
    <w:rsid w:val="00264566"/>
    <w:rsid w:val="0028454D"/>
    <w:rsid w:val="00291C9E"/>
    <w:rsid w:val="002926D4"/>
    <w:rsid w:val="0029734E"/>
    <w:rsid w:val="002A0111"/>
    <w:rsid w:val="002A3CF5"/>
    <w:rsid w:val="002A6459"/>
    <w:rsid w:val="002A7053"/>
    <w:rsid w:val="002B06A3"/>
    <w:rsid w:val="002B435C"/>
    <w:rsid w:val="002B447F"/>
    <w:rsid w:val="002C07DA"/>
    <w:rsid w:val="002C2A49"/>
    <w:rsid w:val="002C7EA9"/>
    <w:rsid w:val="002F575D"/>
    <w:rsid w:val="00305472"/>
    <w:rsid w:val="003113D7"/>
    <w:rsid w:val="00311E8A"/>
    <w:rsid w:val="003129CF"/>
    <w:rsid w:val="003426C0"/>
    <w:rsid w:val="00342E5F"/>
    <w:rsid w:val="00342F20"/>
    <w:rsid w:val="00360377"/>
    <w:rsid w:val="00363111"/>
    <w:rsid w:val="00366548"/>
    <w:rsid w:val="0037100A"/>
    <w:rsid w:val="0038005B"/>
    <w:rsid w:val="003809C7"/>
    <w:rsid w:val="0038236C"/>
    <w:rsid w:val="00393DCD"/>
    <w:rsid w:val="00395B40"/>
    <w:rsid w:val="003A2006"/>
    <w:rsid w:val="003A6568"/>
    <w:rsid w:val="003B4FD1"/>
    <w:rsid w:val="003B5DB5"/>
    <w:rsid w:val="003B6263"/>
    <w:rsid w:val="003C29E6"/>
    <w:rsid w:val="003C64A7"/>
    <w:rsid w:val="003D1128"/>
    <w:rsid w:val="003D1671"/>
    <w:rsid w:val="003D3D47"/>
    <w:rsid w:val="003D3FDA"/>
    <w:rsid w:val="003D6D00"/>
    <w:rsid w:val="003E166F"/>
    <w:rsid w:val="003F307E"/>
    <w:rsid w:val="003F33F1"/>
    <w:rsid w:val="004001E5"/>
    <w:rsid w:val="0041313C"/>
    <w:rsid w:val="00420822"/>
    <w:rsid w:val="00420C74"/>
    <w:rsid w:val="00422C1B"/>
    <w:rsid w:val="00441526"/>
    <w:rsid w:val="00441B72"/>
    <w:rsid w:val="004465AA"/>
    <w:rsid w:val="004465B8"/>
    <w:rsid w:val="00446A5E"/>
    <w:rsid w:val="0045458F"/>
    <w:rsid w:val="004633B4"/>
    <w:rsid w:val="00483028"/>
    <w:rsid w:val="00487927"/>
    <w:rsid w:val="00495CED"/>
    <w:rsid w:val="004A2F96"/>
    <w:rsid w:val="004A4BDF"/>
    <w:rsid w:val="004B3553"/>
    <w:rsid w:val="004B3F4B"/>
    <w:rsid w:val="004B6F28"/>
    <w:rsid w:val="004C225F"/>
    <w:rsid w:val="004D015B"/>
    <w:rsid w:val="004D7E8A"/>
    <w:rsid w:val="004E1FCA"/>
    <w:rsid w:val="004E47D6"/>
    <w:rsid w:val="004E6B3C"/>
    <w:rsid w:val="00503189"/>
    <w:rsid w:val="00510839"/>
    <w:rsid w:val="00516BD1"/>
    <w:rsid w:val="005206E9"/>
    <w:rsid w:val="00526D01"/>
    <w:rsid w:val="00530E8C"/>
    <w:rsid w:val="005339EE"/>
    <w:rsid w:val="00535D34"/>
    <w:rsid w:val="00545933"/>
    <w:rsid w:val="00552105"/>
    <w:rsid w:val="0055287B"/>
    <w:rsid w:val="005562F2"/>
    <w:rsid w:val="00557544"/>
    <w:rsid w:val="00563A41"/>
    <w:rsid w:val="005648BA"/>
    <w:rsid w:val="00565BBB"/>
    <w:rsid w:val="00571B26"/>
    <w:rsid w:val="00585F3C"/>
    <w:rsid w:val="00586CA0"/>
    <w:rsid w:val="00587875"/>
    <w:rsid w:val="005A63EB"/>
    <w:rsid w:val="005B0876"/>
    <w:rsid w:val="005C33B6"/>
    <w:rsid w:val="005C7029"/>
    <w:rsid w:val="005D6202"/>
    <w:rsid w:val="005D6E98"/>
    <w:rsid w:val="00607E2B"/>
    <w:rsid w:val="006139D6"/>
    <w:rsid w:val="00616D1B"/>
    <w:rsid w:val="00623CE1"/>
    <w:rsid w:val="00627880"/>
    <w:rsid w:val="0063062B"/>
    <w:rsid w:val="00634A82"/>
    <w:rsid w:val="00637351"/>
    <w:rsid w:val="00644081"/>
    <w:rsid w:val="00646166"/>
    <w:rsid w:val="00652BDD"/>
    <w:rsid w:val="00654896"/>
    <w:rsid w:val="006621F0"/>
    <w:rsid w:val="006647BA"/>
    <w:rsid w:val="00666E46"/>
    <w:rsid w:val="00667229"/>
    <w:rsid w:val="006772FA"/>
    <w:rsid w:val="00682BE5"/>
    <w:rsid w:val="00683846"/>
    <w:rsid w:val="00690FED"/>
    <w:rsid w:val="006939A5"/>
    <w:rsid w:val="006B09DB"/>
    <w:rsid w:val="006B1C98"/>
    <w:rsid w:val="006D5223"/>
    <w:rsid w:val="006D5970"/>
    <w:rsid w:val="006E12FC"/>
    <w:rsid w:val="006F0F24"/>
    <w:rsid w:val="006F2B2E"/>
    <w:rsid w:val="006F6A5C"/>
    <w:rsid w:val="00703F6F"/>
    <w:rsid w:val="007052B3"/>
    <w:rsid w:val="00705962"/>
    <w:rsid w:val="00707C21"/>
    <w:rsid w:val="00711D4B"/>
    <w:rsid w:val="00712451"/>
    <w:rsid w:val="00717DE9"/>
    <w:rsid w:val="00721850"/>
    <w:rsid w:val="0072518B"/>
    <w:rsid w:val="00725B1E"/>
    <w:rsid w:val="00731041"/>
    <w:rsid w:val="007329E4"/>
    <w:rsid w:val="00732F08"/>
    <w:rsid w:val="007342F0"/>
    <w:rsid w:val="0074190C"/>
    <w:rsid w:val="0075493D"/>
    <w:rsid w:val="00762576"/>
    <w:rsid w:val="007673CA"/>
    <w:rsid w:val="00785542"/>
    <w:rsid w:val="00791060"/>
    <w:rsid w:val="007926EA"/>
    <w:rsid w:val="007A3112"/>
    <w:rsid w:val="007B5626"/>
    <w:rsid w:val="007B6124"/>
    <w:rsid w:val="007C1DEA"/>
    <w:rsid w:val="007D3C53"/>
    <w:rsid w:val="007D62A0"/>
    <w:rsid w:val="007E30B1"/>
    <w:rsid w:val="007E3A0F"/>
    <w:rsid w:val="007F0AE6"/>
    <w:rsid w:val="007F2628"/>
    <w:rsid w:val="007F2FBA"/>
    <w:rsid w:val="00800C3A"/>
    <w:rsid w:val="0080570B"/>
    <w:rsid w:val="008148E1"/>
    <w:rsid w:val="00822B33"/>
    <w:rsid w:val="008319BF"/>
    <w:rsid w:val="00833E99"/>
    <w:rsid w:val="008415F0"/>
    <w:rsid w:val="008433C2"/>
    <w:rsid w:val="00844457"/>
    <w:rsid w:val="008454C8"/>
    <w:rsid w:val="00850520"/>
    <w:rsid w:val="00851D78"/>
    <w:rsid w:val="0087122A"/>
    <w:rsid w:val="00874E0A"/>
    <w:rsid w:val="008776E4"/>
    <w:rsid w:val="008A016F"/>
    <w:rsid w:val="008A1A0D"/>
    <w:rsid w:val="008A72E1"/>
    <w:rsid w:val="008A76ED"/>
    <w:rsid w:val="008B3C72"/>
    <w:rsid w:val="008C5FED"/>
    <w:rsid w:val="008D0E09"/>
    <w:rsid w:val="008F2AFF"/>
    <w:rsid w:val="00903007"/>
    <w:rsid w:val="00923816"/>
    <w:rsid w:val="0092727B"/>
    <w:rsid w:val="0093074B"/>
    <w:rsid w:val="00930E64"/>
    <w:rsid w:val="009431F6"/>
    <w:rsid w:val="00943CF9"/>
    <w:rsid w:val="00956F8C"/>
    <w:rsid w:val="00961D57"/>
    <w:rsid w:val="00976716"/>
    <w:rsid w:val="0097693B"/>
    <w:rsid w:val="009815C0"/>
    <w:rsid w:val="00983466"/>
    <w:rsid w:val="00993355"/>
    <w:rsid w:val="00993B2E"/>
    <w:rsid w:val="00994939"/>
    <w:rsid w:val="009963F7"/>
    <w:rsid w:val="009A11CB"/>
    <w:rsid w:val="009A4A6D"/>
    <w:rsid w:val="009B44DD"/>
    <w:rsid w:val="009B7E42"/>
    <w:rsid w:val="009C7235"/>
    <w:rsid w:val="009D235B"/>
    <w:rsid w:val="009D46CE"/>
    <w:rsid w:val="009D4ADA"/>
    <w:rsid w:val="009E13DD"/>
    <w:rsid w:val="009F3102"/>
    <w:rsid w:val="009F3954"/>
    <w:rsid w:val="009F547A"/>
    <w:rsid w:val="009F7D37"/>
    <w:rsid w:val="00A03D78"/>
    <w:rsid w:val="00A048B0"/>
    <w:rsid w:val="00A0503B"/>
    <w:rsid w:val="00A059CD"/>
    <w:rsid w:val="00A13265"/>
    <w:rsid w:val="00A14900"/>
    <w:rsid w:val="00A17C77"/>
    <w:rsid w:val="00A2159F"/>
    <w:rsid w:val="00A23C16"/>
    <w:rsid w:val="00A324FF"/>
    <w:rsid w:val="00A3464D"/>
    <w:rsid w:val="00A365F1"/>
    <w:rsid w:val="00A529BC"/>
    <w:rsid w:val="00A5346C"/>
    <w:rsid w:val="00A53F51"/>
    <w:rsid w:val="00A562F0"/>
    <w:rsid w:val="00A564FB"/>
    <w:rsid w:val="00A614C1"/>
    <w:rsid w:val="00A61EA6"/>
    <w:rsid w:val="00A657BF"/>
    <w:rsid w:val="00A71136"/>
    <w:rsid w:val="00A76B1F"/>
    <w:rsid w:val="00A775D9"/>
    <w:rsid w:val="00A92578"/>
    <w:rsid w:val="00A92B86"/>
    <w:rsid w:val="00A940F9"/>
    <w:rsid w:val="00AA2178"/>
    <w:rsid w:val="00AA474C"/>
    <w:rsid w:val="00AC35EF"/>
    <w:rsid w:val="00AC4D5B"/>
    <w:rsid w:val="00AD1DDB"/>
    <w:rsid w:val="00AD2697"/>
    <w:rsid w:val="00AD7E5F"/>
    <w:rsid w:val="00AE3066"/>
    <w:rsid w:val="00AF6256"/>
    <w:rsid w:val="00AF68E4"/>
    <w:rsid w:val="00B00A87"/>
    <w:rsid w:val="00B01AA1"/>
    <w:rsid w:val="00B06025"/>
    <w:rsid w:val="00B13467"/>
    <w:rsid w:val="00B24E93"/>
    <w:rsid w:val="00B30C81"/>
    <w:rsid w:val="00B30DA1"/>
    <w:rsid w:val="00B4793B"/>
    <w:rsid w:val="00B56099"/>
    <w:rsid w:val="00B64617"/>
    <w:rsid w:val="00B64A60"/>
    <w:rsid w:val="00B661AC"/>
    <w:rsid w:val="00B70F65"/>
    <w:rsid w:val="00B77E74"/>
    <w:rsid w:val="00B81AEF"/>
    <w:rsid w:val="00B823EF"/>
    <w:rsid w:val="00B8468D"/>
    <w:rsid w:val="00B937D7"/>
    <w:rsid w:val="00B96B67"/>
    <w:rsid w:val="00BA37F4"/>
    <w:rsid w:val="00BB0EA4"/>
    <w:rsid w:val="00BC57EF"/>
    <w:rsid w:val="00BC69DB"/>
    <w:rsid w:val="00BE6B6B"/>
    <w:rsid w:val="00BF2284"/>
    <w:rsid w:val="00BF25F9"/>
    <w:rsid w:val="00C00B04"/>
    <w:rsid w:val="00C13FD5"/>
    <w:rsid w:val="00C1406E"/>
    <w:rsid w:val="00C15633"/>
    <w:rsid w:val="00C15799"/>
    <w:rsid w:val="00C26B15"/>
    <w:rsid w:val="00C32B10"/>
    <w:rsid w:val="00C32E84"/>
    <w:rsid w:val="00C35415"/>
    <w:rsid w:val="00C357AD"/>
    <w:rsid w:val="00C516C7"/>
    <w:rsid w:val="00C51C5F"/>
    <w:rsid w:val="00C554CC"/>
    <w:rsid w:val="00C6069C"/>
    <w:rsid w:val="00C60A0F"/>
    <w:rsid w:val="00C70477"/>
    <w:rsid w:val="00C72AD4"/>
    <w:rsid w:val="00C74745"/>
    <w:rsid w:val="00C85119"/>
    <w:rsid w:val="00C95BF2"/>
    <w:rsid w:val="00C95C48"/>
    <w:rsid w:val="00CA41E7"/>
    <w:rsid w:val="00CB2E89"/>
    <w:rsid w:val="00CD170C"/>
    <w:rsid w:val="00CD320B"/>
    <w:rsid w:val="00CD3F37"/>
    <w:rsid w:val="00CD5431"/>
    <w:rsid w:val="00CE4B93"/>
    <w:rsid w:val="00CF2491"/>
    <w:rsid w:val="00CF3963"/>
    <w:rsid w:val="00D1252E"/>
    <w:rsid w:val="00D13D9D"/>
    <w:rsid w:val="00D14AFE"/>
    <w:rsid w:val="00D2267F"/>
    <w:rsid w:val="00D24E8B"/>
    <w:rsid w:val="00D27589"/>
    <w:rsid w:val="00D30AE2"/>
    <w:rsid w:val="00D416A3"/>
    <w:rsid w:val="00D4413F"/>
    <w:rsid w:val="00D459A2"/>
    <w:rsid w:val="00D530FF"/>
    <w:rsid w:val="00D53688"/>
    <w:rsid w:val="00D5407A"/>
    <w:rsid w:val="00D57772"/>
    <w:rsid w:val="00D64142"/>
    <w:rsid w:val="00D71FA3"/>
    <w:rsid w:val="00D72AE3"/>
    <w:rsid w:val="00D75A4D"/>
    <w:rsid w:val="00D8478B"/>
    <w:rsid w:val="00D86151"/>
    <w:rsid w:val="00D9172D"/>
    <w:rsid w:val="00D97E84"/>
    <w:rsid w:val="00DA5641"/>
    <w:rsid w:val="00DA7595"/>
    <w:rsid w:val="00DB0A68"/>
    <w:rsid w:val="00DB2395"/>
    <w:rsid w:val="00DB5644"/>
    <w:rsid w:val="00DC1642"/>
    <w:rsid w:val="00DC43A3"/>
    <w:rsid w:val="00DC4CF3"/>
    <w:rsid w:val="00DC5C01"/>
    <w:rsid w:val="00DD7985"/>
    <w:rsid w:val="00DD7C09"/>
    <w:rsid w:val="00DF0EB4"/>
    <w:rsid w:val="00DF111E"/>
    <w:rsid w:val="00E0124F"/>
    <w:rsid w:val="00E21597"/>
    <w:rsid w:val="00E24CCD"/>
    <w:rsid w:val="00E41B56"/>
    <w:rsid w:val="00E5762A"/>
    <w:rsid w:val="00E674D3"/>
    <w:rsid w:val="00E7024E"/>
    <w:rsid w:val="00E70FD0"/>
    <w:rsid w:val="00E72B2C"/>
    <w:rsid w:val="00E7309D"/>
    <w:rsid w:val="00E77C4B"/>
    <w:rsid w:val="00E9301F"/>
    <w:rsid w:val="00E9690A"/>
    <w:rsid w:val="00E97DC7"/>
    <w:rsid w:val="00EB30FF"/>
    <w:rsid w:val="00EC47EE"/>
    <w:rsid w:val="00EF7532"/>
    <w:rsid w:val="00F000EF"/>
    <w:rsid w:val="00F2504E"/>
    <w:rsid w:val="00F2585B"/>
    <w:rsid w:val="00F34906"/>
    <w:rsid w:val="00F4053F"/>
    <w:rsid w:val="00F516E7"/>
    <w:rsid w:val="00F5680D"/>
    <w:rsid w:val="00F57BF7"/>
    <w:rsid w:val="00F6155A"/>
    <w:rsid w:val="00F61F89"/>
    <w:rsid w:val="00F6263E"/>
    <w:rsid w:val="00F627C2"/>
    <w:rsid w:val="00F736FD"/>
    <w:rsid w:val="00F84067"/>
    <w:rsid w:val="00FA50B4"/>
    <w:rsid w:val="00FB15B4"/>
    <w:rsid w:val="00FB31B8"/>
    <w:rsid w:val="00FB6E83"/>
    <w:rsid w:val="00FC156A"/>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12F8A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BF2284"/>
    <w:rPr>
      <w:rFonts w:eastAsia="BatangChe"/>
      <w:sz w:val="24"/>
      <w:szCs w:val="24"/>
    </w:rPr>
  </w:style>
  <w:style w:type="character" w:customStyle="1" w:styleId="Heading8Char">
    <w:name w:val="Heading 8 Char"/>
    <w:basedOn w:val="DefaultParagraphFont"/>
    <w:link w:val="Heading8"/>
    <w:rsid w:val="00A17C77"/>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dms_ties/itu-r/md/19/wp7c/c/R19-WP7C-C-0283!N07!MSW-E.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dms_ties/itu-r/md/19/wp7c/c/R19-WP7C-C-0283!N08!MSW-E.docx" TargetMode="External"/><Relationship Id="rId17" Type="http://schemas.openxmlformats.org/officeDocument/2006/relationships/hyperlink" Target="https://www.itu.int/dms_ties/itu-r/md/19/wp7c/c/R19-WP7C-C-0283!N12!MSW-E.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dms_ties/itu-r/md/19/wp7c/c/R19-WP7C-C-0283!N11!MSW-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WP7C-C-0283/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dms_ties/itu-r/md/19/wp7c/c/R19-WP7C-C-0283!N13!MSW-E.docx" TargetMode="External"/><Relationship Id="rId23" Type="http://schemas.openxmlformats.org/officeDocument/2006/relationships/footer" Target="footer3.xml"/><Relationship Id="rId10" Type="http://schemas.openxmlformats.org/officeDocument/2006/relationships/hyperlink" Target="https://www.itu.int/dms_ties/itu-r/md/19/wp7c/c/R19-WP7C-C-0283!N10!MSW-E.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pub/R-REP-RS.2456-2019" TargetMode="External"/><Relationship Id="rId14" Type="http://schemas.openxmlformats.org/officeDocument/2006/relationships/hyperlink" Target="https://www.itu.int/dms_ties/itu-r/md/19/wp7c/c/R19-WP7C-C-0283!N09!MSW-E.docx"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t.yokoyama@joy.ocn.ne.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8457</Characters>
  <Application>Microsoft Office Word</Application>
  <DocSecurity>0</DocSecurity>
  <Lines>70</Lines>
  <Paragraphs>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3</cp:revision>
  <cp:lastPrinted>2021-04-21T15:10:00Z</cp:lastPrinted>
  <dcterms:created xsi:type="dcterms:W3CDTF">2021-11-22T03:48:00Z</dcterms:created>
  <dcterms:modified xsi:type="dcterms:W3CDTF">2021-11-22T03:49:00Z</dcterms:modified>
</cp:coreProperties>
</file>