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1E78F0" w14:paraId="5A3A2043" w14:textId="77777777" w:rsidTr="009A6FC7">
        <w:trPr>
          <w:cantSplit/>
          <w:trHeight w:val="288"/>
        </w:trPr>
        <w:tc>
          <w:tcPr>
            <w:tcW w:w="1399" w:type="dxa"/>
            <w:vMerge w:val="restart"/>
            <w:tcBorders>
              <w:top w:val="nil"/>
              <w:left w:val="nil"/>
              <w:bottom w:val="single" w:sz="4" w:space="0" w:color="auto"/>
              <w:right w:val="nil"/>
            </w:tcBorders>
            <w:hideMark/>
          </w:tcPr>
          <w:p w14:paraId="4F3CA8E1" w14:textId="77777777" w:rsidR="001E78F0" w:rsidRDefault="001E78F0" w:rsidP="009A6FC7">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21C47FE1" wp14:editId="0A6AA2E6">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65279814" w14:textId="77777777" w:rsidR="001E78F0" w:rsidRDefault="001E78F0" w:rsidP="009A6FC7">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3B021706" w14:textId="77777777" w:rsidR="001E78F0" w:rsidRDefault="001E78F0" w:rsidP="009A6FC7">
            <w:pPr>
              <w:pStyle w:val="Heading8"/>
              <w:spacing w:before="40"/>
              <w:rPr>
                <w:sz w:val="24"/>
                <w:szCs w:val="24"/>
              </w:rPr>
            </w:pPr>
            <w:r>
              <w:rPr>
                <w:sz w:val="24"/>
                <w:szCs w:val="24"/>
              </w:rPr>
              <w:t>Document No:</w:t>
            </w:r>
          </w:p>
        </w:tc>
      </w:tr>
      <w:tr w:rsidR="001E78F0" w14:paraId="02D04842" w14:textId="77777777" w:rsidTr="009A6FC7">
        <w:trPr>
          <w:cantSplit/>
          <w:trHeight w:val="504"/>
        </w:trPr>
        <w:tc>
          <w:tcPr>
            <w:tcW w:w="1399" w:type="dxa"/>
            <w:vMerge/>
            <w:tcBorders>
              <w:top w:val="nil"/>
              <w:left w:val="nil"/>
              <w:bottom w:val="single" w:sz="4" w:space="0" w:color="auto"/>
              <w:right w:val="nil"/>
            </w:tcBorders>
            <w:vAlign w:val="center"/>
            <w:hideMark/>
          </w:tcPr>
          <w:p w14:paraId="02F49771" w14:textId="77777777" w:rsidR="001E78F0" w:rsidRDefault="001E78F0" w:rsidP="009A6FC7">
            <w:pPr>
              <w:rPr>
                <w:kern w:val="2"/>
                <w:lang w:eastAsia="ko-KR"/>
              </w:rPr>
            </w:pPr>
          </w:p>
        </w:tc>
        <w:tc>
          <w:tcPr>
            <w:tcW w:w="5760" w:type="dxa"/>
            <w:tcBorders>
              <w:top w:val="nil"/>
              <w:left w:val="nil"/>
              <w:bottom w:val="nil"/>
              <w:right w:val="nil"/>
            </w:tcBorders>
            <w:vAlign w:val="center"/>
            <w:hideMark/>
          </w:tcPr>
          <w:p w14:paraId="7C626925" w14:textId="77777777" w:rsidR="001E78F0" w:rsidRDefault="001E78F0" w:rsidP="009A6FC7">
            <w:pPr>
              <w:spacing w:before="40"/>
            </w:pPr>
            <w:r>
              <w:rPr>
                <w:b/>
              </w:rPr>
              <w:t>The 3rd Meeting of the APT Conference Preparatory Group for WRC-23 (APG23-3)</w:t>
            </w:r>
          </w:p>
        </w:tc>
        <w:tc>
          <w:tcPr>
            <w:tcW w:w="2160" w:type="dxa"/>
            <w:tcBorders>
              <w:top w:val="nil"/>
              <w:left w:val="nil"/>
              <w:bottom w:val="nil"/>
              <w:right w:val="nil"/>
            </w:tcBorders>
          </w:tcPr>
          <w:p w14:paraId="666898E4" w14:textId="76E816A7" w:rsidR="001E78F0" w:rsidRPr="008C56B6" w:rsidRDefault="001E78F0" w:rsidP="009A6FC7">
            <w:pPr>
              <w:spacing w:before="40"/>
              <w:rPr>
                <w:rFonts w:cs="Angsana New"/>
                <w:b/>
                <w:bCs/>
                <w:szCs w:val="30"/>
                <w:lang w:bidi="th-TH"/>
              </w:rPr>
            </w:pPr>
            <w:r>
              <w:rPr>
                <w:b/>
                <w:bCs/>
                <w:lang w:val="fr-FR"/>
              </w:rPr>
              <w:t>APG23-3/OUT-31</w:t>
            </w:r>
          </w:p>
          <w:p w14:paraId="55BE5BB0" w14:textId="77777777" w:rsidR="001E78F0" w:rsidRDefault="001E78F0" w:rsidP="009A6FC7">
            <w:pPr>
              <w:rPr>
                <w:b/>
                <w:bCs/>
                <w:lang w:val="en-GB"/>
              </w:rPr>
            </w:pPr>
          </w:p>
        </w:tc>
      </w:tr>
      <w:tr w:rsidR="001E78F0" w14:paraId="33140304" w14:textId="77777777" w:rsidTr="009A6FC7">
        <w:trPr>
          <w:cantSplit/>
          <w:trHeight w:val="288"/>
        </w:trPr>
        <w:tc>
          <w:tcPr>
            <w:tcW w:w="1399" w:type="dxa"/>
            <w:vMerge/>
            <w:tcBorders>
              <w:top w:val="nil"/>
              <w:left w:val="nil"/>
              <w:bottom w:val="single" w:sz="4" w:space="0" w:color="auto"/>
              <w:right w:val="nil"/>
            </w:tcBorders>
            <w:vAlign w:val="center"/>
            <w:hideMark/>
          </w:tcPr>
          <w:p w14:paraId="0B70ACE0" w14:textId="77777777" w:rsidR="001E78F0" w:rsidRDefault="001E78F0" w:rsidP="009A6FC7">
            <w:pPr>
              <w:rPr>
                <w:kern w:val="2"/>
                <w:lang w:eastAsia="ko-KR"/>
              </w:rPr>
            </w:pPr>
          </w:p>
        </w:tc>
        <w:tc>
          <w:tcPr>
            <w:tcW w:w="5760" w:type="dxa"/>
            <w:tcBorders>
              <w:top w:val="nil"/>
              <w:left w:val="nil"/>
              <w:bottom w:val="single" w:sz="4" w:space="0" w:color="auto"/>
              <w:right w:val="nil"/>
            </w:tcBorders>
            <w:vAlign w:val="bottom"/>
            <w:hideMark/>
          </w:tcPr>
          <w:p w14:paraId="7CA4B6E2" w14:textId="77777777" w:rsidR="001E78F0" w:rsidRDefault="001E78F0" w:rsidP="009A6FC7">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5609050F" w14:textId="77777777" w:rsidR="001E78F0" w:rsidRDefault="001E78F0" w:rsidP="009A6FC7">
            <w:pPr>
              <w:spacing w:before="40"/>
              <w:rPr>
                <w:bCs/>
              </w:rPr>
            </w:pPr>
            <w:r>
              <w:rPr>
                <w:bCs/>
              </w:rPr>
              <w:t>13 November 2021</w:t>
            </w:r>
          </w:p>
        </w:tc>
      </w:tr>
    </w:tbl>
    <w:p w14:paraId="376A7B8D" w14:textId="77777777" w:rsidR="0097586A" w:rsidRDefault="0097586A" w:rsidP="00B60FAC">
      <w:pPr>
        <w:snapToGrid w:val="0"/>
        <w:spacing w:line="264" w:lineRule="auto"/>
        <w:rPr>
          <w:lang w:val="en-NZ" w:eastAsia="ko-KR"/>
        </w:rPr>
      </w:pPr>
    </w:p>
    <w:p w14:paraId="48ACCFA0" w14:textId="77777777" w:rsidR="00B60FAC" w:rsidRDefault="00B60FAC" w:rsidP="00B60FAC">
      <w:pPr>
        <w:snapToGrid w:val="0"/>
        <w:spacing w:line="264" w:lineRule="auto"/>
        <w:jc w:val="center"/>
        <w:rPr>
          <w:lang w:val="en-NZ" w:eastAsia="ko-KR"/>
        </w:rPr>
      </w:pPr>
    </w:p>
    <w:p w14:paraId="643E6E90" w14:textId="0F79C68C" w:rsidR="00B64A60" w:rsidRDefault="00DF4989" w:rsidP="00B60FAC">
      <w:pPr>
        <w:snapToGrid w:val="0"/>
        <w:spacing w:line="264" w:lineRule="auto"/>
        <w:jc w:val="center"/>
        <w:rPr>
          <w:lang w:val="en-NZ" w:eastAsia="ko-KR"/>
        </w:rPr>
      </w:pPr>
      <w:r>
        <w:rPr>
          <w:lang w:val="en-NZ" w:eastAsia="ko-KR"/>
        </w:rPr>
        <w:t>Working Party 4</w:t>
      </w:r>
    </w:p>
    <w:p w14:paraId="7455DEA9" w14:textId="77777777" w:rsidR="00B60FAC" w:rsidRPr="00B60FAC" w:rsidRDefault="00B60FAC" w:rsidP="00B60FAC">
      <w:pPr>
        <w:snapToGrid w:val="0"/>
        <w:spacing w:after="100" w:line="264" w:lineRule="auto"/>
        <w:jc w:val="center"/>
        <w:rPr>
          <w:lang w:val="en-NZ" w:eastAsia="ko-KR"/>
        </w:rPr>
      </w:pPr>
    </w:p>
    <w:p w14:paraId="4A247742" w14:textId="1E8130AF" w:rsidR="00B64A60" w:rsidRPr="00441526" w:rsidRDefault="00B64A60" w:rsidP="0097586A">
      <w:pPr>
        <w:snapToGrid w:val="0"/>
        <w:spacing w:after="100" w:line="264" w:lineRule="auto"/>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037EB3">
        <w:rPr>
          <w:b/>
          <w:bCs/>
          <w:caps/>
          <w:lang w:val="en-NZ"/>
        </w:rPr>
        <w:t>18</w:t>
      </w:r>
    </w:p>
    <w:p w14:paraId="73FFFCDC" w14:textId="77777777" w:rsidR="00B64A60" w:rsidRPr="00441526" w:rsidRDefault="00B64A60" w:rsidP="0097586A">
      <w:pPr>
        <w:snapToGrid w:val="0"/>
        <w:spacing w:after="100" w:line="264" w:lineRule="auto"/>
        <w:rPr>
          <w:lang w:val="en-NZ"/>
        </w:rPr>
      </w:pPr>
    </w:p>
    <w:p w14:paraId="3E94749D" w14:textId="77777777" w:rsidR="002A0111" w:rsidRPr="00441526" w:rsidRDefault="002A0111" w:rsidP="0097586A">
      <w:pPr>
        <w:snapToGrid w:val="0"/>
        <w:spacing w:after="100" w:line="264" w:lineRule="auto"/>
        <w:jc w:val="both"/>
        <w:rPr>
          <w:lang w:val="en-NZ"/>
        </w:rPr>
      </w:pPr>
      <w:r w:rsidRPr="00441526">
        <w:rPr>
          <w:b/>
          <w:lang w:val="en-NZ"/>
        </w:rPr>
        <w:t>Agenda Item 1.</w:t>
      </w:r>
      <w:r w:rsidR="00037EB3">
        <w:rPr>
          <w:b/>
          <w:lang w:val="en-NZ"/>
        </w:rPr>
        <w:t>18</w:t>
      </w:r>
      <w:r w:rsidRPr="00441526">
        <w:rPr>
          <w:b/>
          <w:lang w:val="en-NZ"/>
        </w:rPr>
        <w:t xml:space="preserve">: </w:t>
      </w:r>
    </w:p>
    <w:p w14:paraId="604A8C11" w14:textId="77777777" w:rsidR="002A0111" w:rsidRDefault="00037EB3" w:rsidP="0097586A">
      <w:pPr>
        <w:snapToGrid w:val="0"/>
        <w:spacing w:after="100" w:line="264" w:lineRule="auto"/>
        <w:jc w:val="both"/>
        <w:rPr>
          <w:i/>
        </w:rPr>
      </w:pPr>
      <w:r w:rsidRPr="00037EB3">
        <w:rPr>
          <w:i/>
        </w:rPr>
        <w:t xml:space="preserve">to consider studies relating to spectrum needs and potential new allocations to the mobile-satellite service for future development of narrowband mobile-satellite systems, in accordance with Resolution </w:t>
      </w:r>
      <w:r w:rsidRPr="00037EB3">
        <w:rPr>
          <w:b/>
          <w:bCs/>
          <w:i/>
        </w:rPr>
        <w:t>248</w:t>
      </w:r>
      <w:r w:rsidRPr="00037EB3">
        <w:rPr>
          <w:i/>
        </w:rPr>
        <w:t xml:space="preserve"> </w:t>
      </w:r>
      <w:r w:rsidRPr="00037EB3">
        <w:rPr>
          <w:b/>
          <w:bCs/>
          <w:i/>
        </w:rPr>
        <w:t>(WRC</w:t>
      </w:r>
      <w:r w:rsidRPr="00037EB3">
        <w:rPr>
          <w:b/>
          <w:bCs/>
          <w:i/>
        </w:rPr>
        <w:noBreakHyphen/>
        <w:t>19</w:t>
      </w:r>
      <w:proofErr w:type="gramStart"/>
      <w:r w:rsidRPr="00037EB3">
        <w:rPr>
          <w:b/>
          <w:bCs/>
          <w:i/>
        </w:rPr>
        <w:t>)</w:t>
      </w:r>
      <w:r w:rsidRPr="00037EB3">
        <w:rPr>
          <w:i/>
        </w:rPr>
        <w:t>;</w:t>
      </w:r>
      <w:proofErr w:type="gramEnd"/>
    </w:p>
    <w:p w14:paraId="26EC4AA2" w14:textId="77777777" w:rsidR="00037EB3" w:rsidRPr="00037EB3" w:rsidRDefault="00037EB3" w:rsidP="0097586A">
      <w:pPr>
        <w:snapToGrid w:val="0"/>
        <w:spacing w:after="100" w:line="264" w:lineRule="auto"/>
        <w:jc w:val="both"/>
        <w:rPr>
          <w:i/>
          <w:lang w:val="en-NZ"/>
        </w:rPr>
      </w:pPr>
    </w:p>
    <w:p w14:paraId="51F7F640"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1. </w:t>
      </w:r>
      <w:r w:rsidRPr="00441526">
        <w:rPr>
          <w:b/>
          <w:lang w:val="en-NZ" w:eastAsia="ko-KR"/>
        </w:rPr>
        <w:tab/>
        <w:t>Background</w:t>
      </w:r>
    </w:p>
    <w:p w14:paraId="30AEE771" w14:textId="77777777" w:rsidR="007D6E5E" w:rsidRPr="007D6E5E" w:rsidRDefault="007D6E5E" w:rsidP="0097586A">
      <w:pPr>
        <w:snapToGrid w:val="0"/>
        <w:spacing w:after="100" w:line="264" w:lineRule="auto"/>
        <w:jc w:val="both"/>
        <w:rPr>
          <w:rFonts w:eastAsia="SimSun"/>
          <w:lang w:eastAsia="zh-CN"/>
        </w:rPr>
      </w:pPr>
      <w:r w:rsidRPr="00E02A35">
        <w:t>WRC-23 Agenda item 1.18 calls for WRC-23 to implement the “</w:t>
      </w:r>
      <w:r w:rsidRPr="00E02A35">
        <w:rPr>
          <w:i/>
          <w:iCs/>
        </w:rPr>
        <w:t>studies relating to spectrum needs and potential new allocations to the mobile satellite service in the frequency bands 1 695-1 710 MHz, 2 010-2 025 MHz, 3 300-3 315 MHz and 3 385-3 400 MHz for future development of narrowband mobile-satellite systems”</w:t>
      </w:r>
      <w:r w:rsidRPr="00E02A35">
        <w:rPr>
          <w:b/>
          <w:bCs/>
          <w:i/>
          <w:iCs/>
        </w:rPr>
        <w:t xml:space="preserve"> </w:t>
      </w:r>
      <w:r w:rsidRPr="00E02A35">
        <w:t>while ensuring the protection of existing primary services in those frequency bands and adjacent frequency bands</w:t>
      </w:r>
      <w:r>
        <w:t xml:space="preserve">. </w:t>
      </w:r>
      <w:r w:rsidRPr="00EC33FA">
        <w:rPr>
          <w:rFonts w:eastAsia="SimSun"/>
          <w:lang w:eastAsia="zh-CN"/>
        </w:rPr>
        <w:t>In accordance with the results of</w:t>
      </w:r>
      <w:r>
        <w:rPr>
          <w:rFonts w:eastAsia="SimSun"/>
          <w:lang w:eastAsia="zh-CN"/>
        </w:rPr>
        <w:t xml:space="preserve"> CPM23-1, ITU-R Working Party 4C (WP 4C</w:t>
      </w:r>
      <w:r w:rsidRPr="00EC33FA">
        <w:rPr>
          <w:rFonts w:eastAsia="SimSun"/>
          <w:lang w:eastAsia="zh-CN"/>
        </w:rPr>
        <w:t>) was assigned to be the responsibl</w:t>
      </w:r>
      <w:r>
        <w:rPr>
          <w:rFonts w:eastAsia="SimSun"/>
          <w:lang w:eastAsia="zh-CN"/>
        </w:rPr>
        <w:t>e group for the Agenda Item 1.18</w:t>
      </w:r>
      <w:r w:rsidRPr="00EC33FA">
        <w:rPr>
          <w:rFonts w:eastAsia="SimSun"/>
          <w:lang w:eastAsia="zh-CN"/>
        </w:rPr>
        <w:t>.</w:t>
      </w:r>
    </w:p>
    <w:p w14:paraId="40F1ACFF" w14:textId="77777777" w:rsidR="007D6E5E" w:rsidRDefault="007D6E5E" w:rsidP="0097586A">
      <w:pPr>
        <w:tabs>
          <w:tab w:val="left" w:pos="1134"/>
          <w:tab w:val="left" w:pos="1871"/>
          <w:tab w:val="left" w:pos="2268"/>
        </w:tabs>
        <w:snapToGrid w:val="0"/>
        <w:spacing w:after="100" w:line="264" w:lineRule="auto"/>
        <w:rPr>
          <w:rFonts w:eastAsia="SimSun"/>
          <w:lang w:eastAsia="zh-CN"/>
        </w:rPr>
      </w:pPr>
      <w:r>
        <w:rPr>
          <w:rFonts w:eastAsia="SimSun" w:hint="eastAsia"/>
          <w:lang w:eastAsia="zh-CN"/>
        </w:rPr>
        <w:t>According to the Resolution 248 (WRC-19), the candidate frequencies for agenda item 1.18 are as follows:</w:t>
      </w:r>
    </w:p>
    <w:p w14:paraId="12868F67" w14:textId="77777777" w:rsidR="007D6E5E" w:rsidRDefault="007D6E5E" w:rsidP="0097586A">
      <w:pPr>
        <w:numPr>
          <w:ilvl w:val="0"/>
          <w:numId w:val="23"/>
        </w:numPr>
        <w:snapToGrid w:val="0"/>
        <w:spacing w:after="100" w:line="264" w:lineRule="auto"/>
        <w:ind w:right="15" w:hanging="1134"/>
      </w:pPr>
      <w:r>
        <w:t>1 695-1 710 MHz in Region 2,</w:t>
      </w:r>
    </w:p>
    <w:p w14:paraId="4F3810F3" w14:textId="77777777" w:rsidR="007D6E5E" w:rsidRDefault="007D6E5E" w:rsidP="0097586A">
      <w:pPr>
        <w:numPr>
          <w:ilvl w:val="0"/>
          <w:numId w:val="23"/>
        </w:numPr>
        <w:snapToGrid w:val="0"/>
        <w:spacing w:after="100" w:line="264" w:lineRule="auto"/>
        <w:ind w:right="15" w:hanging="1134"/>
      </w:pPr>
      <w:r>
        <w:t>2 010-2 025 MHz in Region 1,</w:t>
      </w:r>
    </w:p>
    <w:p w14:paraId="34EF0C66" w14:textId="77777777" w:rsidR="007D6E5E" w:rsidRDefault="007D6E5E" w:rsidP="0097586A">
      <w:pPr>
        <w:numPr>
          <w:ilvl w:val="0"/>
          <w:numId w:val="23"/>
        </w:numPr>
        <w:snapToGrid w:val="0"/>
        <w:spacing w:after="100" w:line="264" w:lineRule="auto"/>
        <w:ind w:right="15" w:hanging="1134"/>
      </w:pPr>
      <w:r>
        <w:t xml:space="preserve">3 300-3 315 MHz, 3 385-3 400 MHz in Region </w:t>
      </w:r>
      <w:proofErr w:type="gramStart"/>
      <w:r>
        <w:t>2;</w:t>
      </w:r>
      <w:proofErr w:type="gramEnd"/>
    </w:p>
    <w:p w14:paraId="6C326644" w14:textId="46315EA4" w:rsidR="00E670B4" w:rsidRPr="00162DE1" w:rsidRDefault="007D6E5E" w:rsidP="0082688C">
      <w:pPr>
        <w:pStyle w:val="NormalWeb"/>
        <w:snapToGrid w:val="0"/>
        <w:spacing w:before="0" w:beforeAutospacing="0" w:afterAutospacing="0" w:line="264" w:lineRule="auto"/>
        <w:jc w:val="both"/>
        <w:rPr>
          <w:rFonts w:ascii="Times New Roman" w:eastAsia="BatangChe" w:hAnsi="Times New Roman" w:cs="Times New Roman"/>
          <w:lang w:eastAsia="en-US"/>
        </w:rPr>
      </w:pPr>
      <w:r w:rsidRPr="00162DE1">
        <w:rPr>
          <w:rFonts w:ascii="Times New Roman" w:eastAsia="BatangChe" w:hAnsi="Times New Roman" w:cs="Times New Roman"/>
          <w:lang w:eastAsia="en-US"/>
        </w:rPr>
        <w:t xml:space="preserve">ITU-R </w:t>
      </w:r>
      <w:r w:rsidR="00193FDA" w:rsidRPr="00162DE1">
        <w:rPr>
          <w:rFonts w:ascii="Times New Roman" w:eastAsia="BatangChe" w:hAnsi="Times New Roman" w:cs="Times New Roman"/>
          <w:lang w:eastAsia="en-US"/>
        </w:rPr>
        <w:t xml:space="preserve">WP 4C which is a responsible group for this agenda item, </w:t>
      </w:r>
      <w:r w:rsidR="00A3539F" w:rsidRPr="00162DE1">
        <w:rPr>
          <w:rFonts w:ascii="Times New Roman" w:eastAsia="BatangChe" w:hAnsi="Times New Roman" w:cs="Times New Roman"/>
          <w:lang w:eastAsia="en-US"/>
        </w:rPr>
        <w:t xml:space="preserve">focused its work on the review of the preliminary draft new Report ITU-R </w:t>
      </w:r>
      <w:proofErr w:type="gramStart"/>
      <w:r w:rsidR="00A3539F" w:rsidRPr="00162DE1">
        <w:rPr>
          <w:rFonts w:ascii="Times New Roman" w:eastAsia="BatangChe" w:hAnsi="Times New Roman" w:cs="Times New Roman"/>
          <w:lang w:eastAsia="en-US"/>
        </w:rPr>
        <w:t>M.[</w:t>
      </w:r>
      <w:proofErr w:type="gramEnd"/>
      <w:r w:rsidR="00A3539F" w:rsidRPr="00162DE1">
        <w:rPr>
          <w:rFonts w:ascii="Times New Roman" w:eastAsia="BatangChe" w:hAnsi="Times New Roman" w:cs="Times New Roman"/>
          <w:lang w:eastAsia="en-US"/>
        </w:rPr>
        <w:t>NB.MSS] on Spectrum Requirements, Technical and Operational Requirements after</w:t>
      </w:r>
      <w:r w:rsidR="0082688C">
        <w:rPr>
          <w:rFonts w:ascii="Times New Roman" w:eastAsia="BatangChe" w:hAnsi="Times New Roman" w:cs="Times New Roman"/>
          <w:lang w:eastAsia="en-US"/>
        </w:rPr>
        <w:t xml:space="preserve"> </w:t>
      </w:r>
      <w:r w:rsidR="00A3539F" w:rsidRPr="00162DE1">
        <w:rPr>
          <w:rFonts w:ascii="Times New Roman" w:eastAsia="BatangChe" w:hAnsi="Times New Roman" w:cs="Times New Roman"/>
          <w:lang w:eastAsia="en-US"/>
        </w:rPr>
        <w:t xml:space="preserve">APG23-2 meeting. </w:t>
      </w:r>
      <w:r w:rsidR="008528BB">
        <w:rPr>
          <w:rFonts w:ascii="Times New Roman" w:eastAsia="BatangChe" w:hAnsi="Times New Roman" w:cs="Times New Roman"/>
          <w:lang w:eastAsia="en-US"/>
        </w:rPr>
        <w:t>During the discussion, t</w:t>
      </w:r>
      <w:r w:rsidR="00E670B4" w:rsidRPr="00162DE1">
        <w:rPr>
          <w:rFonts w:ascii="Times New Roman" w:eastAsia="BatangChe" w:hAnsi="Times New Roman" w:cs="Times New Roman"/>
          <w:lang w:eastAsia="en-US"/>
        </w:rPr>
        <w:t xml:space="preserve">he main difficulty of this agenda item would be attributed to the ambiguity of </w:t>
      </w:r>
      <w:r w:rsidR="00E670B4" w:rsidRPr="00162DE1">
        <w:rPr>
          <w:rFonts w:ascii="Times New Roman" w:eastAsia="BatangChe" w:hAnsi="Times New Roman" w:cs="Times New Roman"/>
          <w:i/>
          <w:iCs/>
          <w:lang w:eastAsia="en-US"/>
        </w:rPr>
        <w:t>recognizing c)</w:t>
      </w:r>
      <w:r w:rsidR="00E670B4" w:rsidRPr="00162DE1">
        <w:rPr>
          <w:rFonts w:ascii="Times New Roman" w:eastAsia="BatangChe" w:hAnsi="Times New Roman" w:cs="Times New Roman"/>
          <w:lang w:eastAsia="en-US"/>
        </w:rPr>
        <w:t xml:space="preserve"> of Resolution </w:t>
      </w:r>
      <w:r w:rsidR="00E670B4" w:rsidRPr="00162DE1">
        <w:rPr>
          <w:rFonts w:ascii="Times New Roman" w:eastAsia="BatangChe" w:hAnsi="Times New Roman" w:cs="Times New Roman"/>
          <w:b/>
          <w:bCs/>
          <w:lang w:eastAsia="en-US"/>
        </w:rPr>
        <w:t>248 (WRC-19)</w:t>
      </w:r>
      <w:r w:rsidR="00E670B4" w:rsidRPr="00162DE1">
        <w:rPr>
          <w:rFonts w:ascii="Times New Roman" w:eastAsia="BatangChe" w:hAnsi="Times New Roman" w:cs="Times New Roman"/>
          <w:lang w:eastAsia="en-US"/>
        </w:rPr>
        <w:t xml:space="preserve"> which reads “that the studies envisaged under </w:t>
      </w:r>
      <w:r w:rsidR="00E670B4" w:rsidRPr="00162DE1">
        <w:rPr>
          <w:rFonts w:ascii="Times New Roman" w:eastAsia="BatangChe" w:hAnsi="Times New Roman" w:cs="Times New Roman"/>
          <w:i/>
          <w:iCs/>
          <w:lang w:eastAsia="en-US"/>
        </w:rPr>
        <w:t>resolves to invite the ITU Radiocommunication Sector </w:t>
      </w:r>
      <w:r w:rsidR="00E670B4" w:rsidRPr="00162DE1">
        <w:rPr>
          <w:rFonts w:ascii="Times New Roman" w:eastAsia="BatangChe" w:hAnsi="Times New Roman" w:cs="Times New Roman"/>
          <w:lang w:eastAsia="en-US"/>
        </w:rPr>
        <w:t xml:space="preserve">in this Resolution are to be limited to those systems with space stations that have a maximum equivalent </w:t>
      </w:r>
      <w:proofErr w:type="spellStart"/>
      <w:r w:rsidR="00E670B4" w:rsidRPr="00162DE1">
        <w:rPr>
          <w:rFonts w:ascii="Times New Roman" w:eastAsia="BatangChe" w:hAnsi="Times New Roman" w:cs="Times New Roman"/>
          <w:lang w:eastAsia="en-US"/>
        </w:rPr>
        <w:t>isotropically</w:t>
      </w:r>
      <w:proofErr w:type="spellEnd"/>
      <w:r w:rsidR="00E670B4" w:rsidRPr="00162DE1">
        <w:rPr>
          <w:rFonts w:ascii="Times New Roman" w:eastAsia="BatangChe" w:hAnsi="Times New Roman" w:cs="Times New Roman"/>
          <w:lang w:eastAsia="en-US"/>
        </w:rPr>
        <w:t xml:space="preserve"> radiated power (</w:t>
      </w:r>
      <w:proofErr w:type="spellStart"/>
      <w:r w:rsidR="00E670B4" w:rsidRPr="00162DE1">
        <w:rPr>
          <w:rFonts w:ascii="Times New Roman" w:eastAsia="BatangChe" w:hAnsi="Times New Roman" w:cs="Times New Roman"/>
          <w:lang w:eastAsia="en-US"/>
        </w:rPr>
        <w:t>e.i.r.p</w:t>
      </w:r>
      <w:proofErr w:type="spellEnd"/>
      <w:r w:rsidR="00E670B4" w:rsidRPr="00162DE1">
        <w:rPr>
          <w:rFonts w:ascii="Times New Roman" w:eastAsia="BatangChe" w:hAnsi="Times New Roman" w:cs="Times New Roman"/>
          <w:lang w:eastAsia="en-US"/>
        </w:rPr>
        <w:t xml:space="preserve">.) of 27 </w:t>
      </w:r>
      <w:proofErr w:type="spellStart"/>
      <w:r w:rsidR="00E670B4" w:rsidRPr="00162DE1">
        <w:rPr>
          <w:rFonts w:ascii="Times New Roman" w:eastAsia="BatangChe" w:hAnsi="Times New Roman" w:cs="Times New Roman"/>
          <w:lang w:eastAsia="en-US"/>
        </w:rPr>
        <w:t>dBW</w:t>
      </w:r>
      <w:proofErr w:type="spellEnd"/>
      <w:r w:rsidR="00E670B4" w:rsidRPr="00162DE1">
        <w:rPr>
          <w:rFonts w:ascii="Times New Roman" w:eastAsia="BatangChe" w:hAnsi="Times New Roman" w:cs="Times New Roman"/>
          <w:lang w:eastAsia="en-US"/>
        </w:rPr>
        <w:t xml:space="preserve"> or less, with a beamwidth of no more than 120 degrees”. The </w:t>
      </w:r>
      <w:proofErr w:type="spellStart"/>
      <w:r w:rsidR="00E670B4" w:rsidRPr="00162DE1">
        <w:rPr>
          <w:rFonts w:ascii="Times New Roman" w:eastAsia="BatangChe" w:hAnsi="Times New Roman" w:cs="Times New Roman"/>
          <w:lang w:eastAsia="en-US"/>
        </w:rPr>
        <w:t>e.i.r.p</w:t>
      </w:r>
      <w:proofErr w:type="spellEnd"/>
      <w:r w:rsidR="00E670B4" w:rsidRPr="00162DE1">
        <w:rPr>
          <w:rFonts w:ascii="Times New Roman" w:eastAsia="BatangChe" w:hAnsi="Times New Roman" w:cs="Times New Roman"/>
          <w:lang w:eastAsia="en-US"/>
        </w:rPr>
        <w:t xml:space="preserve">. of 27 </w:t>
      </w:r>
      <w:proofErr w:type="spellStart"/>
      <w:r w:rsidR="00E670B4" w:rsidRPr="00162DE1">
        <w:rPr>
          <w:rFonts w:ascii="Times New Roman" w:eastAsia="BatangChe" w:hAnsi="Times New Roman" w:cs="Times New Roman"/>
          <w:lang w:eastAsia="en-US"/>
        </w:rPr>
        <w:t>dBW</w:t>
      </w:r>
      <w:proofErr w:type="spellEnd"/>
      <w:r w:rsidR="00E670B4" w:rsidRPr="00162DE1">
        <w:rPr>
          <w:rFonts w:ascii="Times New Roman" w:eastAsia="BatangChe" w:hAnsi="Times New Roman" w:cs="Times New Roman"/>
          <w:lang w:eastAsia="en-US"/>
        </w:rPr>
        <w:t xml:space="preserve"> could be understood as either per satellite basis or per system basis.</w:t>
      </w:r>
      <w:r w:rsidR="00E84B8D">
        <w:rPr>
          <w:rFonts w:ascii="Times New Roman" w:eastAsia="BatangChe" w:hAnsi="Times New Roman" w:cs="Times New Roman"/>
          <w:lang w:eastAsia="en-US"/>
        </w:rPr>
        <w:t xml:space="preserve"> </w:t>
      </w:r>
      <w:r w:rsidR="00E84B8D" w:rsidRPr="00E84B8D">
        <w:rPr>
          <w:rFonts w:ascii="Times New Roman" w:hAnsi="Times New Roman" w:cs="Times New Roman"/>
        </w:rPr>
        <w:t>WP 4C did not develop the representative NB-MSS system (LEO &amp; MEO) parameters for sharing studies</w:t>
      </w:r>
      <w:r w:rsidR="00E84B8D">
        <w:rPr>
          <w:rFonts w:ascii="Times New Roman" w:hAnsi="Times New Roman" w:cs="Times New Roman"/>
        </w:rPr>
        <w:t xml:space="preserve"> due to the reasons mentioned above</w:t>
      </w:r>
    </w:p>
    <w:p w14:paraId="51BB81E4" w14:textId="04E22EF4" w:rsidR="002A0111" w:rsidRPr="00162DE1" w:rsidRDefault="00A3539F" w:rsidP="0082688C">
      <w:pPr>
        <w:snapToGrid w:val="0"/>
        <w:spacing w:after="100" w:line="264" w:lineRule="auto"/>
        <w:jc w:val="both"/>
      </w:pPr>
      <w:r w:rsidRPr="00162DE1">
        <w:lastRenderedPageBreak/>
        <w:t>WP 4C decided that a couple of CG will be held before next WP 4C meeting (</w:t>
      </w:r>
      <w:proofErr w:type="gramStart"/>
      <w:r w:rsidRPr="00162DE1">
        <w:t>May,</w:t>
      </w:r>
      <w:proofErr w:type="gramEnd"/>
      <w:r w:rsidRPr="00162DE1">
        <w:t xml:space="preserve"> 2022) for further study of detailed technical analysis.</w:t>
      </w:r>
    </w:p>
    <w:p w14:paraId="2172E3B1" w14:textId="77777777" w:rsidR="002A0111" w:rsidRPr="00441526" w:rsidRDefault="002A0111" w:rsidP="0097586A">
      <w:pPr>
        <w:snapToGrid w:val="0"/>
        <w:spacing w:after="100" w:line="264" w:lineRule="auto"/>
        <w:jc w:val="both"/>
        <w:rPr>
          <w:lang w:val="en-NZ"/>
        </w:rPr>
      </w:pPr>
    </w:p>
    <w:p w14:paraId="4F95CB4D"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2. </w:t>
      </w:r>
      <w:r w:rsidRPr="00441526">
        <w:rPr>
          <w:b/>
          <w:lang w:val="en-NZ" w:eastAsia="ko-KR"/>
        </w:rPr>
        <w:tab/>
        <w:t>Documents</w:t>
      </w:r>
    </w:p>
    <w:p w14:paraId="6FFA2704" w14:textId="77777777" w:rsidR="00CD52A5" w:rsidRDefault="002A0111" w:rsidP="00D5391E">
      <w:pPr>
        <w:numPr>
          <w:ilvl w:val="0"/>
          <w:numId w:val="18"/>
        </w:numPr>
        <w:snapToGrid w:val="0"/>
        <w:spacing w:after="100" w:line="264" w:lineRule="auto"/>
        <w:ind w:leftChars="145" w:left="708"/>
        <w:jc w:val="both"/>
        <w:rPr>
          <w:lang w:val="en-NZ"/>
        </w:rPr>
      </w:pPr>
      <w:r w:rsidRPr="00CD52A5">
        <w:rPr>
          <w:lang w:val="en-NZ"/>
        </w:rPr>
        <w:t>Input Documents</w:t>
      </w:r>
      <w:r w:rsidR="00281526" w:rsidRPr="00CD52A5">
        <w:rPr>
          <w:lang w:val="en-NZ"/>
        </w:rPr>
        <w:t>:</w:t>
      </w:r>
      <w:r w:rsidRPr="00CD52A5">
        <w:rPr>
          <w:lang w:val="en-NZ"/>
        </w:rPr>
        <w:t xml:space="preserve"> </w:t>
      </w:r>
      <w:r w:rsidR="00CD52A5" w:rsidRPr="00CD52A5">
        <w:rPr>
          <w:lang w:val="en-NZ"/>
        </w:rPr>
        <w:t>APG23-3/INP-10 (AUS), INP-22 (NZL), INP-31 (JPN), INP-54 (VTN)</w:t>
      </w:r>
    </w:p>
    <w:p w14:paraId="1AB6B16B" w14:textId="09E9625F" w:rsidR="002A0111" w:rsidRPr="00CD52A5" w:rsidRDefault="002A0111" w:rsidP="00CD52A5">
      <w:pPr>
        <w:numPr>
          <w:ilvl w:val="0"/>
          <w:numId w:val="18"/>
        </w:numPr>
        <w:snapToGrid w:val="0"/>
        <w:spacing w:after="100" w:line="264" w:lineRule="auto"/>
        <w:ind w:leftChars="145" w:left="709" w:hanging="361"/>
        <w:jc w:val="both"/>
        <w:rPr>
          <w:lang w:val="en-NZ"/>
        </w:rPr>
      </w:pPr>
      <w:r w:rsidRPr="00CD52A5">
        <w:rPr>
          <w:lang w:val="en-NZ"/>
        </w:rPr>
        <w:t>Information Documents</w:t>
      </w:r>
      <w:r w:rsidR="00CD52A5">
        <w:rPr>
          <w:lang w:val="en-NZ"/>
        </w:rPr>
        <w:t>:</w:t>
      </w:r>
      <w:r w:rsidRPr="00CD52A5">
        <w:rPr>
          <w:lang w:val="en-NZ"/>
        </w:rPr>
        <w:t xml:space="preserve"> </w:t>
      </w:r>
      <w:r w:rsidR="00CD52A5" w:rsidRPr="00CD52A5">
        <w:rPr>
          <w:lang w:val="en-NZ"/>
        </w:rPr>
        <w:t>APG23-3/INF-01(WMO), INF-17 (IARU), INF-20 (CEPT</w:t>
      </w:r>
      <w:proofErr w:type="gramStart"/>
      <w:r w:rsidR="00CD52A5" w:rsidRPr="00CD52A5">
        <w:rPr>
          <w:lang w:val="en-NZ"/>
        </w:rPr>
        <w:t xml:space="preserve">),   </w:t>
      </w:r>
      <w:proofErr w:type="gramEnd"/>
      <w:r w:rsidR="00CD52A5" w:rsidRPr="00CD52A5">
        <w:rPr>
          <w:lang w:val="en-NZ"/>
        </w:rPr>
        <w:t xml:space="preserve">          INF-23 (DG Chair)</w:t>
      </w:r>
    </w:p>
    <w:p w14:paraId="6DC10F44" w14:textId="77777777" w:rsidR="00403C3D" w:rsidRPr="00441526" w:rsidRDefault="00403C3D" w:rsidP="00403C3D">
      <w:pPr>
        <w:snapToGrid w:val="0"/>
        <w:spacing w:after="100" w:line="264" w:lineRule="auto"/>
        <w:ind w:left="708"/>
        <w:jc w:val="both"/>
        <w:rPr>
          <w:lang w:val="en-NZ"/>
        </w:rPr>
      </w:pPr>
    </w:p>
    <w:p w14:paraId="227382CA" w14:textId="77777777" w:rsidR="00D267B4" w:rsidRDefault="002A0111" w:rsidP="0097586A">
      <w:pPr>
        <w:snapToGrid w:val="0"/>
        <w:spacing w:after="100" w:line="264" w:lineRule="auto"/>
        <w:rPr>
          <w:b/>
          <w:lang w:val="en-NZ" w:eastAsia="ko-KR"/>
        </w:rPr>
      </w:pPr>
      <w:r w:rsidRPr="00441526">
        <w:rPr>
          <w:b/>
          <w:lang w:val="en-NZ" w:eastAsia="ko-KR"/>
        </w:rPr>
        <w:t xml:space="preserve">3. </w:t>
      </w:r>
      <w:r w:rsidRPr="00441526">
        <w:rPr>
          <w:b/>
          <w:lang w:val="en-NZ" w:eastAsia="ko-KR"/>
        </w:rPr>
        <w:tab/>
        <w:t>Summary of discussions</w:t>
      </w:r>
    </w:p>
    <w:p w14:paraId="446D4631" w14:textId="77777777" w:rsidR="002A0111" w:rsidRPr="0097586A" w:rsidRDefault="002A0111" w:rsidP="0097586A">
      <w:pPr>
        <w:snapToGrid w:val="0"/>
        <w:spacing w:after="100" w:line="264" w:lineRule="auto"/>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F2A923B" w14:textId="2D8C9F4F" w:rsidR="002A0111" w:rsidRPr="00441526" w:rsidRDefault="002A0111" w:rsidP="0097586A">
      <w:pPr>
        <w:snapToGrid w:val="0"/>
        <w:spacing w:after="100" w:line="264" w:lineRule="auto"/>
        <w:jc w:val="both"/>
        <w:rPr>
          <w:b/>
          <w:lang w:val="en-NZ" w:eastAsia="ko-KR"/>
        </w:rPr>
      </w:pPr>
      <w:r w:rsidRPr="00441526">
        <w:rPr>
          <w:b/>
          <w:lang w:val="en-NZ" w:eastAsia="ko-KR"/>
        </w:rPr>
        <w:t xml:space="preserve">3.1.1 </w:t>
      </w:r>
      <w:r w:rsidRPr="00441526">
        <w:rPr>
          <w:b/>
          <w:lang w:val="en-NZ" w:eastAsia="ko-KR"/>
        </w:rPr>
        <w:tab/>
      </w:r>
      <w:r w:rsidR="00CD52A5">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CD52A5">
        <w:rPr>
          <w:b/>
          <w:lang w:val="en-NZ" w:eastAsia="ko-KR"/>
        </w:rPr>
        <w:t>3</w:t>
      </w:r>
      <w:r w:rsidRPr="00441526">
        <w:rPr>
          <w:b/>
          <w:lang w:val="en-NZ" w:eastAsia="ko-KR"/>
        </w:rPr>
        <w:t>/INP-</w:t>
      </w:r>
      <w:r w:rsidR="007D6E5E">
        <w:rPr>
          <w:b/>
          <w:lang w:val="en-NZ" w:eastAsia="ko-KR"/>
        </w:rPr>
        <w:t>1</w:t>
      </w:r>
      <w:r w:rsidR="00CD52A5">
        <w:rPr>
          <w:b/>
          <w:lang w:val="en-NZ" w:eastAsia="ko-KR"/>
        </w:rPr>
        <w:t>0</w:t>
      </w:r>
    </w:p>
    <w:p w14:paraId="06C8617C" w14:textId="77777777" w:rsidR="00CD52A5" w:rsidRPr="00DC7422" w:rsidRDefault="00CD52A5" w:rsidP="006761A2">
      <w:pPr>
        <w:jc w:val="both"/>
        <w:rPr>
          <w:rFonts w:eastAsia="Calibri"/>
          <w:color w:val="000000"/>
          <w:kern w:val="12"/>
          <w:lang w:val="x-none"/>
        </w:rPr>
      </w:pPr>
      <w:r w:rsidRPr="00DC7422">
        <w:rPr>
          <w:rFonts w:eastAsia="Calibri"/>
          <w:color w:val="000000"/>
          <w:kern w:val="12"/>
          <w:lang w:val="x-none"/>
        </w:rPr>
        <w:t>Noting that this is a Region 1 and 2 issues, Australia supports sharing and compatibility studies with existing primary services to determine the suitability of new allocations to the mobile-satellite service (MSS), with a view to protecting the primary services, in the relevant frequency bands and adjacent frequency bands, without causing undue constraints on their further development.</w:t>
      </w:r>
    </w:p>
    <w:p w14:paraId="0A47EE37" w14:textId="77777777" w:rsidR="0097586A" w:rsidRPr="00CD52A5" w:rsidRDefault="0097586A" w:rsidP="0097586A">
      <w:pPr>
        <w:snapToGrid w:val="0"/>
        <w:spacing w:after="100" w:line="264" w:lineRule="auto"/>
        <w:jc w:val="both"/>
        <w:rPr>
          <w:rFonts w:eastAsia="SimSun"/>
          <w:lang w:val="x-none" w:eastAsia="zh-CN"/>
        </w:rPr>
      </w:pPr>
    </w:p>
    <w:p w14:paraId="048A6583" w14:textId="088F52D3" w:rsidR="002A0111" w:rsidRPr="00441526" w:rsidRDefault="002A0111" w:rsidP="0097586A">
      <w:pPr>
        <w:snapToGrid w:val="0"/>
        <w:spacing w:after="100" w:line="264" w:lineRule="auto"/>
        <w:jc w:val="both"/>
        <w:rPr>
          <w:b/>
          <w:lang w:val="en-NZ" w:eastAsia="ko-KR"/>
        </w:rPr>
      </w:pPr>
      <w:r w:rsidRPr="00441526">
        <w:rPr>
          <w:b/>
          <w:lang w:val="en-NZ" w:eastAsia="ko-KR"/>
        </w:rPr>
        <w:t xml:space="preserve">3.1.2 </w:t>
      </w:r>
      <w:r w:rsidRPr="00441526">
        <w:rPr>
          <w:b/>
          <w:lang w:val="en-NZ" w:eastAsia="ko-KR"/>
        </w:rPr>
        <w:tab/>
      </w:r>
      <w:r w:rsidR="00CD52A5">
        <w:rPr>
          <w:b/>
          <w:lang w:val="en-NZ" w:eastAsia="ko-KR"/>
        </w:rPr>
        <w:t>New Zealand</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CD52A5">
        <w:rPr>
          <w:b/>
          <w:lang w:val="en-NZ" w:eastAsia="ko-KR"/>
        </w:rPr>
        <w:t>3</w:t>
      </w:r>
      <w:r w:rsidRPr="00441526">
        <w:rPr>
          <w:b/>
          <w:lang w:val="en-NZ" w:eastAsia="ko-KR"/>
        </w:rPr>
        <w:t>/INP-</w:t>
      </w:r>
      <w:r w:rsidR="007D6E5E">
        <w:rPr>
          <w:b/>
          <w:lang w:val="en-NZ" w:eastAsia="ko-KR"/>
        </w:rPr>
        <w:t>2</w:t>
      </w:r>
      <w:r w:rsidR="00CD52A5">
        <w:rPr>
          <w:b/>
          <w:lang w:val="en-NZ" w:eastAsia="ko-KR"/>
        </w:rPr>
        <w:t>2</w:t>
      </w:r>
    </w:p>
    <w:p w14:paraId="2987A747" w14:textId="77777777" w:rsidR="00CD52A5" w:rsidRDefault="00CD52A5" w:rsidP="00CD52A5">
      <w:pPr>
        <w:jc w:val="both"/>
        <w:rPr>
          <w:rFonts w:cstheme="minorHAnsi"/>
        </w:rPr>
      </w:pPr>
      <w:r>
        <w:rPr>
          <w:rFonts w:cstheme="minorHAnsi"/>
        </w:rPr>
        <w:t xml:space="preserve">New Zealand notes that this is a Region 1 and 2 issue, Region 3 is not in scope. However, any allocation to the mobile satellite service on other Regions should not have an adverse impact on existing services in </w:t>
      </w:r>
      <w:proofErr w:type="gramStart"/>
      <w:r>
        <w:rPr>
          <w:rFonts w:cstheme="minorHAnsi"/>
        </w:rPr>
        <w:t>Region</w:t>
      </w:r>
      <w:proofErr w:type="gramEnd"/>
      <w:r>
        <w:rPr>
          <w:rFonts w:cstheme="minorHAnsi"/>
        </w:rPr>
        <w:t xml:space="preserve"> 3. It is noted that s</w:t>
      </w:r>
      <w:r>
        <w:t xml:space="preserve">ome countries are included in RR No </w:t>
      </w:r>
      <w:r w:rsidRPr="00887917">
        <w:rPr>
          <w:b/>
        </w:rPr>
        <w:t>5.429</w:t>
      </w:r>
      <w:r>
        <w:rPr>
          <w:rFonts w:cstheme="minorHAnsi"/>
        </w:rPr>
        <w:t xml:space="preserve"> as having and additional allocation to the fixed and mobile service for the 3300 – 3400 MHz frequency band.</w:t>
      </w:r>
    </w:p>
    <w:p w14:paraId="5B056794" w14:textId="77777777" w:rsidR="0097586A" w:rsidRPr="0097586A" w:rsidRDefault="0097586A" w:rsidP="0097586A">
      <w:pPr>
        <w:snapToGrid w:val="0"/>
        <w:spacing w:after="100" w:line="264" w:lineRule="auto"/>
        <w:rPr>
          <w:sz w:val="22"/>
          <w:szCs w:val="22"/>
        </w:rPr>
      </w:pPr>
    </w:p>
    <w:p w14:paraId="7963839C" w14:textId="41BCCFA0" w:rsidR="007D6E5E" w:rsidRDefault="002A0111" w:rsidP="0097586A">
      <w:pPr>
        <w:snapToGrid w:val="0"/>
        <w:spacing w:after="100" w:line="264" w:lineRule="auto"/>
        <w:jc w:val="both"/>
        <w:rPr>
          <w:b/>
          <w:lang w:val="en-NZ" w:eastAsia="ko-KR"/>
        </w:rPr>
      </w:pPr>
      <w:r w:rsidRPr="00441526">
        <w:rPr>
          <w:b/>
          <w:lang w:val="en-NZ" w:eastAsia="ko-KR"/>
        </w:rPr>
        <w:t>3.1.</w:t>
      </w:r>
      <w:r w:rsidR="007D6E5E">
        <w:rPr>
          <w:b/>
          <w:lang w:val="en-NZ" w:eastAsia="ko-KR"/>
        </w:rPr>
        <w:t>3</w:t>
      </w:r>
      <w:r w:rsidRPr="00441526">
        <w:rPr>
          <w:b/>
          <w:lang w:val="en-NZ" w:eastAsia="ko-KR"/>
        </w:rPr>
        <w:tab/>
      </w:r>
      <w:r w:rsidR="00CD52A5">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CD52A5">
        <w:rPr>
          <w:b/>
          <w:lang w:val="en-NZ" w:eastAsia="ko-KR"/>
        </w:rPr>
        <w:t>3</w:t>
      </w:r>
      <w:r w:rsidRPr="00441526">
        <w:rPr>
          <w:b/>
          <w:lang w:val="en-NZ" w:eastAsia="ko-KR"/>
        </w:rPr>
        <w:t>/INP-</w:t>
      </w:r>
      <w:r w:rsidR="00CD52A5">
        <w:rPr>
          <w:b/>
          <w:lang w:val="en-NZ" w:eastAsia="ko-KR"/>
        </w:rPr>
        <w:t>31</w:t>
      </w:r>
    </w:p>
    <w:p w14:paraId="1837D0BA" w14:textId="77777777" w:rsidR="00CD52A5" w:rsidRDefault="00CD52A5" w:rsidP="006761A2">
      <w:pPr>
        <w:jc w:val="both"/>
      </w:pPr>
      <w:r>
        <w:t>Japan supports</w:t>
      </w:r>
      <w:r w:rsidRPr="00F939C1">
        <w:t xml:space="preserve"> the studies at ITU-R for ensuring the protection of primary services including the protection for IMT systems deployed in the same and adjacent frequency bands for Region 3, noting that they are Regions 1 &amp; 2 issues. In addition, these existing primary services can continue operations without additional regulatory or technical constraints imposed on these services, in any potential decisions made at WRC-23 regarding agenda item 1.18.</w:t>
      </w:r>
    </w:p>
    <w:p w14:paraId="619ADCD4" w14:textId="77777777" w:rsidR="0097586A" w:rsidRPr="00CD52A5" w:rsidRDefault="0097586A" w:rsidP="0097586A">
      <w:pPr>
        <w:pStyle w:val="ListParagraph1"/>
        <w:snapToGrid w:val="0"/>
        <w:spacing w:after="100" w:line="264" w:lineRule="auto"/>
        <w:ind w:firstLineChars="0" w:firstLine="0"/>
        <w:jc w:val="both"/>
        <w:rPr>
          <w:rFonts w:eastAsia="SimSun"/>
          <w:lang w:eastAsia="zh-CN"/>
        </w:rPr>
      </w:pPr>
    </w:p>
    <w:p w14:paraId="0D168E9B" w14:textId="1C044DFA" w:rsidR="007D6E5E" w:rsidRDefault="007D6E5E" w:rsidP="0097586A">
      <w:pPr>
        <w:snapToGrid w:val="0"/>
        <w:spacing w:after="100" w:line="264" w:lineRule="auto"/>
        <w:jc w:val="both"/>
        <w:rPr>
          <w:b/>
          <w:lang w:val="en-NZ" w:eastAsia="ko-KR"/>
        </w:rPr>
      </w:pPr>
      <w:r w:rsidRPr="00441526">
        <w:rPr>
          <w:b/>
          <w:lang w:val="en-NZ" w:eastAsia="ko-KR"/>
        </w:rPr>
        <w:t>3.1.</w:t>
      </w:r>
      <w:r>
        <w:rPr>
          <w:b/>
          <w:lang w:val="en-NZ" w:eastAsia="ko-KR"/>
        </w:rPr>
        <w:t>4</w:t>
      </w:r>
      <w:r w:rsidRPr="00441526">
        <w:rPr>
          <w:b/>
          <w:lang w:val="en-NZ" w:eastAsia="ko-KR"/>
        </w:rPr>
        <w:tab/>
      </w:r>
      <w:r>
        <w:rPr>
          <w:b/>
          <w:lang w:val="en-NZ" w:eastAsia="ko-KR"/>
        </w:rPr>
        <w:t>Viet Nam</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CD52A5">
        <w:rPr>
          <w:b/>
          <w:lang w:val="en-NZ" w:eastAsia="ko-KR"/>
        </w:rPr>
        <w:t>3</w:t>
      </w:r>
      <w:r w:rsidRPr="00441526">
        <w:rPr>
          <w:b/>
          <w:lang w:val="en-NZ" w:eastAsia="ko-KR"/>
        </w:rPr>
        <w:t>/INP-</w:t>
      </w:r>
      <w:r>
        <w:rPr>
          <w:b/>
          <w:lang w:val="en-NZ" w:eastAsia="ko-KR"/>
        </w:rPr>
        <w:t>5</w:t>
      </w:r>
      <w:r w:rsidR="00CD52A5">
        <w:rPr>
          <w:b/>
          <w:lang w:val="en-NZ" w:eastAsia="ko-KR"/>
        </w:rPr>
        <w:t>4</w:t>
      </w:r>
    </w:p>
    <w:p w14:paraId="135B1E2A" w14:textId="77777777" w:rsidR="00CD52A5" w:rsidRDefault="00CD52A5" w:rsidP="00CD52A5">
      <w:pPr>
        <w:jc w:val="both"/>
        <w:rPr>
          <w:rFonts w:eastAsiaTheme="minorEastAsia"/>
          <w:lang w:val="en-NZ" w:eastAsia="zh-CN"/>
        </w:rPr>
      </w:pPr>
      <w:r>
        <w:rPr>
          <w:lang w:val="en-GB"/>
        </w:rPr>
        <w:t xml:space="preserve">Viet Nam </w:t>
      </w:r>
      <w:r w:rsidRPr="00B63763">
        <w:rPr>
          <w:lang w:val="en-GB"/>
        </w:rPr>
        <w:t xml:space="preserve">supports </w:t>
      </w:r>
      <w:r>
        <w:rPr>
          <w:lang w:val="en-GB"/>
        </w:rPr>
        <w:t xml:space="preserve">ITU-R </w:t>
      </w:r>
      <w:r w:rsidRPr="00B63763">
        <w:rPr>
          <w:lang w:val="en-GB"/>
        </w:rPr>
        <w:t xml:space="preserve">studies </w:t>
      </w:r>
      <w:r w:rsidRPr="00725808">
        <w:rPr>
          <w:lang w:val="en-NZ"/>
        </w:rPr>
        <w:t xml:space="preserve">on spectrum needs, coexistence with </w:t>
      </w:r>
      <w:r>
        <w:rPr>
          <w:lang w:val="en-NZ"/>
        </w:rPr>
        <w:t xml:space="preserve">existing </w:t>
      </w:r>
      <w:r w:rsidRPr="00725808">
        <w:rPr>
          <w:lang w:val="en-NZ"/>
        </w:rPr>
        <w:t xml:space="preserve">radiocommunication services and regulatory measures for possible </w:t>
      </w:r>
      <w:r>
        <w:t xml:space="preserve">new allocation to </w:t>
      </w:r>
      <w:r w:rsidRPr="00EB3276">
        <w:t xml:space="preserve">the mobile-satellite service for future development of narrowband mobile-satellite systems, in accordance with Resolution </w:t>
      </w:r>
      <w:r w:rsidRPr="00EB3276">
        <w:rPr>
          <w:b/>
          <w:bCs/>
        </w:rPr>
        <w:t>248</w:t>
      </w:r>
      <w:r w:rsidRPr="00EB3276">
        <w:t xml:space="preserve"> </w:t>
      </w:r>
      <w:r w:rsidRPr="00EB3276">
        <w:rPr>
          <w:b/>
          <w:bCs/>
        </w:rPr>
        <w:t>(WRC</w:t>
      </w:r>
      <w:r w:rsidRPr="00EB3276">
        <w:rPr>
          <w:b/>
          <w:bCs/>
        </w:rPr>
        <w:noBreakHyphen/>
        <w:t>19)</w:t>
      </w:r>
      <w:r>
        <w:rPr>
          <w:b/>
          <w:bCs/>
          <w:lang w:val="en-NZ"/>
        </w:rPr>
        <w:t xml:space="preserve">, </w:t>
      </w:r>
      <w:r w:rsidRPr="001C5635">
        <w:t xml:space="preserve">while ensuring </w:t>
      </w:r>
      <w:r>
        <w:t xml:space="preserve">no </w:t>
      </w:r>
      <w:r>
        <w:rPr>
          <w:rFonts w:eastAsia="SimSun"/>
          <w:lang w:eastAsia="zh-CN"/>
        </w:rPr>
        <w:t>adverse effect</w:t>
      </w:r>
      <w:r w:rsidRPr="00FC4EE9">
        <w:rPr>
          <w:rFonts w:eastAsia="SimSun"/>
          <w:lang w:eastAsia="zh-CN"/>
        </w:rPr>
        <w:t xml:space="preserve"> on </w:t>
      </w:r>
      <w:r>
        <w:rPr>
          <w:rFonts w:eastAsia="SimSun"/>
          <w:lang w:eastAsia="zh-CN"/>
        </w:rPr>
        <w:t xml:space="preserve">the allocation of </w:t>
      </w:r>
      <w:r w:rsidRPr="00FC4EE9">
        <w:rPr>
          <w:rFonts w:eastAsia="SimSun"/>
          <w:lang w:eastAsia="zh-CN"/>
        </w:rPr>
        <w:t xml:space="preserve">the existing </w:t>
      </w:r>
      <w:r w:rsidRPr="0048419E">
        <w:t>services</w:t>
      </w:r>
      <w:r w:rsidRPr="00FC4EE9">
        <w:rPr>
          <w:rFonts w:eastAsia="SimSun"/>
          <w:lang w:eastAsia="zh-CN"/>
        </w:rPr>
        <w:t xml:space="preserve"> and their future development</w:t>
      </w:r>
      <w:r>
        <w:rPr>
          <w:rFonts w:eastAsia="SimSun"/>
          <w:lang w:eastAsia="zh-CN"/>
        </w:rPr>
        <w:t xml:space="preserve"> in the same and adjacent frequency bands which allocated for </w:t>
      </w:r>
      <w:proofErr w:type="gramStart"/>
      <w:r>
        <w:rPr>
          <w:rFonts w:eastAsia="SimSun"/>
          <w:lang w:eastAsia="zh-CN"/>
        </w:rPr>
        <w:t>Region</w:t>
      </w:r>
      <w:proofErr w:type="gramEnd"/>
      <w:r>
        <w:rPr>
          <w:rFonts w:eastAsia="SimSun"/>
          <w:lang w:eastAsia="zh-CN"/>
        </w:rPr>
        <w:t xml:space="preserve"> 3, in particular the Mobile </w:t>
      </w:r>
      <w:r>
        <w:t xml:space="preserve">service allocated in the same </w:t>
      </w:r>
      <w:r>
        <w:rPr>
          <w:rFonts w:eastAsia="SimSun"/>
          <w:lang w:eastAsia="zh-CN"/>
        </w:rPr>
        <w:t xml:space="preserve">and adjacent </w:t>
      </w:r>
      <w:r>
        <w:t>frequency band.</w:t>
      </w:r>
    </w:p>
    <w:p w14:paraId="2B30F05C" w14:textId="77777777" w:rsidR="0097586A" w:rsidRPr="00CD52A5" w:rsidRDefault="0097586A" w:rsidP="0097586A">
      <w:pPr>
        <w:tabs>
          <w:tab w:val="left" w:pos="600"/>
        </w:tabs>
        <w:snapToGrid w:val="0"/>
        <w:spacing w:after="100" w:line="264" w:lineRule="auto"/>
        <w:rPr>
          <w:lang w:val="en-NZ"/>
        </w:rPr>
      </w:pPr>
    </w:p>
    <w:p w14:paraId="0F81B405" w14:textId="1C7DCB65" w:rsidR="002A0111" w:rsidRPr="007F3A57" w:rsidRDefault="002A0111" w:rsidP="007F3A57">
      <w:pPr>
        <w:pStyle w:val="ListParagraph"/>
        <w:numPr>
          <w:ilvl w:val="1"/>
          <w:numId w:val="26"/>
        </w:numPr>
        <w:snapToGrid w:val="0"/>
        <w:spacing w:after="100" w:line="264" w:lineRule="auto"/>
        <w:jc w:val="both"/>
        <w:rPr>
          <w:b/>
          <w:lang w:val="en-NZ"/>
        </w:rPr>
      </w:pPr>
      <w:r w:rsidRPr="007F3A57">
        <w:rPr>
          <w:b/>
          <w:lang w:val="en-NZ"/>
        </w:rPr>
        <w:tab/>
        <w:t>S</w:t>
      </w:r>
      <w:r w:rsidRPr="007F3A57">
        <w:rPr>
          <w:b/>
          <w:lang w:val="en-NZ" w:eastAsia="ko-KR"/>
        </w:rPr>
        <w:t>ummary of issues raised du</w:t>
      </w:r>
      <w:r w:rsidRPr="007F3A57">
        <w:rPr>
          <w:b/>
          <w:lang w:val="en-NZ"/>
        </w:rPr>
        <w:t>ring the meeting</w:t>
      </w:r>
    </w:p>
    <w:p w14:paraId="29066713" w14:textId="62BEECA9" w:rsidR="002A0111" w:rsidRDefault="007F3A57" w:rsidP="007F3A57">
      <w:pPr>
        <w:spacing w:after="120" w:line="288" w:lineRule="auto"/>
      </w:pPr>
      <w:r>
        <w:lastRenderedPageBreak/>
        <w:t xml:space="preserve">APT members discuss the issue of </w:t>
      </w:r>
      <w:r w:rsidRPr="005D67FC">
        <w:t>interpretation of</w:t>
      </w:r>
      <w:r>
        <w:t xml:space="preserve"> </w:t>
      </w:r>
      <w:r w:rsidRPr="00E84B8D">
        <w:rPr>
          <w:i/>
        </w:rPr>
        <w:t>recognizing c)</w:t>
      </w:r>
      <w:r>
        <w:t xml:space="preserve"> of</w:t>
      </w:r>
      <w:r w:rsidRPr="005D67FC">
        <w:t xml:space="preserve"> </w:t>
      </w:r>
      <w:r w:rsidRPr="00E84B8D">
        <w:t xml:space="preserve">Resolution </w:t>
      </w:r>
      <w:r w:rsidRPr="00A47185">
        <w:rPr>
          <w:b/>
        </w:rPr>
        <w:t>248 (WRC-19)</w:t>
      </w:r>
      <w:r w:rsidRPr="005D67FC">
        <w:t xml:space="preserve"> and whether the </w:t>
      </w:r>
      <w:proofErr w:type="spellStart"/>
      <w:r w:rsidRPr="005D67FC">
        <w:t>e.i.r.p</w:t>
      </w:r>
      <w:proofErr w:type="spellEnd"/>
      <w:r w:rsidRPr="005D67FC">
        <w:t xml:space="preserve">. limits </w:t>
      </w:r>
      <w:r>
        <w:t xml:space="preserve">of 27 </w:t>
      </w:r>
      <w:proofErr w:type="spellStart"/>
      <w:r>
        <w:t>dBW</w:t>
      </w:r>
      <w:proofErr w:type="spellEnd"/>
      <w:r>
        <w:t xml:space="preserve"> </w:t>
      </w:r>
      <w:r w:rsidRPr="005D67FC">
        <w:t>contained in the Resolution apply on a system or</w:t>
      </w:r>
      <w:r>
        <w:t xml:space="preserve"> a</w:t>
      </w:r>
      <w:r w:rsidRPr="005D67FC">
        <w:t xml:space="preserve"> satellite basis</w:t>
      </w:r>
      <w:r>
        <w:t>.</w:t>
      </w:r>
    </w:p>
    <w:p w14:paraId="041CC790" w14:textId="1F95032D" w:rsidR="0082688C" w:rsidRDefault="0082688C" w:rsidP="0082688C">
      <w:pPr>
        <w:spacing w:after="120" w:line="288" w:lineRule="auto"/>
      </w:pPr>
      <w:r w:rsidRPr="0082688C">
        <w:rPr>
          <w:rFonts w:hint="eastAsia"/>
        </w:rPr>
        <w:t>I</w:t>
      </w:r>
      <w:r w:rsidRPr="0082688C">
        <w:t>t is noted that t</w:t>
      </w:r>
      <w:r>
        <w:t>he</w:t>
      </w:r>
      <w:r w:rsidRPr="0082688C">
        <w:t xml:space="preserve"> </w:t>
      </w:r>
      <w:r>
        <w:t>representative NB-MSS system parameters should be developed for sharing studies with incumbent services in the ITU-R.</w:t>
      </w:r>
    </w:p>
    <w:p w14:paraId="18F5C6DD" w14:textId="11D9A27C" w:rsidR="00DF1DF1" w:rsidRPr="00DF1DF1" w:rsidRDefault="00DF1DF1" w:rsidP="0097586A">
      <w:pPr>
        <w:snapToGrid w:val="0"/>
        <w:spacing w:after="100" w:line="264" w:lineRule="auto"/>
        <w:jc w:val="both"/>
        <w:rPr>
          <w:lang w:eastAsia="ko-KR"/>
        </w:rPr>
      </w:pPr>
      <w:r>
        <w:rPr>
          <w:lang w:eastAsia="ko-KR"/>
        </w:rPr>
        <w:t xml:space="preserve">APT </w:t>
      </w:r>
      <w:r w:rsidR="00DF1E56">
        <w:rPr>
          <w:lang w:eastAsia="ko-KR"/>
        </w:rPr>
        <w:t>M</w:t>
      </w:r>
      <w:r>
        <w:rPr>
          <w:lang w:eastAsia="ko-KR"/>
        </w:rPr>
        <w:t xml:space="preserve">embers have a consensus on the protection of allocation of existing services in </w:t>
      </w:r>
      <w:proofErr w:type="gramStart"/>
      <w:r>
        <w:rPr>
          <w:lang w:eastAsia="ko-KR"/>
        </w:rPr>
        <w:t>Region</w:t>
      </w:r>
      <w:proofErr w:type="gramEnd"/>
      <w:r>
        <w:rPr>
          <w:lang w:eastAsia="ko-KR"/>
        </w:rPr>
        <w:t xml:space="preserve"> 3</w:t>
      </w:r>
      <w:r w:rsidR="00DF1E56">
        <w:rPr>
          <w:lang w:eastAsia="ko-KR"/>
        </w:rPr>
        <w:t>.</w:t>
      </w:r>
    </w:p>
    <w:p w14:paraId="3E6ECB37" w14:textId="77777777" w:rsidR="00DF1DF1" w:rsidRPr="0082688C" w:rsidRDefault="00DF1DF1" w:rsidP="0097586A">
      <w:pPr>
        <w:snapToGrid w:val="0"/>
        <w:spacing w:after="100" w:line="264" w:lineRule="auto"/>
        <w:jc w:val="both"/>
        <w:rPr>
          <w:lang w:eastAsia="ko-KR"/>
        </w:rPr>
      </w:pPr>
    </w:p>
    <w:p w14:paraId="71D9A642" w14:textId="32F401A3" w:rsidR="008528BB" w:rsidRPr="00A47185" w:rsidRDefault="002A0111" w:rsidP="00A47185">
      <w:pPr>
        <w:snapToGrid w:val="0"/>
        <w:spacing w:after="100" w:line="264" w:lineRule="auto"/>
        <w:jc w:val="both"/>
        <w:rPr>
          <w:b/>
          <w:lang w:val="en-NZ" w:eastAsia="ko-KR"/>
        </w:rPr>
      </w:pPr>
      <w:r w:rsidRPr="00441526">
        <w:rPr>
          <w:b/>
          <w:lang w:val="en-NZ" w:eastAsia="ko-KR"/>
        </w:rPr>
        <w:t xml:space="preserve">4. </w:t>
      </w:r>
      <w:r w:rsidRPr="00441526">
        <w:rPr>
          <w:b/>
          <w:lang w:val="en-NZ" w:eastAsia="ko-KR"/>
        </w:rPr>
        <w:tab/>
        <w:t>APT Preliminary View(s)</w:t>
      </w:r>
    </w:p>
    <w:p w14:paraId="612A1515" w14:textId="68B91C1B" w:rsidR="008528BB" w:rsidRPr="00A47185" w:rsidRDefault="008528BB" w:rsidP="00A47185">
      <w:pPr>
        <w:snapToGrid w:val="0"/>
        <w:spacing w:after="100" w:line="264" w:lineRule="auto"/>
        <w:jc w:val="both"/>
        <w:rPr>
          <w:rFonts w:eastAsia="SimSun"/>
          <w:lang w:eastAsia="zh-CN"/>
        </w:rPr>
      </w:pPr>
      <w:r w:rsidRPr="00A47185">
        <w:rPr>
          <w:rFonts w:eastAsia="SimSun" w:hint="eastAsia"/>
          <w:lang w:eastAsia="zh-CN"/>
        </w:rPr>
        <w:t>APT Members support sharing and compatibility studies with existing primary services to determine the suitability of new allocations to the mobile-satellite service (MSS), while ensuring no adverse effect on the allocation of the existing services</w:t>
      </w:r>
      <w:r w:rsidR="00A47185">
        <w:rPr>
          <w:rFonts w:eastAsia="SimSun"/>
          <w:lang w:eastAsia="zh-CN"/>
        </w:rPr>
        <w:t xml:space="preserve"> including IMT</w:t>
      </w:r>
      <w:r w:rsidRPr="00A47185">
        <w:rPr>
          <w:rFonts w:eastAsia="SimSun" w:hint="eastAsia"/>
          <w:lang w:eastAsia="zh-CN"/>
        </w:rPr>
        <w:t xml:space="preserve"> and their future development in the same and adjacent frequency bands which allocated for </w:t>
      </w:r>
      <w:proofErr w:type="gramStart"/>
      <w:r w:rsidRPr="00A47185">
        <w:rPr>
          <w:rFonts w:eastAsia="SimSun" w:hint="eastAsia"/>
          <w:lang w:eastAsia="zh-CN"/>
        </w:rPr>
        <w:t>Region</w:t>
      </w:r>
      <w:proofErr w:type="gramEnd"/>
      <w:r w:rsidRPr="00A47185">
        <w:rPr>
          <w:rFonts w:eastAsia="SimSun" w:hint="eastAsia"/>
          <w:lang w:eastAsia="zh-CN"/>
        </w:rPr>
        <w:t xml:space="preserve"> 3</w:t>
      </w:r>
      <w:r w:rsidR="00A47185" w:rsidRPr="00A47185">
        <w:rPr>
          <w:rFonts w:eastAsia="SimSun"/>
          <w:lang w:eastAsia="zh-CN"/>
        </w:rPr>
        <w:t>.</w:t>
      </w:r>
      <w:r w:rsidR="00A47185">
        <w:rPr>
          <w:rFonts w:eastAsia="SimSun"/>
          <w:lang w:eastAsia="zh-CN"/>
        </w:rPr>
        <w:t xml:space="preserve"> </w:t>
      </w:r>
      <w:r w:rsidR="00A47185" w:rsidRPr="00A47185">
        <w:rPr>
          <w:rFonts w:eastAsia="SimSun"/>
          <w:lang w:eastAsia="zh-CN"/>
        </w:rPr>
        <w:t xml:space="preserve">It is noted that </w:t>
      </w:r>
      <w:r w:rsidR="00A47185">
        <w:rPr>
          <w:rFonts w:eastAsia="SimSun"/>
          <w:lang w:eastAsia="zh-CN"/>
        </w:rPr>
        <w:t>some APT members</w:t>
      </w:r>
      <w:r w:rsidR="00A47185" w:rsidRPr="00A47185">
        <w:rPr>
          <w:rFonts w:eastAsia="SimSun"/>
          <w:lang w:eastAsia="zh-CN"/>
        </w:rPr>
        <w:t xml:space="preserve"> are included in RR No </w:t>
      </w:r>
      <w:r w:rsidR="00A47185" w:rsidRPr="00E84B8D">
        <w:rPr>
          <w:rFonts w:eastAsia="SimSun"/>
          <w:b/>
          <w:lang w:eastAsia="zh-CN"/>
        </w:rPr>
        <w:t xml:space="preserve">5.429 </w:t>
      </w:r>
      <w:r w:rsidR="00A47185" w:rsidRPr="00A47185">
        <w:rPr>
          <w:rFonts w:eastAsia="SimSun"/>
          <w:lang w:eastAsia="zh-CN"/>
        </w:rPr>
        <w:t>as having and additional allocation</w:t>
      </w:r>
      <w:r w:rsidR="00A10B93">
        <w:rPr>
          <w:rFonts w:eastAsia="SimSun"/>
          <w:lang w:eastAsia="zh-CN"/>
        </w:rPr>
        <w:t>s</w:t>
      </w:r>
      <w:r w:rsidR="00A47185" w:rsidRPr="00A47185">
        <w:rPr>
          <w:rFonts w:eastAsia="SimSun"/>
          <w:lang w:eastAsia="zh-CN"/>
        </w:rPr>
        <w:t xml:space="preserve"> to the fixed and mobile service for the 3300 – 3400 MHz frequency band.</w:t>
      </w:r>
    </w:p>
    <w:p w14:paraId="0616C79A" w14:textId="497FFB23" w:rsidR="00A47185" w:rsidRPr="00A47185" w:rsidRDefault="00A47185" w:rsidP="00A47185">
      <w:pPr>
        <w:snapToGrid w:val="0"/>
        <w:spacing w:after="100" w:line="264" w:lineRule="auto"/>
        <w:jc w:val="both"/>
        <w:rPr>
          <w:rFonts w:eastAsia="SimSun"/>
          <w:lang w:eastAsia="zh-CN"/>
        </w:rPr>
      </w:pPr>
      <w:r w:rsidRPr="00A47185">
        <w:rPr>
          <w:rFonts w:eastAsia="SimSun" w:hint="eastAsia"/>
          <w:lang w:eastAsia="zh-CN"/>
        </w:rPr>
        <w:t xml:space="preserve">APT </w:t>
      </w:r>
      <w:r>
        <w:rPr>
          <w:rFonts w:eastAsia="SimSun"/>
          <w:lang w:eastAsia="zh-CN"/>
        </w:rPr>
        <w:t xml:space="preserve">Members </w:t>
      </w:r>
      <w:r w:rsidR="0029730E">
        <w:rPr>
          <w:rFonts w:eastAsia="SimSun"/>
          <w:lang w:eastAsia="zh-CN"/>
        </w:rPr>
        <w:t>are</w:t>
      </w:r>
      <w:r w:rsidR="0029730E" w:rsidRPr="00A47185">
        <w:rPr>
          <w:rFonts w:eastAsia="SimSun" w:hint="eastAsia"/>
          <w:lang w:eastAsia="zh-CN"/>
        </w:rPr>
        <w:t xml:space="preserve"> </w:t>
      </w:r>
      <w:r w:rsidR="0029730E">
        <w:rPr>
          <w:rFonts w:eastAsia="SimSun"/>
          <w:lang w:eastAsia="zh-CN"/>
        </w:rPr>
        <w:t>of the</w:t>
      </w:r>
      <w:r w:rsidRPr="00A47185">
        <w:rPr>
          <w:rFonts w:eastAsia="SimSun" w:hint="eastAsia"/>
          <w:lang w:eastAsia="zh-CN"/>
        </w:rPr>
        <w:t xml:space="preserve"> view that any studies to be carried out by ITU-R under the agenda item 1.18 should be limited </w:t>
      </w:r>
      <w:r w:rsidRPr="00A47185">
        <w:rPr>
          <w:rFonts w:eastAsia="SimSun"/>
          <w:lang w:eastAsia="zh-CN"/>
        </w:rPr>
        <w:t xml:space="preserve">only </w:t>
      </w:r>
      <w:r w:rsidRPr="00A47185">
        <w:rPr>
          <w:rFonts w:eastAsia="SimSun" w:hint="eastAsia"/>
          <w:lang w:eastAsia="zh-CN"/>
        </w:rPr>
        <w:t xml:space="preserve">for NB-MSS not a general MSS </w:t>
      </w:r>
      <w:proofErr w:type="gramStart"/>
      <w:r w:rsidRPr="00A47185">
        <w:rPr>
          <w:rFonts w:eastAsia="SimSun" w:hint="eastAsia"/>
          <w:lang w:eastAsia="zh-CN"/>
        </w:rPr>
        <w:t>taking into account</w:t>
      </w:r>
      <w:proofErr w:type="gramEnd"/>
      <w:r w:rsidRPr="00A47185">
        <w:rPr>
          <w:rFonts w:eastAsia="SimSun" w:hint="eastAsia"/>
          <w:lang w:eastAsia="zh-CN"/>
        </w:rPr>
        <w:t xml:space="preserve"> </w:t>
      </w:r>
      <w:r w:rsidRPr="00C44321">
        <w:rPr>
          <w:rFonts w:eastAsia="SimSun" w:hint="eastAsia"/>
          <w:i/>
          <w:lang w:eastAsia="zh-CN"/>
        </w:rPr>
        <w:t>considering a)</w:t>
      </w:r>
      <w:r w:rsidRPr="00A47185">
        <w:rPr>
          <w:rFonts w:eastAsia="SimSun" w:hint="eastAsia"/>
          <w:lang w:eastAsia="zh-CN"/>
        </w:rPr>
        <w:t xml:space="preserve"> and </w:t>
      </w:r>
      <w:r w:rsidRPr="00113DDF">
        <w:rPr>
          <w:rFonts w:eastAsia="SimSun" w:hint="eastAsia"/>
          <w:i/>
          <w:lang w:eastAsia="zh-CN"/>
        </w:rPr>
        <w:t>recognizing c)</w:t>
      </w:r>
      <w:r w:rsidRPr="00A47185">
        <w:rPr>
          <w:rFonts w:eastAsia="SimSun" w:hint="eastAsia"/>
          <w:lang w:eastAsia="zh-CN"/>
        </w:rPr>
        <w:t xml:space="preserve"> described in Resolution </w:t>
      </w:r>
      <w:r w:rsidRPr="00A47185">
        <w:rPr>
          <w:rFonts w:eastAsia="SimSun" w:hint="eastAsia"/>
          <w:b/>
          <w:lang w:eastAsia="zh-CN"/>
        </w:rPr>
        <w:t>248 (WRC-19)</w:t>
      </w:r>
      <w:r w:rsidRPr="00A47185">
        <w:rPr>
          <w:rFonts w:eastAsia="SimSun" w:hint="eastAsia"/>
          <w:lang w:eastAsia="zh-CN"/>
        </w:rPr>
        <w:t>.</w:t>
      </w:r>
    </w:p>
    <w:p w14:paraId="3BA8C232" w14:textId="6EB6F151" w:rsidR="00D267B4" w:rsidRPr="00441526" w:rsidRDefault="00D267B4" w:rsidP="0097586A">
      <w:pPr>
        <w:snapToGrid w:val="0"/>
        <w:spacing w:after="100" w:line="264" w:lineRule="auto"/>
        <w:rPr>
          <w:lang w:val="en-NZ"/>
        </w:rPr>
      </w:pPr>
    </w:p>
    <w:p w14:paraId="542ED91F"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44C55C0" w14:textId="46A4DD40" w:rsidR="002A0111" w:rsidRDefault="00D267B4" w:rsidP="0097586A">
      <w:pPr>
        <w:snapToGrid w:val="0"/>
        <w:spacing w:after="100" w:line="264" w:lineRule="auto"/>
        <w:jc w:val="both"/>
        <w:rPr>
          <w:lang w:val="en-NZ"/>
        </w:rPr>
      </w:pPr>
      <w:r w:rsidRPr="0097586A">
        <w:rPr>
          <w:lang w:val="en-NZ"/>
        </w:rPr>
        <w:t>None</w:t>
      </w:r>
    </w:p>
    <w:p w14:paraId="0886D436" w14:textId="77777777" w:rsidR="007F3A57" w:rsidRPr="0097586A" w:rsidRDefault="007F3A57" w:rsidP="0097586A">
      <w:pPr>
        <w:snapToGrid w:val="0"/>
        <w:spacing w:after="100" w:line="264" w:lineRule="auto"/>
        <w:jc w:val="both"/>
        <w:rPr>
          <w:lang w:val="en-NZ"/>
        </w:rPr>
      </w:pPr>
    </w:p>
    <w:p w14:paraId="1F827846" w14:textId="77777777" w:rsidR="002A0111" w:rsidRPr="00441526" w:rsidRDefault="002A0111" w:rsidP="0097586A">
      <w:pPr>
        <w:snapToGrid w:val="0"/>
        <w:spacing w:after="100" w:line="264" w:lineRule="auto"/>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6B4CE0E1" w14:textId="28D80CC4" w:rsidR="0097586A" w:rsidRPr="00805CAC" w:rsidRDefault="0097586A" w:rsidP="0097586A">
      <w:pPr>
        <w:snapToGrid w:val="0"/>
        <w:spacing w:after="100" w:line="264" w:lineRule="auto"/>
        <w:jc w:val="both"/>
        <w:rPr>
          <w:rFonts w:eastAsia="SimSun"/>
          <w:lang w:eastAsia="zh-CN"/>
        </w:rPr>
      </w:pPr>
      <w:r w:rsidRPr="00805CAC">
        <w:rPr>
          <w:rFonts w:eastAsia="SimSun" w:hint="eastAsia"/>
          <w:lang w:eastAsia="zh-CN"/>
        </w:rPr>
        <w:t>C</w:t>
      </w:r>
      <w:r w:rsidRPr="00805CAC">
        <w:rPr>
          <w:rFonts w:eastAsia="SimSun"/>
          <w:lang w:eastAsia="zh-CN"/>
        </w:rPr>
        <w:t xml:space="preserve">onsideration of the </w:t>
      </w:r>
      <w:r w:rsidR="002C0684" w:rsidRPr="00805CAC">
        <w:rPr>
          <w:rFonts w:eastAsia="SimSun"/>
          <w:lang w:eastAsia="zh-CN"/>
        </w:rPr>
        <w:t>frequency sharing and</w:t>
      </w:r>
      <w:r w:rsidR="00713530">
        <w:rPr>
          <w:rFonts w:eastAsia="SimSun"/>
          <w:lang w:eastAsia="zh-CN"/>
        </w:rPr>
        <w:t xml:space="preserve"> compatibility studies as well as</w:t>
      </w:r>
      <w:r w:rsidR="002C0684" w:rsidRPr="00805CAC">
        <w:rPr>
          <w:rFonts w:eastAsia="SimSun"/>
          <w:lang w:eastAsia="zh-CN"/>
        </w:rPr>
        <w:t xml:space="preserve"> </w:t>
      </w:r>
      <w:r w:rsidRPr="00805CAC">
        <w:rPr>
          <w:rFonts w:eastAsia="SimSun"/>
          <w:lang w:eastAsia="zh-CN"/>
        </w:rPr>
        <w:t xml:space="preserve">measures to protect existing primary services allocated in </w:t>
      </w:r>
      <w:r w:rsidR="00713530">
        <w:rPr>
          <w:rFonts w:eastAsia="SimSun"/>
          <w:lang w:eastAsia="zh-CN"/>
        </w:rPr>
        <w:t xml:space="preserve">same and adjacent </w:t>
      </w:r>
      <w:r w:rsidRPr="00805CAC">
        <w:rPr>
          <w:rFonts w:eastAsia="SimSun"/>
          <w:lang w:eastAsia="zh-CN"/>
        </w:rPr>
        <w:t xml:space="preserve">frequency bands </w:t>
      </w:r>
      <w:r w:rsidR="00713530">
        <w:rPr>
          <w:rFonts w:eastAsia="SimSun"/>
          <w:lang w:eastAsia="zh-CN"/>
        </w:rPr>
        <w:t>which being considered under agenda item 1.18.</w:t>
      </w:r>
    </w:p>
    <w:p w14:paraId="5E6E9A29" w14:textId="2FB22022" w:rsidR="00E84B8D" w:rsidRPr="00805CAC" w:rsidRDefault="00E84B8D" w:rsidP="0097586A">
      <w:pPr>
        <w:snapToGrid w:val="0"/>
        <w:spacing w:after="100" w:line="264" w:lineRule="auto"/>
        <w:jc w:val="both"/>
        <w:rPr>
          <w:rFonts w:eastAsia="SimSun"/>
          <w:lang w:eastAsia="zh-CN"/>
        </w:rPr>
      </w:pPr>
      <w:r w:rsidRPr="00805CAC">
        <w:rPr>
          <w:rFonts w:eastAsia="SimSun" w:hint="eastAsia"/>
          <w:lang w:eastAsia="zh-CN"/>
        </w:rPr>
        <w:t>A</w:t>
      </w:r>
      <w:r w:rsidRPr="00805CAC">
        <w:rPr>
          <w:rFonts w:eastAsia="SimSun"/>
          <w:lang w:eastAsia="zh-CN"/>
        </w:rPr>
        <w:t>PT Members are encouraged to participate the discussion of this agenda item in the ITU-R WP 4C meeting.</w:t>
      </w:r>
    </w:p>
    <w:p w14:paraId="7F5C1491" w14:textId="77777777" w:rsidR="002A0111" w:rsidRPr="00441526" w:rsidRDefault="002A0111" w:rsidP="0097586A">
      <w:pPr>
        <w:snapToGrid w:val="0"/>
        <w:spacing w:after="100" w:line="264" w:lineRule="auto"/>
        <w:jc w:val="both"/>
        <w:rPr>
          <w:lang w:val="en-NZ"/>
        </w:rPr>
      </w:pPr>
    </w:p>
    <w:p w14:paraId="0A8DF032" w14:textId="6ABBDC07" w:rsidR="002A0111" w:rsidRPr="006F518F" w:rsidRDefault="002A0111" w:rsidP="0097586A">
      <w:pPr>
        <w:snapToGrid w:val="0"/>
        <w:spacing w:after="100" w:line="264" w:lineRule="auto"/>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p>
    <w:p w14:paraId="024468D6"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157695D6" w14:textId="28FA123C" w:rsidR="006016B6" w:rsidRPr="006016B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8E7842">
        <w:rPr>
          <w:b/>
          <w:lang w:val="en-NZ" w:eastAsia="ko-KR"/>
        </w:rPr>
        <w:t>3</w:t>
      </w:r>
      <w:r w:rsidR="002A0111" w:rsidRPr="00441526">
        <w:rPr>
          <w:b/>
          <w:lang w:val="en-NZ" w:eastAsia="ko-KR"/>
        </w:rPr>
        <w:t>/INF-</w:t>
      </w:r>
      <w:r w:rsidR="008E7842">
        <w:rPr>
          <w:b/>
          <w:lang w:val="en-NZ" w:eastAsia="ko-KR"/>
        </w:rPr>
        <w:t>37</w:t>
      </w:r>
    </w:p>
    <w:p w14:paraId="01D426FD" w14:textId="77777777" w:rsidR="008E7842" w:rsidRDefault="008E7842" w:rsidP="0011505D">
      <w:pPr>
        <w:numPr>
          <w:ilvl w:val="0"/>
          <w:numId w:val="18"/>
        </w:numPr>
        <w:snapToGrid w:val="0"/>
        <w:spacing w:after="100" w:line="264" w:lineRule="auto"/>
        <w:ind w:leftChars="145" w:left="708"/>
        <w:jc w:val="both"/>
        <w:rPr>
          <w:lang w:val="en-NZ"/>
        </w:rPr>
      </w:pPr>
      <w:r w:rsidRPr="008E7842">
        <w:rPr>
          <w:lang w:val="en-NZ"/>
        </w:rPr>
        <w:t xml:space="preserve">The studies should ensure the protection for all ensure the protection of all existing and future services in these frequency bands and adjacent band defined in the resolution (248) </w:t>
      </w:r>
      <w:proofErr w:type="gramStart"/>
      <w:r w:rsidRPr="008E7842">
        <w:rPr>
          <w:lang w:val="en-NZ"/>
        </w:rPr>
        <w:t>( WRC</w:t>
      </w:r>
      <w:proofErr w:type="gramEnd"/>
      <w:r w:rsidRPr="008E7842">
        <w:rPr>
          <w:lang w:val="en-NZ"/>
        </w:rPr>
        <w:t>-19) from MSS, especially the frequency band ( 2010 -2025) MHz in Region 1 that identified for IMT.</w:t>
      </w:r>
    </w:p>
    <w:p w14:paraId="50EC7FF2" w14:textId="77777777" w:rsidR="008E7842" w:rsidRDefault="008E7842" w:rsidP="0011505D">
      <w:pPr>
        <w:numPr>
          <w:ilvl w:val="0"/>
          <w:numId w:val="18"/>
        </w:numPr>
        <w:snapToGrid w:val="0"/>
        <w:spacing w:after="100" w:line="264" w:lineRule="auto"/>
        <w:ind w:leftChars="145" w:left="708"/>
        <w:jc w:val="both"/>
        <w:rPr>
          <w:lang w:val="en-NZ"/>
        </w:rPr>
      </w:pPr>
      <w:r w:rsidRPr="008E7842">
        <w:rPr>
          <w:lang w:val="en-NZ"/>
        </w:rPr>
        <w:t xml:space="preserve">To ensure that the studies shall not impose any restrictions on all existing and future services in these frequency bands and adjacent band defined in the resolution (248) </w:t>
      </w:r>
      <w:proofErr w:type="gramStart"/>
      <w:r w:rsidRPr="008E7842">
        <w:rPr>
          <w:lang w:val="en-NZ"/>
        </w:rPr>
        <w:t>( WRC</w:t>
      </w:r>
      <w:proofErr w:type="gramEnd"/>
      <w:r w:rsidRPr="008E7842">
        <w:rPr>
          <w:lang w:val="en-NZ"/>
        </w:rPr>
        <w:t xml:space="preserve">-19). </w:t>
      </w:r>
    </w:p>
    <w:p w14:paraId="355D23C2" w14:textId="77777777" w:rsidR="008E7842" w:rsidRDefault="008E7842" w:rsidP="0011505D">
      <w:pPr>
        <w:numPr>
          <w:ilvl w:val="0"/>
          <w:numId w:val="18"/>
        </w:numPr>
        <w:snapToGrid w:val="0"/>
        <w:spacing w:after="100" w:line="264" w:lineRule="auto"/>
        <w:ind w:leftChars="145" w:left="708"/>
        <w:jc w:val="both"/>
        <w:rPr>
          <w:lang w:val="en-NZ"/>
        </w:rPr>
      </w:pPr>
      <w:r w:rsidRPr="008E7842">
        <w:rPr>
          <w:lang w:val="en-NZ"/>
        </w:rPr>
        <w:lastRenderedPageBreak/>
        <w:t xml:space="preserve">Follow-up the </w:t>
      </w:r>
      <w:proofErr w:type="spellStart"/>
      <w:r w:rsidRPr="008E7842">
        <w:rPr>
          <w:lang w:val="en-NZ"/>
        </w:rPr>
        <w:t>the</w:t>
      </w:r>
      <w:proofErr w:type="spellEnd"/>
      <w:r w:rsidRPr="008E7842">
        <w:rPr>
          <w:lang w:val="en-NZ"/>
        </w:rPr>
        <w:t xml:space="preserve"> coexistence and compatibility studies with all services within the frequency bands under this agenda in </w:t>
      </w:r>
      <w:proofErr w:type="gramStart"/>
      <w:r w:rsidRPr="008E7842">
        <w:rPr>
          <w:lang w:val="en-NZ"/>
        </w:rPr>
        <w:t>in order to</w:t>
      </w:r>
      <w:proofErr w:type="gramEnd"/>
      <w:r w:rsidRPr="008E7842">
        <w:rPr>
          <w:lang w:val="en-NZ"/>
        </w:rPr>
        <w:t xml:space="preserve"> determine the required frequency band BW. </w:t>
      </w:r>
    </w:p>
    <w:p w14:paraId="63B43D4F" w14:textId="30E54BD9" w:rsidR="005206E9" w:rsidRDefault="008E7842" w:rsidP="0011505D">
      <w:pPr>
        <w:numPr>
          <w:ilvl w:val="0"/>
          <w:numId w:val="18"/>
        </w:numPr>
        <w:snapToGrid w:val="0"/>
        <w:spacing w:after="100" w:line="264" w:lineRule="auto"/>
        <w:ind w:leftChars="145" w:left="708"/>
        <w:jc w:val="both"/>
        <w:rPr>
          <w:lang w:val="en-NZ"/>
        </w:rPr>
      </w:pPr>
      <w:r w:rsidRPr="008E7842">
        <w:rPr>
          <w:lang w:val="en-NZ"/>
        </w:rPr>
        <w:t xml:space="preserve">Follow-up the </w:t>
      </w:r>
      <w:proofErr w:type="spellStart"/>
      <w:r w:rsidRPr="008E7842">
        <w:rPr>
          <w:lang w:val="en-NZ"/>
        </w:rPr>
        <w:t>the</w:t>
      </w:r>
      <w:proofErr w:type="spellEnd"/>
      <w:r w:rsidRPr="008E7842">
        <w:rPr>
          <w:lang w:val="en-NZ"/>
        </w:rPr>
        <w:t xml:space="preserve"> coexistence and compatibility studies with all services within the frequency bands under this agenda </w:t>
      </w:r>
      <w:proofErr w:type="gramStart"/>
      <w:r w:rsidRPr="008E7842">
        <w:rPr>
          <w:lang w:val="en-NZ"/>
        </w:rPr>
        <w:t>in order to</w:t>
      </w:r>
      <w:proofErr w:type="gramEnd"/>
      <w:r w:rsidRPr="008E7842">
        <w:rPr>
          <w:lang w:val="en-NZ"/>
        </w:rPr>
        <w:t xml:space="preserve"> define the use of this service as primary or secondary.</w:t>
      </w:r>
    </w:p>
    <w:p w14:paraId="627A7C70" w14:textId="3DB509E7" w:rsidR="00E86D66" w:rsidRPr="00E86D66" w:rsidRDefault="00E86D66" w:rsidP="00E86D66">
      <w:pPr>
        <w:snapToGrid w:val="0"/>
        <w:spacing w:after="100" w:line="264" w:lineRule="auto"/>
        <w:ind w:left="-80"/>
        <w:jc w:val="both"/>
        <w:rPr>
          <w:b/>
          <w:lang w:val="en-NZ" w:eastAsia="ko-KR"/>
        </w:rPr>
      </w:pPr>
      <w:r w:rsidRPr="00E86D66">
        <w:rPr>
          <w:b/>
          <w:lang w:val="en-NZ" w:eastAsia="ko-KR"/>
        </w:rPr>
        <w:t>7.1.</w:t>
      </w:r>
      <w:r>
        <w:rPr>
          <w:b/>
          <w:lang w:val="en-NZ" w:eastAsia="ko-KR"/>
        </w:rPr>
        <w:t>2</w:t>
      </w:r>
      <w:r w:rsidRPr="00E86D66">
        <w:rPr>
          <w:b/>
          <w:lang w:val="en-NZ" w:eastAsia="ko-KR"/>
        </w:rPr>
        <w:t xml:space="preserve"> </w:t>
      </w:r>
      <w:r w:rsidRPr="00E86D66">
        <w:rPr>
          <w:b/>
          <w:lang w:val="en-NZ" w:eastAsia="ko-KR"/>
        </w:rPr>
        <w:tab/>
        <w:t>A</w:t>
      </w:r>
      <w:r>
        <w:rPr>
          <w:b/>
          <w:lang w:val="en-NZ" w:eastAsia="ko-KR"/>
        </w:rPr>
        <w:t>TU</w:t>
      </w:r>
      <w:r w:rsidRPr="00441526">
        <w:t xml:space="preserve"> - </w:t>
      </w:r>
      <w:r w:rsidRPr="00E86D66">
        <w:rPr>
          <w:b/>
          <w:lang w:val="en-NZ" w:eastAsia="ko-KR"/>
        </w:rPr>
        <w:t>Document APG23-3/INF-3</w:t>
      </w:r>
      <w:r>
        <w:rPr>
          <w:b/>
          <w:lang w:val="en-NZ" w:eastAsia="ko-KR"/>
        </w:rPr>
        <w:t>9</w:t>
      </w:r>
    </w:p>
    <w:p w14:paraId="1075F435" w14:textId="77777777" w:rsidR="00E86D66" w:rsidRPr="00E86D66" w:rsidRDefault="00E86D66" w:rsidP="0011505D">
      <w:pPr>
        <w:numPr>
          <w:ilvl w:val="0"/>
          <w:numId w:val="18"/>
        </w:numPr>
        <w:snapToGrid w:val="0"/>
        <w:spacing w:after="100" w:line="264" w:lineRule="auto"/>
        <w:ind w:leftChars="145" w:left="708"/>
        <w:jc w:val="both"/>
        <w:rPr>
          <w:lang w:val="en-NZ"/>
        </w:rPr>
      </w:pPr>
      <w:r w:rsidRPr="00E86D66">
        <w:rPr>
          <w:lang w:val="en-NZ"/>
        </w:rPr>
        <w:t>Support the ongoing studies at ITU-R on this agenda item with the view of ensuring the protection of primary services allocated in the frequency bands 1 695-1 710 MHz in R2, 2 010-2 025 MHz in R1, 3 300-3 315 MHz and 3 385-3 400 MHz in R2 especially the protection for IMT systems deployed or that may be deployed in the same and adjacent frequency band 2 010-2 025 MHz in R1 and to not adversely affecting the current use and future development of existing primary services in these frequency bands and adjacent frequency bands.</w:t>
      </w:r>
    </w:p>
    <w:p w14:paraId="200F928D" w14:textId="77777777" w:rsidR="00E86D66" w:rsidRPr="00E86D66" w:rsidRDefault="00E86D66" w:rsidP="00E86D66">
      <w:pPr>
        <w:snapToGrid w:val="0"/>
        <w:spacing w:after="100" w:line="264" w:lineRule="auto"/>
        <w:rPr>
          <w:lang w:val="en-GB"/>
        </w:rPr>
      </w:pPr>
    </w:p>
    <w:p w14:paraId="14A0E8CA" w14:textId="5AFD5793"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.1.</w:t>
      </w:r>
      <w:r w:rsidR="00E86D66">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6016B6">
        <w:rPr>
          <w:b/>
          <w:lang w:val="en-NZ" w:eastAsia="ko-KR"/>
        </w:rPr>
        <w:t>35</w:t>
      </w:r>
    </w:p>
    <w:p w14:paraId="4D2B3624" w14:textId="77777777" w:rsidR="008E7842" w:rsidRDefault="008E7842" w:rsidP="0011505D">
      <w:pPr>
        <w:numPr>
          <w:ilvl w:val="0"/>
          <w:numId w:val="18"/>
        </w:numPr>
        <w:snapToGrid w:val="0"/>
        <w:spacing w:after="100" w:line="264" w:lineRule="auto"/>
        <w:ind w:leftChars="145" w:left="708"/>
        <w:jc w:val="both"/>
      </w:pPr>
      <w:r w:rsidRPr="008E7842">
        <w:t xml:space="preserve">CEPT is of the view that the spectrum needs of low data‐rate satellite applications currently presented in the preparatory work could be satisfied through possible new primary or secondary allocations to MSS within the bands considered in the framework of Resolution </w:t>
      </w:r>
      <w:r w:rsidRPr="00E86D66">
        <w:rPr>
          <w:b/>
        </w:rPr>
        <w:t>248 (WRC‐19)</w:t>
      </w:r>
      <w:r w:rsidRPr="008E7842">
        <w:t>.</w:t>
      </w:r>
    </w:p>
    <w:p w14:paraId="6CBD4E67" w14:textId="77777777" w:rsidR="00E86D66" w:rsidRDefault="008E7842" w:rsidP="0011505D">
      <w:pPr>
        <w:numPr>
          <w:ilvl w:val="0"/>
          <w:numId w:val="18"/>
        </w:numPr>
        <w:snapToGrid w:val="0"/>
        <w:spacing w:after="100" w:line="264" w:lineRule="auto"/>
        <w:ind w:leftChars="145" w:left="708"/>
        <w:jc w:val="both"/>
      </w:pPr>
      <w:r w:rsidRPr="008E7842">
        <w:t>CEPT is however of the view that before proceeding with any new allocations to MSS in these bands, in‐</w:t>
      </w:r>
      <w:proofErr w:type="gramStart"/>
      <w:r w:rsidRPr="008E7842">
        <w:t>band</w:t>
      </w:r>
      <w:proofErr w:type="gramEnd"/>
      <w:r w:rsidRPr="008E7842">
        <w:t xml:space="preserve"> and adjacent band coexistence of low date‐rate satellite applications with systems operated under existing allocations has to be demonstrated through sharing and compatibility studies, also considering to not causing undue constraints on their further development. </w:t>
      </w:r>
    </w:p>
    <w:p w14:paraId="71AAD8E8" w14:textId="210AF9B9" w:rsidR="002A0111" w:rsidRDefault="008E7842" w:rsidP="0011505D">
      <w:pPr>
        <w:numPr>
          <w:ilvl w:val="0"/>
          <w:numId w:val="18"/>
        </w:numPr>
        <w:snapToGrid w:val="0"/>
        <w:spacing w:after="100" w:line="264" w:lineRule="auto"/>
        <w:ind w:leftChars="145" w:left="708"/>
        <w:jc w:val="both"/>
      </w:pPr>
      <w:r w:rsidRPr="008E7842">
        <w:t xml:space="preserve">CEPT is of the view that </w:t>
      </w:r>
      <w:proofErr w:type="spellStart"/>
      <w:r w:rsidRPr="008E7842">
        <w:t>e.i.r.p</w:t>
      </w:r>
      <w:proofErr w:type="spellEnd"/>
      <w:r w:rsidRPr="008E7842">
        <w:t xml:space="preserve">. limits referred to in recognizing c) of Resolution 248 (WRC‐19) are applicable on a per satellite basis. CEPT is also of the view that applicable power limits to ensure the protection of incumbent services should be concluded from sharing and compatibility studies in accordance with Resolution </w:t>
      </w:r>
      <w:r w:rsidRPr="00E86D66">
        <w:rPr>
          <w:b/>
        </w:rPr>
        <w:t>248 (WRC‐19)</w:t>
      </w:r>
      <w:r w:rsidRPr="008E7842">
        <w:t>.</w:t>
      </w:r>
    </w:p>
    <w:p w14:paraId="3D1AE55B" w14:textId="77777777" w:rsidR="00E86D66" w:rsidRPr="008E7842" w:rsidRDefault="00E86D66" w:rsidP="00E86D66">
      <w:pPr>
        <w:snapToGrid w:val="0"/>
        <w:spacing w:after="100" w:line="264" w:lineRule="auto"/>
        <w:ind w:left="708"/>
      </w:pPr>
    </w:p>
    <w:p w14:paraId="42504194" w14:textId="0A9F01EB"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.1</w:t>
      </w:r>
      <w:r w:rsidR="0097586A">
        <w:rPr>
          <w:b/>
          <w:lang w:val="en-NZ" w:eastAsia="ko-KR"/>
        </w:rPr>
        <w:t>.</w:t>
      </w:r>
      <w:r w:rsidR="00E86D66">
        <w:rPr>
          <w:b/>
          <w:lang w:val="en-NZ" w:eastAsia="ko-KR"/>
        </w:rPr>
        <w:t>4</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6016B6">
        <w:rPr>
          <w:b/>
          <w:lang w:val="en-NZ" w:eastAsia="ko-KR"/>
        </w:rPr>
        <w:t>34</w:t>
      </w:r>
    </w:p>
    <w:p w14:paraId="1BF0AA01" w14:textId="77777777" w:rsidR="006F21A4" w:rsidRPr="006016B6" w:rsidRDefault="00964951" w:rsidP="0011505D">
      <w:pPr>
        <w:numPr>
          <w:ilvl w:val="0"/>
          <w:numId w:val="18"/>
        </w:numPr>
        <w:snapToGrid w:val="0"/>
        <w:spacing w:after="100" w:line="264" w:lineRule="auto"/>
        <w:ind w:leftChars="145" w:left="708"/>
        <w:jc w:val="both"/>
      </w:pPr>
      <w:r w:rsidRPr="006016B6">
        <w:t>An administration supports studies to consider appropriate regulatory measures for the allocation of additional MSS spectrum in the following frequency bands or portions thereof:  1 695 - 1 710 MHz, 3 300 - 3 315 MHz, 3 385 - 3 400 MHz in Region 2, while providing protection to primary incumbent services in these frequency ranges and in adjacent frequency bands.</w:t>
      </w:r>
    </w:p>
    <w:p w14:paraId="7AB696AA" w14:textId="77777777" w:rsidR="006F21A4" w:rsidRPr="006016B6" w:rsidRDefault="00964951" w:rsidP="0011505D">
      <w:pPr>
        <w:numPr>
          <w:ilvl w:val="0"/>
          <w:numId w:val="18"/>
        </w:numPr>
        <w:tabs>
          <w:tab w:val="num" w:pos="720"/>
        </w:tabs>
        <w:snapToGrid w:val="0"/>
        <w:spacing w:after="100" w:line="264" w:lineRule="auto"/>
        <w:ind w:leftChars="145" w:left="708"/>
        <w:jc w:val="both"/>
      </w:pPr>
      <w:r w:rsidRPr="006016B6">
        <w:t>An administration supports conducting studies to consider appropriate regulatory measures, if applicable, for the allocation of additional spectrum in the MSS in the frequency bands under consideration, while ensuring the protection of existing primary services in these frequency bands and adjacent frequency bands.</w:t>
      </w:r>
    </w:p>
    <w:p w14:paraId="49BF01B3" w14:textId="77777777" w:rsidR="006F21A4" w:rsidRPr="006016B6" w:rsidRDefault="00964951" w:rsidP="0011505D">
      <w:pPr>
        <w:numPr>
          <w:ilvl w:val="0"/>
          <w:numId w:val="18"/>
        </w:numPr>
        <w:tabs>
          <w:tab w:val="num" w:pos="720"/>
        </w:tabs>
        <w:snapToGrid w:val="0"/>
        <w:spacing w:after="100" w:line="264" w:lineRule="auto"/>
        <w:ind w:leftChars="145" w:left="708"/>
        <w:jc w:val="both"/>
      </w:pPr>
      <w:r w:rsidRPr="006016B6">
        <w:lastRenderedPageBreak/>
        <w:t>An administration supports the sharing and compatibility studies to determine the suitability of new primary or secondary allocations for NGSO MSS in the frequency bands, or portions thereof, 1695 – 1710 MHz, 3 300 - 3 315 MHz, and 3 385 - 3 400 MHz in Region 2, as well as 2 010 - 2 025 MHz in Region 1, taking into account the need to ensure protection and to not impose any additional constraints on the current use and future development of existing primary services in these frequency ranges and adjacent frequency bands.</w:t>
      </w:r>
    </w:p>
    <w:p w14:paraId="3FB1194D" w14:textId="77777777" w:rsidR="002A0111" w:rsidRDefault="002A0111" w:rsidP="0097586A">
      <w:pPr>
        <w:snapToGrid w:val="0"/>
        <w:spacing w:after="100" w:line="264" w:lineRule="auto"/>
        <w:jc w:val="both"/>
        <w:rPr>
          <w:b/>
          <w:lang w:val="en-NZ" w:eastAsia="ko-KR"/>
        </w:rPr>
      </w:pPr>
    </w:p>
    <w:p w14:paraId="082480AF" w14:textId="12FFD4D5"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.1.</w:t>
      </w:r>
      <w:r w:rsidR="00E86D66">
        <w:rPr>
          <w:b/>
          <w:lang w:val="en-NZ" w:eastAsia="ko-KR"/>
        </w:rPr>
        <w:t>5</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97586A">
        <w:rPr>
          <w:b/>
          <w:lang w:val="en-NZ" w:eastAsia="ko-KR"/>
        </w:rPr>
        <w:t>36</w:t>
      </w:r>
    </w:p>
    <w:p w14:paraId="7B6967A7" w14:textId="77777777" w:rsidR="002A0111" w:rsidRPr="00441526" w:rsidRDefault="006016B6" w:rsidP="0011505D">
      <w:pPr>
        <w:numPr>
          <w:ilvl w:val="0"/>
          <w:numId w:val="18"/>
        </w:numPr>
        <w:snapToGrid w:val="0"/>
        <w:spacing w:after="100" w:line="264" w:lineRule="auto"/>
        <w:ind w:leftChars="145" w:left="708"/>
        <w:jc w:val="both"/>
        <w:rPr>
          <w:lang w:val="en-NZ"/>
        </w:rPr>
      </w:pPr>
      <w:r w:rsidRPr="006016B6">
        <w:t>The</w:t>
      </w:r>
      <w:r>
        <w:t xml:space="preserve"> </w:t>
      </w:r>
      <w:r w:rsidRPr="006016B6">
        <w:t>RCC</w:t>
      </w:r>
      <w:r>
        <w:t xml:space="preserve"> </w:t>
      </w:r>
      <w:r w:rsidRPr="006016B6">
        <w:t>Administrations</w:t>
      </w:r>
      <w:r>
        <w:t xml:space="preserve"> </w:t>
      </w:r>
      <w:r w:rsidRPr="006016B6">
        <w:t>consider</w:t>
      </w:r>
      <w:r>
        <w:t xml:space="preserve"> </w:t>
      </w:r>
      <w:r w:rsidRPr="006016B6">
        <w:t>that</w:t>
      </w:r>
      <w:r>
        <w:t xml:space="preserve"> </w:t>
      </w:r>
      <w:r w:rsidRPr="006016B6">
        <w:t>additional</w:t>
      </w:r>
      <w:r>
        <w:t xml:space="preserve"> </w:t>
      </w:r>
      <w:r w:rsidRPr="006016B6">
        <w:t>MSS</w:t>
      </w:r>
      <w:r>
        <w:t xml:space="preserve"> </w:t>
      </w:r>
      <w:r w:rsidRPr="006016B6">
        <w:t>allocation</w:t>
      </w:r>
      <w:r>
        <w:t xml:space="preserve"> </w:t>
      </w:r>
      <w:r w:rsidRPr="006016B6">
        <w:t>is</w:t>
      </w:r>
      <w:r>
        <w:t xml:space="preserve"> </w:t>
      </w:r>
      <w:r w:rsidRPr="006016B6">
        <w:t>permissible</w:t>
      </w:r>
      <w:r>
        <w:t xml:space="preserve"> </w:t>
      </w:r>
      <w:r w:rsidRPr="006016B6">
        <w:t>only</w:t>
      </w:r>
      <w:r>
        <w:t xml:space="preserve"> </w:t>
      </w:r>
      <w:r w:rsidRPr="006016B6">
        <w:t>if</w:t>
      </w:r>
      <w:r>
        <w:t xml:space="preserve"> </w:t>
      </w:r>
      <w:r w:rsidRPr="006016B6">
        <w:t>technical</w:t>
      </w:r>
      <w:r>
        <w:t xml:space="preserve"> </w:t>
      </w:r>
      <w:r w:rsidRPr="006016B6">
        <w:t>and</w:t>
      </w:r>
      <w:r>
        <w:t xml:space="preserve"> </w:t>
      </w:r>
      <w:r w:rsidRPr="006016B6">
        <w:t>operational</w:t>
      </w:r>
      <w:r>
        <w:t xml:space="preserve"> </w:t>
      </w:r>
      <w:r w:rsidRPr="006016B6">
        <w:t>characteristics</w:t>
      </w:r>
      <w:r>
        <w:t xml:space="preserve"> </w:t>
      </w:r>
      <w:r w:rsidRPr="006016B6">
        <w:t>of</w:t>
      </w:r>
      <w:r>
        <w:t xml:space="preserve"> </w:t>
      </w:r>
      <w:r w:rsidRPr="006016B6">
        <w:t>narrow</w:t>
      </w:r>
      <w:r>
        <w:t xml:space="preserve"> </w:t>
      </w:r>
      <w:r w:rsidRPr="006016B6">
        <w:t>band</w:t>
      </w:r>
      <w:r>
        <w:t xml:space="preserve"> </w:t>
      </w:r>
      <w:r w:rsidRPr="006016B6">
        <w:t>mobile</w:t>
      </w:r>
      <w:r>
        <w:t xml:space="preserve"> </w:t>
      </w:r>
      <w:r w:rsidRPr="006016B6">
        <w:t>satellite</w:t>
      </w:r>
      <w:r>
        <w:t xml:space="preserve"> </w:t>
      </w:r>
      <w:r w:rsidRPr="006016B6">
        <w:t>systems</w:t>
      </w:r>
      <w:r>
        <w:t xml:space="preserve"> </w:t>
      </w:r>
      <w:r w:rsidRPr="006016B6">
        <w:t>are</w:t>
      </w:r>
      <w:r>
        <w:t xml:space="preserve"> </w:t>
      </w:r>
      <w:r w:rsidRPr="006016B6">
        <w:t>justified,</w:t>
      </w:r>
      <w:r>
        <w:t xml:space="preserve"> </w:t>
      </w:r>
      <w:proofErr w:type="spellStart"/>
      <w:r w:rsidRPr="006016B6">
        <w:t>аs</w:t>
      </w:r>
      <w:proofErr w:type="spellEnd"/>
      <w:r>
        <w:t xml:space="preserve"> </w:t>
      </w:r>
      <w:r w:rsidRPr="006016B6">
        <w:t>well</w:t>
      </w:r>
      <w:r>
        <w:t xml:space="preserve"> </w:t>
      </w:r>
      <w:r w:rsidRPr="006016B6">
        <w:t>as</w:t>
      </w:r>
      <w:r>
        <w:t xml:space="preserve"> </w:t>
      </w:r>
      <w:r w:rsidRPr="006016B6">
        <w:t>regulatory</w:t>
      </w:r>
      <w:r>
        <w:t xml:space="preserve"> </w:t>
      </w:r>
      <w:r w:rsidRPr="006016B6">
        <w:t>conditions</w:t>
      </w:r>
      <w:r>
        <w:t xml:space="preserve"> </w:t>
      </w:r>
      <w:r w:rsidRPr="006016B6">
        <w:t>of</w:t>
      </w:r>
      <w:r>
        <w:t xml:space="preserve"> </w:t>
      </w:r>
      <w:r w:rsidRPr="006016B6">
        <w:t>their</w:t>
      </w:r>
      <w:r>
        <w:t xml:space="preserve"> </w:t>
      </w:r>
      <w:r w:rsidRPr="006016B6">
        <w:t>use,</w:t>
      </w:r>
      <w:r>
        <w:t xml:space="preserve"> </w:t>
      </w:r>
      <w:r w:rsidRPr="006016B6">
        <w:t>and</w:t>
      </w:r>
      <w:r>
        <w:t xml:space="preserve"> </w:t>
      </w:r>
      <w:r w:rsidRPr="006016B6">
        <w:t>allowing</w:t>
      </w:r>
      <w:r>
        <w:t xml:space="preserve"> </w:t>
      </w:r>
      <w:r w:rsidRPr="006016B6">
        <w:t>the</w:t>
      </w:r>
      <w:r>
        <w:t xml:space="preserve"> </w:t>
      </w:r>
      <w:r w:rsidRPr="006016B6">
        <w:t>exclusion</w:t>
      </w:r>
      <w:r>
        <w:t xml:space="preserve"> </w:t>
      </w:r>
      <w:r w:rsidRPr="006016B6">
        <w:t>of</w:t>
      </w:r>
      <w:r>
        <w:t xml:space="preserve"> </w:t>
      </w:r>
      <w:r w:rsidRPr="006016B6">
        <w:t>unacceptable</w:t>
      </w:r>
      <w:r>
        <w:t xml:space="preserve"> </w:t>
      </w:r>
      <w:r w:rsidRPr="006016B6">
        <w:t>interference</w:t>
      </w:r>
      <w:r>
        <w:t xml:space="preserve"> </w:t>
      </w:r>
      <w:r w:rsidRPr="006016B6">
        <w:t>towards</w:t>
      </w:r>
      <w:r>
        <w:t xml:space="preserve"> </w:t>
      </w:r>
      <w:r w:rsidRPr="006016B6">
        <w:t>existing</w:t>
      </w:r>
      <w:r>
        <w:t xml:space="preserve"> </w:t>
      </w:r>
      <w:r w:rsidRPr="006016B6">
        <w:t>and</w:t>
      </w:r>
      <w:r>
        <w:t xml:space="preserve"> </w:t>
      </w:r>
      <w:r w:rsidRPr="006016B6">
        <w:t>planned</w:t>
      </w:r>
      <w:r>
        <w:t xml:space="preserve"> </w:t>
      </w:r>
      <w:r w:rsidRPr="006016B6">
        <w:t>systems</w:t>
      </w:r>
      <w:r>
        <w:t xml:space="preserve"> </w:t>
      </w:r>
      <w:r w:rsidRPr="006016B6">
        <w:t>operated</w:t>
      </w:r>
      <w:r>
        <w:t xml:space="preserve"> </w:t>
      </w:r>
      <w:r w:rsidRPr="006016B6">
        <w:t>in</w:t>
      </w:r>
      <w:r>
        <w:t xml:space="preserve"> </w:t>
      </w:r>
      <w:r w:rsidRPr="006016B6">
        <w:t>the</w:t>
      </w:r>
      <w:r>
        <w:t xml:space="preserve"> </w:t>
      </w:r>
      <w:r w:rsidRPr="006016B6">
        <w:t>same</w:t>
      </w:r>
      <w:r>
        <w:t xml:space="preserve"> </w:t>
      </w:r>
      <w:r w:rsidRPr="006016B6">
        <w:t>and</w:t>
      </w:r>
      <w:r>
        <w:t xml:space="preserve"> </w:t>
      </w:r>
      <w:r w:rsidRPr="006016B6">
        <w:t>adjacent</w:t>
      </w:r>
      <w:r>
        <w:t xml:space="preserve"> </w:t>
      </w:r>
      <w:r w:rsidRPr="006016B6">
        <w:t>frequency</w:t>
      </w:r>
      <w:r>
        <w:t xml:space="preserve"> </w:t>
      </w:r>
      <w:r w:rsidRPr="006016B6">
        <w:t>bands</w:t>
      </w:r>
      <w:r>
        <w:t xml:space="preserve"> </w:t>
      </w:r>
      <w:r w:rsidRPr="006016B6">
        <w:t>in</w:t>
      </w:r>
      <w:r>
        <w:t xml:space="preserve"> </w:t>
      </w:r>
      <w:r w:rsidRPr="006016B6">
        <w:t>accordance</w:t>
      </w:r>
      <w:r>
        <w:t xml:space="preserve"> </w:t>
      </w:r>
      <w:r w:rsidRPr="006016B6">
        <w:t>with</w:t>
      </w:r>
      <w:r>
        <w:t xml:space="preserve"> </w:t>
      </w:r>
      <w:r w:rsidRPr="006016B6">
        <w:t>Article</w:t>
      </w:r>
      <w:r>
        <w:t xml:space="preserve"> </w:t>
      </w:r>
      <w:r w:rsidRPr="006016B6">
        <w:t>5</w:t>
      </w:r>
      <w:r>
        <w:t xml:space="preserve"> </w:t>
      </w:r>
      <w:r w:rsidRPr="006016B6">
        <w:t>RR.</w:t>
      </w:r>
    </w:p>
    <w:p w14:paraId="15BA66B5" w14:textId="77777777" w:rsidR="002A0111" w:rsidRPr="00441526" w:rsidRDefault="002A0111" w:rsidP="0097586A">
      <w:pPr>
        <w:snapToGrid w:val="0"/>
        <w:spacing w:after="100" w:line="264" w:lineRule="auto"/>
        <w:rPr>
          <w:lang w:val="en-NZ"/>
        </w:rPr>
      </w:pPr>
    </w:p>
    <w:p w14:paraId="2B02FD1B"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CB4B5FF" w14:textId="42F5FA9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E86D66">
        <w:rPr>
          <w:b/>
          <w:lang w:val="en-NZ" w:eastAsia="ko-KR"/>
        </w:rPr>
        <w:t>3</w:t>
      </w:r>
      <w:r w:rsidR="002A0111" w:rsidRPr="00441526">
        <w:rPr>
          <w:b/>
          <w:lang w:val="en-NZ" w:eastAsia="ko-KR"/>
        </w:rPr>
        <w:t>/INF-</w:t>
      </w:r>
      <w:r w:rsidR="00E86D66">
        <w:rPr>
          <w:b/>
          <w:lang w:val="en-NZ" w:eastAsia="ko-KR"/>
        </w:rPr>
        <w:t>17</w:t>
      </w:r>
    </w:p>
    <w:p w14:paraId="2BB6D287" w14:textId="77777777" w:rsidR="0097586A" w:rsidRPr="0097586A" w:rsidRDefault="0097586A" w:rsidP="0097586A">
      <w:pPr>
        <w:numPr>
          <w:ilvl w:val="0"/>
          <w:numId w:val="18"/>
        </w:numPr>
        <w:snapToGrid w:val="0"/>
        <w:spacing w:after="100" w:line="264" w:lineRule="auto"/>
        <w:ind w:leftChars="145" w:left="708"/>
        <w:rPr>
          <w:lang w:val="en-NZ"/>
        </w:rPr>
      </w:pPr>
      <w:r w:rsidRPr="0097586A">
        <w:rPr>
          <w:lang w:val="en-NZ"/>
        </w:rPr>
        <w:t>The IARU supports retention of the amateur secondary allocation of 3 300-3 400 MHz in Regions 2 and 3.</w:t>
      </w:r>
    </w:p>
    <w:p w14:paraId="1FB7452F" w14:textId="77777777" w:rsidR="002A0111" w:rsidRPr="00441526" w:rsidRDefault="002A0111" w:rsidP="0097586A">
      <w:pPr>
        <w:snapToGrid w:val="0"/>
        <w:spacing w:after="100" w:line="264" w:lineRule="auto"/>
        <w:rPr>
          <w:lang w:val="en-NZ"/>
        </w:rPr>
      </w:pPr>
    </w:p>
    <w:p w14:paraId="0B12B82C" w14:textId="2911F6B6" w:rsidR="00E86D66" w:rsidRPr="00441526" w:rsidRDefault="00E86D66" w:rsidP="00E86D66">
      <w:pPr>
        <w:snapToGrid w:val="0"/>
        <w:spacing w:after="100" w:line="264" w:lineRule="auto"/>
        <w:jc w:val="both"/>
        <w:rPr>
          <w:b/>
          <w:lang w:val="en-NZ" w:eastAsia="ko-KR"/>
        </w:rPr>
      </w:pPr>
      <w:r>
        <w:rPr>
          <w:b/>
          <w:lang w:val="en-NZ" w:eastAsia="ko-KR"/>
        </w:rPr>
        <w:t>7</w:t>
      </w:r>
      <w:r w:rsidRPr="00441526">
        <w:rPr>
          <w:b/>
          <w:lang w:val="en-NZ" w:eastAsia="ko-KR"/>
        </w:rPr>
        <w:t xml:space="preserve">.2.1 </w:t>
      </w:r>
      <w:r w:rsidRPr="00441526">
        <w:rPr>
          <w:b/>
          <w:lang w:val="en-NZ" w:eastAsia="ko-KR"/>
        </w:rPr>
        <w:tab/>
      </w:r>
      <w:r>
        <w:rPr>
          <w:b/>
          <w:lang w:val="en-NZ" w:eastAsia="ko-KR"/>
        </w:rPr>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01</w:t>
      </w:r>
    </w:p>
    <w:p w14:paraId="4AEDDC3F" w14:textId="77777777" w:rsidR="00E86D66" w:rsidRPr="00E86D66" w:rsidRDefault="00E86D66" w:rsidP="0011505D">
      <w:pPr>
        <w:numPr>
          <w:ilvl w:val="0"/>
          <w:numId w:val="18"/>
        </w:numPr>
        <w:snapToGrid w:val="0"/>
        <w:spacing w:after="100" w:line="264" w:lineRule="auto"/>
        <w:ind w:leftChars="145" w:left="708"/>
        <w:jc w:val="both"/>
        <w:rPr>
          <w:lang w:val="en-NZ"/>
        </w:rPr>
      </w:pPr>
      <w:r w:rsidRPr="00E86D66">
        <w:rPr>
          <w:lang w:val="en-NZ"/>
        </w:rPr>
        <w:t xml:space="preserve">WMO supports compatibility studies to ensure the protection of current and future </w:t>
      </w:r>
      <w:proofErr w:type="spellStart"/>
      <w:r w:rsidRPr="00E86D66">
        <w:rPr>
          <w:lang w:val="en-NZ"/>
        </w:rPr>
        <w:t>MetSat</w:t>
      </w:r>
      <w:proofErr w:type="spellEnd"/>
      <w:r w:rsidRPr="00E86D66">
        <w:rPr>
          <w:lang w:val="en-NZ"/>
        </w:rPr>
        <w:t xml:space="preserve"> operations in the band 1695-1710 </w:t>
      </w:r>
      <w:proofErr w:type="spellStart"/>
      <w:r w:rsidRPr="00E86D66">
        <w:rPr>
          <w:lang w:val="en-NZ"/>
        </w:rPr>
        <w:t>MHz.</w:t>
      </w:r>
      <w:proofErr w:type="spellEnd"/>
      <w:r w:rsidRPr="00E86D66">
        <w:rPr>
          <w:lang w:val="en-NZ"/>
        </w:rPr>
        <w:t xml:space="preserve"> This is important to ensure the protection of the downlink of the measured data as well as the global dissemination of the data directly to users.</w:t>
      </w:r>
    </w:p>
    <w:p w14:paraId="54E5E222" w14:textId="22273DEC" w:rsidR="002A0111" w:rsidRPr="00E86D66" w:rsidRDefault="00E86D66" w:rsidP="00E86D66">
      <w:pPr>
        <w:numPr>
          <w:ilvl w:val="0"/>
          <w:numId w:val="18"/>
        </w:numPr>
        <w:snapToGrid w:val="0"/>
        <w:spacing w:after="100" w:line="264" w:lineRule="auto"/>
        <w:ind w:leftChars="145" w:left="708"/>
        <w:rPr>
          <w:lang w:val="en-NZ"/>
        </w:rPr>
      </w:pPr>
      <w:r w:rsidRPr="00E86D66">
        <w:rPr>
          <w:lang w:val="en-NZ"/>
        </w:rPr>
        <w:t xml:space="preserve">WMO requests the protection of the EESS/SOS in the adjacent band 2025-2110 </w:t>
      </w:r>
      <w:proofErr w:type="spellStart"/>
      <w:r w:rsidRPr="00E86D66">
        <w:rPr>
          <w:lang w:val="en-NZ"/>
        </w:rPr>
        <w:t>MHz.</w:t>
      </w:r>
      <w:proofErr w:type="spellEnd"/>
    </w:p>
    <w:p w14:paraId="122105D3" w14:textId="77777777" w:rsidR="002A0111" w:rsidRPr="00441526" w:rsidRDefault="002A0111" w:rsidP="0097586A">
      <w:pPr>
        <w:snapToGrid w:val="0"/>
        <w:spacing w:after="100" w:line="264" w:lineRule="auto"/>
        <w:rPr>
          <w:b/>
          <w:lang w:val="en-NZ"/>
        </w:rPr>
      </w:pPr>
    </w:p>
    <w:p w14:paraId="17E93078" w14:textId="77777777" w:rsidR="002A0111" w:rsidRPr="00710333" w:rsidRDefault="002A0111" w:rsidP="0097586A">
      <w:pPr>
        <w:snapToGrid w:val="0"/>
        <w:spacing w:after="100" w:line="264" w:lineRule="auto"/>
        <w:jc w:val="center"/>
        <w:rPr>
          <w:snapToGrid w:val="0"/>
          <w:lang w:val="en-NZ"/>
        </w:rPr>
      </w:pPr>
      <w:r w:rsidRPr="00441526">
        <w:rPr>
          <w:lang w:val="en-NZ"/>
        </w:rPr>
        <w:t>____________</w:t>
      </w:r>
    </w:p>
    <w:p w14:paraId="67F523A3" w14:textId="77777777" w:rsidR="002A0111" w:rsidRPr="007673CA" w:rsidRDefault="002A0111" w:rsidP="0097586A">
      <w:pPr>
        <w:snapToGrid w:val="0"/>
        <w:spacing w:after="100" w:line="264" w:lineRule="auto"/>
        <w:jc w:val="both"/>
        <w:rPr>
          <w:lang w:val="en-NZ"/>
        </w:rPr>
      </w:pPr>
    </w:p>
    <w:p w14:paraId="42651F52" w14:textId="77777777" w:rsidR="002A0111" w:rsidRDefault="002A0111" w:rsidP="0097586A">
      <w:pPr>
        <w:snapToGrid w:val="0"/>
        <w:spacing w:after="100" w:line="264" w:lineRule="auto"/>
        <w:rPr>
          <w:b/>
          <w:lang w:val="en-NZ"/>
        </w:rPr>
      </w:pPr>
    </w:p>
    <w:p w14:paraId="3C6F7756" w14:textId="77777777" w:rsidR="002A0111" w:rsidRPr="002A0111" w:rsidRDefault="002A0111" w:rsidP="0097586A">
      <w:pPr>
        <w:snapToGrid w:val="0"/>
        <w:spacing w:after="100" w:line="264" w:lineRule="auto"/>
        <w:rPr>
          <w:lang w:val="en-NZ"/>
        </w:rPr>
      </w:pPr>
    </w:p>
    <w:p w14:paraId="1B420353" w14:textId="77777777" w:rsidR="002A0111" w:rsidRPr="002A0111" w:rsidRDefault="002A0111" w:rsidP="0097586A">
      <w:pPr>
        <w:snapToGrid w:val="0"/>
        <w:spacing w:after="100" w:line="264" w:lineRule="auto"/>
        <w:rPr>
          <w:lang w:val="en-NZ"/>
        </w:rPr>
      </w:pPr>
    </w:p>
    <w:p w14:paraId="4E863BE7" w14:textId="77777777" w:rsidR="002A0111" w:rsidRPr="002A0111" w:rsidRDefault="002A0111" w:rsidP="0097586A">
      <w:pPr>
        <w:snapToGrid w:val="0"/>
        <w:spacing w:after="100" w:line="264" w:lineRule="auto"/>
        <w:rPr>
          <w:lang w:val="en-NZ"/>
        </w:rPr>
      </w:pPr>
    </w:p>
    <w:p w14:paraId="6ACF4069" w14:textId="77777777" w:rsidR="002A0111" w:rsidRPr="002A0111" w:rsidRDefault="002A0111" w:rsidP="0097586A">
      <w:pPr>
        <w:snapToGrid w:val="0"/>
        <w:spacing w:after="100" w:line="264" w:lineRule="auto"/>
        <w:rPr>
          <w:lang w:val="en-NZ"/>
        </w:rPr>
      </w:pPr>
    </w:p>
    <w:p w14:paraId="2BE6E977" w14:textId="77777777" w:rsidR="002A0111" w:rsidRPr="002A0111" w:rsidRDefault="002A0111" w:rsidP="0097586A">
      <w:pPr>
        <w:snapToGrid w:val="0"/>
        <w:spacing w:after="100" w:line="264" w:lineRule="auto"/>
        <w:rPr>
          <w:lang w:val="en-NZ"/>
        </w:rPr>
      </w:pPr>
    </w:p>
    <w:p w14:paraId="2AF407F0" w14:textId="188D94C4" w:rsidR="00654896" w:rsidRPr="002A0111" w:rsidRDefault="00654896" w:rsidP="0097586A">
      <w:pPr>
        <w:tabs>
          <w:tab w:val="left" w:pos="1410"/>
        </w:tabs>
        <w:snapToGrid w:val="0"/>
        <w:spacing w:after="100" w:line="264" w:lineRule="auto"/>
        <w:rPr>
          <w:lang w:val="en-NZ"/>
        </w:rPr>
      </w:pPr>
    </w:p>
    <w:sectPr w:rsidR="00654896" w:rsidRPr="002A0111"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F23D" w14:textId="77777777" w:rsidR="006A5E92" w:rsidRDefault="006A5E92">
      <w:r>
        <w:separator/>
      </w:r>
    </w:p>
  </w:endnote>
  <w:endnote w:type="continuationSeparator" w:id="0">
    <w:p w14:paraId="17AFB0E6" w14:textId="77777777" w:rsidR="006A5E92" w:rsidRDefault="006A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15A4"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4EAD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63E6" w14:textId="5CCA89C2"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5718D8">
      <w:rPr>
        <w:lang w:eastAsia="ko-KR"/>
      </w:rPr>
      <w:t>3</w:t>
    </w:r>
    <w:r w:rsidR="002A0111">
      <w:rPr>
        <w:lang w:eastAsia="ko-KR"/>
      </w:rPr>
      <w:t>/</w:t>
    </w:r>
    <w:r w:rsidR="00486534">
      <w:rPr>
        <w:lang w:eastAsia="ko-KR"/>
      </w:rPr>
      <w:t>OUT</w:t>
    </w:r>
    <w:r>
      <w:rPr>
        <w:lang w:eastAsia="ko-KR"/>
      </w:rPr>
      <w:t>-</w:t>
    </w:r>
    <w:r w:rsidR="00116722">
      <w:rPr>
        <w:lang w:eastAsia="ko-KR"/>
      </w:rPr>
      <w:t>31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AF0331">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AF0331">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66713AE" w14:textId="77777777" w:rsidTr="00BB0EA4">
      <w:trPr>
        <w:trHeight w:val="432"/>
      </w:trPr>
      <w:tc>
        <w:tcPr>
          <w:tcW w:w="1296" w:type="dxa"/>
          <w:tcBorders>
            <w:top w:val="single" w:sz="8" w:space="0" w:color="auto"/>
            <w:bottom w:val="nil"/>
            <w:right w:val="nil"/>
          </w:tcBorders>
        </w:tcPr>
        <w:p w14:paraId="0E88EAD9"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35A647D5" w14:textId="67EC13E7" w:rsidR="0092727B" w:rsidRDefault="009D0A35" w:rsidP="0092727B">
          <w:pPr>
            <w:pStyle w:val="Footer"/>
            <w:tabs>
              <w:tab w:val="clear" w:pos="4320"/>
              <w:tab w:val="clear" w:pos="8640"/>
            </w:tabs>
          </w:pPr>
          <w:r>
            <w:t>Ms Cheng Fenhong</w:t>
          </w:r>
        </w:p>
        <w:p w14:paraId="471E9307" w14:textId="0EE68ACF" w:rsidR="002A0111" w:rsidRPr="002A0111" w:rsidRDefault="009D0A35" w:rsidP="0092727B">
          <w:pPr>
            <w:pStyle w:val="Footer"/>
            <w:tabs>
              <w:tab w:val="clear" w:pos="4320"/>
              <w:tab w:val="clear" w:pos="8640"/>
            </w:tabs>
          </w:pPr>
          <w:r>
            <w:t>Mr. Mrunmaya Pattanaik</w:t>
          </w:r>
        </w:p>
      </w:tc>
      <w:tc>
        <w:tcPr>
          <w:tcW w:w="2880" w:type="dxa"/>
          <w:tcBorders>
            <w:top w:val="single" w:sz="8" w:space="0" w:color="auto"/>
            <w:left w:val="nil"/>
            <w:bottom w:val="nil"/>
          </w:tcBorders>
        </w:tcPr>
        <w:p w14:paraId="333A3602" w14:textId="08DCC290" w:rsidR="0092727B" w:rsidRDefault="0092727B" w:rsidP="0092727B">
          <w:pPr>
            <w:pStyle w:val="Footer"/>
            <w:tabs>
              <w:tab w:val="clear" w:pos="4320"/>
              <w:tab w:val="clear" w:pos="8640"/>
            </w:tabs>
          </w:pPr>
          <w:r w:rsidRPr="00B60FAC">
            <w:rPr>
              <w:b/>
              <w:bCs/>
            </w:rPr>
            <w:t>Email:</w:t>
          </w:r>
          <w:r w:rsidR="002C0684">
            <w:t xml:space="preserve"> </w:t>
          </w:r>
          <w:hyperlink r:id="rId1" w:history="1">
            <w:r w:rsidR="00195FE1" w:rsidRPr="004A40DE">
              <w:rPr>
                <w:rStyle w:val="Hyperlink"/>
              </w:rPr>
              <w:t>chengfenhong@chinasatcom.com</w:t>
            </w:r>
          </w:hyperlink>
        </w:p>
        <w:p w14:paraId="2C5D90B8" w14:textId="4CC0036A" w:rsidR="00195FE1" w:rsidRDefault="006A5E92" w:rsidP="0092727B">
          <w:pPr>
            <w:pStyle w:val="Footer"/>
            <w:tabs>
              <w:tab w:val="clear" w:pos="4320"/>
              <w:tab w:val="clear" w:pos="8640"/>
            </w:tabs>
          </w:pPr>
          <w:hyperlink r:id="rId2" w:history="1">
            <w:r w:rsidR="00195FE1" w:rsidRPr="004A40DE">
              <w:rPr>
                <w:rStyle w:val="Hyperlink"/>
              </w:rPr>
              <w:t>pattanaik.mr@gov.in</w:t>
            </w:r>
          </w:hyperlink>
        </w:p>
        <w:p w14:paraId="7AFB5133" w14:textId="5F53C947" w:rsidR="00195FE1" w:rsidRPr="0092727B" w:rsidRDefault="00195FE1" w:rsidP="0092727B">
          <w:pPr>
            <w:pStyle w:val="Footer"/>
            <w:tabs>
              <w:tab w:val="clear" w:pos="4320"/>
              <w:tab w:val="clear" w:pos="8640"/>
            </w:tabs>
          </w:pPr>
        </w:p>
      </w:tc>
    </w:tr>
  </w:tbl>
  <w:p w14:paraId="0B6AC152"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660A" w14:textId="77777777" w:rsidR="006A5E92" w:rsidRDefault="006A5E92">
      <w:r>
        <w:separator/>
      </w:r>
    </w:p>
  </w:footnote>
  <w:footnote w:type="continuationSeparator" w:id="0">
    <w:p w14:paraId="135E5755" w14:textId="77777777" w:rsidR="006A5E92" w:rsidRDefault="006A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6432" w14:textId="77777777" w:rsidR="0097693B" w:rsidRDefault="0097693B" w:rsidP="0092727B">
    <w:pPr>
      <w:pStyle w:val="Header"/>
      <w:tabs>
        <w:tab w:val="clear" w:pos="4320"/>
        <w:tab w:val="clear" w:pos="8640"/>
      </w:tabs>
      <w:rPr>
        <w:lang w:eastAsia="ko-KR"/>
      </w:rPr>
    </w:pPr>
  </w:p>
  <w:p w14:paraId="176180D9"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EEAD"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0F04BC4"/>
    <w:multiLevelType w:val="multilevel"/>
    <w:tmpl w:val="B58A16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0FA2D74"/>
    <w:multiLevelType w:val="hybridMultilevel"/>
    <w:tmpl w:val="05641AE4"/>
    <w:lvl w:ilvl="0" w:tplc="FEAE1C72">
      <w:start w:val="1"/>
      <w:numFmt w:val="bullet"/>
      <w:lvlText w:val="•"/>
      <w:lvlJc w:val="left"/>
      <w:pPr>
        <w:tabs>
          <w:tab w:val="num" w:pos="720"/>
        </w:tabs>
        <w:ind w:left="720" w:hanging="360"/>
      </w:pPr>
      <w:rPr>
        <w:rFonts w:ascii="Arial" w:hAnsi="Arial" w:hint="default"/>
      </w:rPr>
    </w:lvl>
    <w:lvl w:ilvl="1" w:tplc="9A58C92A" w:tentative="1">
      <w:start w:val="1"/>
      <w:numFmt w:val="bullet"/>
      <w:lvlText w:val="•"/>
      <w:lvlJc w:val="left"/>
      <w:pPr>
        <w:tabs>
          <w:tab w:val="num" w:pos="1440"/>
        </w:tabs>
        <w:ind w:left="1440" w:hanging="360"/>
      </w:pPr>
      <w:rPr>
        <w:rFonts w:ascii="Arial" w:hAnsi="Arial" w:hint="default"/>
      </w:rPr>
    </w:lvl>
    <w:lvl w:ilvl="2" w:tplc="C6264C66" w:tentative="1">
      <w:start w:val="1"/>
      <w:numFmt w:val="bullet"/>
      <w:lvlText w:val="•"/>
      <w:lvlJc w:val="left"/>
      <w:pPr>
        <w:tabs>
          <w:tab w:val="num" w:pos="2160"/>
        </w:tabs>
        <w:ind w:left="2160" w:hanging="360"/>
      </w:pPr>
      <w:rPr>
        <w:rFonts w:ascii="Arial" w:hAnsi="Arial" w:hint="default"/>
      </w:rPr>
    </w:lvl>
    <w:lvl w:ilvl="3" w:tplc="76DEA5C0" w:tentative="1">
      <w:start w:val="1"/>
      <w:numFmt w:val="bullet"/>
      <w:lvlText w:val="•"/>
      <w:lvlJc w:val="left"/>
      <w:pPr>
        <w:tabs>
          <w:tab w:val="num" w:pos="2880"/>
        </w:tabs>
        <w:ind w:left="2880" w:hanging="360"/>
      </w:pPr>
      <w:rPr>
        <w:rFonts w:ascii="Arial" w:hAnsi="Arial" w:hint="default"/>
      </w:rPr>
    </w:lvl>
    <w:lvl w:ilvl="4" w:tplc="46BCFB0C" w:tentative="1">
      <w:start w:val="1"/>
      <w:numFmt w:val="bullet"/>
      <w:lvlText w:val="•"/>
      <w:lvlJc w:val="left"/>
      <w:pPr>
        <w:tabs>
          <w:tab w:val="num" w:pos="3600"/>
        </w:tabs>
        <w:ind w:left="3600" w:hanging="360"/>
      </w:pPr>
      <w:rPr>
        <w:rFonts w:ascii="Arial" w:hAnsi="Arial" w:hint="default"/>
      </w:rPr>
    </w:lvl>
    <w:lvl w:ilvl="5" w:tplc="AA76E4E8" w:tentative="1">
      <w:start w:val="1"/>
      <w:numFmt w:val="bullet"/>
      <w:lvlText w:val="•"/>
      <w:lvlJc w:val="left"/>
      <w:pPr>
        <w:tabs>
          <w:tab w:val="num" w:pos="4320"/>
        </w:tabs>
        <w:ind w:left="4320" w:hanging="360"/>
      </w:pPr>
      <w:rPr>
        <w:rFonts w:ascii="Arial" w:hAnsi="Arial" w:hint="default"/>
      </w:rPr>
    </w:lvl>
    <w:lvl w:ilvl="6" w:tplc="2E9C73B0" w:tentative="1">
      <w:start w:val="1"/>
      <w:numFmt w:val="bullet"/>
      <w:lvlText w:val="•"/>
      <w:lvlJc w:val="left"/>
      <w:pPr>
        <w:tabs>
          <w:tab w:val="num" w:pos="5040"/>
        </w:tabs>
        <w:ind w:left="5040" w:hanging="360"/>
      </w:pPr>
      <w:rPr>
        <w:rFonts w:ascii="Arial" w:hAnsi="Arial" w:hint="default"/>
      </w:rPr>
    </w:lvl>
    <w:lvl w:ilvl="7" w:tplc="ABE87210" w:tentative="1">
      <w:start w:val="1"/>
      <w:numFmt w:val="bullet"/>
      <w:lvlText w:val="•"/>
      <w:lvlJc w:val="left"/>
      <w:pPr>
        <w:tabs>
          <w:tab w:val="num" w:pos="5760"/>
        </w:tabs>
        <w:ind w:left="5760" w:hanging="360"/>
      </w:pPr>
      <w:rPr>
        <w:rFonts w:ascii="Arial" w:hAnsi="Arial" w:hint="default"/>
      </w:rPr>
    </w:lvl>
    <w:lvl w:ilvl="8" w:tplc="44D62F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7E205F"/>
    <w:multiLevelType w:val="hybridMultilevel"/>
    <w:tmpl w:val="24CC290C"/>
    <w:lvl w:ilvl="0" w:tplc="722A45E8">
      <w:start w:val="2"/>
      <w:numFmt w:val="bullet"/>
      <w:lvlText w:val="-"/>
      <w:lvlJc w:val="left"/>
      <w:pPr>
        <w:ind w:left="2643" w:hanging="400"/>
      </w:pPr>
      <w:rPr>
        <w:rFonts w:ascii="Times New Roman" w:eastAsia="GulimChe" w:hAnsi="Times New Roman" w:cs="Times New Roman" w:hint="default"/>
      </w:rPr>
    </w:lvl>
    <w:lvl w:ilvl="1" w:tplc="04090003" w:tentative="1">
      <w:start w:val="1"/>
      <w:numFmt w:val="bullet"/>
      <w:lvlText w:val=""/>
      <w:lvlJc w:val="left"/>
      <w:pPr>
        <w:ind w:left="3043" w:hanging="400"/>
      </w:pPr>
      <w:rPr>
        <w:rFonts w:ascii="Wingdings" w:hAnsi="Wingdings" w:hint="default"/>
      </w:rPr>
    </w:lvl>
    <w:lvl w:ilvl="2" w:tplc="04090005" w:tentative="1">
      <w:start w:val="1"/>
      <w:numFmt w:val="bullet"/>
      <w:lvlText w:val=""/>
      <w:lvlJc w:val="left"/>
      <w:pPr>
        <w:ind w:left="3443" w:hanging="400"/>
      </w:pPr>
      <w:rPr>
        <w:rFonts w:ascii="Wingdings" w:hAnsi="Wingdings" w:hint="default"/>
      </w:rPr>
    </w:lvl>
    <w:lvl w:ilvl="3" w:tplc="04090001" w:tentative="1">
      <w:start w:val="1"/>
      <w:numFmt w:val="bullet"/>
      <w:lvlText w:val=""/>
      <w:lvlJc w:val="left"/>
      <w:pPr>
        <w:ind w:left="3843" w:hanging="400"/>
      </w:pPr>
      <w:rPr>
        <w:rFonts w:ascii="Wingdings" w:hAnsi="Wingdings" w:hint="default"/>
      </w:rPr>
    </w:lvl>
    <w:lvl w:ilvl="4" w:tplc="04090003" w:tentative="1">
      <w:start w:val="1"/>
      <w:numFmt w:val="bullet"/>
      <w:lvlText w:val=""/>
      <w:lvlJc w:val="left"/>
      <w:pPr>
        <w:ind w:left="4243" w:hanging="400"/>
      </w:pPr>
      <w:rPr>
        <w:rFonts w:ascii="Wingdings" w:hAnsi="Wingdings" w:hint="default"/>
      </w:rPr>
    </w:lvl>
    <w:lvl w:ilvl="5" w:tplc="04090005" w:tentative="1">
      <w:start w:val="1"/>
      <w:numFmt w:val="bullet"/>
      <w:lvlText w:val=""/>
      <w:lvlJc w:val="left"/>
      <w:pPr>
        <w:ind w:left="4643" w:hanging="400"/>
      </w:pPr>
      <w:rPr>
        <w:rFonts w:ascii="Wingdings" w:hAnsi="Wingdings" w:hint="default"/>
      </w:rPr>
    </w:lvl>
    <w:lvl w:ilvl="6" w:tplc="04090001" w:tentative="1">
      <w:start w:val="1"/>
      <w:numFmt w:val="bullet"/>
      <w:lvlText w:val=""/>
      <w:lvlJc w:val="left"/>
      <w:pPr>
        <w:ind w:left="5043" w:hanging="400"/>
      </w:pPr>
      <w:rPr>
        <w:rFonts w:ascii="Wingdings" w:hAnsi="Wingdings" w:hint="default"/>
      </w:rPr>
    </w:lvl>
    <w:lvl w:ilvl="7" w:tplc="04090003" w:tentative="1">
      <w:start w:val="1"/>
      <w:numFmt w:val="bullet"/>
      <w:lvlText w:val=""/>
      <w:lvlJc w:val="left"/>
      <w:pPr>
        <w:ind w:left="5443" w:hanging="400"/>
      </w:pPr>
      <w:rPr>
        <w:rFonts w:ascii="Wingdings" w:hAnsi="Wingdings" w:hint="default"/>
      </w:rPr>
    </w:lvl>
    <w:lvl w:ilvl="8" w:tplc="04090005" w:tentative="1">
      <w:start w:val="1"/>
      <w:numFmt w:val="bullet"/>
      <w:lvlText w:val=""/>
      <w:lvlJc w:val="left"/>
      <w:pPr>
        <w:ind w:left="5843"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90F2E16"/>
    <w:multiLevelType w:val="multilevel"/>
    <w:tmpl w:val="390F2E16"/>
    <w:lvl w:ilvl="0">
      <w:start w:val="1"/>
      <w:numFmt w:val="bullet"/>
      <w:lvlText w:val="–"/>
      <w:lvlJc w:val="left"/>
      <w:pPr>
        <w:ind w:left="14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6"/>
  </w:num>
  <w:num w:numId="3">
    <w:abstractNumId w:val="5"/>
  </w:num>
  <w:num w:numId="4">
    <w:abstractNumId w:val="19"/>
  </w:num>
  <w:num w:numId="5">
    <w:abstractNumId w:val="9"/>
  </w:num>
  <w:num w:numId="6">
    <w:abstractNumId w:val="13"/>
  </w:num>
  <w:num w:numId="7">
    <w:abstractNumId w:val="2"/>
  </w:num>
  <w:num w:numId="8">
    <w:abstractNumId w:val="1"/>
  </w:num>
  <w:num w:numId="9">
    <w:abstractNumId w:val="22"/>
  </w:num>
  <w:num w:numId="10">
    <w:abstractNumId w:val="18"/>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7"/>
  </w:num>
  <w:num w:numId="18">
    <w:abstractNumId w:val="15"/>
  </w:num>
  <w:num w:numId="19">
    <w:abstractNumId w:val="21"/>
  </w:num>
  <w:num w:numId="20">
    <w:abstractNumId w:val="8"/>
  </w:num>
  <w:num w:numId="21">
    <w:abstractNumId w:val="20"/>
  </w:num>
  <w:num w:numId="22">
    <w:abstractNumId w:val="24"/>
  </w:num>
  <w:num w:numId="23">
    <w:abstractNumId w:val="14"/>
  </w:num>
  <w:num w:numId="24">
    <w:abstractNumId w:val="10"/>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3E3E"/>
    <w:rsid w:val="0003595B"/>
    <w:rsid w:val="00036517"/>
    <w:rsid w:val="00036CC9"/>
    <w:rsid w:val="00037EB3"/>
    <w:rsid w:val="00040149"/>
    <w:rsid w:val="00070642"/>
    <w:rsid w:val="000713CF"/>
    <w:rsid w:val="00075C14"/>
    <w:rsid w:val="000822B5"/>
    <w:rsid w:val="000873BD"/>
    <w:rsid w:val="00094B87"/>
    <w:rsid w:val="000A012B"/>
    <w:rsid w:val="000A5418"/>
    <w:rsid w:val="000D47FB"/>
    <w:rsid w:val="000F345F"/>
    <w:rsid w:val="000F517C"/>
    <w:rsid w:val="000F5540"/>
    <w:rsid w:val="000F7F18"/>
    <w:rsid w:val="00105F1A"/>
    <w:rsid w:val="00113DDF"/>
    <w:rsid w:val="0011505D"/>
    <w:rsid w:val="00116722"/>
    <w:rsid w:val="00125FBD"/>
    <w:rsid w:val="001409B2"/>
    <w:rsid w:val="00145A4C"/>
    <w:rsid w:val="00152636"/>
    <w:rsid w:val="001539DD"/>
    <w:rsid w:val="00156782"/>
    <w:rsid w:val="00162DE1"/>
    <w:rsid w:val="00165F01"/>
    <w:rsid w:val="001731F4"/>
    <w:rsid w:val="001916F2"/>
    <w:rsid w:val="001930A7"/>
    <w:rsid w:val="00193FDA"/>
    <w:rsid w:val="00195FE1"/>
    <w:rsid w:val="00196568"/>
    <w:rsid w:val="00197C18"/>
    <w:rsid w:val="001A2F16"/>
    <w:rsid w:val="001A4398"/>
    <w:rsid w:val="001B1804"/>
    <w:rsid w:val="001B18C2"/>
    <w:rsid w:val="001C443F"/>
    <w:rsid w:val="001C61A5"/>
    <w:rsid w:val="001C6707"/>
    <w:rsid w:val="001D5D7E"/>
    <w:rsid w:val="001E78F0"/>
    <w:rsid w:val="001F5947"/>
    <w:rsid w:val="002001DF"/>
    <w:rsid w:val="00202410"/>
    <w:rsid w:val="00205EE6"/>
    <w:rsid w:val="00214A0C"/>
    <w:rsid w:val="0021588B"/>
    <w:rsid w:val="002161B6"/>
    <w:rsid w:val="002216AC"/>
    <w:rsid w:val="0023212E"/>
    <w:rsid w:val="00233A06"/>
    <w:rsid w:val="002475E2"/>
    <w:rsid w:val="002506D2"/>
    <w:rsid w:val="00250DE2"/>
    <w:rsid w:val="00254A1B"/>
    <w:rsid w:val="0026064A"/>
    <w:rsid w:val="00264566"/>
    <w:rsid w:val="00281526"/>
    <w:rsid w:val="0028454D"/>
    <w:rsid w:val="0029005F"/>
    <w:rsid w:val="00291C9E"/>
    <w:rsid w:val="002926D4"/>
    <w:rsid w:val="0029730E"/>
    <w:rsid w:val="0029734E"/>
    <w:rsid w:val="002A0111"/>
    <w:rsid w:val="002A3CF5"/>
    <w:rsid w:val="002B06A3"/>
    <w:rsid w:val="002B435C"/>
    <w:rsid w:val="002B447F"/>
    <w:rsid w:val="002C0684"/>
    <w:rsid w:val="002C07DA"/>
    <w:rsid w:val="002C2A49"/>
    <w:rsid w:val="002C7EA9"/>
    <w:rsid w:val="002F575D"/>
    <w:rsid w:val="003113D7"/>
    <w:rsid w:val="00311E8A"/>
    <w:rsid w:val="00322752"/>
    <w:rsid w:val="00342F20"/>
    <w:rsid w:val="003526B6"/>
    <w:rsid w:val="00360377"/>
    <w:rsid w:val="00366548"/>
    <w:rsid w:val="0038005B"/>
    <w:rsid w:val="003809C7"/>
    <w:rsid w:val="0038236C"/>
    <w:rsid w:val="00393DCD"/>
    <w:rsid w:val="00395B40"/>
    <w:rsid w:val="003A2006"/>
    <w:rsid w:val="003A6568"/>
    <w:rsid w:val="003B4FD1"/>
    <w:rsid w:val="003B6263"/>
    <w:rsid w:val="003C29E6"/>
    <w:rsid w:val="003C3F03"/>
    <w:rsid w:val="003C64A7"/>
    <w:rsid w:val="003D1128"/>
    <w:rsid w:val="003D1671"/>
    <w:rsid w:val="003D3D47"/>
    <w:rsid w:val="003D3FDA"/>
    <w:rsid w:val="003D6D00"/>
    <w:rsid w:val="003E166F"/>
    <w:rsid w:val="003F307E"/>
    <w:rsid w:val="004001E5"/>
    <w:rsid w:val="00403C3D"/>
    <w:rsid w:val="0041313C"/>
    <w:rsid w:val="00420822"/>
    <w:rsid w:val="00420C74"/>
    <w:rsid w:val="00441526"/>
    <w:rsid w:val="004465AA"/>
    <w:rsid w:val="00446A5E"/>
    <w:rsid w:val="0045458F"/>
    <w:rsid w:val="004633B4"/>
    <w:rsid w:val="00486534"/>
    <w:rsid w:val="00495CED"/>
    <w:rsid w:val="004A2F96"/>
    <w:rsid w:val="004A4BDF"/>
    <w:rsid w:val="004B3553"/>
    <w:rsid w:val="004B3F4B"/>
    <w:rsid w:val="004E1FCA"/>
    <w:rsid w:val="004E47D6"/>
    <w:rsid w:val="004F7861"/>
    <w:rsid w:val="00503189"/>
    <w:rsid w:val="005051DB"/>
    <w:rsid w:val="00516BD1"/>
    <w:rsid w:val="005206E9"/>
    <w:rsid w:val="00526D01"/>
    <w:rsid w:val="00530E8C"/>
    <w:rsid w:val="00531A5B"/>
    <w:rsid w:val="00535D34"/>
    <w:rsid w:val="00545933"/>
    <w:rsid w:val="00552105"/>
    <w:rsid w:val="005562F2"/>
    <w:rsid w:val="00557544"/>
    <w:rsid w:val="00557F79"/>
    <w:rsid w:val="0056230B"/>
    <w:rsid w:val="00565BBB"/>
    <w:rsid w:val="005718D8"/>
    <w:rsid w:val="00571B26"/>
    <w:rsid w:val="00585F3C"/>
    <w:rsid w:val="00586CA0"/>
    <w:rsid w:val="00587875"/>
    <w:rsid w:val="005A404C"/>
    <w:rsid w:val="005A63EB"/>
    <w:rsid w:val="005B0876"/>
    <w:rsid w:val="005C33B6"/>
    <w:rsid w:val="005D6202"/>
    <w:rsid w:val="005D6E98"/>
    <w:rsid w:val="006016B6"/>
    <w:rsid w:val="00607E2B"/>
    <w:rsid w:val="006139D6"/>
    <w:rsid w:val="00616D1B"/>
    <w:rsid w:val="00623CE1"/>
    <w:rsid w:val="00627880"/>
    <w:rsid w:val="0063062B"/>
    <w:rsid w:val="00634A82"/>
    <w:rsid w:val="00637351"/>
    <w:rsid w:val="00646166"/>
    <w:rsid w:val="00652BDD"/>
    <w:rsid w:val="00654896"/>
    <w:rsid w:val="006621F0"/>
    <w:rsid w:val="006647BA"/>
    <w:rsid w:val="00667229"/>
    <w:rsid w:val="006761A2"/>
    <w:rsid w:val="006761EE"/>
    <w:rsid w:val="00682BE5"/>
    <w:rsid w:val="00683846"/>
    <w:rsid w:val="00690FED"/>
    <w:rsid w:val="006939A5"/>
    <w:rsid w:val="006A5E92"/>
    <w:rsid w:val="006B09DB"/>
    <w:rsid w:val="006D5223"/>
    <w:rsid w:val="006D5970"/>
    <w:rsid w:val="006E12FC"/>
    <w:rsid w:val="006F0F24"/>
    <w:rsid w:val="006F21A4"/>
    <w:rsid w:val="006F2B2E"/>
    <w:rsid w:val="006F6A5C"/>
    <w:rsid w:val="00703F6F"/>
    <w:rsid w:val="007052B3"/>
    <w:rsid w:val="00705962"/>
    <w:rsid w:val="00706689"/>
    <w:rsid w:val="00707C21"/>
    <w:rsid w:val="00712451"/>
    <w:rsid w:val="00713530"/>
    <w:rsid w:val="00717DE9"/>
    <w:rsid w:val="0072518B"/>
    <w:rsid w:val="00731041"/>
    <w:rsid w:val="007329E4"/>
    <w:rsid w:val="00732F08"/>
    <w:rsid w:val="007342F0"/>
    <w:rsid w:val="0074190C"/>
    <w:rsid w:val="0075493D"/>
    <w:rsid w:val="00762576"/>
    <w:rsid w:val="007673CA"/>
    <w:rsid w:val="00772EF5"/>
    <w:rsid w:val="00791060"/>
    <w:rsid w:val="007926EA"/>
    <w:rsid w:val="007B5626"/>
    <w:rsid w:val="007B6124"/>
    <w:rsid w:val="007D3C53"/>
    <w:rsid w:val="007D6D0A"/>
    <w:rsid w:val="007D6E5E"/>
    <w:rsid w:val="007E3A0F"/>
    <w:rsid w:val="007F0AE6"/>
    <w:rsid w:val="007F2628"/>
    <w:rsid w:val="007F2FBA"/>
    <w:rsid w:val="007F3A57"/>
    <w:rsid w:val="00800C3A"/>
    <w:rsid w:val="0080495A"/>
    <w:rsid w:val="0080570B"/>
    <w:rsid w:val="00805CAC"/>
    <w:rsid w:val="008148E1"/>
    <w:rsid w:val="00822B33"/>
    <w:rsid w:val="0082688C"/>
    <w:rsid w:val="00826C18"/>
    <w:rsid w:val="008319BF"/>
    <w:rsid w:val="008415F0"/>
    <w:rsid w:val="008433C2"/>
    <w:rsid w:val="00844457"/>
    <w:rsid w:val="008454C8"/>
    <w:rsid w:val="00845791"/>
    <w:rsid w:val="00851D78"/>
    <w:rsid w:val="008528BB"/>
    <w:rsid w:val="00867873"/>
    <w:rsid w:val="0087122A"/>
    <w:rsid w:val="00895239"/>
    <w:rsid w:val="008A016F"/>
    <w:rsid w:val="008A1A0D"/>
    <w:rsid w:val="008A72E1"/>
    <w:rsid w:val="008A76ED"/>
    <w:rsid w:val="008B3C72"/>
    <w:rsid w:val="008C2982"/>
    <w:rsid w:val="008C5FED"/>
    <w:rsid w:val="008D0E09"/>
    <w:rsid w:val="008E7842"/>
    <w:rsid w:val="00903007"/>
    <w:rsid w:val="00923816"/>
    <w:rsid w:val="0092727B"/>
    <w:rsid w:val="0093074B"/>
    <w:rsid w:val="00930E64"/>
    <w:rsid w:val="00943CF9"/>
    <w:rsid w:val="00956F8C"/>
    <w:rsid w:val="00961D57"/>
    <w:rsid w:val="00964951"/>
    <w:rsid w:val="00974CD3"/>
    <w:rsid w:val="0097586A"/>
    <w:rsid w:val="00976716"/>
    <w:rsid w:val="0097693B"/>
    <w:rsid w:val="00993355"/>
    <w:rsid w:val="009955A7"/>
    <w:rsid w:val="009963F7"/>
    <w:rsid w:val="009A11CB"/>
    <w:rsid w:val="009A4A6D"/>
    <w:rsid w:val="009B44DD"/>
    <w:rsid w:val="009B7E42"/>
    <w:rsid w:val="009C7235"/>
    <w:rsid w:val="009D0A35"/>
    <w:rsid w:val="009D46CE"/>
    <w:rsid w:val="009D4ADA"/>
    <w:rsid w:val="009E13DD"/>
    <w:rsid w:val="009F547A"/>
    <w:rsid w:val="00A03D78"/>
    <w:rsid w:val="00A0503B"/>
    <w:rsid w:val="00A059CD"/>
    <w:rsid w:val="00A10B93"/>
    <w:rsid w:val="00A13265"/>
    <w:rsid w:val="00A14900"/>
    <w:rsid w:val="00A2159F"/>
    <w:rsid w:val="00A23C16"/>
    <w:rsid w:val="00A324FF"/>
    <w:rsid w:val="00A3539F"/>
    <w:rsid w:val="00A47185"/>
    <w:rsid w:val="00A506DD"/>
    <w:rsid w:val="00A529BC"/>
    <w:rsid w:val="00A5346C"/>
    <w:rsid w:val="00A53F51"/>
    <w:rsid w:val="00A562F0"/>
    <w:rsid w:val="00A564FB"/>
    <w:rsid w:val="00A614C1"/>
    <w:rsid w:val="00A61EA6"/>
    <w:rsid w:val="00A657BF"/>
    <w:rsid w:val="00A71136"/>
    <w:rsid w:val="00A92578"/>
    <w:rsid w:val="00AA474C"/>
    <w:rsid w:val="00AC35EF"/>
    <w:rsid w:val="00AC4D5B"/>
    <w:rsid w:val="00AD1DDB"/>
    <w:rsid w:val="00AD2697"/>
    <w:rsid w:val="00AD5C77"/>
    <w:rsid w:val="00AD7E5F"/>
    <w:rsid w:val="00AE3066"/>
    <w:rsid w:val="00AF0331"/>
    <w:rsid w:val="00AF68E4"/>
    <w:rsid w:val="00B00A87"/>
    <w:rsid w:val="00B01AA1"/>
    <w:rsid w:val="00B06025"/>
    <w:rsid w:val="00B30C81"/>
    <w:rsid w:val="00B30DA1"/>
    <w:rsid w:val="00B32D76"/>
    <w:rsid w:val="00B4793B"/>
    <w:rsid w:val="00B56099"/>
    <w:rsid w:val="00B60FAC"/>
    <w:rsid w:val="00B64A60"/>
    <w:rsid w:val="00B661AC"/>
    <w:rsid w:val="00B8468D"/>
    <w:rsid w:val="00B937D7"/>
    <w:rsid w:val="00B96B67"/>
    <w:rsid w:val="00BB0EA4"/>
    <w:rsid w:val="00BC3880"/>
    <w:rsid w:val="00BC57EF"/>
    <w:rsid w:val="00BC69DB"/>
    <w:rsid w:val="00BE6B6B"/>
    <w:rsid w:val="00BF25F9"/>
    <w:rsid w:val="00C00B04"/>
    <w:rsid w:val="00C13FD5"/>
    <w:rsid w:val="00C15633"/>
    <w:rsid w:val="00C15799"/>
    <w:rsid w:val="00C21743"/>
    <w:rsid w:val="00C25385"/>
    <w:rsid w:val="00C32E84"/>
    <w:rsid w:val="00C35415"/>
    <w:rsid w:val="00C357AD"/>
    <w:rsid w:val="00C44321"/>
    <w:rsid w:val="00C516C7"/>
    <w:rsid w:val="00C51C5F"/>
    <w:rsid w:val="00C554CC"/>
    <w:rsid w:val="00C6069C"/>
    <w:rsid w:val="00C70477"/>
    <w:rsid w:val="00C72AD4"/>
    <w:rsid w:val="00C74745"/>
    <w:rsid w:val="00C754F2"/>
    <w:rsid w:val="00C82461"/>
    <w:rsid w:val="00C85119"/>
    <w:rsid w:val="00C95C48"/>
    <w:rsid w:val="00CA41E7"/>
    <w:rsid w:val="00CD170C"/>
    <w:rsid w:val="00CD320B"/>
    <w:rsid w:val="00CD3F37"/>
    <w:rsid w:val="00CD52A5"/>
    <w:rsid w:val="00CD5431"/>
    <w:rsid w:val="00CE4B93"/>
    <w:rsid w:val="00CF2491"/>
    <w:rsid w:val="00CF3963"/>
    <w:rsid w:val="00D1252E"/>
    <w:rsid w:val="00D13D9D"/>
    <w:rsid w:val="00D14AFE"/>
    <w:rsid w:val="00D214A3"/>
    <w:rsid w:val="00D23E92"/>
    <w:rsid w:val="00D24A8F"/>
    <w:rsid w:val="00D25F4A"/>
    <w:rsid w:val="00D267B4"/>
    <w:rsid w:val="00D416A3"/>
    <w:rsid w:val="00D43FFF"/>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E2D6E"/>
    <w:rsid w:val="00DE6BC1"/>
    <w:rsid w:val="00DF0EB4"/>
    <w:rsid w:val="00DF111E"/>
    <w:rsid w:val="00DF1DF1"/>
    <w:rsid w:val="00DF1E56"/>
    <w:rsid w:val="00DF4989"/>
    <w:rsid w:val="00E0124F"/>
    <w:rsid w:val="00E5762A"/>
    <w:rsid w:val="00E670B4"/>
    <w:rsid w:val="00E674D3"/>
    <w:rsid w:val="00E70FD0"/>
    <w:rsid w:val="00E72B2C"/>
    <w:rsid w:val="00E7309D"/>
    <w:rsid w:val="00E77C4B"/>
    <w:rsid w:val="00E84B8D"/>
    <w:rsid w:val="00E86D66"/>
    <w:rsid w:val="00E9301F"/>
    <w:rsid w:val="00E9690A"/>
    <w:rsid w:val="00E97DC7"/>
    <w:rsid w:val="00EF6772"/>
    <w:rsid w:val="00F000EF"/>
    <w:rsid w:val="00F057F9"/>
    <w:rsid w:val="00F2504E"/>
    <w:rsid w:val="00F2585B"/>
    <w:rsid w:val="00F4053F"/>
    <w:rsid w:val="00F516E7"/>
    <w:rsid w:val="00F57BF7"/>
    <w:rsid w:val="00F6263E"/>
    <w:rsid w:val="00F627C2"/>
    <w:rsid w:val="00F736FD"/>
    <w:rsid w:val="00F84067"/>
    <w:rsid w:val="00FA50B4"/>
    <w:rsid w:val="00FB6E83"/>
    <w:rsid w:val="00FC156A"/>
    <w:rsid w:val="00FD6235"/>
    <w:rsid w:val="00FE13D1"/>
    <w:rsid w:val="00FE3DE5"/>
    <w:rsid w:val="00FF68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A5637"/>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571B26"/>
    <w:rPr>
      <w:color w:val="605E5C"/>
      <w:shd w:val="clear" w:color="auto" w:fill="E1DFDD"/>
    </w:rPr>
  </w:style>
  <w:style w:type="paragraph" w:customStyle="1" w:styleId="ListParagraph1">
    <w:name w:val="List Paragraph1"/>
    <w:basedOn w:val="Normal"/>
    <w:uiPriority w:val="34"/>
    <w:qFormat/>
    <w:rsid w:val="007D6E5E"/>
    <w:pPr>
      <w:ind w:firstLineChars="200" w:firstLine="420"/>
    </w:pPr>
  </w:style>
  <w:style w:type="paragraph" w:customStyle="1" w:styleId="Default">
    <w:name w:val="Default"/>
    <w:rsid w:val="006016B6"/>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E670B4"/>
    <w:pPr>
      <w:spacing w:before="100" w:beforeAutospacing="1" w:after="100" w:afterAutospacing="1"/>
    </w:pPr>
    <w:rPr>
      <w:rFonts w:ascii="Gulim" w:eastAsia="Gulim" w:hAnsi="Gulim" w:cs="Gulim"/>
      <w:lang w:eastAsia="ko-KR"/>
    </w:rPr>
  </w:style>
  <w:style w:type="character" w:styleId="Emphasis">
    <w:name w:val="Emphasis"/>
    <w:basedOn w:val="DefaultParagraphFont"/>
    <w:uiPriority w:val="20"/>
    <w:qFormat/>
    <w:rsid w:val="00E670B4"/>
    <w:rPr>
      <w:i/>
      <w:iCs/>
    </w:rPr>
  </w:style>
  <w:style w:type="character" w:customStyle="1" w:styleId="ListParagraphChar">
    <w:name w:val="List Paragraph Char"/>
    <w:basedOn w:val="DefaultParagraphFont"/>
    <w:link w:val="ListParagraph"/>
    <w:uiPriority w:val="34"/>
    <w:locked/>
    <w:rsid w:val="007F3A57"/>
    <w:rPr>
      <w:rFonts w:eastAsia="BatangChe"/>
      <w:sz w:val="24"/>
      <w:szCs w:val="24"/>
    </w:rPr>
  </w:style>
  <w:style w:type="paragraph" w:customStyle="1" w:styleId="Paragraph">
    <w:name w:val="Paragraph"/>
    <w:basedOn w:val="Normal"/>
    <w:qFormat/>
    <w:rsid w:val="00E86D66"/>
    <w:pPr>
      <w:spacing w:before="120"/>
      <w:jc w:val="both"/>
    </w:pPr>
    <w:rPr>
      <w:rFonts w:eastAsia="Times New Roman"/>
      <w:sz w:val="22"/>
      <w:szCs w:val="22"/>
      <w:lang w:val="en-GB" w:eastAsia="fr-FR"/>
    </w:rPr>
  </w:style>
  <w:style w:type="character" w:customStyle="1" w:styleId="Heading8Char">
    <w:name w:val="Heading 8 Char"/>
    <w:basedOn w:val="DefaultParagraphFont"/>
    <w:link w:val="Heading8"/>
    <w:rsid w:val="00B60FAC"/>
    <w:rPr>
      <w:rFonts w:eastAsia="BatangChe"/>
      <w:b/>
      <w:bCs/>
      <w:kern w:val="2"/>
      <w:lang w:eastAsia="ko-KR"/>
    </w:rPr>
  </w:style>
  <w:style w:type="character" w:styleId="UnresolvedMention">
    <w:name w:val="Unresolved Mention"/>
    <w:basedOn w:val="DefaultParagraphFont"/>
    <w:uiPriority w:val="99"/>
    <w:semiHidden/>
    <w:unhideWhenUsed/>
    <w:rsid w:val="00B60FAC"/>
    <w:rPr>
      <w:color w:val="605E5C"/>
      <w:shd w:val="clear" w:color="auto" w:fill="E1DFDD"/>
    </w:rPr>
  </w:style>
  <w:style w:type="paragraph" w:styleId="Revision">
    <w:name w:val="Revision"/>
    <w:hidden/>
    <w:uiPriority w:val="99"/>
    <w:semiHidden/>
    <w:rsid w:val="00D43FFF"/>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7946">
      <w:bodyDiv w:val="1"/>
      <w:marLeft w:val="0"/>
      <w:marRight w:val="0"/>
      <w:marTop w:val="0"/>
      <w:marBottom w:val="0"/>
      <w:divBdr>
        <w:top w:val="none" w:sz="0" w:space="0" w:color="auto"/>
        <w:left w:val="none" w:sz="0" w:space="0" w:color="auto"/>
        <w:bottom w:val="none" w:sz="0" w:space="0" w:color="auto"/>
        <w:right w:val="none" w:sz="0" w:space="0" w:color="auto"/>
      </w:divBdr>
    </w:div>
    <w:div w:id="138945020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46016213">
      <w:bodyDiv w:val="1"/>
      <w:marLeft w:val="0"/>
      <w:marRight w:val="0"/>
      <w:marTop w:val="0"/>
      <w:marBottom w:val="0"/>
      <w:divBdr>
        <w:top w:val="none" w:sz="0" w:space="0" w:color="auto"/>
        <w:left w:val="none" w:sz="0" w:space="0" w:color="auto"/>
        <w:bottom w:val="none" w:sz="0" w:space="0" w:color="auto"/>
        <w:right w:val="none" w:sz="0" w:space="0" w:color="auto"/>
      </w:divBdr>
      <w:divsChild>
        <w:div w:id="1304583539">
          <w:marLeft w:val="446"/>
          <w:marRight w:val="0"/>
          <w:marTop w:val="0"/>
          <w:marBottom w:val="0"/>
          <w:divBdr>
            <w:top w:val="none" w:sz="0" w:space="0" w:color="auto"/>
            <w:left w:val="none" w:sz="0" w:space="0" w:color="auto"/>
            <w:bottom w:val="none" w:sz="0" w:space="0" w:color="auto"/>
            <w:right w:val="none" w:sz="0" w:space="0" w:color="auto"/>
          </w:divBdr>
        </w:div>
        <w:div w:id="1472791710">
          <w:marLeft w:val="446"/>
          <w:marRight w:val="0"/>
          <w:marTop w:val="0"/>
          <w:marBottom w:val="0"/>
          <w:divBdr>
            <w:top w:val="none" w:sz="0" w:space="0" w:color="auto"/>
            <w:left w:val="none" w:sz="0" w:space="0" w:color="auto"/>
            <w:bottom w:val="none" w:sz="0" w:space="0" w:color="auto"/>
            <w:right w:val="none" w:sz="0" w:space="0" w:color="auto"/>
          </w:divBdr>
        </w:div>
        <w:div w:id="904339250">
          <w:marLeft w:val="446"/>
          <w:marRight w:val="0"/>
          <w:marTop w:val="0"/>
          <w:marBottom w:val="0"/>
          <w:divBdr>
            <w:top w:val="none" w:sz="0" w:space="0" w:color="auto"/>
            <w:left w:val="none" w:sz="0" w:space="0" w:color="auto"/>
            <w:bottom w:val="none" w:sz="0" w:space="0" w:color="auto"/>
            <w:right w:val="none" w:sz="0" w:space="0" w:color="auto"/>
          </w:divBdr>
        </w:div>
      </w:divsChild>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pattanaik.mr@gov.in" TargetMode="External"/><Relationship Id="rId1" Type="http://schemas.openxmlformats.org/officeDocument/2006/relationships/hyperlink" Target="mailto:chengfenhong@chinasat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D9B8-3026-428A-8EF9-1A0D6E58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9428</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2021-11-22T03:57:00Z</dcterms:created>
  <dcterms:modified xsi:type="dcterms:W3CDTF">2021-11-22T03:57:00Z</dcterms:modified>
</cp:coreProperties>
</file>