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A3A8E" w:rsidRPr="00891D0B" w14:paraId="76233D48" w14:textId="77777777" w:rsidTr="007227C6">
        <w:trPr>
          <w:cantSplit/>
          <w:trHeight w:val="288"/>
        </w:trPr>
        <w:tc>
          <w:tcPr>
            <w:tcW w:w="1399" w:type="dxa"/>
            <w:vMerge w:val="restart"/>
          </w:tcPr>
          <w:p w14:paraId="2727EE4C" w14:textId="4E5F9DC4" w:rsidR="009A3A8E" w:rsidRPr="00891D0B" w:rsidRDefault="009A3A8E" w:rsidP="009A3A8E">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534481D" wp14:editId="01BF4732">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Pr>
          <w:p w14:paraId="41EDA5A9" w14:textId="02017E3F" w:rsidR="009A3A8E" w:rsidRPr="00891D0B" w:rsidRDefault="009A3A8E" w:rsidP="009A3A8E">
            <w:pPr>
              <w:spacing w:before="40"/>
              <w:rPr>
                <w:sz w:val="22"/>
                <w:szCs w:val="22"/>
              </w:rPr>
            </w:pPr>
            <w:r>
              <w:rPr>
                <w:sz w:val="22"/>
                <w:szCs w:val="22"/>
              </w:rPr>
              <w:t>ASIA-PACIFIC TELECOMMUNITY</w:t>
            </w:r>
          </w:p>
        </w:tc>
        <w:tc>
          <w:tcPr>
            <w:tcW w:w="2160" w:type="dxa"/>
          </w:tcPr>
          <w:p w14:paraId="54F92C3F" w14:textId="6984D0E8" w:rsidR="009A3A8E" w:rsidRPr="00891D0B" w:rsidRDefault="009A3A8E" w:rsidP="009A3A8E">
            <w:pPr>
              <w:pStyle w:val="Heading8"/>
              <w:spacing w:before="40"/>
              <w:rPr>
                <w:sz w:val="24"/>
                <w:szCs w:val="24"/>
              </w:rPr>
            </w:pPr>
            <w:r>
              <w:rPr>
                <w:sz w:val="24"/>
                <w:szCs w:val="24"/>
              </w:rPr>
              <w:t>Document No:</w:t>
            </w:r>
          </w:p>
        </w:tc>
      </w:tr>
      <w:tr w:rsidR="009A3A8E" w:rsidRPr="007E1FDD" w14:paraId="4E0C18FD" w14:textId="77777777" w:rsidTr="00FF7910">
        <w:trPr>
          <w:cantSplit/>
          <w:trHeight w:val="504"/>
        </w:trPr>
        <w:tc>
          <w:tcPr>
            <w:tcW w:w="1399" w:type="dxa"/>
            <w:vMerge/>
            <w:vAlign w:val="center"/>
          </w:tcPr>
          <w:p w14:paraId="40F2EF8A" w14:textId="77777777" w:rsidR="009A3A8E" w:rsidRPr="00891D0B" w:rsidRDefault="009A3A8E" w:rsidP="009A3A8E"/>
        </w:tc>
        <w:tc>
          <w:tcPr>
            <w:tcW w:w="5760" w:type="dxa"/>
            <w:vAlign w:val="center"/>
          </w:tcPr>
          <w:p w14:paraId="42DC48B1" w14:textId="28075AA1" w:rsidR="009A3A8E" w:rsidRPr="00891D0B" w:rsidRDefault="009A3A8E" w:rsidP="009A3A8E">
            <w:pPr>
              <w:spacing w:before="40"/>
            </w:pPr>
            <w:r>
              <w:rPr>
                <w:b/>
              </w:rPr>
              <w:t>The 3rd Meeting of the APT Conference Preparatory Group for WRC-23 (APG23-3)</w:t>
            </w:r>
          </w:p>
        </w:tc>
        <w:tc>
          <w:tcPr>
            <w:tcW w:w="2160" w:type="dxa"/>
          </w:tcPr>
          <w:p w14:paraId="3D2C8DAF" w14:textId="4152E1F1" w:rsidR="009A3A8E" w:rsidRPr="008C56B6" w:rsidRDefault="009A3A8E" w:rsidP="009A3A8E">
            <w:pPr>
              <w:spacing w:before="40"/>
              <w:rPr>
                <w:rFonts w:cs="Angsana New"/>
                <w:b/>
                <w:bCs/>
                <w:szCs w:val="30"/>
                <w:lang w:bidi="th-TH"/>
              </w:rPr>
            </w:pPr>
            <w:r>
              <w:rPr>
                <w:b/>
                <w:bCs/>
                <w:lang w:val="fr-FR"/>
              </w:rPr>
              <w:t>APG23-3/OUT-32</w:t>
            </w:r>
          </w:p>
          <w:p w14:paraId="25ABE20F" w14:textId="77777777" w:rsidR="009A3A8E" w:rsidRPr="007E1FDD" w:rsidRDefault="009A3A8E" w:rsidP="009A3A8E">
            <w:pPr>
              <w:rPr>
                <w:b/>
                <w:bCs/>
                <w:lang w:val="en-GB"/>
              </w:rPr>
            </w:pPr>
          </w:p>
        </w:tc>
      </w:tr>
      <w:tr w:rsidR="009A3A8E" w:rsidRPr="007E1FDD" w14:paraId="28A5A999" w14:textId="77777777" w:rsidTr="00FF7910">
        <w:trPr>
          <w:cantSplit/>
          <w:trHeight w:val="288"/>
        </w:trPr>
        <w:tc>
          <w:tcPr>
            <w:tcW w:w="1399" w:type="dxa"/>
            <w:vMerge/>
            <w:vAlign w:val="center"/>
          </w:tcPr>
          <w:p w14:paraId="41277CF3" w14:textId="77777777" w:rsidR="009A3A8E" w:rsidRPr="007E1FDD" w:rsidRDefault="009A3A8E" w:rsidP="009A3A8E">
            <w:pPr>
              <w:rPr>
                <w:lang w:val="en-GB"/>
              </w:rPr>
            </w:pPr>
          </w:p>
        </w:tc>
        <w:tc>
          <w:tcPr>
            <w:tcW w:w="5760" w:type="dxa"/>
            <w:vAlign w:val="bottom"/>
          </w:tcPr>
          <w:p w14:paraId="22F1445B" w14:textId="614EB18B" w:rsidR="009A3A8E" w:rsidRPr="00712451" w:rsidRDefault="009A3A8E" w:rsidP="009A3A8E">
            <w:pPr>
              <w:spacing w:before="40"/>
              <w:rPr>
                <w:b/>
              </w:rPr>
            </w:pPr>
            <w:r>
              <w:t xml:space="preserve">8 – 13 November 2021, </w:t>
            </w:r>
            <w:r>
              <w:rPr>
                <w:bCs/>
              </w:rPr>
              <w:t>Virtual/Online Meeting</w:t>
            </w:r>
          </w:p>
        </w:tc>
        <w:tc>
          <w:tcPr>
            <w:tcW w:w="2160" w:type="dxa"/>
            <w:vAlign w:val="bottom"/>
          </w:tcPr>
          <w:p w14:paraId="1CD814E0" w14:textId="08AAB55C" w:rsidR="009A3A8E" w:rsidRPr="007E1FDD" w:rsidRDefault="009A3A8E" w:rsidP="009A3A8E">
            <w:pPr>
              <w:spacing w:before="40"/>
              <w:rPr>
                <w:bCs/>
              </w:rPr>
            </w:pPr>
            <w:r>
              <w:rPr>
                <w:bCs/>
              </w:rPr>
              <w:t>13 November 2021</w:t>
            </w:r>
          </w:p>
        </w:tc>
      </w:tr>
    </w:tbl>
    <w:p w14:paraId="116F36A0" w14:textId="77777777" w:rsidR="00311E8A" w:rsidRDefault="00311E8A" w:rsidP="000234EE">
      <w:pPr>
        <w:rPr>
          <w:lang w:val="en-NZ"/>
        </w:rPr>
      </w:pPr>
    </w:p>
    <w:p w14:paraId="7F9DCD25" w14:textId="77777777" w:rsidR="000234EE" w:rsidRPr="009A3A8E" w:rsidRDefault="000234EE" w:rsidP="00B64A60">
      <w:pPr>
        <w:jc w:val="center"/>
        <w:rPr>
          <w:lang w:val="en-NZ" w:eastAsia="ko-KR"/>
        </w:rPr>
      </w:pPr>
    </w:p>
    <w:p w14:paraId="728F5FE7" w14:textId="440A43D9" w:rsidR="00B64A60" w:rsidRPr="009A3A8E" w:rsidRDefault="00D05E7E" w:rsidP="00B64A60">
      <w:pPr>
        <w:jc w:val="center"/>
        <w:rPr>
          <w:lang w:val="en-NZ" w:eastAsia="ko-KR"/>
        </w:rPr>
      </w:pPr>
      <w:r w:rsidRPr="009A3A8E">
        <w:rPr>
          <w:lang w:val="en-NZ" w:eastAsia="ko-KR"/>
        </w:rPr>
        <w:t>Working Party 4</w:t>
      </w:r>
    </w:p>
    <w:p w14:paraId="015F2193" w14:textId="77777777" w:rsidR="00B64A60" w:rsidRPr="002A0111" w:rsidRDefault="00B64A60" w:rsidP="00B64A60">
      <w:pPr>
        <w:jc w:val="center"/>
        <w:rPr>
          <w:bCs/>
          <w:caps/>
          <w:lang w:val="en-NZ"/>
        </w:rPr>
      </w:pPr>
    </w:p>
    <w:p w14:paraId="3997B33C" w14:textId="418811D6"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12140">
        <w:rPr>
          <w:b/>
          <w:bCs/>
          <w:caps/>
          <w:lang w:val="en-NZ"/>
        </w:rPr>
        <w:t>19</w:t>
      </w:r>
    </w:p>
    <w:p w14:paraId="4D7AFAA3" w14:textId="77777777" w:rsidR="00B64A60" w:rsidRPr="00441526" w:rsidRDefault="00B64A60" w:rsidP="00264566">
      <w:pPr>
        <w:spacing w:after="120"/>
        <w:rPr>
          <w:lang w:val="en-NZ"/>
        </w:rPr>
      </w:pPr>
    </w:p>
    <w:p w14:paraId="01EE14DD" w14:textId="19A52082" w:rsidR="002A0111" w:rsidRPr="00441526" w:rsidRDefault="002A0111" w:rsidP="002A0111">
      <w:pPr>
        <w:spacing w:after="120"/>
        <w:jc w:val="both"/>
        <w:rPr>
          <w:lang w:val="en-NZ"/>
        </w:rPr>
      </w:pPr>
      <w:r w:rsidRPr="00441526">
        <w:rPr>
          <w:b/>
          <w:lang w:val="en-NZ"/>
        </w:rPr>
        <w:t>Agenda Item 1.</w:t>
      </w:r>
      <w:r w:rsidR="00BA2314">
        <w:rPr>
          <w:b/>
          <w:lang w:val="en-NZ"/>
        </w:rPr>
        <w:t>19</w:t>
      </w:r>
      <w:r w:rsidRPr="00441526">
        <w:rPr>
          <w:b/>
          <w:lang w:val="en-NZ"/>
        </w:rPr>
        <w:t xml:space="preserve">: </w:t>
      </w:r>
    </w:p>
    <w:p w14:paraId="274FCE8A" w14:textId="74A7A73C" w:rsidR="0083012B" w:rsidRPr="00441526" w:rsidRDefault="0012124C" w:rsidP="002A0111">
      <w:pPr>
        <w:spacing w:after="120"/>
        <w:jc w:val="both"/>
        <w:rPr>
          <w:i/>
          <w:lang w:val="en-NZ"/>
        </w:rPr>
      </w:pPr>
      <w:r w:rsidRPr="0012124C">
        <w:rPr>
          <w:i/>
          <w:lang w:val="en-NZ"/>
        </w:rPr>
        <w:t xml:space="preserve">to consider a new primary allocation to the fixed-satellite service in the space-to-Earth direction in the frequency band 17.3-17.7 GHz in Region 2, while protecting existing primary services in the band, in accordance with Resolution </w:t>
      </w:r>
      <w:r w:rsidRPr="00906F27">
        <w:rPr>
          <w:b/>
          <w:bCs/>
          <w:i/>
          <w:lang w:val="en-NZ"/>
        </w:rPr>
        <w:t>174 (WRC 19).</w:t>
      </w:r>
      <w:r w:rsidRPr="0012124C">
        <w:rPr>
          <w:i/>
          <w:lang w:val="en-NZ"/>
        </w:rPr>
        <w:t xml:space="preserve"> </w:t>
      </w:r>
    </w:p>
    <w:p w14:paraId="7A5064FD" w14:textId="77777777" w:rsidR="002A0111" w:rsidRPr="00441526" w:rsidRDefault="002A0111" w:rsidP="002A0111">
      <w:pPr>
        <w:jc w:val="both"/>
        <w:rPr>
          <w:lang w:val="en-NZ"/>
        </w:rPr>
      </w:pPr>
    </w:p>
    <w:p w14:paraId="793F3485"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A9A08E5" w14:textId="1787892A" w:rsidR="00C3314D" w:rsidRPr="00906F27" w:rsidRDefault="00C3314D" w:rsidP="00906F27">
      <w:pPr>
        <w:jc w:val="both"/>
        <w:rPr>
          <w:lang w:val="en-NZ"/>
        </w:rPr>
      </w:pPr>
      <w:r w:rsidRPr="00906F27">
        <w:rPr>
          <w:lang w:val="en-NZ"/>
        </w:rPr>
        <w:t xml:space="preserve">WRC-23 agenda item 1.19, in accordance with Resolution </w:t>
      </w:r>
      <w:r w:rsidRPr="00746576">
        <w:rPr>
          <w:b/>
          <w:bCs/>
          <w:lang w:val="en-NZ"/>
        </w:rPr>
        <w:t>174 (WRC-19)</w:t>
      </w:r>
      <w:r w:rsidRPr="00906F27">
        <w:rPr>
          <w:lang w:val="en-NZ"/>
        </w:rPr>
        <w:t xml:space="preserve">, invites ITU-R Sector to conduct, and complete in time for WRC-23, sharing and compatibility studies between the </w:t>
      </w:r>
      <w:bookmarkStart w:id="0" w:name="_Hlk65488639"/>
      <w:r w:rsidRPr="00906F27">
        <w:rPr>
          <w:lang w:val="en-NZ"/>
        </w:rPr>
        <w:t xml:space="preserve">FSS (space-to-Earth) </w:t>
      </w:r>
      <w:bookmarkEnd w:id="0"/>
      <w:r w:rsidRPr="00906F27">
        <w:rPr>
          <w:lang w:val="en-NZ"/>
        </w:rPr>
        <w:t xml:space="preserve">and the BSS </w:t>
      </w:r>
      <w:bookmarkStart w:id="1" w:name="_Hlk65488656"/>
      <w:r w:rsidRPr="00906F27">
        <w:rPr>
          <w:lang w:val="en-NZ"/>
        </w:rPr>
        <w:t xml:space="preserve">(space-to-Earth) </w:t>
      </w:r>
      <w:bookmarkEnd w:id="1"/>
      <w:r w:rsidRPr="00906F27">
        <w:rPr>
          <w:lang w:val="en-NZ"/>
        </w:rPr>
        <w:t xml:space="preserve">and between the </w:t>
      </w:r>
      <w:bookmarkStart w:id="2" w:name="_Hlk65488683"/>
      <w:r w:rsidRPr="00906F27">
        <w:rPr>
          <w:lang w:val="en-NZ"/>
        </w:rPr>
        <w:t>FSS (space-to-Earth) and the FSS (Earth-to-space)</w:t>
      </w:r>
      <w:bookmarkEnd w:id="2"/>
      <w:r w:rsidRPr="00906F27">
        <w:rPr>
          <w:lang w:val="en-NZ"/>
        </w:rPr>
        <w:t>, in order to consider a possible new primary allocation to the FSS (space-to-Earth) in the frequency band 17.3-17.7 GHz for Region 2, while ensuring the protection of existing primary allocations in the same and adjacent frequency bands, as appropriate, and without imposing any additional constraints on existing allocations to the BSS (space-to-Earth) and the FSS (Earth-to-space).</w:t>
      </w:r>
    </w:p>
    <w:p w14:paraId="26473FF6" w14:textId="77777777" w:rsidR="00906F27" w:rsidRPr="00906F27" w:rsidRDefault="00906F27" w:rsidP="00906F27">
      <w:pPr>
        <w:jc w:val="both"/>
        <w:rPr>
          <w:lang w:val="en-NZ"/>
        </w:rPr>
      </w:pPr>
    </w:p>
    <w:p w14:paraId="3A3ABA63" w14:textId="2C163F67" w:rsidR="002A0111" w:rsidRDefault="002A0111" w:rsidP="00906F27">
      <w:pPr>
        <w:jc w:val="both"/>
        <w:rPr>
          <w:lang w:val="en-NZ"/>
        </w:rPr>
      </w:pPr>
      <w:r w:rsidRPr="00441526">
        <w:rPr>
          <w:lang w:val="en-NZ"/>
        </w:rPr>
        <w:t>Progress of ITU-R on</w:t>
      </w:r>
      <w:r w:rsidR="00FF4D9E">
        <w:rPr>
          <w:lang w:val="en-NZ"/>
        </w:rPr>
        <w:t>-</w:t>
      </w:r>
      <w:r w:rsidRPr="00441526">
        <w:rPr>
          <w:lang w:val="en-NZ"/>
        </w:rPr>
        <w:t>going studies</w:t>
      </w:r>
      <w:r w:rsidR="00906F27">
        <w:rPr>
          <w:lang w:val="en-NZ"/>
        </w:rPr>
        <w:t>:</w:t>
      </w:r>
    </w:p>
    <w:p w14:paraId="0FF4E2DB" w14:textId="77777777" w:rsidR="00C616D9" w:rsidRPr="00C616D9" w:rsidRDefault="00C616D9" w:rsidP="00746576">
      <w:pPr>
        <w:pStyle w:val="ListParagraph"/>
        <w:numPr>
          <w:ilvl w:val="0"/>
          <w:numId w:val="33"/>
        </w:numPr>
        <w:spacing w:after="120"/>
        <w:ind w:left="426" w:hanging="357"/>
        <w:jc w:val="both"/>
        <w:rPr>
          <w:lang w:val="en-NZ"/>
        </w:rPr>
      </w:pPr>
      <w:r w:rsidRPr="00C616D9">
        <w:rPr>
          <w:lang w:val="en-NZ"/>
        </w:rPr>
        <w:t xml:space="preserve">In accordance with Resolution </w:t>
      </w:r>
      <w:r w:rsidRPr="00746576">
        <w:rPr>
          <w:b/>
          <w:bCs/>
          <w:lang w:val="en-NZ"/>
        </w:rPr>
        <w:t>174 (WRC-19)</w:t>
      </w:r>
      <w:r w:rsidRPr="00C616D9">
        <w:rPr>
          <w:lang w:val="en-NZ"/>
        </w:rPr>
        <w:t>, the sharing and studies of WRC-23 Agenda Item 1.19 have to be done with the existing services in the frequency band 17.3-17.7 GHz; Fixed Satellite Service (Earth-to-space) and Broadcasting Satellite Service (space-to-Earth), and the existing services in adjacent frequency bands; FSS – Earth Station Receive, BSS Feeder Link AP</w:t>
      </w:r>
      <w:r w:rsidRPr="00746576">
        <w:rPr>
          <w:b/>
          <w:bCs/>
          <w:lang w:val="en-NZ"/>
        </w:rPr>
        <w:t>30A</w:t>
      </w:r>
      <w:r w:rsidRPr="00C616D9">
        <w:rPr>
          <w:lang w:val="en-NZ"/>
        </w:rPr>
        <w:t xml:space="preserve"> – Space Station Receive, BSS - Earth Station Receive, Earth Exploration Satellite Service (active), Space Research Service (active), Radiolocation, Fixed Service, and Mobile Service.</w:t>
      </w:r>
    </w:p>
    <w:p w14:paraId="155B5699" w14:textId="2EF7E746" w:rsidR="009A3B7C" w:rsidRDefault="009A3B7C" w:rsidP="00746576">
      <w:pPr>
        <w:pStyle w:val="ListParagraph"/>
        <w:numPr>
          <w:ilvl w:val="0"/>
          <w:numId w:val="33"/>
        </w:numPr>
        <w:spacing w:after="120"/>
        <w:ind w:left="426" w:hanging="357"/>
        <w:jc w:val="both"/>
        <w:rPr>
          <w:rFonts w:cstheme="minorHAnsi"/>
        </w:rPr>
      </w:pPr>
      <w:r>
        <w:rPr>
          <w:rFonts w:cstheme="minorHAnsi"/>
        </w:rPr>
        <w:t xml:space="preserve">Updates and discussions on the </w:t>
      </w:r>
      <w:r w:rsidR="00F80EA7">
        <w:rPr>
          <w:rFonts w:cstheme="minorHAnsi"/>
        </w:rPr>
        <w:t>study of WRC-23 agenda item 1.19</w:t>
      </w:r>
      <w:r>
        <w:rPr>
          <w:rFonts w:cstheme="minorHAnsi"/>
        </w:rPr>
        <w:t xml:space="preserve"> in the 5</w:t>
      </w:r>
      <w:r>
        <w:rPr>
          <w:rFonts w:cstheme="minorHAnsi"/>
          <w:vertAlign w:val="superscript"/>
        </w:rPr>
        <w:t>th</w:t>
      </w:r>
      <w:r>
        <w:rPr>
          <w:rFonts w:cstheme="minorHAnsi"/>
        </w:rPr>
        <w:t xml:space="preserve"> </w:t>
      </w:r>
      <w:r w:rsidRPr="000F5A4E">
        <w:rPr>
          <w:rFonts w:cstheme="minorHAnsi"/>
        </w:rPr>
        <w:t>Working Party (WP) 4A</w:t>
      </w:r>
      <w:r>
        <w:rPr>
          <w:rFonts w:cstheme="minorHAnsi"/>
        </w:rPr>
        <w:t xml:space="preserve"> meetings</w:t>
      </w:r>
      <w:r w:rsidR="003B51AF">
        <w:rPr>
          <w:rFonts w:cstheme="minorHAnsi"/>
        </w:rPr>
        <w:t xml:space="preserve"> (October/November 2021)</w:t>
      </w:r>
      <w:r>
        <w:rPr>
          <w:rFonts w:cstheme="minorHAnsi"/>
        </w:rPr>
        <w:t xml:space="preserve"> related to:</w:t>
      </w:r>
    </w:p>
    <w:p w14:paraId="6C15E26D" w14:textId="4667832B" w:rsidR="009A3B7C" w:rsidRDefault="0011061B" w:rsidP="00746576">
      <w:pPr>
        <w:numPr>
          <w:ilvl w:val="1"/>
          <w:numId w:val="33"/>
        </w:numPr>
        <w:spacing w:after="120"/>
        <w:ind w:left="851" w:hanging="357"/>
        <w:jc w:val="both"/>
        <w:textAlignment w:val="baseline"/>
        <w:rPr>
          <w:rFonts w:cstheme="minorHAnsi"/>
        </w:rPr>
      </w:pPr>
      <w:r>
        <w:rPr>
          <w:rFonts w:cstheme="minorHAnsi"/>
        </w:rPr>
        <w:t>S</w:t>
      </w:r>
      <w:r w:rsidR="009A3B7C">
        <w:rPr>
          <w:rFonts w:cstheme="minorHAnsi"/>
        </w:rPr>
        <w:t xml:space="preserve">haring study between </w:t>
      </w:r>
      <w:r w:rsidR="009A3B7C" w:rsidRPr="00571654">
        <w:rPr>
          <w:rFonts w:cstheme="minorHAnsi"/>
        </w:rPr>
        <w:t>GSO FSS - Space Station Transmit</w:t>
      </w:r>
      <w:r w:rsidR="009A3B7C">
        <w:rPr>
          <w:rFonts w:cstheme="minorHAnsi"/>
        </w:rPr>
        <w:t xml:space="preserve"> and Fixed service.</w:t>
      </w:r>
    </w:p>
    <w:p w14:paraId="1E9C6E4E" w14:textId="65D7D7AE" w:rsidR="009A3B7C" w:rsidRDefault="009A3B7C" w:rsidP="00746576">
      <w:pPr>
        <w:numPr>
          <w:ilvl w:val="1"/>
          <w:numId w:val="33"/>
        </w:numPr>
        <w:spacing w:after="120"/>
        <w:ind w:left="851" w:hanging="357"/>
        <w:jc w:val="both"/>
        <w:textAlignment w:val="baseline"/>
        <w:rPr>
          <w:rFonts w:cstheme="minorHAnsi"/>
        </w:rPr>
      </w:pPr>
      <w:r>
        <w:rPr>
          <w:rFonts w:cstheme="minorHAnsi"/>
        </w:rPr>
        <w:t xml:space="preserve">Sharing study between </w:t>
      </w:r>
      <w:r w:rsidRPr="002B139D">
        <w:rPr>
          <w:rFonts w:cstheme="minorHAnsi"/>
        </w:rPr>
        <w:t>Non-GSO FSS - Space Station Transmit</w:t>
      </w:r>
      <w:r>
        <w:rPr>
          <w:rFonts w:cstheme="minorHAnsi"/>
        </w:rPr>
        <w:t xml:space="preserve"> and Fixed service.</w:t>
      </w:r>
    </w:p>
    <w:p w14:paraId="72405FCE" w14:textId="5A67BEC4" w:rsidR="009A3B7C" w:rsidRDefault="009A3B7C" w:rsidP="00746576">
      <w:pPr>
        <w:numPr>
          <w:ilvl w:val="1"/>
          <w:numId w:val="33"/>
        </w:numPr>
        <w:spacing w:after="120"/>
        <w:ind w:left="851" w:hanging="357"/>
        <w:jc w:val="both"/>
        <w:textAlignment w:val="baseline"/>
        <w:rPr>
          <w:rFonts w:cstheme="minorHAnsi"/>
        </w:rPr>
      </w:pPr>
      <w:r>
        <w:rPr>
          <w:rFonts w:cstheme="minorHAnsi"/>
        </w:rPr>
        <w:t xml:space="preserve">Sharing study between </w:t>
      </w:r>
      <w:r w:rsidRPr="003B376D">
        <w:rPr>
          <w:rFonts w:cstheme="minorHAnsi"/>
        </w:rPr>
        <w:t>Non-GSO FSS - Space Station Transmit</w:t>
      </w:r>
      <w:r>
        <w:rPr>
          <w:rFonts w:cstheme="minorHAnsi"/>
        </w:rPr>
        <w:t xml:space="preserve"> and Mobile service.</w:t>
      </w:r>
    </w:p>
    <w:p w14:paraId="590E3F44" w14:textId="5570904E" w:rsidR="008E579E" w:rsidRDefault="00A02568" w:rsidP="00746576">
      <w:pPr>
        <w:numPr>
          <w:ilvl w:val="1"/>
          <w:numId w:val="33"/>
        </w:numPr>
        <w:spacing w:after="120"/>
        <w:ind w:left="851" w:hanging="357"/>
        <w:jc w:val="both"/>
        <w:textAlignment w:val="baseline"/>
        <w:rPr>
          <w:rFonts w:cstheme="minorHAnsi"/>
        </w:rPr>
      </w:pPr>
      <w:r>
        <w:rPr>
          <w:rFonts w:cstheme="minorHAnsi"/>
        </w:rPr>
        <w:t>Proposed</w:t>
      </w:r>
      <w:r w:rsidR="008E579E" w:rsidRPr="008E579E">
        <w:rPr>
          <w:rFonts w:cstheme="minorHAnsi"/>
        </w:rPr>
        <w:t xml:space="preserve"> methods to satisfy </w:t>
      </w:r>
      <w:r w:rsidR="008E579E">
        <w:rPr>
          <w:rFonts w:cstheme="minorHAnsi"/>
        </w:rPr>
        <w:t xml:space="preserve">WRC-23 </w:t>
      </w:r>
      <w:r w:rsidR="008E579E" w:rsidRPr="008E579E">
        <w:rPr>
          <w:rFonts w:cstheme="minorHAnsi"/>
        </w:rPr>
        <w:t>agenda item 1.19</w:t>
      </w:r>
      <w:r w:rsidR="00FA1B46">
        <w:rPr>
          <w:rFonts w:cstheme="minorHAnsi"/>
        </w:rPr>
        <w:t xml:space="preserve"> in the </w:t>
      </w:r>
      <w:r w:rsidR="00C77BDB">
        <w:rPr>
          <w:rFonts w:cstheme="minorHAnsi"/>
        </w:rPr>
        <w:t>“</w:t>
      </w:r>
      <w:r w:rsidR="00C77BDB" w:rsidRPr="00C77BDB">
        <w:rPr>
          <w:rFonts w:cstheme="minorHAnsi"/>
          <w:i/>
          <w:iCs/>
        </w:rPr>
        <w:t>Working Document towards a Draft CPM Text for WRC-23 Agenda Item 1.19</w:t>
      </w:r>
      <w:r w:rsidR="00C77BDB">
        <w:rPr>
          <w:rFonts w:cstheme="minorHAnsi"/>
        </w:rPr>
        <w:t>”</w:t>
      </w:r>
      <w:r w:rsidR="00EA0206">
        <w:rPr>
          <w:rFonts w:cstheme="minorHAnsi"/>
        </w:rPr>
        <w:t>.</w:t>
      </w:r>
    </w:p>
    <w:p w14:paraId="4E93924D" w14:textId="28037059" w:rsidR="002A0111" w:rsidRDefault="002A0111" w:rsidP="00720CFF">
      <w:pPr>
        <w:ind w:left="708"/>
        <w:jc w:val="both"/>
        <w:rPr>
          <w:lang w:val="en-NZ"/>
        </w:rPr>
      </w:pPr>
    </w:p>
    <w:p w14:paraId="26F9D6CF" w14:textId="59B279D2" w:rsidR="00A6038F" w:rsidRDefault="00A6038F" w:rsidP="00720CFF">
      <w:pPr>
        <w:ind w:left="708"/>
        <w:jc w:val="both"/>
        <w:rPr>
          <w:lang w:val="en-NZ"/>
        </w:rPr>
      </w:pPr>
    </w:p>
    <w:p w14:paraId="2EF85717" w14:textId="77777777" w:rsidR="00A6038F" w:rsidRPr="00441526" w:rsidRDefault="00A6038F" w:rsidP="00720CFF">
      <w:pPr>
        <w:ind w:left="708"/>
        <w:jc w:val="both"/>
        <w:rPr>
          <w:lang w:val="en-NZ"/>
        </w:rPr>
      </w:pPr>
    </w:p>
    <w:p w14:paraId="0E6067AC" w14:textId="77777777" w:rsidR="002A0111" w:rsidRPr="00441526" w:rsidRDefault="002A0111" w:rsidP="00746576">
      <w:pPr>
        <w:spacing w:after="120"/>
        <w:ind w:left="709" w:hanging="709"/>
        <w:jc w:val="both"/>
        <w:rPr>
          <w:b/>
          <w:lang w:val="en-NZ" w:eastAsia="ko-KR"/>
        </w:rPr>
      </w:pPr>
      <w:r w:rsidRPr="00441526">
        <w:rPr>
          <w:b/>
          <w:lang w:val="en-NZ" w:eastAsia="ko-KR"/>
        </w:rPr>
        <w:lastRenderedPageBreak/>
        <w:t xml:space="preserve">2. </w:t>
      </w:r>
      <w:r w:rsidRPr="00441526">
        <w:rPr>
          <w:b/>
          <w:lang w:val="en-NZ" w:eastAsia="ko-KR"/>
        </w:rPr>
        <w:tab/>
        <w:t>Documents</w:t>
      </w:r>
    </w:p>
    <w:p w14:paraId="1F328A19" w14:textId="33CCFAA8" w:rsidR="00F57D76" w:rsidRPr="00746576" w:rsidRDefault="002A0111" w:rsidP="00746576">
      <w:pPr>
        <w:numPr>
          <w:ilvl w:val="0"/>
          <w:numId w:val="18"/>
        </w:numPr>
        <w:ind w:leftChars="145" w:left="708"/>
        <w:jc w:val="both"/>
        <w:rPr>
          <w:rStyle w:val="Hyperlink"/>
          <w:color w:val="auto"/>
          <w:u w:val="none"/>
          <w:lang w:val="en-NZ"/>
        </w:rPr>
      </w:pPr>
      <w:r w:rsidRPr="00441526">
        <w:rPr>
          <w:lang w:val="en-NZ"/>
        </w:rPr>
        <w:t>Input Documents</w:t>
      </w:r>
      <w:r w:rsidR="001B6400">
        <w:rPr>
          <w:lang w:val="en-NZ"/>
        </w:rPr>
        <w:t>:</w:t>
      </w:r>
      <w:r w:rsidRPr="00441526">
        <w:rPr>
          <w:lang w:val="en-NZ"/>
        </w:rPr>
        <w:t xml:space="preserve"> APG</w:t>
      </w:r>
      <w:r w:rsidR="00822B33">
        <w:rPr>
          <w:lang w:val="en-NZ"/>
        </w:rPr>
        <w:t>23</w:t>
      </w:r>
      <w:r w:rsidRPr="00441526">
        <w:rPr>
          <w:lang w:val="en-NZ"/>
        </w:rPr>
        <w:t>-</w:t>
      </w:r>
      <w:r w:rsidR="001B6400">
        <w:rPr>
          <w:lang w:val="en-NZ"/>
        </w:rPr>
        <w:t>3</w:t>
      </w:r>
      <w:r w:rsidRPr="00441526">
        <w:rPr>
          <w:lang w:val="en-NZ"/>
        </w:rPr>
        <w:t>/</w:t>
      </w:r>
      <w:r w:rsidR="00F57D76">
        <w:rPr>
          <w:lang w:val="en-NZ"/>
        </w:rPr>
        <w:t xml:space="preserve"> </w:t>
      </w:r>
      <w:hyperlink r:id="rId9" w:tgtFrame="_blank" w:history="1">
        <w:r w:rsidR="00F57D76" w:rsidRPr="00F57D76">
          <w:rPr>
            <w:rStyle w:val="Hyperlink"/>
            <w:rFonts w:eastAsia="MS Mincho"/>
            <w:bCs/>
            <w:lang w:val="en-NZ" w:eastAsia="ja-JP"/>
          </w:rPr>
          <w:t>INP-10</w:t>
        </w:r>
      </w:hyperlink>
      <w:r w:rsidR="00F57D76" w:rsidRPr="00F57D76">
        <w:rPr>
          <w:rStyle w:val="Hyperlink"/>
          <w:rFonts w:eastAsia="MS Mincho"/>
          <w:bCs/>
          <w:u w:val="none"/>
          <w:lang w:val="en-NZ" w:eastAsia="ja-JP"/>
        </w:rPr>
        <w:t xml:space="preserve"> </w:t>
      </w:r>
      <w:r w:rsidR="00F57D76" w:rsidRPr="00F57D76">
        <w:rPr>
          <w:rStyle w:val="Hyperlink"/>
          <w:rFonts w:eastAsia="MS Mincho"/>
          <w:bCs/>
          <w:color w:val="auto"/>
          <w:u w:val="none"/>
          <w:lang w:val="en-NZ" w:eastAsia="ja-JP"/>
        </w:rPr>
        <w:t xml:space="preserve">(AUS), </w:t>
      </w:r>
      <w:hyperlink r:id="rId10" w:tgtFrame="_blank" w:history="1">
        <w:r w:rsidR="00F57D76" w:rsidRPr="00F57D76">
          <w:rPr>
            <w:rStyle w:val="Hyperlink"/>
            <w:rFonts w:eastAsia="MS Mincho"/>
            <w:bCs/>
            <w:lang w:val="en-NZ" w:eastAsia="ja-JP"/>
          </w:rPr>
          <w:t>INP-31</w:t>
        </w:r>
      </w:hyperlink>
      <w:r w:rsidR="00F57D76" w:rsidRPr="00F57D76">
        <w:rPr>
          <w:rStyle w:val="Hyperlink"/>
          <w:rFonts w:eastAsia="MS Mincho"/>
          <w:bCs/>
          <w:u w:val="none"/>
          <w:lang w:val="en-NZ" w:eastAsia="ja-JP"/>
        </w:rPr>
        <w:t xml:space="preserve"> </w:t>
      </w:r>
      <w:r w:rsidR="00F57D76" w:rsidRPr="00F57D76">
        <w:rPr>
          <w:rStyle w:val="Hyperlink"/>
          <w:rFonts w:eastAsia="MS Mincho"/>
          <w:bCs/>
          <w:color w:val="auto"/>
          <w:u w:val="none"/>
          <w:lang w:val="en-NZ" w:eastAsia="ja-JP"/>
        </w:rPr>
        <w:t xml:space="preserve">(J), </w:t>
      </w:r>
      <w:hyperlink r:id="rId11" w:tgtFrame="_blank" w:history="1">
        <w:r w:rsidR="00F57D76" w:rsidRPr="00F57D76">
          <w:rPr>
            <w:rStyle w:val="Hyperlink"/>
            <w:rFonts w:eastAsia="MS Mincho"/>
            <w:bCs/>
            <w:lang w:val="en-NZ" w:eastAsia="ja-JP"/>
          </w:rPr>
          <w:t>INP-44</w:t>
        </w:r>
      </w:hyperlink>
      <w:r w:rsidR="00F57D76" w:rsidRPr="00F57D76">
        <w:rPr>
          <w:rStyle w:val="Hyperlink"/>
          <w:rFonts w:eastAsia="MS Mincho"/>
          <w:bCs/>
          <w:color w:val="auto"/>
          <w:u w:val="none"/>
          <w:lang w:val="en-NZ" w:eastAsia="ja-JP"/>
        </w:rPr>
        <w:t xml:space="preserve"> (CHN)</w:t>
      </w:r>
      <w:r w:rsidR="00181DC7">
        <w:rPr>
          <w:rStyle w:val="Hyperlink"/>
          <w:rFonts w:eastAsia="MS Mincho"/>
          <w:bCs/>
          <w:color w:val="auto"/>
          <w:u w:val="none"/>
          <w:lang w:val="en-NZ" w:eastAsia="ja-JP"/>
        </w:rPr>
        <w:t>.</w:t>
      </w:r>
    </w:p>
    <w:p w14:paraId="21F6C782" w14:textId="36E53817" w:rsidR="00C81B48" w:rsidRPr="00C81B48" w:rsidRDefault="002A0111" w:rsidP="00C81B48">
      <w:pPr>
        <w:numPr>
          <w:ilvl w:val="0"/>
          <w:numId w:val="18"/>
        </w:numPr>
        <w:spacing w:after="120"/>
        <w:ind w:leftChars="145" w:left="708"/>
        <w:jc w:val="both"/>
        <w:rPr>
          <w:rStyle w:val="Hyperlink"/>
          <w:color w:val="auto"/>
          <w:u w:val="none"/>
          <w:lang w:val="en-NZ"/>
        </w:rPr>
      </w:pPr>
      <w:r w:rsidRPr="00F57D76">
        <w:rPr>
          <w:lang w:val="en-NZ"/>
        </w:rPr>
        <w:t>I</w:t>
      </w:r>
      <w:r w:rsidRPr="00236389">
        <w:rPr>
          <w:lang w:val="en-NZ"/>
        </w:rPr>
        <w:t>nformation Documents</w:t>
      </w:r>
      <w:r w:rsidR="001B6400">
        <w:rPr>
          <w:lang w:val="en-NZ"/>
        </w:rPr>
        <w:t>:</w:t>
      </w:r>
      <w:r w:rsidRPr="00F57D76">
        <w:rPr>
          <w:lang w:val="en-NZ"/>
        </w:rPr>
        <w:t xml:space="preserve"> APG</w:t>
      </w:r>
      <w:r w:rsidR="00822B33" w:rsidRPr="00236389">
        <w:rPr>
          <w:lang w:val="en-NZ"/>
        </w:rPr>
        <w:t>23</w:t>
      </w:r>
      <w:r w:rsidRPr="00236389">
        <w:rPr>
          <w:lang w:val="en-NZ"/>
        </w:rPr>
        <w:t>-</w:t>
      </w:r>
      <w:r w:rsidR="001B6400" w:rsidRPr="0000243E">
        <w:rPr>
          <w:lang w:val="en-NZ"/>
        </w:rPr>
        <w:t>3</w:t>
      </w:r>
      <w:r w:rsidRPr="001B6400">
        <w:rPr>
          <w:lang w:val="en-NZ"/>
        </w:rPr>
        <w:t>/</w:t>
      </w:r>
      <w:hyperlink r:id="rId12" w:tgtFrame="_blank" w:history="1">
        <w:r w:rsidR="007A1BBC" w:rsidRPr="00236389">
          <w:rPr>
            <w:rStyle w:val="Hyperlink"/>
            <w:rFonts w:eastAsia="MS Mincho"/>
            <w:bCs/>
            <w:lang w:val="en-NZ" w:eastAsia="ja-JP"/>
          </w:rPr>
          <w:t>INF-35</w:t>
        </w:r>
      </w:hyperlink>
      <w:r w:rsidR="007A1BBC" w:rsidRPr="00236389">
        <w:rPr>
          <w:rStyle w:val="Hyperlink"/>
          <w:rFonts w:eastAsia="MS Mincho"/>
          <w:bCs/>
          <w:u w:val="none"/>
          <w:lang w:val="en-NZ" w:eastAsia="ja-JP"/>
        </w:rPr>
        <w:t xml:space="preserve"> </w:t>
      </w:r>
      <w:r w:rsidR="007A1BBC" w:rsidRPr="00236389">
        <w:rPr>
          <w:rStyle w:val="Hyperlink"/>
          <w:rFonts w:eastAsia="MS Mincho"/>
          <w:bCs/>
          <w:color w:val="auto"/>
          <w:u w:val="none"/>
          <w:lang w:val="en-NZ" w:eastAsia="ja-JP"/>
        </w:rPr>
        <w:t>(Chairman, DG 1.19)</w:t>
      </w:r>
      <w:r w:rsidR="007A1BBC" w:rsidRPr="0000243E">
        <w:rPr>
          <w:rStyle w:val="Hyperlink"/>
          <w:rFonts w:eastAsia="MS Mincho"/>
          <w:bCs/>
          <w:color w:val="auto"/>
          <w:u w:val="none"/>
          <w:lang w:val="en-NZ" w:eastAsia="ja-JP"/>
        </w:rPr>
        <w:t xml:space="preserve">, </w:t>
      </w:r>
      <w:hyperlink r:id="rId13" w:tgtFrame="_blank" w:history="1">
        <w:r w:rsidR="007A1BBC" w:rsidRPr="00236389">
          <w:rPr>
            <w:rStyle w:val="Hyperlink"/>
            <w:rFonts w:eastAsia="MS Mincho"/>
            <w:bCs/>
            <w:lang w:val="en-NZ" w:eastAsia="ja-JP"/>
          </w:rPr>
          <w:t>INF-37</w:t>
        </w:r>
      </w:hyperlink>
      <w:r w:rsidR="007A1BBC" w:rsidRPr="00236389">
        <w:rPr>
          <w:rStyle w:val="Hyperlink"/>
          <w:rFonts w:eastAsia="MS Mincho"/>
          <w:bCs/>
          <w:u w:val="none"/>
          <w:lang w:val="en-NZ" w:eastAsia="ja-JP"/>
        </w:rPr>
        <w:t xml:space="preserve"> </w:t>
      </w:r>
      <w:r w:rsidR="007A1BBC" w:rsidRPr="00236389">
        <w:rPr>
          <w:rStyle w:val="Hyperlink"/>
          <w:rFonts w:eastAsia="MS Mincho"/>
          <w:bCs/>
          <w:color w:val="auto"/>
          <w:u w:val="none"/>
          <w:lang w:val="en-NZ" w:eastAsia="ja-JP"/>
        </w:rPr>
        <w:t>(ASMG)</w:t>
      </w:r>
      <w:r w:rsidR="007A1BBC" w:rsidRPr="0000243E">
        <w:rPr>
          <w:rStyle w:val="Hyperlink"/>
          <w:rFonts w:eastAsia="MS Mincho"/>
          <w:bCs/>
          <w:color w:val="auto"/>
          <w:u w:val="none"/>
          <w:lang w:val="en-NZ" w:eastAsia="ja-JP"/>
        </w:rPr>
        <w:t xml:space="preserve">, </w:t>
      </w:r>
      <w:hyperlink r:id="rId14" w:tgtFrame="_blank" w:history="1">
        <w:r w:rsidR="007A1BBC" w:rsidRPr="00236389">
          <w:rPr>
            <w:rStyle w:val="Hyperlink"/>
            <w:rFonts w:eastAsia="MS Mincho"/>
            <w:bCs/>
            <w:lang w:val="en-NZ" w:eastAsia="ja-JP"/>
          </w:rPr>
          <w:t>INF-39</w:t>
        </w:r>
      </w:hyperlink>
      <w:r w:rsidR="007A1BBC" w:rsidRPr="00236389">
        <w:rPr>
          <w:rStyle w:val="Hyperlink"/>
          <w:rFonts w:eastAsia="MS Mincho"/>
          <w:u w:val="none"/>
          <w:lang w:val="en-NZ" w:eastAsia="ja-JP"/>
        </w:rPr>
        <w:t xml:space="preserve"> </w:t>
      </w:r>
      <w:r w:rsidR="007A1BBC" w:rsidRPr="00236389">
        <w:rPr>
          <w:rStyle w:val="Hyperlink"/>
          <w:rFonts w:eastAsia="MS Mincho"/>
          <w:color w:val="auto"/>
          <w:u w:val="none"/>
          <w:lang w:val="en-NZ" w:eastAsia="ja-JP"/>
        </w:rPr>
        <w:t>(</w:t>
      </w:r>
      <w:r w:rsidR="007A1BBC" w:rsidRPr="0000243E">
        <w:rPr>
          <w:rStyle w:val="Hyperlink"/>
          <w:rFonts w:eastAsia="MS Mincho"/>
          <w:color w:val="auto"/>
          <w:u w:val="none"/>
          <w:lang w:val="en-NZ" w:eastAsia="ja-JP"/>
        </w:rPr>
        <w:t>ATU</w:t>
      </w:r>
      <w:r w:rsidR="007A1BBC" w:rsidRPr="00DD402B">
        <w:rPr>
          <w:rStyle w:val="Hyperlink"/>
          <w:rFonts w:eastAsia="MS Mincho"/>
          <w:color w:val="auto"/>
          <w:u w:val="none"/>
          <w:lang w:val="en-NZ" w:eastAsia="ja-JP"/>
        </w:rPr>
        <w:t>)</w:t>
      </w:r>
      <w:r w:rsidR="005C0B69">
        <w:rPr>
          <w:rStyle w:val="Hyperlink"/>
          <w:rFonts w:eastAsia="MS Mincho"/>
          <w:color w:val="auto"/>
          <w:u w:val="none"/>
          <w:lang w:val="en-NZ" w:eastAsia="ja-JP"/>
        </w:rPr>
        <w:t xml:space="preserve">, </w:t>
      </w:r>
      <w:hyperlink r:id="rId15" w:tgtFrame="_blank" w:history="1">
        <w:r w:rsidR="00C81B48" w:rsidRPr="00C81B48">
          <w:rPr>
            <w:rStyle w:val="Hyperlink"/>
            <w:rFonts w:eastAsia="MS Mincho"/>
            <w:bCs/>
            <w:lang w:val="en-NZ" w:eastAsia="ja-JP"/>
          </w:rPr>
          <w:t>INF-41</w:t>
        </w:r>
      </w:hyperlink>
      <w:r w:rsidR="00C81B48" w:rsidRPr="00C81B48">
        <w:rPr>
          <w:rStyle w:val="Hyperlink"/>
          <w:rFonts w:eastAsia="MS Mincho"/>
          <w:bCs/>
          <w:color w:val="auto"/>
          <w:u w:val="none"/>
          <w:lang w:val="en-NZ" w:eastAsia="ja-JP"/>
        </w:rPr>
        <w:t xml:space="preserve"> (CEPT)</w:t>
      </w:r>
      <w:r w:rsidR="00C81B48">
        <w:rPr>
          <w:rStyle w:val="Hyperlink"/>
          <w:rFonts w:eastAsia="MS Mincho"/>
          <w:bCs/>
          <w:color w:val="auto"/>
          <w:u w:val="none"/>
          <w:lang w:val="en-NZ" w:eastAsia="ja-JP"/>
        </w:rPr>
        <w:t>.</w:t>
      </w:r>
    </w:p>
    <w:p w14:paraId="12A5930A" w14:textId="77777777" w:rsidR="00C81B48" w:rsidRPr="00C81B48" w:rsidRDefault="00C81B48" w:rsidP="00290CF6">
      <w:pPr>
        <w:spacing w:after="120"/>
        <w:ind w:left="708"/>
        <w:jc w:val="both"/>
        <w:rPr>
          <w:rStyle w:val="Hyperlink"/>
          <w:color w:val="auto"/>
          <w:u w:val="none"/>
          <w:lang w:val="en-NZ"/>
        </w:rPr>
      </w:pPr>
    </w:p>
    <w:p w14:paraId="7227678D" w14:textId="0389DFB1"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 xml:space="preserve">Summary of </w:t>
      </w:r>
      <w:r w:rsidR="00660027">
        <w:rPr>
          <w:b/>
          <w:lang w:val="en-NZ" w:eastAsia="ko-KR"/>
        </w:rPr>
        <w:t>D</w:t>
      </w:r>
      <w:r w:rsidRPr="00441526">
        <w:rPr>
          <w:b/>
          <w:lang w:val="en-NZ" w:eastAsia="ko-KR"/>
        </w:rPr>
        <w:t>iscussions</w:t>
      </w:r>
    </w:p>
    <w:p w14:paraId="6CBC7A24" w14:textId="77777777" w:rsidR="002A0111" w:rsidRPr="00441526" w:rsidRDefault="002A0111" w:rsidP="00906F27">
      <w:pPr>
        <w:spacing w:before="120"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9997361" w14:textId="3DAE0252"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B42ADD">
        <w:rPr>
          <w:b/>
          <w:lang w:val="en-NZ" w:eastAsia="ko-KR"/>
        </w:rPr>
        <w:t>Australia – Document APG23-3/IN</w:t>
      </w:r>
      <w:r w:rsidR="002573D7">
        <w:rPr>
          <w:b/>
          <w:lang w:val="en-NZ" w:eastAsia="ko-KR"/>
        </w:rPr>
        <w:t>P-10</w:t>
      </w:r>
    </w:p>
    <w:p w14:paraId="0D72AB1B" w14:textId="779CD887" w:rsidR="00A5160D" w:rsidRPr="00463C28" w:rsidRDefault="00063A67" w:rsidP="00746576">
      <w:pPr>
        <w:spacing w:after="120"/>
        <w:ind w:left="709"/>
        <w:jc w:val="both"/>
        <w:rPr>
          <w:lang w:val="en-NZ"/>
        </w:rPr>
      </w:pPr>
      <w:r w:rsidRPr="00063A67">
        <w:rPr>
          <w:lang w:val="en-NZ"/>
        </w:rPr>
        <w:t>Australia supports arrangements that are consistent with the rational and efficient use of Australia’s sovereign assets in the radiofrequency spectrum. Noting that this is a Region 2 issue, Australia does not currently have a position on the proposed new primary allocation, however, protection for existing Appendix 30A satellite networks should be ensured.</w:t>
      </w:r>
    </w:p>
    <w:p w14:paraId="460B0A2C" w14:textId="3DE5C0F5"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7E4CB0">
        <w:rPr>
          <w:b/>
          <w:lang w:val="en-NZ" w:eastAsia="ko-KR"/>
        </w:rPr>
        <w:t xml:space="preserve">Japan – Document </w:t>
      </w:r>
      <w:r w:rsidR="009D07DF">
        <w:rPr>
          <w:b/>
          <w:lang w:val="en-NZ" w:eastAsia="ko-KR"/>
        </w:rPr>
        <w:t>APG23-3/INP-31</w:t>
      </w:r>
    </w:p>
    <w:p w14:paraId="3C7D91E6" w14:textId="0A145BB0" w:rsidR="00906F27" w:rsidRPr="00447A0D" w:rsidRDefault="004256BB" w:rsidP="00746576">
      <w:pPr>
        <w:spacing w:after="120"/>
        <w:ind w:left="709"/>
        <w:jc w:val="both"/>
        <w:rPr>
          <w:lang w:val="en-NZ"/>
        </w:rPr>
      </w:pPr>
      <w:r w:rsidRPr="004256BB">
        <w:rPr>
          <w:lang w:val="en-NZ"/>
        </w:rPr>
        <w:t>Japan is of the view that any studies at ITU-R related to Agenda Item 1.19 needs to ensure protection of the services to which the bands are allocated in the same and adjacent bands.</w:t>
      </w:r>
    </w:p>
    <w:p w14:paraId="2AA41564" w14:textId="1B1FF01F" w:rsidR="002A0111" w:rsidRPr="00441526" w:rsidRDefault="002A0111" w:rsidP="00862CE3">
      <w:pPr>
        <w:spacing w:after="120"/>
        <w:jc w:val="both"/>
        <w:rPr>
          <w:b/>
          <w:lang w:val="en-NZ" w:eastAsia="ko-KR"/>
        </w:rPr>
      </w:pPr>
      <w:r w:rsidRPr="00441526">
        <w:rPr>
          <w:b/>
          <w:lang w:val="en-NZ" w:eastAsia="ko-KR"/>
        </w:rPr>
        <w:t>3.1.</w:t>
      </w:r>
      <w:r w:rsidR="00DD507F">
        <w:rPr>
          <w:b/>
          <w:lang w:val="en-NZ" w:eastAsia="ko-KR"/>
        </w:rPr>
        <w:t>3</w:t>
      </w:r>
      <w:r w:rsidRPr="00441526">
        <w:rPr>
          <w:b/>
          <w:lang w:val="en-NZ" w:eastAsia="ko-KR"/>
        </w:rPr>
        <w:tab/>
      </w:r>
      <w:r w:rsidR="00DD507F" w:rsidRPr="00DD507F">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3E67D4">
        <w:rPr>
          <w:b/>
          <w:lang w:val="en-NZ" w:eastAsia="ko-KR"/>
        </w:rPr>
        <w:t>3</w:t>
      </w:r>
      <w:r w:rsidRPr="00441526">
        <w:rPr>
          <w:b/>
          <w:lang w:val="en-NZ" w:eastAsia="ko-KR"/>
        </w:rPr>
        <w:t>/INP-</w:t>
      </w:r>
      <w:r w:rsidR="003E67D4">
        <w:rPr>
          <w:b/>
          <w:lang w:val="en-NZ" w:eastAsia="ko-KR"/>
        </w:rPr>
        <w:t>44</w:t>
      </w:r>
    </w:p>
    <w:p w14:paraId="076E8727" w14:textId="15DF3BD3" w:rsidR="00720CFF" w:rsidRDefault="00325FB0" w:rsidP="00720CFF">
      <w:pPr>
        <w:spacing w:after="120"/>
        <w:ind w:left="720"/>
        <w:jc w:val="both"/>
        <w:textAlignment w:val="baseline"/>
        <w:rPr>
          <w:rFonts w:eastAsia="Times New Roman" w:cstheme="minorHAnsi"/>
          <w:color w:val="000000"/>
        </w:rPr>
      </w:pPr>
      <w:r w:rsidRPr="00325FB0">
        <w:rPr>
          <w:rFonts w:eastAsia="Times New Roman" w:cstheme="minorHAnsi"/>
          <w:color w:val="000000"/>
        </w:rPr>
        <w:t>To consider possible new primary allocation to the fixed-satellite service (space-to-Earth) in the frequency band 17.3-17.7 GHz for Region 2, it should be ensure the protection of existing primary allocations in the same and adjacent bands, as appropriate, and without imposing any additional constraints on existing allocations to the broadcasting-satellite service (space-to-Earth) and the fixed-satellite service (Earth-to-space), especially to protect Appendix 30A BSS feeder links and also BSS downlinks.</w:t>
      </w:r>
    </w:p>
    <w:p w14:paraId="3006CCD1" w14:textId="7C31D406" w:rsidR="00D80EF2" w:rsidRDefault="00D80EF2" w:rsidP="00746576">
      <w:pPr>
        <w:spacing w:after="240"/>
        <w:ind w:left="720"/>
        <w:jc w:val="both"/>
        <w:textAlignment w:val="baseline"/>
        <w:rPr>
          <w:rFonts w:eastAsia="Times New Roman" w:cstheme="minorHAnsi"/>
          <w:color w:val="000000"/>
        </w:rPr>
      </w:pPr>
      <w:r w:rsidRPr="00D80EF2">
        <w:rPr>
          <w:rFonts w:eastAsia="Times New Roman" w:cstheme="minorHAnsi"/>
          <w:color w:val="000000"/>
        </w:rPr>
        <w:t xml:space="preserve">As this agenda item is considered new allocation to FSS in Region 2, it should not have any impact and additional constraints on existing allocations and services for </w:t>
      </w:r>
      <w:proofErr w:type="gramStart"/>
      <w:r w:rsidRPr="00D80EF2">
        <w:rPr>
          <w:rFonts w:eastAsia="Times New Roman" w:cstheme="minorHAnsi"/>
          <w:color w:val="000000"/>
        </w:rPr>
        <w:t>Region</w:t>
      </w:r>
      <w:proofErr w:type="gramEnd"/>
      <w:r w:rsidRPr="00D80EF2">
        <w:rPr>
          <w:rFonts w:eastAsia="Times New Roman" w:cstheme="minorHAnsi"/>
          <w:color w:val="000000"/>
        </w:rPr>
        <w:t xml:space="preserve"> 3.</w:t>
      </w:r>
    </w:p>
    <w:p w14:paraId="6E9655D7" w14:textId="53CB0601" w:rsidR="002A0111" w:rsidRDefault="006E7B24" w:rsidP="006E7B24">
      <w:pPr>
        <w:spacing w:before="120" w:after="120"/>
        <w:jc w:val="both"/>
        <w:rPr>
          <w:b/>
          <w:lang w:val="en-NZ" w:eastAsia="ko-KR"/>
        </w:rPr>
      </w:pPr>
      <w:r w:rsidRPr="00441526">
        <w:rPr>
          <w:b/>
          <w:lang w:val="en-NZ" w:eastAsia="ko-KR"/>
        </w:rPr>
        <w:t>3.</w:t>
      </w:r>
      <w:r>
        <w:rPr>
          <w:b/>
          <w:lang w:val="en-NZ" w:eastAsia="ko-KR"/>
        </w:rPr>
        <w:t>2</w:t>
      </w:r>
      <w:r w:rsidRPr="00441526">
        <w:rPr>
          <w:b/>
          <w:lang w:val="en-NZ" w:eastAsia="ko-KR"/>
        </w:rPr>
        <w:tab/>
      </w:r>
      <w:r w:rsidRPr="0064205A">
        <w:rPr>
          <w:b/>
          <w:lang w:val="en-NZ" w:eastAsia="ko-KR"/>
        </w:rPr>
        <w:t>Summary of issues raised during the meeting</w:t>
      </w:r>
    </w:p>
    <w:p w14:paraId="1864601B" w14:textId="62661149" w:rsidR="00AF2A6C" w:rsidRPr="00720CFF" w:rsidRDefault="005B7E4C" w:rsidP="00746576">
      <w:pPr>
        <w:spacing w:before="240" w:after="120"/>
        <w:ind w:left="709"/>
        <w:jc w:val="both"/>
        <w:rPr>
          <w:lang w:val="en-NZ"/>
        </w:rPr>
      </w:pPr>
      <w:r w:rsidRPr="00236389">
        <w:rPr>
          <w:lang w:val="en-NZ"/>
        </w:rPr>
        <w:t xml:space="preserve">It is summarized that the existing </w:t>
      </w:r>
      <w:r w:rsidRPr="0000243E">
        <w:rPr>
          <w:lang w:val="en-NZ"/>
        </w:rPr>
        <w:t xml:space="preserve">primary services in </w:t>
      </w:r>
      <w:proofErr w:type="gramStart"/>
      <w:r w:rsidRPr="0000243E">
        <w:rPr>
          <w:lang w:val="en-NZ"/>
        </w:rPr>
        <w:t>Region</w:t>
      </w:r>
      <w:proofErr w:type="gramEnd"/>
      <w:r w:rsidRPr="0000243E">
        <w:rPr>
          <w:lang w:val="en-NZ"/>
        </w:rPr>
        <w:t xml:space="preserve"> 3 in the frequency band considered under the </w:t>
      </w:r>
      <w:r w:rsidRPr="009201A2">
        <w:rPr>
          <w:lang w:val="en-NZ"/>
        </w:rPr>
        <w:t>Agenda Item 1.19 of WRC-23</w:t>
      </w:r>
      <w:r>
        <w:rPr>
          <w:lang w:val="en-NZ"/>
        </w:rPr>
        <w:t xml:space="preserve">, </w:t>
      </w:r>
      <w:r w:rsidR="00090E82">
        <w:rPr>
          <w:rFonts w:eastAsia="Times New Roman" w:cstheme="minorHAnsi"/>
          <w:color w:val="000000"/>
        </w:rPr>
        <w:t>including</w:t>
      </w:r>
      <w:r>
        <w:rPr>
          <w:rFonts w:eastAsia="Times New Roman" w:cstheme="minorHAnsi"/>
          <w:color w:val="000000"/>
        </w:rPr>
        <w:t xml:space="preserve"> </w:t>
      </w:r>
      <w:r w:rsidRPr="00325FB0">
        <w:rPr>
          <w:rFonts w:eastAsia="Times New Roman" w:cstheme="minorHAnsi"/>
          <w:color w:val="000000"/>
        </w:rPr>
        <w:t xml:space="preserve">Appendix 30A </w:t>
      </w:r>
      <w:r w:rsidR="00090E82">
        <w:rPr>
          <w:rFonts w:eastAsia="Times New Roman" w:cstheme="minorHAnsi"/>
          <w:color w:val="000000"/>
        </w:rPr>
        <w:t>satellite networks</w:t>
      </w:r>
      <w:r>
        <w:rPr>
          <w:lang w:val="en-NZ"/>
        </w:rPr>
        <w:t xml:space="preserve">, </w:t>
      </w:r>
      <w:r w:rsidRPr="009201A2">
        <w:rPr>
          <w:lang w:val="en-NZ"/>
        </w:rPr>
        <w:t>should be protected from any impact of the ITU-R study results for this agenda item.</w:t>
      </w:r>
    </w:p>
    <w:p w14:paraId="40C0F892" w14:textId="3852FF5E" w:rsidR="005206E9" w:rsidRDefault="005206E9" w:rsidP="0056326F">
      <w:pPr>
        <w:spacing w:after="120"/>
        <w:rPr>
          <w:b/>
          <w:lang w:val="en-NZ" w:eastAsia="ko-KR"/>
        </w:rPr>
      </w:pPr>
    </w:p>
    <w:p w14:paraId="460CC611" w14:textId="77777777" w:rsidR="002A0111" w:rsidRPr="00441526" w:rsidRDefault="002A0111" w:rsidP="002A0111">
      <w:pPr>
        <w:spacing w:after="120"/>
        <w:jc w:val="both"/>
        <w:rPr>
          <w:b/>
          <w:lang w:val="en-NZ" w:eastAsia="ko-KR"/>
        </w:rPr>
      </w:pPr>
      <w:r w:rsidRPr="0064205A">
        <w:rPr>
          <w:b/>
          <w:lang w:val="en-NZ" w:eastAsia="ko-KR"/>
        </w:rPr>
        <w:t xml:space="preserve">4. </w:t>
      </w:r>
      <w:r w:rsidRPr="0064205A">
        <w:rPr>
          <w:b/>
          <w:lang w:val="en-NZ" w:eastAsia="ko-KR"/>
        </w:rPr>
        <w:tab/>
        <w:t>APT Preliminary View(s)</w:t>
      </w:r>
    </w:p>
    <w:p w14:paraId="51C4B7CE" w14:textId="2E8959CA" w:rsidR="002D7CB6" w:rsidRDefault="00817E16" w:rsidP="0064205A">
      <w:pPr>
        <w:spacing w:before="240" w:after="120"/>
        <w:ind w:left="709"/>
        <w:jc w:val="both"/>
        <w:rPr>
          <w:rFonts w:eastAsia="Times New Roman" w:cstheme="minorHAnsi"/>
          <w:color w:val="000000"/>
        </w:rPr>
      </w:pPr>
      <w:r>
        <w:rPr>
          <w:lang w:val="en-NZ"/>
        </w:rPr>
        <w:tab/>
      </w:r>
      <w:r w:rsidR="005B7E4C" w:rsidRPr="0000243E">
        <w:rPr>
          <w:lang w:val="en-NZ"/>
        </w:rPr>
        <w:t xml:space="preserve">APT </w:t>
      </w:r>
      <w:r w:rsidR="005B7E4C" w:rsidRPr="00DD402B">
        <w:rPr>
          <w:lang w:val="en-NZ"/>
        </w:rPr>
        <w:t>M</w:t>
      </w:r>
      <w:r w:rsidR="005B7E4C" w:rsidRPr="00290062">
        <w:rPr>
          <w:lang w:val="en-NZ"/>
        </w:rPr>
        <w:t>emb</w:t>
      </w:r>
      <w:r w:rsidR="005B7E4C" w:rsidRPr="00AF2A6C">
        <w:rPr>
          <w:lang w:val="en-NZ"/>
        </w:rPr>
        <w:t>ers are of the view that</w:t>
      </w:r>
      <w:r w:rsidR="005B7E4C" w:rsidRPr="00AF2A6C">
        <w:rPr>
          <w:rFonts w:eastAsia="Times New Roman" w:cstheme="minorHAnsi"/>
          <w:color w:val="000000"/>
        </w:rPr>
        <w:t xml:space="preserve"> any </w:t>
      </w:r>
      <w:r w:rsidR="00E9399E">
        <w:rPr>
          <w:rFonts w:eastAsia="Times New Roman" w:cstheme="minorHAnsi"/>
          <w:color w:val="000000"/>
        </w:rPr>
        <w:t xml:space="preserve">ITU-R </w:t>
      </w:r>
      <w:r w:rsidR="005B7E4C" w:rsidRPr="00AF2A6C">
        <w:rPr>
          <w:rFonts w:eastAsia="Times New Roman" w:cstheme="minorHAnsi"/>
          <w:color w:val="000000"/>
        </w:rPr>
        <w:t>studies related to Agenda Item 1.19 need to ensure protection of the services to which the bands are allocated in the same and adjacent bands</w:t>
      </w:r>
      <w:r w:rsidR="00131AB3">
        <w:rPr>
          <w:rFonts w:eastAsia="Times New Roman" w:cstheme="minorHAnsi"/>
          <w:color w:val="000000"/>
        </w:rPr>
        <w:t xml:space="preserve">. In addition, </w:t>
      </w:r>
      <w:r w:rsidR="00AF6C2B">
        <w:rPr>
          <w:rFonts w:eastAsia="Times New Roman" w:cstheme="minorHAnsi"/>
          <w:color w:val="000000"/>
        </w:rPr>
        <w:t xml:space="preserve">a </w:t>
      </w:r>
      <w:r w:rsidR="00131AB3">
        <w:rPr>
          <w:rFonts w:eastAsia="Times New Roman" w:cstheme="minorHAnsi"/>
          <w:color w:val="000000"/>
        </w:rPr>
        <w:t>new allocation</w:t>
      </w:r>
      <w:r w:rsidR="005B7E4C">
        <w:rPr>
          <w:rFonts w:eastAsia="Times New Roman" w:cstheme="minorHAnsi"/>
          <w:color w:val="000000"/>
        </w:rPr>
        <w:t xml:space="preserve"> </w:t>
      </w:r>
      <w:r w:rsidR="00131AB3">
        <w:rPr>
          <w:rFonts w:eastAsia="Times New Roman" w:cstheme="minorHAnsi"/>
          <w:color w:val="000000"/>
        </w:rPr>
        <w:t xml:space="preserve">to </w:t>
      </w:r>
      <w:r w:rsidR="00AF6C2B">
        <w:rPr>
          <w:rFonts w:eastAsia="Times New Roman" w:cstheme="minorHAnsi"/>
          <w:color w:val="000000"/>
        </w:rPr>
        <w:t xml:space="preserve">the </w:t>
      </w:r>
      <w:r w:rsidR="00131AB3">
        <w:rPr>
          <w:rFonts w:eastAsia="Times New Roman" w:cstheme="minorHAnsi"/>
          <w:color w:val="000000"/>
        </w:rPr>
        <w:t xml:space="preserve">FSS in Region 2 </w:t>
      </w:r>
      <w:r w:rsidR="00090E82" w:rsidRPr="00D80EF2">
        <w:rPr>
          <w:rFonts w:eastAsia="Times New Roman" w:cstheme="minorHAnsi"/>
          <w:color w:val="000000"/>
        </w:rPr>
        <w:t xml:space="preserve">should not </w:t>
      </w:r>
      <w:r w:rsidR="00255ECE">
        <w:rPr>
          <w:rFonts w:eastAsia="Times New Roman" w:cstheme="minorHAnsi"/>
          <w:color w:val="000000"/>
        </w:rPr>
        <w:t xml:space="preserve">adversely affect </w:t>
      </w:r>
      <w:r w:rsidR="00090E82" w:rsidRPr="00D80EF2">
        <w:rPr>
          <w:rFonts w:eastAsia="Times New Roman" w:cstheme="minorHAnsi"/>
          <w:color w:val="000000"/>
        </w:rPr>
        <w:t xml:space="preserve">existing allocations and services for </w:t>
      </w:r>
      <w:proofErr w:type="gramStart"/>
      <w:r w:rsidR="00090E82" w:rsidRPr="00D80EF2">
        <w:rPr>
          <w:rFonts w:eastAsia="Times New Roman" w:cstheme="minorHAnsi"/>
          <w:color w:val="000000"/>
        </w:rPr>
        <w:t>Region</w:t>
      </w:r>
      <w:proofErr w:type="gramEnd"/>
      <w:r w:rsidR="00090E82" w:rsidRPr="00D80EF2">
        <w:rPr>
          <w:rFonts w:eastAsia="Times New Roman" w:cstheme="minorHAnsi"/>
          <w:color w:val="000000"/>
        </w:rPr>
        <w:t xml:space="preserve"> 3</w:t>
      </w:r>
      <w:r w:rsidR="00571B32">
        <w:rPr>
          <w:rFonts w:eastAsia="Times New Roman" w:cstheme="minorHAnsi"/>
          <w:color w:val="000000"/>
        </w:rPr>
        <w:t>.</w:t>
      </w:r>
    </w:p>
    <w:p w14:paraId="1BBB0CFD" w14:textId="2965DA2D" w:rsidR="00AF2A6C" w:rsidRPr="00441526" w:rsidRDefault="00AF2A6C" w:rsidP="0056326F">
      <w:pPr>
        <w:spacing w:after="120"/>
        <w:rPr>
          <w:lang w:val="en-NZ"/>
        </w:rPr>
      </w:pPr>
    </w:p>
    <w:p w14:paraId="190BB64A"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r>
      <w:r w:rsidRPr="0064205A">
        <w:rPr>
          <w:b/>
          <w:lang w:val="en-NZ" w:eastAsia="ko-KR"/>
        </w:rPr>
        <w:t>Other View(s) from APT Members</w:t>
      </w:r>
    </w:p>
    <w:p w14:paraId="6BA65802" w14:textId="6880D003" w:rsidR="005206E9" w:rsidRDefault="008846F5" w:rsidP="00746576">
      <w:pPr>
        <w:spacing w:before="240"/>
        <w:ind w:left="709"/>
        <w:jc w:val="both"/>
        <w:rPr>
          <w:lang w:val="en-NZ"/>
        </w:rPr>
      </w:pPr>
      <w:r>
        <w:rPr>
          <w:lang w:val="en-NZ"/>
        </w:rPr>
        <w:t>None</w:t>
      </w:r>
      <w:r w:rsidR="00D421EA">
        <w:rPr>
          <w:lang w:val="en-NZ"/>
        </w:rPr>
        <w:t>.</w:t>
      </w:r>
    </w:p>
    <w:p w14:paraId="0F4DF115" w14:textId="77777777" w:rsidR="0056326F" w:rsidRDefault="0056326F" w:rsidP="002A0111">
      <w:pPr>
        <w:spacing w:after="120"/>
        <w:jc w:val="both"/>
        <w:rPr>
          <w:b/>
          <w:lang w:val="en-NZ" w:eastAsia="ko-KR"/>
        </w:rPr>
      </w:pPr>
    </w:p>
    <w:p w14:paraId="678B34D1" w14:textId="6D4BC83E" w:rsidR="002A0111" w:rsidRPr="00441526" w:rsidRDefault="002A0111" w:rsidP="002A0111">
      <w:pPr>
        <w:spacing w:after="120"/>
        <w:jc w:val="both"/>
        <w:rPr>
          <w:b/>
          <w:lang w:val="en-NZ" w:eastAsia="ko-KR"/>
        </w:rPr>
      </w:pPr>
      <w:r>
        <w:rPr>
          <w:b/>
          <w:lang w:val="en-NZ" w:eastAsia="ko-KR"/>
        </w:rPr>
        <w:lastRenderedPageBreak/>
        <w:t>6</w:t>
      </w:r>
      <w:r w:rsidRPr="00441526">
        <w:rPr>
          <w:b/>
          <w:lang w:val="en-NZ" w:eastAsia="ko-KR"/>
        </w:rPr>
        <w:t xml:space="preserve">. </w:t>
      </w:r>
      <w:r w:rsidRPr="00441526">
        <w:rPr>
          <w:b/>
          <w:lang w:val="en-NZ" w:eastAsia="ko-KR"/>
        </w:rPr>
        <w:tab/>
      </w:r>
      <w:r w:rsidRPr="0064205A">
        <w:rPr>
          <w:b/>
          <w:lang w:val="en-NZ" w:eastAsia="ko-KR"/>
        </w:rPr>
        <w:t>Issues for Consideration at Next APG Meeting</w:t>
      </w:r>
    </w:p>
    <w:p w14:paraId="5CD228A7" w14:textId="43E88F9E" w:rsidR="002A0111" w:rsidRDefault="009B0A51" w:rsidP="00963CFB">
      <w:pPr>
        <w:spacing w:before="240"/>
        <w:ind w:left="709"/>
        <w:jc w:val="both"/>
        <w:rPr>
          <w:lang w:val="en-NZ"/>
        </w:rPr>
      </w:pPr>
      <w:r>
        <w:rPr>
          <w:lang w:val="en-NZ"/>
        </w:rPr>
        <w:t>APT Members are invited to follow the progress of the ITU-R studies and are encouraged to submit their contributions for further considerations at the next meeting.</w:t>
      </w:r>
    </w:p>
    <w:p w14:paraId="347021F4" w14:textId="77777777" w:rsidR="00963CFB" w:rsidRDefault="00963CFB" w:rsidP="00746576">
      <w:pPr>
        <w:spacing w:before="240"/>
        <w:ind w:left="709"/>
        <w:jc w:val="both"/>
        <w:rPr>
          <w:lang w:val="en-NZ"/>
        </w:rPr>
      </w:pPr>
    </w:p>
    <w:p w14:paraId="09A6C248" w14:textId="170600EB" w:rsidR="002A0111" w:rsidRPr="006F518F" w:rsidRDefault="002A0111" w:rsidP="00720CFF">
      <w:pPr>
        <w:jc w:val="both"/>
        <w:rPr>
          <w:lang w:val="en-NZ"/>
        </w:rPr>
      </w:pPr>
      <w:r>
        <w:rPr>
          <w:b/>
          <w:lang w:val="en-NZ"/>
        </w:rPr>
        <w:t>7</w:t>
      </w:r>
      <w:r w:rsidRPr="00441526">
        <w:rPr>
          <w:b/>
          <w:lang w:val="en-NZ"/>
        </w:rPr>
        <w:t xml:space="preserve">. </w:t>
      </w:r>
      <w:r w:rsidRPr="00441526">
        <w:rPr>
          <w:b/>
          <w:lang w:val="en-NZ"/>
        </w:rPr>
        <w:tab/>
        <w:t>Views from Other Organisations</w:t>
      </w:r>
    </w:p>
    <w:p w14:paraId="213C5BC9" w14:textId="77777777" w:rsidR="002A0111" w:rsidRPr="00441526" w:rsidRDefault="005206E9" w:rsidP="00906F27">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39A0251" w14:textId="26A014A8" w:rsidR="002A0111" w:rsidRPr="00906F27" w:rsidRDefault="002A0111" w:rsidP="00906F27">
      <w:pPr>
        <w:pStyle w:val="ListParagraph"/>
        <w:numPr>
          <w:ilvl w:val="2"/>
          <w:numId w:val="23"/>
        </w:numPr>
        <w:spacing w:after="120"/>
        <w:ind w:left="709" w:hanging="709"/>
        <w:jc w:val="both"/>
        <w:rPr>
          <w:b/>
          <w:lang w:val="en-NZ" w:eastAsia="ko-KR"/>
        </w:rPr>
      </w:pPr>
      <w:r w:rsidRPr="00906F27">
        <w:rPr>
          <w:b/>
          <w:lang w:val="en-NZ" w:eastAsia="ko-KR"/>
        </w:rPr>
        <w:tab/>
        <w:t>ASMG</w:t>
      </w:r>
      <w:r w:rsidRPr="00441526">
        <w:t xml:space="preserve"> - </w:t>
      </w:r>
      <w:r w:rsidRPr="00906F27">
        <w:rPr>
          <w:b/>
          <w:lang w:val="en-NZ" w:eastAsia="ko-KR"/>
        </w:rPr>
        <w:t>Document APG</w:t>
      </w:r>
      <w:r w:rsidR="006B09DB" w:rsidRPr="00906F27">
        <w:rPr>
          <w:b/>
          <w:lang w:val="en-NZ" w:eastAsia="ko-KR"/>
        </w:rPr>
        <w:t>23-</w:t>
      </w:r>
      <w:r w:rsidR="005C6F10">
        <w:rPr>
          <w:b/>
          <w:lang w:val="en-NZ" w:eastAsia="ko-KR"/>
        </w:rPr>
        <w:t>3</w:t>
      </w:r>
      <w:r w:rsidRPr="00906F27">
        <w:rPr>
          <w:b/>
          <w:lang w:val="en-NZ" w:eastAsia="ko-KR"/>
        </w:rPr>
        <w:t>/INF-</w:t>
      </w:r>
      <w:r w:rsidR="005C6F10">
        <w:rPr>
          <w:b/>
          <w:lang w:val="en-NZ" w:eastAsia="ko-KR"/>
        </w:rPr>
        <w:t>37</w:t>
      </w:r>
    </w:p>
    <w:p w14:paraId="651110CD" w14:textId="77777777" w:rsidR="008235F3" w:rsidRPr="008235F3" w:rsidRDefault="008235F3" w:rsidP="0064205A">
      <w:pPr>
        <w:numPr>
          <w:ilvl w:val="0"/>
          <w:numId w:val="18"/>
        </w:numPr>
        <w:ind w:leftChars="145" w:left="708"/>
        <w:jc w:val="both"/>
        <w:rPr>
          <w:lang w:val="en-NZ"/>
        </w:rPr>
      </w:pPr>
      <w:r w:rsidRPr="008235F3">
        <w:rPr>
          <w:lang w:val="en-NZ"/>
        </w:rPr>
        <w:t xml:space="preserve">Follow-up studies and make sure that any new allocation in </w:t>
      </w:r>
      <w:proofErr w:type="gramStart"/>
      <w:r w:rsidRPr="008235F3">
        <w:rPr>
          <w:lang w:val="en-NZ"/>
        </w:rPr>
        <w:t>Region</w:t>
      </w:r>
      <w:proofErr w:type="gramEnd"/>
      <w:r w:rsidRPr="008235F3">
        <w:rPr>
          <w:lang w:val="en-NZ"/>
        </w:rPr>
        <w:t xml:space="preserve"> 2 will ensure the protection of existing services in the frequency band and adjacent bands in Region 1</w:t>
      </w:r>
    </w:p>
    <w:p w14:paraId="522CB14A" w14:textId="77777777" w:rsidR="00A6626B" w:rsidRPr="00A6626B" w:rsidRDefault="00A6626B" w:rsidP="0064205A">
      <w:pPr>
        <w:pStyle w:val="ListParagraph"/>
        <w:numPr>
          <w:ilvl w:val="0"/>
          <w:numId w:val="18"/>
        </w:numPr>
        <w:ind w:left="709"/>
        <w:jc w:val="both"/>
        <w:rPr>
          <w:lang w:val="en-NZ"/>
        </w:rPr>
      </w:pPr>
      <w:r w:rsidRPr="00A6626B">
        <w:rPr>
          <w:lang w:val="en-NZ"/>
        </w:rPr>
        <w:t>Provide the necessary regulatory procedures including the technical and operational procedures to ensure the protection for existing services in band and the adjacent band.</w:t>
      </w:r>
    </w:p>
    <w:p w14:paraId="4A5B88B3" w14:textId="77777777" w:rsidR="002A0111" w:rsidRPr="00441526" w:rsidRDefault="002A0111" w:rsidP="002A0111">
      <w:pPr>
        <w:rPr>
          <w:lang w:val="en-NZ"/>
        </w:rPr>
      </w:pPr>
    </w:p>
    <w:p w14:paraId="349813E5" w14:textId="27BD7298"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.1.2 </w:t>
      </w:r>
      <w:r w:rsidR="002A0111" w:rsidRPr="00906F27">
        <w:rPr>
          <w:b/>
          <w:lang w:val="en-NZ" w:eastAsia="ko-KR"/>
        </w:rPr>
        <w:tab/>
        <w:t>ATU</w:t>
      </w:r>
      <w:r w:rsidR="009524C7">
        <w:rPr>
          <w:b/>
          <w:lang w:val="en-NZ" w:eastAsia="ko-KR"/>
        </w:rPr>
        <w:t xml:space="preserve"> – Document </w:t>
      </w:r>
      <w:r w:rsidR="001A192F">
        <w:rPr>
          <w:b/>
          <w:lang w:val="en-NZ" w:eastAsia="ko-KR"/>
        </w:rPr>
        <w:t>APG23-3/INF-</w:t>
      </w:r>
      <w:r w:rsidR="008E0E35">
        <w:rPr>
          <w:b/>
          <w:lang w:val="en-NZ" w:eastAsia="ko-KR"/>
        </w:rPr>
        <w:t>39</w:t>
      </w:r>
    </w:p>
    <w:p w14:paraId="78BC20DF" w14:textId="3ED83B9A" w:rsidR="00894E4D" w:rsidRDefault="00894E4D" w:rsidP="00CB11ED">
      <w:pPr>
        <w:numPr>
          <w:ilvl w:val="0"/>
          <w:numId w:val="18"/>
        </w:numPr>
        <w:ind w:leftChars="145" w:left="708"/>
        <w:jc w:val="both"/>
        <w:rPr>
          <w:lang w:val="en-NZ"/>
        </w:rPr>
      </w:pPr>
      <w:r w:rsidRPr="00894E4D">
        <w:rPr>
          <w:lang w:val="en-NZ"/>
        </w:rPr>
        <w:t xml:space="preserve">Decide that, as a matter of principle, any new primary allocation to FSS in the frequency band 17.3-17.7 GHz in Region 2 shall ensure the protection of existing services in the frequency band and adjacent bands in </w:t>
      </w:r>
      <w:proofErr w:type="gramStart"/>
      <w:r w:rsidRPr="00894E4D">
        <w:rPr>
          <w:lang w:val="en-NZ"/>
        </w:rPr>
        <w:t>Region</w:t>
      </w:r>
      <w:proofErr w:type="gramEnd"/>
      <w:r w:rsidRPr="00894E4D">
        <w:rPr>
          <w:lang w:val="en-NZ"/>
        </w:rPr>
        <w:t xml:space="preserve"> 1 and without adversely affecting the future developments of services in this band. </w:t>
      </w:r>
      <w:proofErr w:type="gramStart"/>
      <w:r w:rsidRPr="00894E4D">
        <w:rPr>
          <w:lang w:val="en-NZ"/>
        </w:rPr>
        <w:t>In particular, any</w:t>
      </w:r>
      <w:proofErr w:type="gramEnd"/>
      <w:r w:rsidRPr="00894E4D">
        <w:rPr>
          <w:lang w:val="en-NZ"/>
        </w:rPr>
        <w:t xml:space="preserve"> new allocation in R2 in the band 17.3-17.7 GHz, shall not claim protection from the broadcasting-satellite service feeder-link earth stations operating under Appendix 30A, nor put any limitations or restrictions on the locations of the broadcasting-satellite service feeder-link earth stations anywhere within the service area of the feeder link.</w:t>
      </w:r>
    </w:p>
    <w:p w14:paraId="5945322B" w14:textId="77777777" w:rsidR="009524C7" w:rsidRPr="009524C7" w:rsidRDefault="009524C7" w:rsidP="00746576">
      <w:pPr>
        <w:numPr>
          <w:ilvl w:val="0"/>
          <w:numId w:val="18"/>
        </w:numPr>
        <w:ind w:leftChars="145" w:left="708"/>
        <w:jc w:val="both"/>
        <w:rPr>
          <w:lang w:val="en-NZ"/>
        </w:rPr>
      </w:pPr>
      <w:r w:rsidRPr="009524C7">
        <w:rPr>
          <w:lang w:val="en-NZ"/>
        </w:rPr>
        <w:t>Support the development of the necessary regulatory procedures including the technical and operational procedures to ensure the protection for existing services in band and the adjacent band.</w:t>
      </w:r>
    </w:p>
    <w:p w14:paraId="75BFE307" w14:textId="77777777" w:rsidR="003D581A" w:rsidRPr="00906F27" w:rsidRDefault="003D581A" w:rsidP="00906F27">
      <w:pPr>
        <w:ind w:left="708"/>
        <w:jc w:val="both"/>
        <w:rPr>
          <w:lang w:val="en-NZ"/>
        </w:rPr>
      </w:pPr>
    </w:p>
    <w:p w14:paraId="4577BA25" w14:textId="778216D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2C3446">
        <w:rPr>
          <w:b/>
          <w:lang w:val="en-NZ" w:eastAsia="ko-KR"/>
        </w:rPr>
        <w:t>3</w:t>
      </w:r>
      <w:r w:rsidR="002A0111" w:rsidRPr="00441526">
        <w:rPr>
          <w:b/>
          <w:lang w:val="en-NZ" w:eastAsia="ko-KR"/>
        </w:rPr>
        <w:t>/INF-</w:t>
      </w:r>
      <w:r w:rsidR="00132B30">
        <w:rPr>
          <w:b/>
          <w:lang w:val="en-NZ" w:eastAsia="ko-KR"/>
        </w:rPr>
        <w:t>41</w:t>
      </w:r>
    </w:p>
    <w:p w14:paraId="1C6372D0" w14:textId="7EBB7AA7" w:rsidR="00C67CF3" w:rsidRPr="00F86F9C" w:rsidRDefault="00C67CF3" w:rsidP="00906F27">
      <w:pPr>
        <w:numPr>
          <w:ilvl w:val="0"/>
          <w:numId w:val="18"/>
        </w:numPr>
        <w:ind w:leftChars="145" w:left="708"/>
        <w:jc w:val="both"/>
        <w:rPr>
          <w:lang w:val="en-NZ"/>
        </w:rPr>
      </w:pPr>
      <w:r w:rsidRPr="00C67CF3">
        <w:rPr>
          <w:lang w:val="en-NZ"/>
        </w:rPr>
        <w:t xml:space="preserve">Given that frequency band 17.3‐17.7 GHz is allocated to FSS (space to Earth) in </w:t>
      </w:r>
      <w:proofErr w:type="gramStart"/>
      <w:r w:rsidRPr="00C67CF3">
        <w:rPr>
          <w:lang w:val="en-NZ"/>
        </w:rPr>
        <w:t>Region</w:t>
      </w:r>
      <w:proofErr w:type="gramEnd"/>
      <w:r w:rsidRPr="00C67CF3">
        <w:rPr>
          <w:lang w:val="en-NZ"/>
        </w:rPr>
        <w:t xml:space="preserve"> 1, CEPT would support a similar allocation in Region 2 which facilitates the use of spectrum available to networks and systems in the FSS across Regions, if the studies show that the new allocation is feasible.</w:t>
      </w:r>
    </w:p>
    <w:p w14:paraId="5EE9AFEA" w14:textId="77777777" w:rsidR="002A0111" w:rsidRPr="00441526" w:rsidRDefault="002A0111" w:rsidP="002A0111">
      <w:pPr>
        <w:rPr>
          <w:lang w:val="en-NZ"/>
        </w:rPr>
      </w:pPr>
    </w:p>
    <w:p w14:paraId="460E9D9E" w14:textId="3D40DA9C"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F20450">
        <w:rPr>
          <w:b/>
          <w:lang w:val="en-NZ" w:eastAsia="ko-KR"/>
        </w:rPr>
        <w:t>(as of APG23-2)</w:t>
      </w:r>
    </w:p>
    <w:p w14:paraId="39C188AC" w14:textId="508427A5" w:rsidR="002A0111" w:rsidRDefault="00B47876" w:rsidP="00746576">
      <w:pPr>
        <w:numPr>
          <w:ilvl w:val="0"/>
          <w:numId w:val="18"/>
        </w:numPr>
        <w:spacing w:after="120"/>
        <w:ind w:leftChars="145" w:left="705" w:hanging="357"/>
        <w:jc w:val="both"/>
        <w:rPr>
          <w:lang w:val="en-NZ"/>
        </w:rPr>
      </w:pPr>
      <w:r w:rsidRPr="00B47876">
        <w:rPr>
          <w:lang w:val="en-NZ"/>
        </w:rPr>
        <w:t>Some administrations support the proposal to study a new FSS allocation in the space-to-Earth direction in the frequency band 17.3-17.7 GHz for Region 2 while ensuring the protection of existing primary services in this band and the adjacent bands.</w:t>
      </w:r>
    </w:p>
    <w:p w14:paraId="69EB6127" w14:textId="5F7004A8" w:rsidR="00BC7914" w:rsidRPr="00441526" w:rsidRDefault="00BC7914" w:rsidP="00746576">
      <w:pPr>
        <w:numPr>
          <w:ilvl w:val="0"/>
          <w:numId w:val="18"/>
        </w:numPr>
        <w:spacing w:after="120"/>
        <w:ind w:leftChars="145" w:left="705" w:hanging="357"/>
        <w:jc w:val="both"/>
        <w:rPr>
          <w:lang w:val="en-NZ"/>
        </w:rPr>
      </w:pPr>
      <w:r w:rsidRPr="00BC7914">
        <w:rPr>
          <w:lang w:val="en-NZ"/>
        </w:rPr>
        <w:t xml:space="preserve">An administration supports studies, in accordance with Resolution </w:t>
      </w:r>
      <w:r w:rsidRPr="00746576">
        <w:rPr>
          <w:b/>
          <w:bCs/>
          <w:lang w:val="en-NZ"/>
        </w:rPr>
        <w:t>174 (WRC-19)</w:t>
      </w:r>
      <w:r w:rsidRPr="00BC7914">
        <w:rPr>
          <w:lang w:val="en-NZ"/>
        </w:rPr>
        <w:t xml:space="preserve">, to develop appropriate regulatory provisions and coordination mechanisms to protect Appendix </w:t>
      </w:r>
      <w:r w:rsidRPr="00746576">
        <w:rPr>
          <w:b/>
          <w:bCs/>
          <w:lang w:val="en-NZ"/>
        </w:rPr>
        <w:t>30A</w:t>
      </w:r>
      <w:r w:rsidRPr="00BC7914">
        <w:rPr>
          <w:lang w:val="en-NZ"/>
        </w:rPr>
        <w:t xml:space="preserve"> BSS feeder links, BSS downlinks while also ensuring the protection of existing primary services in this band and the adjacent bands, as appropriate, to facilitate a new FSS downlink allocation in the frequency range 17.3-17.7 GHz in Region 2.  </w:t>
      </w:r>
    </w:p>
    <w:p w14:paraId="63070ECF" w14:textId="50ECF79B" w:rsidR="002A0111" w:rsidRPr="00906F27" w:rsidRDefault="005206E9" w:rsidP="00660027">
      <w:pPr>
        <w:spacing w:before="240" w:after="120"/>
        <w:jc w:val="both"/>
        <w:rPr>
          <w:b/>
          <w:lang w:val="en-NZ" w:eastAsia="ko-KR"/>
        </w:rPr>
      </w:pPr>
      <w:r w:rsidRPr="00906F27">
        <w:rPr>
          <w:b/>
          <w:lang w:val="en-NZ" w:eastAsia="ko-KR"/>
        </w:rPr>
        <w:t>7</w:t>
      </w:r>
      <w:r w:rsidR="002A0111" w:rsidRPr="00906F27">
        <w:rPr>
          <w:b/>
          <w:lang w:val="en-NZ" w:eastAsia="ko-KR"/>
        </w:rPr>
        <w:t xml:space="preserve">.1.5 </w:t>
      </w:r>
      <w:r w:rsidR="002A0111" w:rsidRPr="00906F27">
        <w:rPr>
          <w:b/>
          <w:lang w:val="en-NZ" w:eastAsia="ko-KR"/>
        </w:rPr>
        <w:tab/>
        <w:t>RCC</w:t>
      </w:r>
      <w:r w:rsidR="00F20450">
        <w:rPr>
          <w:b/>
          <w:lang w:val="en-NZ" w:eastAsia="ko-KR"/>
        </w:rPr>
        <w:t xml:space="preserve"> (as of </w:t>
      </w:r>
      <w:r w:rsidR="00FC4838">
        <w:rPr>
          <w:b/>
          <w:lang w:val="en-NZ" w:eastAsia="ko-KR"/>
        </w:rPr>
        <w:t>April 2021</w:t>
      </w:r>
      <w:r w:rsidR="00F20450">
        <w:rPr>
          <w:b/>
          <w:lang w:val="en-NZ" w:eastAsia="ko-KR"/>
        </w:rPr>
        <w:t>)</w:t>
      </w:r>
      <w:r w:rsidR="002A0111" w:rsidRPr="00906F27">
        <w:rPr>
          <w:b/>
          <w:lang w:val="en-NZ" w:eastAsia="ko-KR"/>
        </w:rPr>
        <w:t xml:space="preserve"> </w:t>
      </w:r>
    </w:p>
    <w:p w14:paraId="013B17B7" w14:textId="368F14EA" w:rsidR="00BB0E4C" w:rsidRDefault="008B77B1" w:rsidP="008B77B1">
      <w:pPr>
        <w:ind w:left="708"/>
        <w:jc w:val="both"/>
        <w:rPr>
          <w:lang w:val="en-NZ"/>
        </w:rPr>
      </w:pPr>
      <w:r w:rsidRPr="008B77B1">
        <w:rPr>
          <w:lang w:val="en-NZ"/>
        </w:rPr>
        <w:t xml:space="preserve">The RCC Administrations are of the view that when considering a new primary allocation to the fixed-satellite service in the space-to-Earth direction in the frequency band </w:t>
      </w:r>
      <w:r w:rsidRPr="008B77B1">
        <w:rPr>
          <w:lang w:val="en-NZ"/>
        </w:rPr>
        <w:lastRenderedPageBreak/>
        <w:t xml:space="preserve">17.3−17.7 GHz in Region 2 existing services in </w:t>
      </w:r>
      <w:proofErr w:type="gramStart"/>
      <w:r w:rsidRPr="008B77B1">
        <w:rPr>
          <w:lang w:val="en-NZ"/>
        </w:rPr>
        <w:t>Region</w:t>
      </w:r>
      <w:proofErr w:type="gramEnd"/>
      <w:r w:rsidRPr="008B77B1">
        <w:rPr>
          <w:lang w:val="en-NZ"/>
        </w:rPr>
        <w:t xml:space="preserve"> 1 in the main and adjacent bands shall be protected.</w:t>
      </w:r>
    </w:p>
    <w:p w14:paraId="2A222076" w14:textId="7A442555" w:rsidR="004220B6" w:rsidRDefault="004220B6" w:rsidP="008B77B1">
      <w:pPr>
        <w:ind w:left="708"/>
        <w:jc w:val="both"/>
        <w:rPr>
          <w:lang w:val="en-NZ"/>
        </w:rPr>
      </w:pPr>
    </w:p>
    <w:p w14:paraId="23591F3F" w14:textId="2D1086FC" w:rsidR="004220B6" w:rsidRDefault="004220B6" w:rsidP="008B77B1">
      <w:pPr>
        <w:ind w:left="708"/>
        <w:jc w:val="both"/>
        <w:rPr>
          <w:lang w:val="en-NZ"/>
        </w:rPr>
      </w:pPr>
    </w:p>
    <w:p w14:paraId="6E1735E1" w14:textId="77777777" w:rsidR="004220B6" w:rsidRPr="00906F27" w:rsidRDefault="004220B6" w:rsidP="008B77B1">
      <w:pPr>
        <w:ind w:left="708"/>
        <w:jc w:val="both"/>
        <w:rPr>
          <w:lang w:val="en-NZ"/>
        </w:rPr>
      </w:pPr>
    </w:p>
    <w:p w14:paraId="7198E3ED" w14:textId="77777777" w:rsidR="002A0111" w:rsidRPr="00441526" w:rsidRDefault="002A0111" w:rsidP="002A0111">
      <w:pPr>
        <w:rPr>
          <w:lang w:val="en-NZ"/>
        </w:rPr>
      </w:pPr>
    </w:p>
    <w:p w14:paraId="116CDE9B"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8A49C2E" w14:textId="0B74D3F6"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.2.1 </w:t>
      </w:r>
      <w:r w:rsidR="002A0111" w:rsidRPr="00906F27">
        <w:rPr>
          <w:b/>
          <w:lang w:val="en-NZ" w:eastAsia="ko-KR"/>
        </w:rPr>
        <w:tab/>
      </w:r>
      <w:r w:rsidR="0000243E">
        <w:rPr>
          <w:b/>
          <w:lang w:val="en-NZ" w:eastAsia="ko-KR"/>
        </w:rPr>
        <w:t>WMO</w:t>
      </w:r>
      <w:r w:rsidR="00AA2A88">
        <w:rPr>
          <w:b/>
          <w:lang w:val="en-NZ" w:eastAsia="ko-KR"/>
        </w:rPr>
        <w:t xml:space="preserve"> – Document APG23-3/INF-01</w:t>
      </w:r>
    </w:p>
    <w:p w14:paraId="7E084934" w14:textId="1BF432D3" w:rsidR="002A0111" w:rsidRPr="00CB11ED" w:rsidRDefault="00B955A6" w:rsidP="00746576">
      <w:pPr>
        <w:ind w:left="708"/>
        <w:jc w:val="both"/>
        <w:rPr>
          <w:lang w:val="en-NZ"/>
        </w:rPr>
      </w:pPr>
      <w:r>
        <w:rPr>
          <w:lang w:val="en-NZ"/>
        </w:rPr>
        <w:t>None.</w:t>
      </w:r>
    </w:p>
    <w:p w14:paraId="1EED4E72" w14:textId="77777777" w:rsidR="002A0111" w:rsidRPr="00906F27" w:rsidRDefault="002A0111" w:rsidP="002A0111">
      <w:pPr>
        <w:rPr>
          <w:lang w:val="en-NZ"/>
        </w:rPr>
      </w:pPr>
    </w:p>
    <w:p w14:paraId="10E73D50" w14:textId="18AECC22" w:rsidR="002A0111" w:rsidRPr="00906F27" w:rsidRDefault="005206E9" w:rsidP="002A0111">
      <w:pPr>
        <w:spacing w:after="120"/>
        <w:jc w:val="both"/>
        <w:rPr>
          <w:b/>
          <w:lang w:val="en-NZ" w:eastAsia="ko-KR"/>
        </w:rPr>
      </w:pPr>
      <w:r w:rsidRPr="00906F27">
        <w:rPr>
          <w:b/>
          <w:lang w:val="en-NZ" w:eastAsia="ko-KR"/>
        </w:rPr>
        <w:t>7</w:t>
      </w:r>
      <w:r w:rsidR="002A0111" w:rsidRPr="00906F27">
        <w:rPr>
          <w:b/>
          <w:lang w:val="en-NZ" w:eastAsia="ko-KR"/>
        </w:rPr>
        <w:t xml:space="preserve">.2.2 </w:t>
      </w:r>
      <w:r w:rsidR="002A0111" w:rsidRPr="00906F27">
        <w:rPr>
          <w:b/>
          <w:lang w:val="en-NZ" w:eastAsia="ko-KR"/>
        </w:rPr>
        <w:tab/>
        <w:t>ICAO</w:t>
      </w:r>
      <w:r w:rsidR="009036F0">
        <w:rPr>
          <w:b/>
          <w:lang w:val="en-NZ" w:eastAsia="ko-KR"/>
        </w:rPr>
        <w:t xml:space="preserve"> – Document APG23-3/INF-15</w:t>
      </w:r>
    </w:p>
    <w:p w14:paraId="1C07D2A7" w14:textId="024E93CF" w:rsidR="002A0111" w:rsidRDefault="00B51683" w:rsidP="00746576">
      <w:pPr>
        <w:ind w:left="708"/>
        <w:jc w:val="both"/>
        <w:rPr>
          <w:lang w:val="en-NZ"/>
        </w:rPr>
      </w:pPr>
      <w:r>
        <w:rPr>
          <w:lang w:val="en-NZ"/>
        </w:rPr>
        <w:t>None.</w:t>
      </w:r>
    </w:p>
    <w:p w14:paraId="7EC0D131" w14:textId="77777777" w:rsidR="009036F0" w:rsidRDefault="009036F0" w:rsidP="00746576">
      <w:pPr>
        <w:ind w:left="708"/>
        <w:jc w:val="both"/>
        <w:rPr>
          <w:lang w:val="en-NZ"/>
        </w:rPr>
      </w:pPr>
    </w:p>
    <w:p w14:paraId="3AA77343" w14:textId="5289E24F" w:rsidR="009036F0" w:rsidRDefault="009036F0" w:rsidP="00746576">
      <w:pPr>
        <w:tabs>
          <w:tab w:val="left" w:pos="709"/>
        </w:tabs>
        <w:spacing w:after="120"/>
        <w:jc w:val="both"/>
        <w:rPr>
          <w:b/>
          <w:lang w:val="en-NZ" w:eastAsia="ko-KR"/>
        </w:rPr>
      </w:pPr>
      <w:r w:rsidRPr="00906F27">
        <w:rPr>
          <w:b/>
          <w:lang w:val="en-NZ" w:eastAsia="ko-KR"/>
        </w:rPr>
        <w:t>7.2.</w:t>
      </w:r>
      <w:r w:rsidR="007C4510">
        <w:rPr>
          <w:b/>
          <w:lang w:val="en-NZ" w:eastAsia="ko-KR"/>
        </w:rPr>
        <w:t>3</w:t>
      </w:r>
      <w:r w:rsidRPr="00906F27">
        <w:rPr>
          <w:b/>
          <w:lang w:val="en-NZ" w:eastAsia="ko-KR"/>
        </w:rPr>
        <w:t xml:space="preserve"> </w:t>
      </w:r>
      <w:r>
        <w:rPr>
          <w:b/>
          <w:lang w:val="en-NZ" w:eastAsia="ko-KR"/>
        </w:rPr>
        <w:tab/>
      </w:r>
      <w:r w:rsidR="007C4510">
        <w:rPr>
          <w:b/>
          <w:lang w:val="en-NZ" w:eastAsia="ko-KR"/>
        </w:rPr>
        <w:t>IARU</w:t>
      </w:r>
      <w:r>
        <w:rPr>
          <w:b/>
          <w:lang w:val="en-NZ" w:eastAsia="ko-KR"/>
        </w:rPr>
        <w:t xml:space="preserve"> – Document APG23-3/INF-1</w:t>
      </w:r>
      <w:r w:rsidR="007C4510">
        <w:rPr>
          <w:b/>
          <w:lang w:val="en-NZ" w:eastAsia="ko-KR"/>
        </w:rPr>
        <w:t>7</w:t>
      </w:r>
    </w:p>
    <w:p w14:paraId="45012661" w14:textId="33EE1F50" w:rsidR="007C4510" w:rsidRPr="00CB11ED" w:rsidRDefault="007C4510" w:rsidP="00746576">
      <w:pPr>
        <w:ind w:left="708"/>
        <w:jc w:val="both"/>
        <w:rPr>
          <w:lang w:val="en-NZ"/>
        </w:rPr>
      </w:pPr>
      <w:r>
        <w:rPr>
          <w:lang w:val="en-NZ"/>
        </w:rPr>
        <w:t>No</w:t>
      </w:r>
      <w:r w:rsidR="00022C7B">
        <w:rPr>
          <w:lang w:val="en-NZ"/>
        </w:rPr>
        <w:t>ne.</w:t>
      </w:r>
    </w:p>
    <w:p w14:paraId="6AB64460" w14:textId="77777777" w:rsidR="007C4510" w:rsidRDefault="007C4510" w:rsidP="009036F0">
      <w:pPr>
        <w:tabs>
          <w:tab w:val="left" w:pos="709"/>
        </w:tabs>
        <w:jc w:val="both"/>
        <w:rPr>
          <w:b/>
          <w:lang w:val="en-NZ" w:eastAsia="ko-KR"/>
        </w:rPr>
      </w:pPr>
    </w:p>
    <w:p w14:paraId="6D743D21" w14:textId="77777777" w:rsidR="007C4510" w:rsidRPr="00CB11ED" w:rsidRDefault="007C4510" w:rsidP="00746576">
      <w:pPr>
        <w:tabs>
          <w:tab w:val="left" w:pos="709"/>
        </w:tabs>
        <w:jc w:val="both"/>
        <w:rPr>
          <w:lang w:val="en-NZ"/>
        </w:rPr>
      </w:pPr>
    </w:p>
    <w:p w14:paraId="3DF87438" w14:textId="4945A136" w:rsidR="00654896" w:rsidRPr="002A0111" w:rsidRDefault="002A0111" w:rsidP="00720CFF">
      <w:pPr>
        <w:tabs>
          <w:tab w:val="left" w:pos="1410"/>
        </w:tabs>
        <w:jc w:val="center"/>
        <w:rPr>
          <w:lang w:val="en-NZ"/>
        </w:rPr>
      </w:pPr>
      <w:r w:rsidRPr="00441526">
        <w:rPr>
          <w:lang w:val="en-NZ"/>
        </w:rPr>
        <w:t>____________</w:t>
      </w:r>
    </w:p>
    <w:sectPr w:rsidR="00654896" w:rsidRPr="002A0111" w:rsidSect="00C516C7">
      <w:headerReference w:type="even" r:id="rId16"/>
      <w:headerReference w:type="default" r:id="rId17"/>
      <w:footerReference w:type="even" r:id="rId18"/>
      <w:footerReference w:type="default" r:id="rId19"/>
      <w:headerReference w:type="first" r:id="rId20"/>
      <w:footerReference w:type="first" r:id="rId2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6B54" w14:textId="77777777" w:rsidR="00C074B2" w:rsidRDefault="00C074B2">
      <w:r>
        <w:separator/>
      </w:r>
    </w:p>
  </w:endnote>
  <w:endnote w:type="continuationSeparator" w:id="0">
    <w:p w14:paraId="55B77994" w14:textId="77777777" w:rsidR="00C074B2" w:rsidRDefault="00C074B2">
      <w:r>
        <w:continuationSeparator/>
      </w:r>
    </w:p>
  </w:endnote>
  <w:endnote w:type="continuationNotice" w:id="1">
    <w:p w14:paraId="3136A466" w14:textId="77777777" w:rsidR="00C074B2" w:rsidRDefault="00C07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D13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21EF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FFE" w14:textId="128C1543"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5B5104">
      <w:rPr>
        <w:lang w:eastAsia="ko-KR"/>
      </w:rPr>
      <w:t>3</w:t>
    </w:r>
    <w:r w:rsidR="002A0111">
      <w:rPr>
        <w:lang w:eastAsia="ko-KR"/>
      </w:rPr>
      <w:t>/</w:t>
    </w:r>
    <w:r w:rsidR="00712FAF">
      <w:rPr>
        <w:lang w:eastAsia="ko-KR"/>
      </w:rPr>
      <w:t>OUT</w:t>
    </w:r>
    <w:r>
      <w:rPr>
        <w:lang w:eastAsia="ko-KR"/>
      </w:rPr>
      <w:t>-</w:t>
    </w:r>
    <w:r w:rsidR="00A6038F">
      <w:rPr>
        <w:lang w:eastAsia="ko-KR"/>
      </w:rPr>
      <w:t>32</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AF0331">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AF0331">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83"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557"/>
      <w:gridCol w:w="4466"/>
      <w:gridCol w:w="3460"/>
    </w:tblGrid>
    <w:tr w:rsidR="00906F27" w:rsidRPr="002A2F6C" w14:paraId="227A7869" w14:textId="77777777" w:rsidTr="00906F27">
      <w:trPr>
        <w:trHeight w:val="429"/>
      </w:trPr>
      <w:tc>
        <w:tcPr>
          <w:tcW w:w="1557" w:type="dxa"/>
          <w:tcBorders>
            <w:top w:val="single" w:sz="8" w:space="0" w:color="auto"/>
            <w:bottom w:val="nil"/>
            <w:right w:val="nil"/>
          </w:tcBorders>
        </w:tcPr>
        <w:p w14:paraId="1660BA39" w14:textId="77777777" w:rsidR="0092727B" w:rsidRDefault="0092727B" w:rsidP="0092727B">
          <w:pPr>
            <w:pStyle w:val="Footer"/>
            <w:tabs>
              <w:tab w:val="clear" w:pos="4320"/>
              <w:tab w:val="clear" w:pos="8640"/>
            </w:tabs>
            <w:rPr>
              <w:sz w:val="16"/>
              <w:szCs w:val="16"/>
            </w:rPr>
          </w:pPr>
          <w:r>
            <w:rPr>
              <w:b/>
              <w:bCs/>
            </w:rPr>
            <w:t>Contact:</w:t>
          </w:r>
        </w:p>
      </w:tc>
      <w:tc>
        <w:tcPr>
          <w:tcW w:w="4466" w:type="dxa"/>
          <w:tcBorders>
            <w:top w:val="single" w:sz="8" w:space="0" w:color="auto"/>
            <w:left w:val="nil"/>
            <w:bottom w:val="nil"/>
            <w:right w:val="nil"/>
          </w:tcBorders>
        </w:tcPr>
        <w:p w14:paraId="17D4DD73" w14:textId="6EA42151" w:rsidR="0092727B" w:rsidRDefault="002A61C9" w:rsidP="00906F27">
          <w:pPr>
            <w:pStyle w:val="Footer"/>
            <w:tabs>
              <w:tab w:val="clear" w:pos="4320"/>
              <w:tab w:val="clear" w:pos="8640"/>
            </w:tabs>
            <w:ind w:left="-466" w:firstLine="466"/>
          </w:pPr>
          <w:r>
            <w:t>Ms. Cheng Fenhong</w:t>
          </w:r>
        </w:p>
        <w:p w14:paraId="5C4035DB" w14:textId="6AFC99EB" w:rsidR="002A0111" w:rsidRPr="002A0111" w:rsidRDefault="00E171CF" w:rsidP="0092727B">
          <w:pPr>
            <w:pStyle w:val="Footer"/>
            <w:tabs>
              <w:tab w:val="clear" w:pos="4320"/>
              <w:tab w:val="clear" w:pos="8640"/>
            </w:tabs>
          </w:pPr>
          <w:r>
            <w:t>Mr. Mrunmaya Kumar Pattanaik</w:t>
          </w:r>
        </w:p>
      </w:tc>
      <w:tc>
        <w:tcPr>
          <w:tcW w:w="3460" w:type="dxa"/>
          <w:tcBorders>
            <w:top w:val="single" w:sz="8" w:space="0" w:color="auto"/>
            <w:left w:val="nil"/>
            <w:bottom w:val="nil"/>
          </w:tcBorders>
        </w:tcPr>
        <w:p w14:paraId="409110EC" w14:textId="1B409A8E" w:rsidR="00E171CF" w:rsidRDefault="0092727B" w:rsidP="00906F27">
          <w:pPr>
            <w:pStyle w:val="Footer"/>
            <w:tabs>
              <w:tab w:val="clear" w:pos="4320"/>
              <w:tab w:val="clear" w:pos="8640"/>
            </w:tabs>
            <w:ind w:left="92" w:right="-714"/>
            <w:rPr>
              <w:lang w:val="it-IT"/>
            </w:rPr>
          </w:pPr>
          <w:r w:rsidRPr="002A2F6C">
            <w:rPr>
              <w:b/>
              <w:bCs/>
              <w:lang w:val="it-IT"/>
            </w:rPr>
            <w:t>Email:</w:t>
          </w:r>
          <w:r w:rsidR="002A2F6C" w:rsidRPr="002A2F6C">
            <w:t xml:space="preserve"> </w:t>
          </w:r>
          <w:hyperlink r:id="rId1" w:history="1">
            <w:r w:rsidR="00E171CF" w:rsidRPr="004A40DE">
              <w:rPr>
                <w:rStyle w:val="Hyperlink"/>
                <w:lang w:val="it-IT"/>
              </w:rPr>
              <w:t>chengfenhong@chinasatcom.com</w:t>
            </w:r>
          </w:hyperlink>
        </w:p>
        <w:p w14:paraId="6EBEE9EC" w14:textId="058B2F39" w:rsidR="00690E80" w:rsidRDefault="00C074B2" w:rsidP="00690E80">
          <w:pPr>
            <w:pStyle w:val="Footer"/>
            <w:tabs>
              <w:tab w:val="clear" w:pos="4320"/>
              <w:tab w:val="clear" w:pos="8640"/>
            </w:tabs>
            <w:ind w:left="92" w:right="-714"/>
            <w:rPr>
              <w:lang w:val="it-IT"/>
            </w:rPr>
          </w:pPr>
          <w:hyperlink r:id="rId2" w:history="1">
            <w:r w:rsidR="00690E80" w:rsidRPr="004A40DE">
              <w:rPr>
                <w:rStyle w:val="Hyperlink"/>
                <w:lang w:val="it-IT"/>
              </w:rPr>
              <w:t>pattanaik.mr@gov.in</w:t>
            </w:r>
          </w:hyperlink>
        </w:p>
        <w:p w14:paraId="7BB67C6C" w14:textId="77777777" w:rsidR="00690E80" w:rsidRDefault="00690E80" w:rsidP="00690E80">
          <w:pPr>
            <w:pStyle w:val="Footer"/>
            <w:tabs>
              <w:tab w:val="clear" w:pos="4320"/>
              <w:tab w:val="clear" w:pos="8640"/>
            </w:tabs>
            <w:ind w:left="92" w:right="-714"/>
            <w:rPr>
              <w:lang w:val="it-IT"/>
            </w:rPr>
          </w:pPr>
        </w:p>
        <w:p w14:paraId="265EEB6D" w14:textId="4EA7B102" w:rsidR="00E171CF" w:rsidRPr="002A2F6C" w:rsidRDefault="00E171CF" w:rsidP="00690E80">
          <w:pPr>
            <w:pStyle w:val="Footer"/>
            <w:tabs>
              <w:tab w:val="clear" w:pos="4320"/>
              <w:tab w:val="clear" w:pos="8640"/>
            </w:tabs>
            <w:ind w:right="-714"/>
            <w:rPr>
              <w:lang w:val="it-IT"/>
            </w:rPr>
          </w:pPr>
        </w:p>
      </w:tc>
    </w:tr>
  </w:tbl>
  <w:p w14:paraId="4F6A1661" w14:textId="77777777" w:rsidR="0097693B" w:rsidRPr="00AF494F" w:rsidRDefault="0097693B" w:rsidP="0092727B">
    <w:pPr>
      <w:pStyle w:val="Footer"/>
      <w:tabs>
        <w:tab w:val="clear" w:pos="4320"/>
        <w:tab w:val="clear" w:pos="8640"/>
      </w:tabs>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B206" w14:textId="77777777" w:rsidR="00C074B2" w:rsidRDefault="00C074B2">
      <w:r>
        <w:separator/>
      </w:r>
    </w:p>
  </w:footnote>
  <w:footnote w:type="continuationSeparator" w:id="0">
    <w:p w14:paraId="335C39C5" w14:textId="77777777" w:rsidR="00C074B2" w:rsidRDefault="00C074B2">
      <w:r>
        <w:continuationSeparator/>
      </w:r>
    </w:p>
  </w:footnote>
  <w:footnote w:type="continuationNotice" w:id="1">
    <w:p w14:paraId="32DC79AE" w14:textId="77777777" w:rsidR="00C074B2" w:rsidRDefault="00C07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D7E" w14:textId="77777777" w:rsidR="00A6038F" w:rsidRDefault="00A60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CAAA" w14:textId="77777777" w:rsidR="0097693B" w:rsidRDefault="0097693B" w:rsidP="0092727B">
    <w:pPr>
      <w:pStyle w:val="Header"/>
      <w:tabs>
        <w:tab w:val="clear" w:pos="4320"/>
        <w:tab w:val="clear" w:pos="8640"/>
      </w:tabs>
      <w:rPr>
        <w:lang w:eastAsia="ko-KR"/>
      </w:rPr>
    </w:pPr>
  </w:p>
  <w:p w14:paraId="2E9AA39E"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03E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CB0"/>
    <w:multiLevelType w:val="multilevel"/>
    <w:tmpl w:val="C436D44E"/>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4AB1526"/>
    <w:multiLevelType w:val="multilevel"/>
    <w:tmpl w:val="A67C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67D4605"/>
    <w:multiLevelType w:val="hybridMultilevel"/>
    <w:tmpl w:val="5388F0BA"/>
    <w:lvl w:ilvl="0" w:tplc="A01AB2EA">
      <w:start w:val="1"/>
      <w:numFmt w:val="decimal"/>
      <w:lvlText w:val="%1.  "/>
      <w:lvlJc w:val="left"/>
      <w:pPr>
        <w:ind w:left="720" w:hanging="360"/>
      </w:pPr>
    </w:lvl>
    <w:lvl w:ilvl="1" w:tplc="EDB4CC5A">
      <w:start w:val="1"/>
      <w:numFmt w:val="decimal"/>
      <w:lvlText w:val="%2.  "/>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3CD870B5"/>
    <w:multiLevelType w:val="hybridMultilevel"/>
    <w:tmpl w:val="314EC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93F31"/>
    <w:multiLevelType w:val="hybridMultilevel"/>
    <w:tmpl w:val="E5F0BD72"/>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8E79C1"/>
    <w:multiLevelType w:val="multilevel"/>
    <w:tmpl w:val="7E3402F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84102"/>
    <w:multiLevelType w:val="hybridMultilevel"/>
    <w:tmpl w:val="CDA013C4"/>
    <w:lvl w:ilvl="0" w:tplc="722A45E8">
      <w:start w:val="2"/>
      <w:numFmt w:val="bullet"/>
      <w:lvlText w:val="-"/>
      <w:lvlJc w:val="left"/>
      <w:pPr>
        <w:ind w:left="1440" w:hanging="360"/>
      </w:pPr>
      <w:rPr>
        <w:rFonts w:ascii="Times New Roman" w:eastAsia="GulimChe" w:hAnsi="Times New Roman" w:cs="Times New Roman"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84548"/>
    <w:multiLevelType w:val="hybridMultilevel"/>
    <w:tmpl w:val="569AA8BA"/>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228C1"/>
    <w:multiLevelType w:val="multilevel"/>
    <w:tmpl w:val="A67C4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4"/>
  </w:num>
  <w:num w:numId="2">
    <w:abstractNumId w:val="7"/>
  </w:num>
  <w:num w:numId="3">
    <w:abstractNumId w:val="6"/>
  </w:num>
  <w:num w:numId="4">
    <w:abstractNumId w:val="26"/>
  </w:num>
  <w:num w:numId="5">
    <w:abstractNumId w:val="12"/>
  </w:num>
  <w:num w:numId="6">
    <w:abstractNumId w:val="15"/>
  </w:num>
  <w:num w:numId="7">
    <w:abstractNumId w:val="4"/>
  </w:num>
  <w:num w:numId="8">
    <w:abstractNumId w:val="2"/>
  </w:num>
  <w:num w:numId="9">
    <w:abstractNumId w:val="29"/>
  </w:num>
  <w:num w:numId="10">
    <w:abstractNumId w:val="25"/>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0"/>
  </w:num>
  <w:num w:numId="17">
    <w:abstractNumId w:val="24"/>
  </w:num>
  <w:num w:numId="18">
    <w:abstractNumId w:val="16"/>
  </w:num>
  <w:num w:numId="19">
    <w:abstractNumId w:val="28"/>
  </w:num>
  <w:num w:numId="20">
    <w:abstractNumId w:val="11"/>
  </w:num>
  <w:num w:numId="21">
    <w:abstractNumId w:val="27"/>
  </w:num>
  <w:num w:numId="22">
    <w:abstractNumId w:val="31"/>
  </w:num>
  <w:num w:numId="23">
    <w:abstractNumId w:val="19"/>
  </w:num>
  <w:num w:numId="24">
    <w:abstractNumId w:val="10"/>
  </w:num>
  <w:num w:numId="25">
    <w:abstractNumId w:val="13"/>
  </w:num>
  <w:num w:numId="26">
    <w:abstractNumId w:val="3"/>
  </w:num>
  <w:num w:numId="27">
    <w:abstractNumId w:val="23"/>
  </w:num>
  <w:num w:numId="28">
    <w:abstractNumId w:val="17"/>
  </w:num>
  <w:num w:numId="29">
    <w:abstractNumId w:val="22"/>
  </w:num>
  <w:num w:numId="30">
    <w:abstractNumId w:val="18"/>
  </w:num>
  <w:num w:numId="31">
    <w:abstractNumId w:val="8"/>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NzM2NTS2MDa3NDFT0lEKTi0uzszPAykwNKgFAOgzbRctAAAA"/>
  </w:docVars>
  <w:rsids>
    <w:rsidRoot w:val="00C15633"/>
    <w:rsid w:val="0000243E"/>
    <w:rsid w:val="00010C8E"/>
    <w:rsid w:val="00011203"/>
    <w:rsid w:val="00012140"/>
    <w:rsid w:val="00012E2F"/>
    <w:rsid w:val="000201C6"/>
    <w:rsid w:val="00022C7B"/>
    <w:rsid w:val="000234EE"/>
    <w:rsid w:val="0003595B"/>
    <w:rsid w:val="00036517"/>
    <w:rsid w:val="00036CC9"/>
    <w:rsid w:val="00040149"/>
    <w:rsid w:val="00063A67"/>
    <w:rsid w:val="00067D19"/>
    <w:rsid w:val="00070642"/>
    <w:rsid w:val="000713CF"/>
    <w:rsid w:val="00075C14"/>
    <w:rsid w:val="000822B5"/>
    <w:rsid w:val="00082AF3"/>
    <w:rsid w:val="00090E82"/>
    <w:rsid w:val="00094B87"/>
    <w:rsid w:val="000A012B"/>
    <w:rsid w:val="000A5418"/>
    <w:rsid w:val="000B4A28"/>
    <w:rsid w:val="000C452F"/>
    <w:rsid w:val="000D1015"/>
    <w:rsid w:val="000D47FB"/>
    <w:rsid w:val="000E0A81"/>
    <w:rsid w:val="000F345F"/>
    <w:rsid w:val="000F517C"/>
    <w:rsid w:val="000F5435"/>
    <w:rsid w:val="000F5540"/>
    <w:rsid w:val="00105F1A"/>
    <w:rsid w:val="0011061B"/>
    <w:rsid w:val="0012124C"/>
    <w:rsid w:val="00122794"/>
    <w:rsid w:val="00125FBD"/>
    <w:rsid w:val="00131AB3"/>
    <w:rsid w:val="00132B30"/>
    <w:rsid w:val="001409B2"/>
    <w:rsid w:val="00152636"/>
    <w:rsid w:val="001539DD"/>
    <w:rsid w:val="00156782"/>
    <w:rsid w:val="001615B7"/>
    <w:rsid w:val="00165F01"/>
    <w:rsid w:val="001731F4"/>
    <w:rsid w:val="00173B9E"/>
    <w:rsid w:val="0017739E"/>
    <w:rsid w:val="00181DC7"/>
    <w:rsid w:val="0018503C"/>
    <w:rsid w:val="001916F2"/>
    <w:rsid w:val="001930A7"/>
    <w:rsid w:val="00196568"/>
    <w:rsid w:val="00196602"/>
    <w:rsid w:val="00197C18"/>
    <w:rsid w:val="001A192F"/>
    <w:rsid w:val="001A2F16"/>
    <w:rsid w:val="001B1804"/>
    <w:rsid w:val="001B18C2"/>
    <w:rsid w:val="001B6400"/>
    <w:rsid w:val="001C018F"/>
    <w:rsid w:val="001C443F"/>
    <w:rsid w:val="001C61A5"/>
    <w:rsid w:val="001C6707"/>
    <w:rsid w:val="001D5D7E"/>
    <w:rsid w:val="001E2761"/>
    <w:rsid w:val="001F5947"/>
    <w:rsid w:val="00202410"/>
    <w:rsid w:val="002126A6"/>
    <w:rsid w:val="00214A0C"/>
    <w:rsid w:val="0021588B"/>
    <w:rsid w:val="002161B6"/>
    <w:rsid w:val="002162D1"/>
    <w:rsid w:val="002216AC"/>
    <w:rsid w:val="00221A09"/>
    <w:rsid w:val="0023212E"/>
    <w:rsid w:val="00236389"/>
    <w:rsid w:val="002475E2"/>
    <w:rsid w:val="002506D2"/>
    <w:rsid w:val="00250DE2"/>
    <w:rsid w:val="00254A1B"/>
    <w:rsid w:val="00255ECE"/>
    <w:rsid w:val="002573D7"/>
    <w:rsid w:val="0026064A"/>
    <w:rsid w:val="00264566"/>
    <w:rsid w:val="0028454D"/>
    <w:rsid w:val="00290062"/>
    <w:rsid w:val="00290CF6"/>
    <w:rsid w:val="00291C9E"/>
    <w:rsid w:val="002926D4"/>
    <w:rsid w:val="0029734E"/>
    <w:rsid w:val="002A0111"/>
    <w:rsid w:val="002A2539"/>
    <w:rsid w:val="002A2F6C"/>
    <w:rsid w:val="002A3CF5"/>
    <w:rsid w:val="002A61C9"/>
    <w:rsid w:val="002B06A3"/>
    <w:rsid w:val="002B435C"/>
    <w:rsid w:val="002B447F"/>
    <w:rsid w:val="002C0034"/>
    <w:rsid w:val="002C07DA"/>
    <w:rsid w:val="002C2A49"/>
    <w:rsid w:val="002C3446"/>
    <w:rsid w:val="002C50F1"/>
    <w:rsid w:val="002C7EA9"/>
    <w:rsid w:val="002D7CB6"/>
    <w:rsid w:val="002E68C6"/>
    <w:rsid w:val="002F575D"/>
    <w:rsid w:val="003065AA"/>
    <w:rsid w:val="003113D7"/>
    <w:rsid w:val="00311E8A"/>
    <w:rsid w:val="00325FB0"/>
    <w:rsid w:val="00342F20"/>
    <w:rsid w:val="003464CB"/>
    <w:rsid w:val="00360377"/>
    <w:rsid w:val="00366548"/>
    <w:rsid w:val="0038005B"/>
    <w:rsid w:val="003809C7"/>
    <w:rsid w:val="0038236C"/>
    <w:rsid w:val="00393DCD"/>
    <w:rsid w:val="00395B40"/>
    <w:rsid w:val="003A1397"/>
    <w:rsid w:val="003A2006"/>
    <w:rsid w:val="003A3549"/>
    <w:rsid w:val="003A6568"/>
    <w:rsid w:val="003B4FD1"/>
    <w:rsid w:val="003B51AF"/>
    <w:rsid w:val="003B6263"/>
    <w:rsid w:val="003C29E6"/>
    <w:rsid w:val="003C64A7"/>
    <w:rsid w:val="003C6829"/>
    <w:rsid w:val="003D1128"/>
    <w:rsid w:val="003D1671"/>
    <w:rsid w:val="003D3D47"/>
    <w:rsid w:val="003D3FDA"/>
    <w:rsid w:val="003D581A"/>
    <w:rsid w:val="003D6D00"/>
    <w:rsid w:val="003E1331"/>
    <w:rsid w:val="003E166F"/>
    <w:rsid w:val="003E67D4"/>
    <w:rsid w:val="003F307E"/>
    <w:rsid w:val="004001E5"/>
    <w:rsid w:val="0041313C"/>
    <w:rsid w:val="00420822"/>
    <w:rsid w:val="00420C74"/>
    <w:rsid w:val="004220B6"/>
    <w:rsid w:val="00424143"/>
    <w:rsid w:val="004256BB"/>
    <w:rsid w:val="00426147"/>
    <w:rsid w:val="00441526"/>
    <w:rsid w:val="00444D82"/>
    <w:rsid w:val="004465AA"/>
    <w:rsid w:val="00446A5E"/>
    <w:rsid w:val="00447A0D"/>
    <w:rsid w:val="00452C1D"/>
    <w:rsid w:val="0045458F"/>
    <w:rsid w:val="004633B4"/>
    <w:rsid w:val="00463C28"/>
    <w:rsid w:val="00470226"/>
    <w:rsid w:val="0047699C"/>
    <w:rsid w:val="004807D2"/>
    <w:rsid w:val="00495CED"/>
    <w:rsid w:val="004A2F96"/>
    <w:rsid w:val="004A4BDF"/>
    <w:rsid w:val="004B3553"/>
    <w:rsid w:val="004B3F4B"/>
    <w:rsid w:val="004C141D"/>
    <w:rsid w:val="004C6758"/>
    <w:rsid w:val="004E1FCA"/>
    <w:rsid w:val="004E47D6"/>
    <w:rsid w:val="004F162F"/>
    <w:rsid w:val="00503189"/>
    <w:rsid w:val="00516BD1"/>
    <w:rsid w:val="005206E9"/>
    <w:rsid w:val="00521638"/>
    <w:rsid w:val="005263B2"/>
    <w:rsid w:val="00526D01"/>
    <w:rsid w:val="00526D64"/>
    <w:rsid w:val="00530E8C"/>
    <w:rsid w:val="005358B2"/>
    <w:rsid w:val="00535D34"/>
    <w:rsid w:val="00545933"/>
    <w:rsid w:val="00547CC7"/>
    <w:rsid w:val="00552105"/>
    <w:rsid w:val="005562F2"/>
    <w:rsid w:val="00557544"/>
    <w:rsid w:val="005624FC"/>
    <w:rsid w:val="0056326F"/>
    <w:rsid w:val="005638A5"/>
    <w:rsid w:val="00565346"/>
    <w:rsid w:val="00565BBB"/>
    <w:rsid w:val="005669A4"/>
    <w:rsid w:val="00571B26"/>
    <w:rsid w:val="00571B32"/>
    <w:rsid w:val="00584F00"/>
    <w:rsid w:val="00585F3C"/>
    <w:rsid w:val="00586CA0"/>
    <w:rsid w:val="00587875"/>
    <w:rsid w:val="005A63EB"/>
    <w:rsid w:val="005B0876"/>
    <w:rsid w:val="005B1BDC"/>
    <w:rsid w:val="005B5104"/>
    <w:rsid w:val="005B6A3E"/>
    <w:rsid w:val="005B7E4C"/>
    <w:rsid w:val="005C0B69"/>
    <w:rsid w:val="005C33B6"/>
    <w:rsid w:val="005C3DBD"/>
    <w:rsid w:val="005C6F10"/>
    <w:rsid w:val="005D6202"/>
    <w:rsid w:val="005D6354"/>
    <w:rsid w:val="005D6E98"/>
    <w:rsid w:val="005F6408"/>
    <w:rsid w:val="00607E2B"/>
    <w:rsid w:val="006139D6"/>
    <w:rsid w:val="00616694"/>
    <w:rsid w:val="00616D1B"/>
    <w:rsid w:val="00623CE1"/>
    <w:rsid w:val="00627880"/>
    <w:rsid w:val="0063062B"/>
    <w:rsid w:val="00634A82"/>
    <w:rsid w:val="00637351"/>
    <w:rsid w:val="0064205A"/>
    <w:rsid w:val="00645F6A"/>
    <w:rsid w:val="00646166"/>
    <w:rsid w:val="00652BDD"/>
    <w:rsid w:val="00654896"/>
    <w:rsid w:val="00660027"/>
    <w:rsid w:val="006621F0"/>
    <w:rsid w:val="006647BA"/>
    <w:rsid w:val="00665F23"/>
    <w:rsid w:val="00667229"/>
    <w:rsid w:val="00676D45"/>
    <w:rsid w:val="00682BE5"/>
    <w:rsid w:val="00683846"/>
    <w:rsid w:val="00690E80"/>
    <w:rsid w:val="00690FED"/>
    <w:rsid w:val="006939A5"/>
    <w:rsid w:val="00694E45"/>
    <w:rsid w:val="006A2A58"/>
    <w:rsid w:val="006A353F"/>
    <w:rsid w:val="006B09DB"/>
    <w:rsid w:val="006B5EF1"/>
    <w:rsid w:val="006C3BEA"/>
    <w:rsid w:val="006D5223"/>
    <w:rsid w:val="006D5970"/>
    <w:rsid w:val="006D6DFF"/>
    <w:rsid w:val="006E12FC"/>
    <w:rsid w:val="006E4BEB"/>
    <w:rsid w:val="006E5F30"/>
    <w:rsid w:val="006E7B24"/>
    <w:rsid w:val="006F0F24"/>
    <w:rsid w:val="006F2B2E"/>
    <w:rsid w:val="006F6A5C"/>
    <w:rsid w:val="00703F6F"/>
    <w:rsid w:val="007052B3"/>
    <w:rsid w:val="00705962"/>
    <w:rsid w:val="00707C21"/>
    <w:rsid w:val="00712451"/>
    <w:rsid w:val="00712FAF"/>
    <w:rsid w:val="00717DE9"/>
    <w:rsid w:val="00720CFF"/>
    <w:rsid w:val="0072518B"/>
    <w:rsid w:val="00725A8A"/>
    <w:rsid w:val="00731041"/>
    <w:rsid w:val="007329E4"/>
    <w:rsid w:val="00732F08"/>
    <w:rsid w:val="007342F0"/>
    <w:rsid w:val="0074190C"/>
    <w:rsid w:val="00744D77"/>
    <w:rsid w:val="00746576"/>
    <w:rsid w:val="0075493D"/>
    <w:rsid w:val="00754F34"/>
    <w:rsid w:val="0075520D"/>
    <w:rsid w:val="00762576"/>
    <w:rsid w:val="007673CA"/>
    <w:rsid w:val="00767C9D"/>
    <w:rsid w:val="00790EF0"/>
    <w:rsid w:val="00791060"/>
    <w:rsid w:val="00791821"/>
    <w:rsid w:val="007926EA"/>
    <w:rsid w:val="007A1BBC"/>
    <w:rsid w:val="007B5626"/>
    <w:rsid w:val="007B6124"/>
    <w:rsid w:val="007C4510"/>
    <w:rsid w:val="007D3C53"/>
    <w:rsid w:val="007D6D0A"/>
    <w:rsid w:val="007E3A0F"/>
    <w:rsid w:val="007E4CB0"/>
    <w:rsid w:val="007F0AE6"/>
    <w:rsid w:val="007F2628"/>
    <w:rsid w:val="007F2FBA"/>
    <w:rsid w:val="00800C3A"/>
    <w:rsid w:val="0080570B"/>
    <w:rsid w:val="008148E1"/>
    <w:rsid w:val="00817E16"/>
    <w:rsid w:val="00822B33"/>
    <w:rsid w:val="008235F3"/>
    <w:rsid w:val="0083012B"/>
    <w:rsid w:val="008319BF"/>
    <w:rsid w:val="008415F0"/>
    <w:rsid w:val="008433C2"/>
    <w:rsid w:val="00844457"/>
    <w:rsid w:val="008454C8"/>
    <w:rsid w:val="00851D78"/>
    <w:rsid w:val="00862CE3"/>
    <w:rsid w:val="00870030"/>
    <w:rsid w:val="0087122A"/>
    <w:rsid w:val="008814C0"/>
    <w:rsid w:val="008846F5"/>
    <w:rsid w:val="00894E4D"/>
    <w:rsid w:val="008A016F"/>
    <w:rsid w:val="008A1A0D"/>
    <w:rsid w:val="008A32E9"/>
    <w:rsid w:val="008A3858"/>
    <w:rsid w:val="008A72E1"/>
    <w:rsid w:val="008A76ED"/>
    <w:rsid w:val="008B2ACF"/>
    <w:rsid w:val="008B3C72"/>
    <w:rsid w:val="008B77B1"/>
    <w:rsid w:val="008C28E5"/>
    <w:rsid w:val="008C5FED"/>
    <w:rsid w:val="008D0E09"/>
    <w:rsid w:val="008D5192"/>
    <w:rsid w:val="008E0E35"/>
    <w:rsid w:val="008E1E41"/>
    <w:rsid w:val="008E579E"/>
    <w:rsid w:val="00903007"/>
    <w:rsid w:val="009036F0"/>
    <w:rsid w:val="00906F27"/>
    <w:rsid w:val="00907EE7"/>
    <w:rsid w:val="009201A2"/>
    <w:rsid w:val="00923816"/>
    <w:rsid w:val="0092727B"/>
    <w:rsid w:val="0093074B"/>
    <w:rsid w:val="00930E64"/>
    <w:rsid w:val="009322DD"/>
    <w:rsid w:val="00942391"/>
    <w:rsid w:val="00943CF9"/>
    <w:rsid w:val="00947189"/>
    <w:rsid w:val="009524C7"/>
    <w:rsid w:val="00956F8C"/>
    <w:rsid w:val="0095750E"/>
    <w:rsid w:val="009612F8"/>
    <w:rsid w:val="0096130A"/>
    <w:rsid w:val="00961D57"/>
    <w:rsid w:val="00963CFB"/>
    <w:rsid w:val="00971C34"/>
    <w:rsid w:val="00976716"/>
    <w:rsid w:val="0097693B"/>
    <w:rsid w:val="009834B8"/>
    <w:rsid w:val="00993355"/>
    <w:rsid w:val="0099619B"/>
    <w:rsid w:val="009963F7"/>
    <w:rsid w:val="009A11CB"/>
    <w:rsid w:val="009A32E6"/>
    <w:rsid w:val="009A3A8E"/>
    <w:rsid w:val="009A3B7C"/>
    <w:rsid w:val="009A4A6D"/>
    <w:rsid w:val="009B0A51"/>
    <w:rsid w:val="009B44DD"/>
    <w:rsid w:val="009B7E42"/>
    <w:rsid w:val="009C7235"/>
    <w:rsid w:val="009D07DF"/>
    <w:rsid w:val="009D336E"/>
    <w:rsid w:val="009D46CE"/>
    <w:rsid w:val="009D4ADA"/>
    <w:rsid w:val="009E13DD"/>
    <w:rsid w:val="009F4B13"/>
    <w:rsid w:val="009F547A"/>
    <w:rsid w:val="00A02568"/>
    <w:rsid w:val="00A03D78"/>
    <w:rsid w:val="00A0503B"/>
    <w:rsid w:val="00A059CD"/>
    <w:rsid w:val="00A07096"/>
    <w:rsid w:val="00A13265"/>
    <w:rsid w:val="00A14900"/>
    <w:rsid w:val="00A20740"/>
    <w:rsid w:val="00A2159F"/>
    <w:rsid w:val="00A23C16"/>
    <w:rsid w:val="00A324FF"/>
    <w:rsid w:val="00A41ACB"/>
    <w:rsid w:val="00A42D13"/>
    <w:rsid w:val="00A5160D"/>
    <w:rsid w:val="00A529BC"/>
    <w:rsid w:val="00A5346C"/>
    <w:rsid w:val="00A5364F"/>
    <w:rsid w:val="00A53F51"/>
    <w:rsid w:val="00A562F0"/>
    <w:rsid w:val="00A564FB"/>
    <w:rsid w:val="00A5718E"/>
    <w:rsid w:val="00A6038F"/>
    <w:rsid w:val="00A614C1"/>
    <w:rsid w:val="00A61EA6"/>
    <w:rsid w:val="00A657BF"/>
    <w:rsid w:val="00A6626B"/>
    <w:rsid w:val="00A71136"/>
    <w:rsid w:val="00A92578"/>
    <w:rsid w:val="00A92C77"/>
    <w:rsid w:val="00A95CD3"/>
    <w:rsid w:val="00A97670"/>
    <w:rsid w:val="00AA2A88"/>
    <w:rsid w:val="00AA474C"/>
    <w:rsid w:val="00AB10BC"/>
    <w:rsid w:val="00AB5691"/>
    <w:rsid w:val="00AC267D"/>
    <w:rsid w:val="00AC35EF"/>
    <w:rsid w:val="00AC4D5B"/>
    <w:rsid w:val="00AD1DDB"/>
    <w:rsid w:val="00AD2697"/>
    <w:rsid w:val="00AD5C77"/>
    <w:rsid w:val="00AD7B2C"/>
    <w:rsid w:val="00AD7E5F"/>
    <w:rsid w:val="00AE3066"/>
    <w:rsid w:val="00AE5851"/>
    <w:rsid w:val="00AE59C6"/>
    <w:rsid w:val="00AF0331"/>
    <w:rsid w:val="00AF0D05"/>
    <w:rsid w:val="00AF146C"/>
    <w:rsid w:val="00AF2A6C"/>
    <w:rsid w:val="00AF494F"/>
    <w:rsid w:val="00AF68E4"/>
    <w:rsid w:val="00AF6C2B"/>
    <w:rsid w:val="00B00A87"/>
    <w:rsid w:val="00B01AA1"/>
    <w:rsid w:val="00B05ED4"/>
    <w:rsid w:val="00B06025"/>
    <w:rsid w:val="00B1498A"/>
    <w:rsid w:val="00B30C81"/>
    <w:rsid w:val="00B30DA1"/>
    <w:rsid w:val="00B42ADD"/>
    <w:rsid w:val="00B47876"/>
    <w:rsid w:val="00B4793B"/>
    <w:rsid w:val="00B47E99"/>
    <w:rsid w:val="00B51683"/>
    <w:rsid w:val="00B56099"/>
    <w:rsid w:val="00B56A03"/>
    <w:rsid w:val="00B56BE0"/>
    <w:rsid w:val="00B57ACF"/>
    <w:rsid w:val="00B60A0E"/>
    <w:rsid w:val="00B64A60"/>
    <w:rsid w:val="00B661AC"/>
    <w:rsid w:val="00B802F2"/>
    <w:rsid w:val="00B8468D"/>
    <w:rsid w:val="00B937D7"/>
    <w:rsid w:val="00B955A6"/>
    <w:rsid w:val="00B96B67"/>
    <w:rsid w:val="00BA2314"/>
    <w:rsid w:val="00BA54A4"/>
    <w:rsid w:val="00BB0E4C"/>
    <w:rsid w:val="00BB0EA4"/>
    <w:rsid w:val="00BC57EF"/>
    <w:rsid w:val="00BC69DB"/>
    <w:rsid w:val="00BC7914"/>
    <w:rsid w:val="00BE07A7"/>
    <w:rsid w:val="00BE6B6B"/>
    <w:rsid w:val="00BF25F9"/>
    <w:rsid w:val="00C00B04"/>
    <w:rsid w:val="00C04E06"/>
    <w:rsid w:val="00C074B2"/>
    <w:rsid w:val="00C13FD5"/>
    <w:rsid w:val="00C15633"/>
    <w:rsid w:val="00C15799"/>
    <w:rsid w:val="00C32E84"/>
    <w:rsid w:val="00C3314D"/>
    <w:rsid w:val="00C35415"/>
    <w:rsid w:val="00C357AD"/>
    <w:rsid w:val="00C465E9"/>
    <w:rsid w:val="00C516C7"/>
    <w:rsid w:val="00C51C5F"/>
    <w:rsid w:val="00C554CC"/>
    <w:rsid w:val="00C6069C"/>
    <w:rsid w:val="00C616D9"/>
    <w:rsid w:val="00C67CF3"/>
    <w:rsid w:val="00C70477"/>
    <w:rsid w:val="00C72AD4"/>
    <w:rsid w:val="00C74745"/>
    <w:rsid w:val="00C77BDB"/>
    <w:rsid w:val="00C81B48"/>
    <w:rsid w:val="00C85119"/>
    <w:rsid w:val="00C952D8"/>
    <w:rsid w:val="00C95C48"/>
    <w:rsid w:val="00CA41E7"/>
    <w:rsid w:val="00CB11ED"/>
    <w:rsid w:val="00CD170C"/>
    <w:rsid w:val="00CD320B"/>
    <w:rsid w:val="00CD3F37"/>
    <w:rsid w:val="00CD5431"/>
    <w:rsid w:val="00CE1CD7"/>
    <w:rsid w:val="00CE4B93"/>
    <w:rsid w:val="00CF2491"/>
    <w:rsid w:val="00CF3963"/>
    <w:rsid w:val="00CF75CC"/>
    <w:rsid w:val="00D01438"/>
    <w:rsid w:val="00D05E7E"/>
    <w:rsid w:val="00D1252E"/>
    <w:rsid w:val="00D135FA"/>
    <w:rsid w:val="00D13D9D"/>
    <w:rsid w:val="00D14AFE"/>
    <w:rsid w:val="00D35CB0"/>
    <w:rsid w:val="00D416A3"/>
    <w:rsid w:val="00D421EA"/>
    <w:rsid w:val="00D459A2"/>
    <w:rsid w:val="00D4781B"/>
    <w:rsid w:val="00D5046A"/>
    <w:rsid w:val="00D530FF"/>
    <w:rsid w:val="00D53688"/>
    <w:rsid w:val="00D5407A"/>
    <w:rsid w:val="00D57772"/>
    <w:rsid w:val="00D606C8"/>
    <w:rsid w:val="00D72AE3"/>
    <w:rsid w:val="00D75A4D"/>
    <w:rsid w:val="00D80EF2"/>
    <w:rsid w:val="00D8478B"/>
    <w:rsid w:val="00D86151"/>
    <w:rsid w:val="00D9172D"/>
    <w:rsid w:val="00D97E84"/>
    <w:rsid w:val="00DA46B7"/>
    <w:rsid w:val="00DA5641"/>
    <w:rsid w:val="00DA7595"/>
    <w:rsid w:val="00DB0A68"/>
    <w:rsid w:val="00DC07A9"/>
    <w:rsid w:val="00DC43A3"/>
    <w:rsid w:val="00DC4CF3"/>
    <w:rsid w:val="00DC51F3"/>
    <w:rsid w:val="00DC5C01"/>
    <w:rsid w:val="00DD402B"/>
    <w:rsid w:val="00DD507F"/>
    <w:rsid w:val="00DD7C09"/>
    <w:rsid w:val="00DE36D9"/>
    <w:rsid w:val="00DF09B8"/>
    <w:rsid w:val="00DF0EB4"/>
    <w:rsid w:val="00DF111E"/>
    <w:rsid w:val="00DF595F"/>
    <w:rsid w:val="00DF5CAF"/>
    <w:rsid w:val="00E0124F"/>
    <w:rsid w:val="00E171CF"/>
    <w:rsid w:val="00E37930"/>
    <w:rsid w:val="00E55A1A"/>
    <w:rsid w:val="00E5762A"/>
    <w:rsid w:val="00E674D3"/>
    <w:rsid w:val="00E70FD0"/>
    <w:rsid w:val="00E72B2C"/>
    <w:rsid w:val="00E7309D"/>
    <w:rsid w:val="00E75943"/>
    <w:rsid w:val="00E77C4B"/>
    <w:rsid w:val="00E806C2"/>
    <w:rsid w:val="00E83635"/>
    <w:rsid w:val="00E9301F"/>
    <w:rsid w:val="00E9399E"/>
    <w:rsid w:val="00E9690A"/>
    <w:rsid w:val="00E97DC7"/>
    <w:rsid w:val="00EA0206"/>
    <w:rsid w:val="00EA3FEA"/>
    <w:rsid w:val="00EB3B63"/>
    <w:rsid w:val="00EB63C2"/>
    <w:rsid w:val="00EF0422"/>
    <w:rsid w:val="00EF6BBC"/>
    <w:rsid w:val="00F000EF"/>
    <w:rsid w:val="00F01F8C"/>
    <w:rsid w:val="00F0457D"/>
    <w:rsid w:val="00F10D01"/>
    <w:rsid w:val="00F20450"/>
    <w:rsid w:val="00F2504E"/>
    <w:rsid w:val="00F2585B"/>
    <w:rsid w:val="00F4053F"/>
    <w:rsid w:val="00F516E7"/>
    <w:rsid w:val="00F54297"/>
    <w:rsid w:val="00F57084"/>
    <w:rsid w:val="00F57BF7"/>
    <w:rsid w:val="00F57D76"/>
    <w:rsid w:val="00F6263E"/>
    <w:rsid w:val="00F627C2"/>
    <w:rsid w:val="00F736FD"/>
    <w:rsid w:val="00F80EA7"/>
    <w:rsid w:val="00F84067"/>
    <w:rsid w:val="00F86F9C"/>
    <w:rsid w:val="00F963C3"/>
    <w:rsid w:val="00FA1B46"/>
    <w:rsid w:val="00FA50B4"/>
    <w:rsid w:val="00FB6E83"/>
    <w:rsid w:val="00FC156A"/>
    <w:rsid w:val="00FC4838"/>
    <w:rsid w:val="00FD28AE"/>
    <w:rsid w:val="00FD6235"/>
    <w:rsid w:val="00FE13D1"/>
    <w:rsid w:val="00FE3DE5"/>
    <w:rsid w:val="00FE4BAB"/>
    <w:rsid w:val="00FF4D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45973B3C-0CA9-4E8C-B600-2038B3D3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semiHidden/>
    <w:unhideWhenUsed/>
    <w:rsid w:val="00C3314D"/>
    <w:pPr>
      <w:spacing w:before="100" w:beforeAutospacing="1" w:after="100" w:afterAutospacing="1"/>
    </w:pPr>
    <w:rPr>
      <w:rFonts w:eastAsia="Times New Roman"/>
      <w:lang w:val="en-ID"/>
    </w:rPr>
  </w:style>
  <w:style w:type="character" w:customStyle="1" w:styleId="ListParagraphChar">
    <w:name w:val="List Paragraph Char"/>
    <w:basedOn w:val="DefaultParagraphFont"/>
    <w:link w:val="ListParagraph"/>
    <w:uiPriority w:val="34"/>
    <w:locked/>
    <w:rsid w:val="00C3314D"/>
    <w:rPr>
      <w:rFonts w:eastAsia="BatangChe"/>
      <w:sz w:val="24"/>
      <w:szCs w:val="24"/>
    </w:rPr>
  </w:style>
  <w:style w:type="paragraph" w:styleId="Caption">
    <w:name w:val="caption"/>
    <w:basedOn w:val="Normal"/>
    <w:next w:val="Normal"/>
    <w:uiPriority w:val="35"/>
    <w:unhideWhenUsed/>
    <w:qFormat/>
    <w:rsid w:val="00C3314D"/>
    <w:pPr>
      <w:spacing w:after="200"/>
    </w:pPr>
    <w:rPr>
      <w:rFonts w:asciiTheme="minorHAnsi" w:eastAsiaTheme="minorHAnsi" w:hAnsiTheme="minorHAnsi" w:cstheme="minorBidi"/>
      <w:i/>
      <w:iCs/>
      <w:color w:val="1F497D" w:themeColor="text2"/>
      <w:sz w:val="18"/>
      <w:szCs w:val="18"/>
    </w:rPr>
  </w:style>
  <w:style w:type="paragraph" w:customStyle="1" w:styleId="Tabletext">
    <w:name w:val="Table_text"/>
    <w:basedOn w:val="Normal"/>
    <w:link w:val="TabletextChar"/>
    <w:rsid w:val="00C3314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rsid w:val="00C3314D"/>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link w:val="Tablehead"/>
    <w:locked/>
    <w:rsid w:val="00C3314D"/>
    <w:rPr>
      <w:rFonts w:ascii="Times New Roman Bold" w:eastAsia="Times New Roman" w:hAnsi="Times New Roman Bold" w:cs="Times New Roman Bold"/>
      <w:b/>
      <w:lang w:val="en-GB"/>
    </w:rPr>
  </w:style>
  <w:style w:type="character" w:customStyle="1" w:styleId="TabletextChar">
    <w:name w:val="Table_text Char"/>
    <w:basedOn w:val="DefaultParagraphFont"/>
    <w:link w:val="Tabletext"/>
    <w:locked/>
    <w:rsid w:val="00C3314D"/>
    <w:rPr>
      <w:rFonts w:eastAsia="Times New Roman"/>
      <w:lang w:val="en-GB"/>
    </w:rPr>
  </w:style>
  <w:style w:type="character" w:styleId="FollowedHyperlink">
    <w:name w:val="FollowedHyperlink"/>
    <w:basedOn w:val="DefaultParagraphFont"/>
    <w:semiHidden/>
    <w:unhideWhenUsed/>
    <w:rsid w:val="00C3314D"/>
    <w:rPr>
      <w:color w:val="800080" w:themeColor="followedHyperlink"/>
      <w:u w:val="single"/>
    </w:rPr>
  </w:style>
  <w:style w:type="character" w:styleId="UnresolvedMention">
    <w:name w:val="Unresolved Mention"/>
    <w:basedOn w:val="DefaultParagraphFont"/>
    <w:uiPriority w:val="99"/>
    <w:semiHidden/>
    <w:unhideWhenUsed/>
    <w:rsid w:val="00C3314D"/>
    <w:rPr>
      <w:color w:val="605E5C"/>
      <w:shd w:val="clear" w:color="auto" w:fill="E1DFDD"/>
    </w:rPr>
  </w:style>
  <w:style w:type="character" w:customStyle="1" w:styleId="Heading8Char">
    <w:name w:val="Heading 8 Char"/>
    <w:basedOn w:val="DefaultParagraphFont"/>
    <w:link w:val="Heading8"/>
    <w:rsid w:val="000234EE"/>
    <w:rPr>
      <w:rFonts w:eastAsia="BatangChe"/>
      <w:b/>
      <w:bCs/>
      <w:kern w:val="2"/>
      <w:lang w:eastAsia="ko-KR"/>
    </w:rPr>
  </w:style>
  <w:style w:type="paragraph" w:styleId="Revision">
    <w:name w:val="Revision"/>
    <w:hidden/>
    <w:uiPriority w:val="99"/>
    <w:semiHidden/>
    <w:rsid w:val="00426147"/>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6240">
      <w:bodyDiv w:val="1"/>
      <w:marLeft w:val="0"/>
      <w:marRight w:val="0"/>
      <w:marTop w:val="0"/>
      <w:marBottom w:val="0"/>
      <w:divBdr>
        <w:top w:val="none" w:sz="0" w:space="0" w:color="auto"/>
        <w:left w:val="none" w:sz="0" w:space="0" w:color="auto"/>
        <w:bottom w:val="none" w:sz="0" w:space="0" w:color="auto"/>
        <w:right w:val="none" w:sz="0" w:space="0" w:color="auto"/>
      </w:divBdr>
      <w:divsChild>
        <w:div w:id="1943146147">
          <w:marLeft w:val="0"/>
          <w:marRight w:val="0"/>
          <w:marTop w:val="0"/>
          <w:marBottom w:val="0"/>
          <w:divBdr>
            <w:top w:val="none" w:sz="0" w:space="0" w:color="auto"/>
            <w:left w:val="none" w:sz="0" w:space="0" w:color="auto"/>
            <w:bottom w:val="none" w:sz="0" w:space="0" w:color="auto"/>
            <w:right w:val="none" w:sz="0" w:space="0" w:color="auto"/>
          </w:divBdr>
          <w:divsChild>
            <w:div w:id="666902747">
              <w:marLeft w:val="0"/>
              <w:marRight w:val="0"/>
              <w:marTop w:val="0"/>
              <w:marBottom w:val="0"/>
              <w:divBdr>
                <w:top w:val="none" w:sz="0" w:space="0" w:color="auto"/>
                <w:left w:val="none" w:sz="0" w:space="0" w:color="auto"/>
                <w:bottom w:val="none" w:sz="0" w:space="0" w:color="auto"/>
                <w:right w:val="none" w:sz="0" w:space="0" w:color="auto"/>
              </w:divBdr>
              <w:divsChild>
                <w:div w:id="1207377019">
                  <w:marLeft w:val="0"/>
                  <w:marRight w:val="0"/>
                  <w:marTop w:val="0"/>
                  <w:marBottom w:val="0"/>
                  <w:divBdr>
                    <w:top w:val="none" w:sz="0" w:space="0" w:color="auto"/>
                    <w:left w:val="none" w:sz="0" w:space="0" w:color="auto"/>
                    <w:bottom w:val="none" w:sz="0" w:space="0" w:color="auto"/>
                    <w:right w:val="none" w:sz="0" w:space="0" w:color="auto"/>
                  </w:divBdr>
                  <w:divsChild>
                    <w:div w:id="4010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50774">
      <w:bodyDiv w:val="1"/>
      <w:marLeft w:val="0"/>
      <w:marRight w:val="0"/>
      <w:marTop w:val="0"/>
      <w:marBottom w:val="0"/>
      <w:divBdr>
        <w:top w:val="none" w:sz="0" w:space="0" w:color="auto"/>
        <w:left w:val="none" w:sz="0" w:space="0" w:color="auto"/>
        <w:bottom w:val="none" w:sz="0" w:space="0" w:color="auto"/>
        <w:right w:val="none" w:sz="0" w:space="0" w:color="auto"/>
      </w:divBdr>
      <w:divsChild>
        <w:div w:id="834028550">
          <w:marLeft w:val="0"/>
          <w:marRight w:val="0"/>
          <w:marTop w:val="0"/>
          <w:marBottom w:val="0"/>
          <w:divBdr>
            <w:top w:val="none" w:sz="0" w:space="0" w:color="auto"/>
            <w:left w:val="none" w:sz="0" w:space="0" w:color="auto"/>
            <w:bottom w:val="none" w:sz="0" w:space="0" w:color="auto"/>
            <w:right w:val="none" w:sz="0" w:space="0" w:color="auto"/>
          </w:divBdr>
          <w:divsChild>
            <w:div w:id="451631615">
              <w:marLeft w:val="0"/>
              <w:marRight w:val="0"/>
              <w:marTop w:val="0"/>
              <w:marBottom w:val="0"/>
              <w:divBdr>
                <w:top w:val="none" w:sz="0" w:space="0" w:color="auto"/>
                <w:left w:val="none" w:sz="0" w:space="0" w:color="auto"/>
                <w:bottom w:val="none" w:sz="0" w:space="0" w:color="auto"/>
                <w:right w:val="none" w:sz="0" w:space="0" w:color="auto"/>
              </w:divBdr>
              <w:divsChild>
                <w:div w:id="811557872">
                  <w:marLeft w:val="0"/>
                  <w:marRight w:val="0"/>
                  <w:marTop w:val="0"/>
                  <w:marBottom w:val="0"/>
                  <w:divBdr>
                    <w:top w:val="none" w:sz="0" w:space="0" w:color="auto"/>
                    <w:left w:val="none" w:sz="0" w:space="0" w:color="auto"/>
                    <w:bottom w:val="none" w:sz="0" w:space="0" w:color="auto"/>
                    <w:right w:val="none" w:sz="0" w:space="0" w:color="auto"/>
                  </w:divBdr>
                  <w:divsChild>
                    <w:div w:id="11065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5721">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62406712">
      <w:bodyDiv w:val="1"/>
      <w:marLeft w:val="0"/>
      <w:marRight w:val="0"/>
      <w:marTop w:val="0"/>
      <w:marBottom w:val="0"/>
      <w:divBdr>
        <w:top w:val="none" w:sz="0" w:space="0" w:color="auto"/>
        <w:left w:val="none" w:sz="0" w:space="0" w:color="auto"/>
        <w:bottom w:val="none" w:sz="0" w:space="0" w:color="auto"/>
        <w:right w:val="none" w:sz="0" w:space="0" w:color="auto"/>
      </w:divBdr>
    </w:div>
    <w:div w:id="1600214386">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58279">
      <w:bodyDiv w:val="1"/>
      <w:marLeft w:val="0"/>
      <w:marRight w:val="0"/>
      <w:marTop w:val="0"/>
      <w:marBottom w:val="0"/>
      <w:divBdr>
        <w:top w:val="none" w:sz="0" w:space="0" w:color="auto"/>
        <w:left w:val="none" w:sz="0" w:space="0" w:color="auto"/>
        <w:bottom w:val="none" w:sz="0" w:space="0" w:color="auto"/>
        <w:right w:val="none" w:sz="0" w:space="0" w:color="auto"/>
      </w:divBdr>
    </w:div>
    <w:div w:id="18991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11/APG23-3-INF-37_ASMG_Preparation_for_WRC-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pt.int/sites/default/files/2021/11/APG23-3-INF-35_Briefing_on_AI1.19_0.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11/APG23-3-INP-44_China_WP4.docx" TargetMode="External"/><Relationship Id="rId5" Type="http://schemas.openxmlformats.org/officeDocument/2006/relationships/webSettings" Target="webSettings.xml"/><Relationship Id="rId15" Type="http://schemas.openxmlformats.org/officeDocument/2006/relationships/hyperlink" Target="https://www.apt.int/sites/default/files/2021/11/APG23-3-INF-41_Status_of_CEPT_Preparation_for_WRC-23_and_RA-23.pdf" TargetMode="External"/><Relationship Id="rId23" Type="http://schemas.openxmlformats.org/officeDocument/2006/relationships/theme" Target="theme/theme1.xml"/><Relationship Id="rId10" Type="http://schemas.openxmlformats.org/officeDocument/2006/relationships/hyperlink" Target="https://www.apt.int/sites/default/files/2021/11/APG23-3-INP-31_J-4_WP4_PRELIMINARY_VIEWS_ON_WRC-23_AGENDA_ITEMS_1.15_1.16_1.17_1.18_1.19_AND_7.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t.int/sites/default/files/2021/10/APG23-3-INP-10_AUS_contribution_for_WP4_Preliminary_Views_on_WRC-23_Agenda_Items_1.15_1.16_1.17_1.18_1.19_and_7.docx" TargetMode="External"/><Relationship Id="rId14" Type="http://schemas.openxmlformats.org/officeDocument/2006/relationships/hyperlink" Target="https://www.apt.int/sites/default/files/2021/11/APG23-3-INF-39_Report_of_APM23-2.doc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pattanaik.mr@gov.in" TargetMode="External"/><Relationship Id="rId1" Type="http://schemas.openxmlformats.org/officeDocument/2006/relationships/hyperlink" Target="mailto:chengfenhong@chinasat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1BB8-432F-4995-BA5B-5ED6AEF8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Forhadul Parvez</cp:lastModifiedBy>
  <cp:revision>2</cp:revision>
  <cp:lastPrinted>2015-02-02T07:28:00Z</cp:lastPrinted>
  <dcterms:created xsi:type="dcterms:W3CDTF">2021-11-22T03:58:00Z</dcterms:created>
  <dcterms:modified xsi:type="dcterms:W3CDTF">2021-11-22T03:58:00Z</dcterms:modified>
</cp:coreProperties>
</file>