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F24204" w:rsidRPr="00723BE9" w14:paraId="095425CF" w14:textId="77777777" w:rsidTr="009B128C">
        <w:trPr>
          <w:cantSplit/>
          <w:trHeight w:val="288"/>
        </w:trPr>
        <w:tc>
          <w:tcPr>
            <w:tcW w:w="1399" w:type="dxa"/>
            <w:vMerge w:val="restart"/>
          </w:tcPr>
          <w:p w14:paraId="2CFB1E75" w14:textId="77777777" w:rsidR="00F24204" w:rsidRPr="00891D0B" w:rsidRDefault="00F24204" w:rsidP="009B128C">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E1A18A7" wp14:editId="0A30991C">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8CC3802" w14:textId="77777777" w:rsidR="00F24204" w:rsidRPr="00E86131" w:rsidRDefault="00F24204" w:rsidP="009B128C">
            <w:r w:rsidRPr="00E86131">
              <w:t>ASIA-PACIFIC TELECOMMUNITY</w:t>
            </w:r>
          </w:p>
        </w:tc>
        <w:tc>
          <w:tcPr>
            <w:tcW w:w="2160" w:type="dxa"/>
          </w:tcPr>
          <w:p w14:paraId="0D8D85D6" w14:textId="77777777" w:rsidR="00F24204" w:rsidRPr="00723BE9" w:rsidRDefault="00F24204" w:rsidP="009B128C">
            <w:pPr>
              <w:rPr>
                <w:b/>
                <w:sz w:val="22"/>
                <w:szCs w:val="22"/>
              </w:rPr>
            </w:pPr>
            <w:r w:rsidRPr="00723BE9">
              <w:rPr>
                <w:b/>
              </w:rPr>
              <w:t>Document No:</w:t>
            </w:r>
          </w:p>
        </w:tc>
      </w:tr>
      <w:tr w:rsidR="00F24204" w14:paraId="19C99C58" w14:textId="77777777" w:rsidTr="009B128C">
        <w:trPr>
          <w:cantSplit/>
          <w:trHeight w:val="504"/>
        </w:trPr>
        <w:tc>
          <w:tcPr>
            <w:tcW w:w="1399" w:type="dxa"/>
            <w:vMerge/>
          </w:tcPr>
          <w:p w14:paraId="7C3B191D" w14:textId="77777777" w:rsidR="00F24204" w:rsidRPr="00891D0B" w:rsidRDefault="00F24204" w:rsidP="009B128C"/>
        </w:tc>
        <w:tc>
          <w:tcPr>
            <w:tcW w:w="5760" w:type="dxa"/>
          </w:tcPr>
          <w:p w14:paraId="023F601B" w14:textId="77777777" w:rsidR="00F24204" w:rsidRDefault="00F24204" w:rsidP="009B128C">
            <w:pPr>
              <w:spacing w:line="0" w:lineRule="atLeast"/>
              <w:rPr>
                <w:b/>
              </w:rPr>
            </w:pPr>
            <w:r>
              <w:rPr>
                <w:b/>
              </w:rPr>
              <w:t>The 4th Meeting of the APT Conference Preparatory</w:t>
            </w:r>
          </w:p>
          <w:p w14:paraId="545694F1" w14:textId="77777777" w:rsidR="00F24204" w:rsidRPr="00891D0B" w:rsidRDefault="00F24204" w:rsidP="009B128C">
            <w:pPr>
              <w:spacing w:line="0" w:lineRule="atLeast"/>
            </w:pPr>
            <w:r>
              <w:rPr>
                <w:b/>
              </w:rPr>
              <w:t>Group for WRC-23 (APG23-4)</w:t>
            </w:r>
          </w:p>
        </w:tc>
        <w:tc>
          <w:tcPr>
            <w:tcW w:w="2160" w:type="dxa"/>
          </w:tcPr>
          <w:p w14:paraId="189CD70B" w14:textId="47032BE7" w:rsidR="00515C40" w:rsidRDefault="00F24204" w:rsidP="00515C40">
            <w:pPr>
              <w:rPr>
                <w:b/>
              </w:rPr>
            </w:pPr>
            <w:r w:rsidRPr="00C96104">
              <w:rPr>
                <w:b/>
                <w:bCs/>
                <w:lang w:val="fr-FR"/>
              </w:rPr>
              <w:t>AP</w:t>
            </w:r>
            <w:r>
              <w:rPr>
                <w:b/>
                <w:bCs/>
                <w:lang w:val="fr-FR"/>
              </w:rPr>
              <w:t>G23-4/</w:t>
            </w:r>
            <w:r w:rsidR="00515C40">
              <w:rPr>
                <w:b/>
                <w:bCs/>
                <w:lang w:val="fr-FR"/>
              </w:rPr>
              <w:t>OUT-08</w:t>
            </w:r>
          </w:p>
          <w:p w14:paraId="53F28448" w14:textId="51017525" w:rsidR="00F24204" w:rsidRDefault="00F24204" w:rsidP="009B128C">
            <w:pPr>
              <w:spacing w:line="0" w:lineRule="atLeast"/>
              <w:rPr>
                <w:b/>
              </w:rPr>
            </w:pPr>
          </w:p>
        </w:tc>
      </w:tr>
      <w:tr w:rsidR="00F24204" w14:paraId="31E1CA49" w14:textId="77777777" w:rsidTr="009B128C">
        <w:trPr>
          <w:cantSplit/>
          <w:trHeight w:val="288"/>
        </w:trPr>
        <w:tc>
          <w:tcPr>
            <w:tcW w:w="1399" w:type="dxa"/>
            <w:vMerge/>
          </w:tcPr>
          <w:p w14:paraId="667F9BCE" w14:textId="77777777" w:rsidR="00F24204" w:rsidRPr="007E1FDD" w:rsidRDefault="00F24204" w:rsidP="009B128C">
            <w:pPr>
              <w:rPr>
                <w:lang w:val="en-GB"/>
              </w:rPr>
            </w:pPr>
          </w:p>
        </w:tc>
        <w:tc>
          <w:tcPr>
            <w:tcW w:w="5760" w:type="dxa"/>
            <w:vAlign w:val="bottom"/>
          </w:tcPr>
          <w:p w14:paraId="488924BF" w14:textId="77777777" w:rsidR="00F24204" w:rsidRPr="007F0AE6" w:rsidRDefault="00F24204" w:rsidP="009B128C">
            <w:pPr>
              <w:rPr>
                <w:bCs/>
              </w:rPr>
            </w:pPr>
            <w:r>
              <w:t>15 – 20 August 2022</w:t>
            </w:r>
            <w:r w:rsidRPr="00891D0B">
              <w:t xml:space="preserve">, </w:t>
            </w:r>
            <w:r>
              <w:t>Bangkok, Thailand</w:t>
            </w:r>
          </w:p>
        </w:tc>
        <w:tc>
          <w:tcPr>
            <w:tcW w:w="2160" w:type="dxa"/>
            <w:vAlign w:val="bottom"/>
          </w:tcPr>
          <w:p w14:paraId="50539757" w14:textId="73B32B38" w:rsidR="00F24204" w:rsidRDefault="00515C40" w:rsidP="009B128C">
            <w:r>
              <w:rPr>
                <w:bCs/>
              </w:rPr>
              <w:t>20</w:t>
            </w:r>
            <w:r w:rsidR="00F24204" w:rsidRPr="007E1FDD">
              <w:rPr>
                <w:bCs/>
              </w:rPr>
              <w:t xml:space="preserve"> </w:t>
            </w:r>
            <w:r w:rsidR="00F24204">
              <w:rPr>
                <w:bCs/>
              </w:rPr>
              <w:t xml:space="preserve">August </w:t>
            </w:r>
            <w:r w:rsidR="00F24204" w:rsidRPr="007E1FDD">
              <w:rPr>
                <w:bCs/>
              </w:rPr>
              <w:t>20</w:t>
            </w:r>
            <w:r w:rsidR="00F24204">
              <w:rPr>
                <w:bCs/>
              </w:rPr>
              <w:t>22</w:t>
            </w:r>
          </w:p>
        </w:tc>
      </w:tr>
    </w:tbl>
    <w:p w14:paraId="744BC6B5" w14:textId="77777777" w:rsidR="00311E8A" w:rsidRDefault="00311E8A" w:rsidP="0072518B">
      <w:pPr>
        <w:jc w:val="center"/>
        <w:rPr>
          <w:lang w:val="en-NZ"/>
        </w:rPr>
      </w:pPr>
    </w:p>
    <w:p w14:paraId="5B7E4732" w14:textId="77777777" w:rsidR="00F24204" w:rsidRDefault="00F24204" w:rsidP="00B64A60">
      <w:pPr>
        <w:jc w:val="center"/>
        <w:rPr>
          <w:lang w:val="en-NZ" w:eastAsia="ko-KR"/>
        </w:rPr>
      </w:pPr>
    </w:p>
    <w:p w14:paraId="1A131501" w14:textId="7FC13178" w:rsidR="00B64A60" w:rsidRPr="002A0111" w:rsidRDefault="00515C40" w:rsidP="00B64A60">
      <w:pPr>
        <w:jc w:val="center"/>
        <w:rPr>
          <w:lang w:val="en-NZ" w:eastAsia="ko-KR"/>
        </w:rPr>
      </w:pPr>
      <w:r>
        <w:rPr>
          <w:rFonts w:eastAsia="MS Mincho"/>
          <w:lang w:val="en-NZ" w:eastAsia="ja-JP"/>
        </w:rPr>
        <w:t>Working Party 1</w:t>
      </w:r>
    </w:p>
    <w:p w14:paraId="69197598" w14:textId="77777777" w:rsidR="00B64A60" w:rsidRPr="002A0111" w:rsidRDefault="00B64A60" w:rsidP="00B64A60">
      <w:pPr>
        <w:jc w:val="center"/>
        <w:rPr>
          <w:bCs/>
          <w:caps/>
          <w:lang w:val="en-NZ"/>
        </w:rPr>
      </w:pPr>
    </w:p>
    <w:p w14:paraId="10C124D5" w14:textId="3193C653"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3C7E97">
        <w:rPr>
          <w:b/>
          <w:bCs/>
          <w:caps/>
          <w:lang w:val="en-NZ"/>
        </w:rPr>
        <w:t>4</w:t>
      </w:r>
      <w:r w:rsidR="002A0111">
        <w:rPr>
          <w:b/>
          <w:bCs/>
          <w:caps/>
          <w:lang w:val="en-NZ"/>
        </w:rPr>
        <w:t xml:space="preserve"> </w:t>
      </w:r>
    </w:p>
    <w:p w14:paraId="5CAEC656" w14:textId="77777777" w:rsidR="00B64A60" w:rsidRPr="00441526" w:rsidRDefault="00B64A60" w:rsidP="00264566">
      <w:pPr>
        <w:spacing w:after="120"/>
        <w:rPr>
          <w:lang w:val="en-NZ"/>
        </w:rPr>
      </w:pPr>
    </w:p>
    <w:p w14:paraId="37FBAB9B" w14:textId="6BCA5244" w:rsidR="002A0111" w:rsidRPr="00441526" w:rsidRDefault="002A0111" w:rsidP="002A0111">
      <w:pPr>
        <w:spacing w:after="120"/>
        <w:jc w:val="both"/>
        <w:rPr>
          <w:lang w:val="en-NZ"/>
        </w:rPr>
      </w:pPr>
      <w:r w:rsidRPr="00441526">
        <w:rPr>
          <w:b/>
          <w:lang w:val="en-NZ"/>
        </w:rPr>
        <w:t>Agenda Item 1.</w:t>
      </w:r>
      <w:r w:rsidR="00782081">
        <w:rPr>
          <w:b/>
          <w:lang w:val="en-NZ"/>
        </w:rPr>
        <w:t>4</w:t>
      </w:r>
      <w:r w:rsidRPr="00441526">
        <w:rPr>
          <w:b/>
          <w:lang w:val="en-NZ"/>
        </w:rPr>
        <w:t xml:space="preserve">: </w:t>
      </w:r>
    </w:p>
    <w:p w14:paraId="0FDEA21A" w14:textId="77777777" w:rsidR="00782081" w:rsidRDefault="00782081" w:rsidP="00782081">
      <w:pPr>
        <w:spacing w:after="120"/>
        <w:jc w:val="both"/>
        <w:rPr>
          <w:i/>
          <w:lang w:val="en-NZ"/>
        </w:rPr>
      </w:pPr>
      <w:r w:rsidRPr="00ED6650">
        <w:rPr>
          <w:i/>
          <w:lang w:val="en-NZ"/>
        </w:rPr>
        <w:t xml:space="preserve">to consider, in accordance with Resolution </w:t>
      </w:r>
      <w:r w:rsidRPr="00ED6650">
        <w:rPr>
          <w:b/>
          <w:i/>
          <w:lang w:val="en-NZ"/>
        </w:rPr>
        <w:t>247 (WRC-19)</w:t>
      </w:r>
      <w:r w:rsidRPr="00ED6650">
        <w:rPr>
          <w:i/>
          <w:lang w:val="en-NZ"/>
        </w:rPr>
        <w:t>, the use of high-altitude platform stations as IMT base stations (HIBS) in the mobile service in certain</w:t>
      </w:r>
      <w:r>
        <w:rPr>
          <w:rFonts w:eastAsia="MS Mincho" w:hint="eastAsia"/>
          <w:i/>
          <w:lang w:val="en-NZ" w:eastAsia="ja-JP"/>
        </w:rPr>
        <w:t xml:space="preserve"> </w:t>
      </w:r>
      <w:r w:rsidRPr="00ED6650">
        <w:rPr>
          <w:i/>
          <w:lang w:val="en-NZ"/>
        </w:rPr>
        <w:t xml:space="preserve">frequency bands below 2.7 GHz already identified for IMT, on a global or regional </w:t>
      </w:r>
      <w:proofErr w:type="gramStart"/>
      <w:r w:rsidRPr="00ED6650">
        <w:rPr>
          <w:i/>
          <w:lang w:val="en-NZ"/>
        </w:rPr>
        <w:t>level;</w:t>
      </w:r>
      <w:proofErr w:type="gramEnd"/>
    </w:p>
    <w:p w14:paraId="29544699" w14:textId="77777777" w:rsidR="002A0111" w:rsidRPr="00782081" w:rsidRDefault="002A0111" w:rsidP="002A0111">
      <w:pPr>
        <w:jc w:val="both"/>
        <w:rPr>
          <w:lang w:val="en-NZ"/>
        </w:rPr>
      </w:pPr>
    </w:p>
    <w:p w14:paraId="21252C6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702C969D" w14:textId="5EB664CF" w:rsidR="00782081" w:rsidRDefault="00782081" w:rsidP="005D67A4">
      <w:pPr>
        <w:widowControl w:val="0"/>
        <w:wordWrap w:val="0"/>
        <w:autoSpaceDE w:val="0"/>
        <w:autoSpaceDN w:val="0"/>
        <w:spacing w:line="276" w:lineRule="auto"/>
        <w:jc w:val="both"/>
        <w:rPr>
          <w:rFonts w:eastAsia="MS Mincho"/>
          <w:lang w:eastAsia="ja-JP"/>
        </w:rPr>
      </w:pPr>
      <w:r w:rsidRPr="005D67A4">
        <w:rPr>
          <w:rFonts w:eastAsia="MS Mincho" w:hint="eastAsia"/>
          <w:lang w:eastAsia="ja-JP"/>
        </w:rPr>
        <w:t>T</w:t>
      </w:r>
      <w:r w:rsidRPr="005D67A4">
        <w:rPr>
          <w:rFonts w:eastAsia="MS Mincho"/>
          <w:lang w:eastAsia="ja-JP"/>
        </w:rPr>
        <w:t>his Agenda Item was initiated by APT (</w:t>
      </w:r>
      <w:hyperlink r:id="rId9" w:history="1">
        <w:r w:rsidRPr="005D67A4">
          <w:rPr>
            <w:rStyle w:val="Hyperlink"/>
            <w:rFonts w:eastAsia="MS Mincho"/>
            <w:lang w:eastAsia="ja-JP"/>
          </w:rPr>
          <w:t>24A24-A4</w:t>
        </w:r>
      </w:hyperlink>
      <w:r w:rsidRPr="005D67A4">
        <w:rPr>
          <w:rFonts w:eastAsia="MS Mincho"/>
          <w:lang w:eastAsia="ja-JP"/>
        </w:rPr>
        <w:t>), ATU (</w:t>
      </w:r>
      <w:hyperlink r:id="rId10" w:history="1">
        <w:r w:rsidRPr="005D67A4">
          <w:rPr>
            <w:rStyle w:val="Hyperlink"/>
            <w:rFonts w:eastAsia="MS Mincho"/>
            <w:lang w:eastAsia="ja-JP"/>
          </w:rPr>
          <w:t>46A24-A8</w:t>
        </w:r>
      </w:hyperlink>
      <w:r w:rsidRPr="005D67A4">
        <w:rPr>
          <w:rFonts w:eastAsia="MS Mincho"/>
          <w:lang w:eastAsia="ja-JP"/>
        </w:rPr>
        <w:t>), CITEL (</w:t>
      </w:r>
      <w:hyperlink r:id="rId11" w:history="1">
        <w:r w:rsidRPr="005D67A4">
          <w:rPr>
            <w:rStyle w:val="Hyperlink"/>
            <w:rFonts w:eastAsia="MS Mincho"/>
            <w:lang w:eastAsia="ja-JP"/>
          </w:rPr>
          <w:t>11A24-A2)</w:t>
        </w:r>
      </w:hyperlink>
      <w:r w:rsidR="00494411" w:rsidRPr="005D67A4">
        <w:rPr>
          <w:rStyle w:val="Hyperlink"/>
          <w:rFonts w:eastAsia="MS Mincho"/>
          <w:lang w:eastAsia="ja-JP"/>
        </w:rPr>
        <w:t>,</w:t>
      </w:r>
      <w:r w:rsidRPr="005D67A4">
        <w:rPr>
          <w:rFonts w:eastAsia="MS Mincho"/>
          <w:lang w:eastAsia="ja-JP"/>
        </w:rPr>
        <w:t xml:space="preserve"> and PNG (</w:t>
      </w:r>
      <w:hyperlink r:id="rId12" w:history="1">
        <w:r w:rsidRPr="005D67A4">
          <w:rPr>
            <w:rStyle w:val="Hyperlink"/>
            <w:rFonts w:eastAsia="MS Mincho"/>
            <w:lang w:eastAsia="ja-JP"/>
          </w:rPr>
          <w:t>67A24</w:t>
        </w:r>
      </w:hyperlink>
      <w:r w:rsidRPr="005D67A4">
        <w:rPr>
          <w:rFonts w:eastAsia="MS Mincho"/>
          <w:lang w:eastAsia="ja-JP"/>
        </w:rPr>
        <w:t>) in WRC-19.</w:t>
      </w:r>
    </w:p>
    <w:p w14:paraId="16464194" w14:textId="77777777" w:rsidR="00CC48D5" w:rsidRPr="0066158F" w:rsidRDefault="00CC48D5" w:rsidP="005D67A4">
      <w:pPr>
        <w:widowControl w:val="0"/>
        <w:wordWrap w:val="0"/>
        <w:autoSpaceDE w:val="0"/>
        <w:autoSpaceDN w:val="0"/>
        <w:spacing w:line="276" w:lineRule="auto"/>
        <w:jc w:val="both"/>
      </w:pPr>
    </w:p>
    <w:p w14:paraId="799AEDA2" w14:textId="41554D22" w:rsidR="00782081" w:rsidRPr="000E1408" w:rsidRDefault="00782081" w:rsidP="00096846">
      <w:pPr>
        <w:spacing w:line="276" w:lineRule="auto"/>
        <w:jc w:val="both"/>
      </w:pPr>
      <w:r>
        <w:t xml:space="preserve">ITU-R WP 5D is the responsible group </w:t>
      </w:r>
      <w:r w:rsidR="00494411">
        <w:t>for</w:t>
      </w:r>
      <w:r>
        <w:t xml:space="preserve"> </w:t>
      </w:r>
      <w:r w:rsidR="00494411">
        <w:t xml:space="preserve">the </w:t>
      </w:r>
      <w:r>
        <w:t>preparation of this agenda item in accordance with t</w:t>
      </w:r>
      <w:r w:rsidRPr="005D67A4">
        <w:rPr>
          <w:rFonts w:eastAsia="MS Mincho"/>
          <w:lang w:eastAsia="ja-JP"/>
        </w:rPr>
        <w:t>he results of CPM 23-1 (</w:t>
      </w:r>
      <w:r w:rsidRPr="005D67A4">
        <w:rPr>
          <w:iCs/>
          <w:lang w:val="en-NZ"/>
        </w:rPr>
        <w:t xml:space="preserve">Doc. </w:t>
      </w:r>
      <w:hyperlink r:id="rId13" w:history="1">
        <w:r w:rsidRPr="005D67A4">
          <w:rPr>
            <w:rStyle w:val="Hyperlink"/>
            <w:iCs/>
            <w:lang w:val="en-NZ"/>
          </w:rPr>
          <w:t>CA/251</w:t>
        </w:r>
      </w:hyperlink>
      <w:r w:rsidRPr="005D67A4">
        <w:rPr>
          <w:rFonts w:eastAsia="MS Mincho"/>
          <w:lang w:eastAsia="ja-JP"/>
        </w:rPr>
        <w:t>), and ha</w:t>
      </w:r>
      <w:r w:rsidR="00494411" w:rsidRPr="005D67A4">
        <w:rPr>
          <w:rFonts w:eastAsia="MS Mincho"/>
          <w:lang w:eastAsia="ja-JP"/>
        </w:rPr>
        <w:t>s</w:t>
      </w:r>
      <w:r w:rsidRPr="005D67A4">
        <w:rPr>
          <w:rFonts w:eastAsia="MS Mincho"/>
          <w:lang w:eastAsia="ja-JP"/>
        </w:rPr>
        <w:t xml:space="preserve"> been developing the following working documents (</w:t>
      </w:r>
      <w:hyperlink r:id="rId14" w:history="1">
        <w:r w:rsidRPr="005D67A4">
          <w:rPr>
            <w:rStyle w:val="Hyperlink"/>
            <w:rFonts w:eastAsia="MS Mincho"/>
            <w:lang w:eastAsia="ja-JP"/>
          </w:rPr>
          <w:t>5D/1361</w:t>
        </w:r>
      </w:hyperlink>
      <w:r w:rsidRPr="005D67A4">
        <w:rPr>
          <w:rFonts w:eastAsia="MS Mincho"/>
          <w:lang w:eastAsia="ja-JP"/>
        </w:rPr>
        <w:t>):</w:t>
      </w:r>
    </w:p>
    <w:p w14:paraId="0ED5A32F" w14:textId="77777777" w:rsidR="005D67A4" w:rsidRPr="005D67A4" w:rsidRDefault="00782081" w:rsidP="00096846">
      <w:pPr>
        <w:pStyle w:val="ListParagraph"/>
        <w:numPr>
          <w:ilvl w:val="0"/>
          <w:numId w:val="34"/>
        </w:numPr>
        <w:spacing w:line="276" w:lineRule="auto"/>
        <w:jc w:val="both"/>
        <w:rPr>
          <w:rFonts w:eastAsia="MS Mincho"/>
          <w:lang w:eastAsia="ja-JP"/>
        </w:rPr>
      </w:pPr>
      <w:r w:rsidRPr="00E8056C">
        <w:rPr>
          <w:rFonts w:eastAsia="MS Mincho"/>
          <w:lang w:eastAsia="ja-JP"/>
        </w:rPr>
        <w:t>WD towards PDN</w:t>
      </w:r>
      <w:r>
        <w:rPr>
          <w:rFonts w:eastAsia="MS Mincho"/>
          <w:lang w:eastAsia="ja-JP"/>
        </w:rPr>
        <w:t xml:space="preserve"> </w:t>
      </w:r>
      <w:r w:rsidRPr="00E8056C">
        <w:rPr>
          <w:rFonts w:eastAsia="MS Mincho"/>
          <w:lang w:eastAsia="ja-JP"/>
        </w:rPr>
        <w:t>Report ITU-R M.[HIBS-CHARACTERISTICS]</w:t>
      </w:r>
      <w:r>
        <w:rPr>
          <w:rFonts w:eastAsia="MS Mincho"/>
          <w:lang w:eastAsia="ja-JP"/>
        </w:rPr>
        <w:t>/</w:t>
      </w:r>
      <w:r>
        <w:rPr>
          <w:rFonts w:eastAsiaTheme="minorEastAsia"/>
          <w:lang w:val="en-GB" w:eastAsia="ja-JP"/>
        </w:rPr>
        <w:t>WD</w:t>
      </w:r>
      <w:r w:rsidRPr="004E4CC9">
        <w:rPr>
          <w:rFonts w:eastAsiaTheme="minorEastAsia"/>
          <w:lang w:val="en-GB" w:eastAsia="ja-JP"/>
        </w:rPr>
        <w:t xml:space="preserve"> related to WRC-23 AI 1.4</w:t>
      </w:r>
      <w:r>
        <w:rPr>
          <w:rFonts w:eastAsiaTheme="minorEastAsia"/>
          <w:lang w:val="en-GB" w:eastAsia="ja-JP"/>
        </w:rPr>
        <w:t xml:space="preserve"> (Annex </w:t>
      </w:r>
      <w:hyperlink r:id="rId15" w:history="1">
        <w:r w:rsidRPr="00160FCC">
          <w:rPr>
            <w:rStyle w:val="Hyperlink"/>
            <w:rFonts w:eastAsiaTheme="minorEastAsia"/>
            <w:lang w:val="en-GB" w:eastAsia="ja-JP"/>
          </w:rPr>
          <w:t>4.29</w:t>
        </w:r>
      </w:hyperlink>
      <w:r>
        <w:rPr>
          <w:rFonts w:eastAsiaTheme="minorEastAsia"/>
          <w:lang w:val="en-GB" w:eastAsia="ja-JP"/>
        </w:rPr>
        <w:t>)</w:t>
      </w:r>
    </w:p>
    <w:p w14:paraId="2E03135F" w14:textId="457E06BF" w:rsidR="00782081" w:rsidRPr="005D67A4" w:rsidRDefault="00782081" w:rsidP="00096846">
      <w:pPr>
        <w:pStyle w:val="ListParagraph"/>
        <w:numPr>
          <w:ilvl w:val="0"/>
          <w:numId w:val="34"/>
        </w:numPr>
        <w:spacing w:line="276" w:lineRule="auto"/>
        <w:jc w:val="both"/>
        <w:rPr>
          <w:rStyle w:val="CommentReference"/>
          <w:rFonts w:eastAsia="MS Mincho"/>
          <w:sz w:val="24"/>
          <w:szCs w:val="24"/>
          <w:lang w:eastAsia="ja-JP"/>
        </w:rPr>
      </w:pPr>
      <w:r w:rsidRPr="005D67A4">
        <w:rPr>
          <w:rFonts w:eastAsia="MS Mincho"/>
          <w:lang w:eastAsia="ja-JP"/>
        </w:rPr>
        <w:t xml:space="preserve">WD towards </w:t>
      </w:r>
      <w:r w:rsidRPr="005D67A4">
        <w:rPr>
          <w:rFonts w:eastAsiaTheme="minorEastAsia"/>
          <w:lang w:val="en-GB" w:eastAsia="ja-JP"/>
        </w:rPr>
        <w:t xml:space="preserve">sharing and compatibility studies of HIBS under WRC-23 agenda item 1.4 (Annexes </w:t>
      </w:r>
      <w:hyperlink r:id="rId16" w:history="1">
        <w:r w:rsidRPr="005D67A4">
          <w:rPr>
            <w:rStyle w:val="Hyperlink"/>
            <w:rFonts w:eastAsiaTheme="minorEastAsia"/>
            <w:lang w:val="en-GB" w:eastAsia="ja-JP"/>
          </w:rPr>
          <w:t>4.30</w:t>
        </w:r>
      </w:hyperlink>
      <w:r w:rsidRPr="005D67A4">
        <w:rPr>
          <w:rFonts w:eastAsiaTheme="minorEastAsia"/>
          <w:lang w:val="en-GB" w:eastAsia="ja-JP"/>
        </w:rPr>
        <w:t xml:space="preserve">, </w:t>
      </w:r>
      <w:hyperlink r:id="rId17" w:history="1">
        <w:r w:rsidRPr="005D67A4">
          <w:rPr>
            <w:rStyle w:val="Hyperlink"/>
            <w:rFonts w:eastAsiaTheme="minorEastAsia"/>
            <w:lang w:val="en-GB" w:eastAsia="ja-JP"/>
          </w:rPr>
          <w:t>4.31</w:t>
        </w:r>
      </w:hyperlink>
      <w:r w:rsidRPr="005D67A4">
        <w:rPr>
          <w:rFonts w:eastAsiaTheme="minorEastAsia"/>
          <w:lang w:val="en-GB" w:eastAsia="ja-JP"/>
        </w:rPr>
        <w:t xml:space="preserve">, </w:t>
      </w:r>
      <w:hyperlink r:id="rId18" w:history="1">
        <w:r w:rsidRPr="005D67A4">
          <w:rPr>
            <w:rStyle w:val="Hyperlink"/>
            <w:rFonts w:eastAsiaTheme="minorEastAsia"/>
            <w:lang w:val="en-GB" w:eastAsia="ja-JP"/>
          </w:rPr>
          <w:t>4.32</w:t>
        </w:r>
      </w:hyperlink>
      <w:r w:rsidRPr="005D67A4">
        <w:rPr>
          <w:rFonts w:eastAsiaTheme="minorEastAsia"/>
          <w:lang w:val="en-GB" w:eastAsia="ja-JP"/>
        </w:rPr>
        <w:t xml:space="preserve">, </w:t>
      </w:r>
      <w:hyperlink r:id="rId19" w:history="1">
        <w:r w:rsidRPr="005D67A4">
          <w:rPr>
            <w:rStyle w:val="Hyperlink"/>
            <w:rFonts w:eastAsiaTheme="minorEastAsia"/>
            <w:lang w:val="en-GB" w:eastAsia="ja-JP"/>
          </w:rPr>
          <w:t>4.33</w:t>
        </w:r>
      </w:hyperlink>
      <w:r w:rsidRPr="005D67A4">
        <w:rPr>
          <w:rFonts w:eastAsiaTheme="minorEastAsia"/>
          <w:lang w:val="en-GB" w:eastAsia="ja-JP"/>
        </w:rPr>
        <w:t xml:space="preserve">, </w:t>
      </w:r>
      <w:hyperlink r:id="rId20" w:history="1">
        <w:r w:rsidRPr="005D67A4">
          <w:rPr>
            <w:rStyle w:val="Hyperlink"/>
            <w:rFonts w:eastAsiaTheme="minorEastAsia"/>
            <w:lang w:val="en-GB" w:eastAsia="ja-JP"/>
          </w:rPr>
          <w:t>4.34</w:t>
        </w:r>
      </w:hyperlink>
      <w:r w:rsidR="00494411" w:rsidRPr="005D67A4">
        <w:rPr>
          <w:rStyle w:val="Hyperlink"/>
          <w:rFonts w:eastAsiaTheme="minorEastAsia"/>
          <w:lang w:val="en-GB" w:eastAsia="ja-JP"/>
        </w:rPr>
        <w:t>,</w:t>
      </w:r>
      <w:r w:rsidRPr="005D67A4">
        <w:rPr>
          <w:rFonts w:eastAsiaTheme="minorEastAsia"/>
          <w:lang w:val="en-GB" w:eastAsia="ja-JP"/>
        </w:rPr>
        <w:t xml:space="preserve"> and </w:t>
      </w:r>
      <w:hyperlink r:id="rId21" w:history="1">
        <w:r w:rsidRPr="005D67A4">
          <w:rPr>
            <w:rStyle w:val="Hyperlink"/>
            <w:rFonts w:eastAsiaTheme="minorEastAsia"/>
            <w:lang w:val="en-GB" w:eastAsia="ja-JP"/>
          </w:rPr>
          <w:t>4.35</w:t>
        </w:r>
      </w:hyperlink>
      <w:r w:rsidRPr="005D67A4">
        <w:rPr>
          <w:rFonts w:eastAsiaTheme="minorEastAsia"/>
          <w:lang w:val="en-GB" w:eastAsia="ja-JP"/>
        </w:rPr>
        <w:t>)</w:t>
      </w:r>
      <w:r w:rsidRPr="00CA1223">
        <w:rPr>
          <w:rStyle w:val="CommentReference"/>
        </w:rPr>
        <w:t xml:space="preserve"> </w:t>
      </w:r>
    </w:p>
    <w:p w14:paraId="470AE0F4" w14:textId="77777777" w:rsidR="00782081" w:rsidRDefault="00782081" w:rsidP="00096846">
      <w:pPr>
        <w:pStyle w:val="ListParagraph"/>
        <w:numPr>
          <w:ilvl w:val="0"/>
          <w:numId w:val="34"/>
        </w:numPr>
        <w:spacing w:line="276" w:lineRule="auto"/>
        <w:jc w:val="both"/>
        <w:rPr>
          <w:rFonts w:eastAsia="MS Mincho"/>
          <w:lang w:eastAsia="ja-JP"/>
        </w:rPr>
      </w:pPr>
      <w:r>
        <w:rPr>
          <w:rFonts w:eastAsia="MS Mincho"/>
          <w:lang w:eastAsia="ja-JP"/>
        </w:rPr>
        <w:t xml:space="preserve">WD towards preliminary draft </w:t>
      </w:r>
      <w:r w:rsidRPr="00E8056C">
        <w:rPr>
          <w:rFonts w:eastAsia="MS Mincho"/>
          <w:lang w:eastAsia="ja-JP"/>
        </w:rPr>
        <w:t>CPM text</w:t>
      </w:r>
      <w:r>
        <w:rPr>
          <w:rFonts w:eastAsia="MS Mincho"/>
          <w:lang w:eastAsia="ja-JP"/>
        </w:rPr>
        <w:t xml:space="preserve"> (Annex </w:t>
      </w:r>
      <w:hyperlink r:id="rId22" w:history="1">
        <w:r w:rsidRPr="00160FCC">
          <w:rPr>
            <w:rStyle w:val="Hyperlink"/>
            <w:rFonts w:eastAsia="MS Mincho"/>
            <w:lang w:eastAsia="ja-JP"/>
          </w:rPr>
          <w:t>4.28</w:t>
        </w:r>
      </w:hyperlink>
      <w:r>
        <w:rPr>
          <w:rFonts w:eastAsia="MS Mincho"/>
          <w:lang w:eastAsia="ja-JP"/>
        </w:rPr>
        <w:t>)</w:t>
      </w:r>
    </w:p>
    <w:p w14:paraId="7E734083" w14:textId="77777777" w:rsidR="00CC48D5" w:rsidRDefault="00CC48D5" w:rsidP="00096846">
      <w:pPr>
        <w:pStyle w:val="ListParagraph"/>
        <w:spacing w:line="276" w:lineRule="auto"/>
        <w:ind w:left="0"/>
        <w:jc w:val="both"/>
        <w:rPr>
          <w:rFonts w:eastAsia="MS Mincho"/>
          <w:lang w:eastAsia="ja-JP"/>
        </w:rPr>
      </w:pPr>
    </w:p>
    <w:p w14:paraId="0764C863" w14:textId="204E7F38" w:rsidR="00782081" w:rsidRPr="00991661" w:rsidRDefault="00782081" w:rsidP="00096846">
      <w:pPr>
        <w:pStyle w:val="ListParagraph"/>
        <w:spacing w:line="276" w:lineRule="auto"/>
        <w:ind w:left="0"/>
        <w:jc w:val="both"/>
        <w:rPr>
          <w:rFonts w:eastAsia="MS Mincho"/>
          <w:lang w:eastAsia="ja-JP"/>
        </w:rPr>
      </w:pPr>
      <w:r>
        <w:rPr>
          <w:rFonts w:eastAsia="MS Mincho"/>
          <w:lang w:eastAsia="ja-JP"/>
        </w:rPr>
        <w:t xml:space="preserve">WD towards preliminary draft </w:t>
      </w:r>
      <w:r w:rsidRPr="00E8056C">
        <w:rPr>
          <w:rFonts w:eastAsia="MS Mincho"/>
          <w:lang w:eastAsia="ja-JP"/>
        </w:rPr>
        <w:t>CPM text</w:t>
      </w:r>
      <w:r w:rsidRPr="00E8056C">
        <w:rPr>
          <w:rFonts w:eastAsia="MS Mincho" w:hint="eastAsia"/>
          <w:lang w:eastAsia="ja-JP"/>
        </w:rPr>
        <w:t xml:space="preserve"> </w:t>
      </w:r>
      <w:r>
        <w:rPr>
          <w:rFonts w:eastAsia="MS Mincho"/>
          <w:lang w:eastAsia="ja-JP"/>
        </w:rPr>
        <w:t>was also update</w:t>
      </w:r>
      <w:r w:rsidR="00494411">
        <w:rPr>
          <w:rFonts w:eastAsia="MS Mincho"/>
          <w:lang w:eastAsia="ja-JP"/>
        </w:rPr>
        <w:t>d</w:t>
      </w:r>
      <w:r>
        <w:rPr>
          <w:rFonts w:eastAsia="MS Mincho"/>
          <w:lang w:eastAsia="ja-JP"/>
        </w:rPr>
        <w:t xml:space="preserve"> at WP 5D#41 (June 2022). </w:t>
      </w:r>
      <w:r w:rsidRPr="00996A7B">
        <w:rPr>
          <w:rFonts w:eastAsia="MS Mincho"/>
          <w:lang w:eastAsia="ja-JP"/>
        </w:rPr>
        <w:t xml:space="preserve">Section 3, which refers to the summary of results of studies, was developed in detail and </w:t>
      </w:r>
      <w:r>
        <w:rPr>
          <w:rFonts w:eastAsia="MS Mincho"/>
          <w:lang w:eastAsia="ja-JP"/>
        </w:rPr>
        <w:t>would</w:t>
      </w:r>
      <w:r w:rsidRPr="00996A7B">
        <w:rPr>
          <w:rFonts w:eastAsia="MS Mincho"/>
          <w:lang w:eastAsia="ja-JP"/>
        </w:rPr>
        <w:t xml:space="preserve"> be further reviewed based on the relevant points resulting from the working document on sharing and compatibility studies. Section 4</w:t>
      </w:r>
      <w:r>
        <w:rPr>
          <w:rFonts w:eastAsia="MS Mincho"/>
          <w:lang w:eastAsia="ja-JP"/>
        </w:rPr>
        <w:t>,</w:t>
      </w:r>
      <w:r w:rsidRPr="00996A7B">
        <w:rPr>
          <w:rFonts w:eastAsia="MS Mincho"/>
          <w:lang w:eastAsia="ja-JP"/>
        </w:rPr>
        <w:t xml:space="preserve"> a structure for the different methods was agreed</w:t>
      </w:r>
      <w:r>
        <w:rPr>
          <w:rFonts w:eastAsia="MS Mincho"/>
          <w:lang w:eastAsia="ja-JP"/>
        </w:rPr>
        <w:t xml:space="preserve"> as follows:</w:t>
      </w:r>
    </w:p>
    <w:tbl>
      <w:tblPr>
        <w:tblStyle w:val="TableGrid"/>
        <w:tblW w:w="0" w:type="auto"/>
        <w:tblInd w:w="704" w:type="dxa"/>
        <w:tblLayout w:type="fixed"/>
        <w:tblLook w:val="04A0" w:firstRow="1" w:lastRow="0" w:firstColumn="1" w:lastColumn="0" w:noHBand="0" w:noVBand="1"/>
      </w:tblPr>
      <w:tblGrid>
        <w:gridCol w:w="2126"/>
        <w:gridCol w:w="851"/>
        <w:gridCol w:w="4961"/>
      </w:tblGrid>
      <w:tr w:rsidR="00782081" w14:paraId="045D8254" w14:textId="77777777" w:rsidTr="00101F0B">
        <w:tc>
          <w:tcPr>
            <w:tcW w:w="2126" w:type="dxa"/>
          </w:tcPr>
          <w:p w14:paraId="406825FA"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F</w:t>
            </w:r>
            <w:r>
              <w:rPr>
                <w:rFonts w:eastAsia="MS Mincho"/>
                <w:lang w:eastAsia="ja-JP"/>
              </w:rPr>
              <w:t>requency range</w:t>
            </w:r>
          </w:p>
        </w:tc>
        <w:tc>
          <w:tcPr>
            <w:tcW w:w="5812" w:type="dxa"/>
            <w:gridSpan w:val="2"/>
          </w:tcPr>
          <w:p w14:paraId="7685C182"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M</w:t>
            </w:r>
            <w:r>
              <w:rPr>
                <w:rFonts w:eastAsia="MS Mincho"/>
                <w:lang w:eastAsia="ja-JP"/>
              </w:rPr>
              <w:t>ethods to satisfy the agenda item</w:t>
            </w:r>
          </w:p>
        </w:tc>
      </w:tr>
      <w:tr w:rsidR="00782081" w14:paraId="4A79D4A6" w14:textId="77777777" w:rsidTr="00494411">
        <w:trPr>
          <w:trHeight w:val="393"/>
        </w:trPr>
        <w:tc>
          <w:tcPr>
            <w:tcW w:w="2126" w:type="dxa"/>
            <w:vMerge w:val="restart"/>
          </w:tcPr>
          <w:p w14:paraId="125D8BC9" w14:textId="77777777" w:rsidR="00782081" w:rsidRDefault="00782081" w:rsidP="00101F0B">
            <w:pPr>
              <w:tabs>
                <w:tab w:val="left" w:pos="807"/>
              </w:tabs>
              <w:autoSpaceDE w:val="0"/>
              <w:autoSpaceDN w:val="0"/>
              <w:spacing w:line="276" w:lineRule="auto"/>
              <w:jc w:val="center"/>
              <w:rPr>
                <w:rFonts w:eastAsia="MS Mincho"/>
                <w:lang w:eastAsia="ja-JP"/>
              </w:rPr>
            </w:pPr>
            <w:r w:rsidRPr="008F5C25">
              <w:rPr>
                <w:rFonts w:eastAsia="MS Mincho"/>
                <w:lang w:eastAsia="ja-JP"/>
              </w:rPr>
              <w:t>694-960 MHz</w:t>
            </w:r>
          </w:p>
        </w:tc>
        <w:tc>
          <w:tcPr>
            <w:tcW w:w="851" w:type="dxa"/>
          </w:tcPr>
          <w:p w14:paraId="29C86B7F"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A</w:t>
            </w:r>
            <w:r>
              <w:rPr>
                <w:rFonts w:eastAsia="MS Mincho"/>
                <w:lang w:eastAsia="ja-JP"/>
              </w:rPr>
              <w:t>1</w:t>
            </w:r>
          </w:p>
        </w:tc>
        <w:tc>
          <w:tcPr>
            <w:tcW w:w="4961" w:type="dxa"/>
          </w:tcPr>
          <w:p w14:paraId="08D0B9F0" w14:textId="77777777" w:rsidR="00782081" w:rsidRDefault="00782081" w:rsidP="00101F0B">
            <w:pPr>
              <w:autoSpaceDE w:val="0"/>
              <w:autoSpaceDN w:val="0"/>
              <w:spacing w:line="276" w:lineRule="auto"/>
              <w:rPr>
                <w:rFonts w:eastAsia="MS Mincho"/>
                <w:lang w:eastAsia="ja-JP"/>
              </w:rPr>
            </w:pPr>
            <w:r>
              <w:rPr>
                <w:rFonts w:eastAsia="MS Mincho" w:hint="eastAsia"/>
                <w:lang w:eastAsia="ja-JP"/>
              </w:rPr>
              <w:t>N</w:t>
            </w:r>
            <w:r>
              <w:rPr>
                <w:rFonts w:eastAsia="MS Mincho"/>
                <w:lang w:eastAsia="ja-JP"/>
              </w:rPr>
              <w:t>OC</w:t>
            </w:r>
          </w:p>
        </w:tc>
      </w:tr>
      <w:tr w:rsidR="00782081" w:rsidRPr="00160FCC" w14:paraId="62B5A33E" w14:textId="77777777" w:rsidTr="00494411">
        <w:trPr>
          <w:trHeight w:val="355"/>
        </w:trPr>
        <w:tc>
          <w:tcPr>
            <w:tcW w:w="2126" w:type="dxa"/>
            <w:vMerge/>
          </w:tcPr>
          <w:p w14:paraId="3EDFC171" w14:textId="77777777" w:rsidR="00782081" w:rsidRDefault="00782081" w:rsidP="00101F0B">
            <w:pPr>
              <w:autoSpaceDE w:val="0"/>
              <w:autoSpaceDN w:val="0"/>
              <w:spacing w:line="276" w:lineRule="auto"/>
              <w:jc w:val="center"/>
              <w:rPr>
                <w:rFonts w:eastAsia="MS Mincho"/>
                <w:lang w:eastAsia="ja-JP"/>
              </w:rPr>
            </w:pPr>
          </w:p>
        </w:tc>
        <w:tc>
          <w:tcPr>
            <w:tcW w:w="851" w:type="dxa"/>
          </w:tcPr>
          <w:p w14:paraId="290CDD6D"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A</w:t>
            </w:r>
            <w:r>
              <w:rPr>
                <w:rFonts w:eastAsia="MS Mincho"/>
                <w:lang w:eastAsia="ja-JP"/>
              </w:rPr>
              <w:t>2</w:t>
            </w:r>
          </w:p>
        </w:tc>
        <w:tc>
          <w:tcPr>
            <w:tcW w:w="4961" w:type="dxa"/>
          </w:tcPr>
          <w:p w14:paraId="6D975C1D" w14:textId="77777777" w:rsidR="00782081" w:rsidRDefault="00782081" w:rsidP="00101F0B">
            <w:pPr>
              <w:autoSpaceDE w:val="0"/>
              <w:autoSpaceDN w:val="0"/>
              <w:spacing w:line="276" w:lineRule="auto"/>
              <w:rPr>
                <w:rFonts w:eastAsia="MS Mincho"/>
                <w:lang w:eastAsia="ja-JP"/>
              </w:rPr>
            </w:pPr>
            <w:r w:rsidRPr="008F5C25">
              <w:rPr>
                <w:rFonts w:eastAsia="MS Mincho"/>
                <w:lang w:eastAsia="ja-JP"/>
              </w:rPr>
              <w:t>Identification for the use of HIBS</w:t>
            </w:r>
          </w:p>
        </w:tc>
      </w:tr>
      <w:tr w:rsidR="00782081" w14:paraId="742FA9DF" w14:textId="77777777" w:rsidTr="00494411">
        <w:trPr>
          <w:trHeight w:val="445"/>
        </w:trPr>
        <w:tc>
          <w:tcPr>
            <w:tcW w:w="2126" w:type="dxa"/>
            <w:vMerge w:val="restart"/>
          </w:tcPr>
          <w:p w14:paraId="6D447223" w14:textId="77777777" w:rsidR="00782081" w:rsidRDefault="00782081" w:rsidP="00101F0B">
            <w:pPr>
              <w:autoSpaceDE w:val="0"/>
              <w:autoSpaceDN w:val="0"/>
              <w:spacing w:line="276" w:lineRule="auto"/>
              <w:jc w:val="center"/>
              <w:rPr>
                <w:rFonts w:eastAsia="MS Mincho"/>
                <w:lang w:eastAsia="ja-JP"/>
              </w:rPr>
            </w:pPr>
            <w:r w:rsidRPr="008F5C25">
              <w:rPr>
                <w:rFonts w:eastAsia="MS Mincho"/>
                <w:lang w:eastAsia="ja-JP"/>
              </w:rPr>
              <w:t>1 710-1 885 MHz</w:t>
            </w:r>
          </w:p>
        </w:tc>
        <w:tc>
          <w:tcPr>
            <w:tcW w:w="851" w:type="dxa"/>
          </w:tcPr>
          <w:p w14:paraId="75DBA924"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B</w:t>
            </w:r>
            <w:r>
              <w:rPr>
                <w:rFonts w:eastAsia="MS Mincho"/>
                <w:lang w:eastAsia="ja-JP"/>
              </w:rPr>
              <w:t>1</w:t>
            </w:r>
          </w:p>
        </w:tc>
        <w:tc>
          <w:tcPr>
            <w:tcW w:w="4961" w:type="dxa"/>
          </w:tcPr>
          <w:p w14:paraId="06F4B0CF" w14:textId="77777777" w:rsidR="00782081" w:rsidRDefault="00782081" w:rsidP="00101F0B">
            <w:pPr>
              <w:autoSpaceDE w:val="0"/>
              <w:autoSpaceDN w:val="0"/>
              <w:spacing w:line="276" w:lineRule="auto"/>
              <w:rPr>
                <w:rFonts w:eastAsia="MS Mincho"/>
                <w:lang w:eastAsia="ja-JP"/>
              </w:rPr>
            </w:pPr>
            <w:r>
              <w:rPr>
                <w:rFonts w:eastAsia="MS Mincho" w:hint="eastAsia"/>
                <w:lang w:eastAsia="ja-JP"/>
              </w:rPr>
              <w:t>N</w:t>
            </w:r>
            <w:r>
              <w:rPr>
                <w:rFonts w:eastAsia="MS Mincho"/>
                <w:lang w:eastAsia="ja-JP"/>
              </w:rPr>
              <w:t>OC</w:t>
            </w:r>
          </w:p>
        </w:tc>
      </w:tr>
      <w:tr w:rsidR="00782081" w14:paraId="12D4E8A0" w14:textId="77777777" w:rsidTr="00494411">
        <w:trPr>
          <w:trHeight w:val="407"/>
        </w:trPr>
        <w:tc>
          <w:tcPr>
            <w:tcW w:w="2126" w:type="dxa"/>
            <w:vMerge/>
          </w:tcPr>
          <w:p w14:paraId="6394C473" w14:textId="77777777" w:rsidR="00782081" w:rsidRDefault="00782081" w:rsidP="00101F0B">
            <w:pPr>
              <w:autoSpaceDE w:val="0"/>
              <w:autoSpaceDN w:val="0"/>
              <w:spacing w:line="276" w:lineRule="auto"/>
              <w:jc w:val="center"/>
              <w:rPr>
                <w:rFonts w:eastAsia="MS Mincho"/>
                <w:lang w:eastAsia="ja-JP"/>
              </w:rPr>
            </w:pPr>
          </w:p>
        </w:tc>
        <w:tc>
          <w:tcPr>
            <w:tcW w:w="851" w:type="dxa"/>
          </w:tcPr>
          <w:p w14:paraId="5D41541B"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B</w:t>
            </w:r>
            <w:r>
              <w:rPr>
                <w:rFonts w:eastAsia="MS Mincho"/>
                <w:lang w:eastAsia="ja-JP"/>
              </w:rPr>
              <w:t>2</w:t>
            </w:r>
          </w:p>
        </w:tc>
        <w:tc>
          <w:tcPr>
            <w:tcW w:w="4961" w:type="dxa"/>
          </w:tcPr>
          <w:p w14:paraId="2E4471F7" w14:textId="77777777" w:rsidR="00782081" w:rsidRDefault="00782081" w:rsidP="00101F0B">
            <w:pPr>
              <w:autoSpaceDE w:val="0"/>
              <w:autoSpaceDN w:val="0"/>
              <w:spacing w:line="276" w:lineRule="auto"/>
              <w:rPr>
                <w:rFonts w:eastAsia="MS Mincho"/>
                <w:lang w:eastAsia="ja-JP"/>
              </w:rPr>
            </w:pPr>
            <w:r w:rsidRPr="002D6466">
              <w:t>Identification for the use of HIBS</w:t>
            </w:r>
          </w:p>
        </w:tc>
      </w:tr>
      <w:tr w:rsidR="00782081" w14:paraId="137FE046" w14:textId="77777777" w:rsidTr="00494411">
        <w:trPr>
          <w:trHeight w:val="355"/>
        </w:trPr>
        <w:tc>
          <w:tcPr>
            <w:tcW w:w="2126" w:type="dxa"/>
            <w:vMerge w:val="restart"/>
          </w:tcPr>
          <w:p w14:paraId="0CECF814" w14:textId="77777777" w:rsidR="00782081" w:rsidRPr="008F5C25" w:rsidRDefault="00782081" w:rsidP="00101F0B">
            <w:pPr>
              <w:autoSpaceDE w:val="0"/>
              <w:autoSpaceDN w:val="0"/>
              <w:spacing w:line="276" w:lineRule="auto"/>
              <w:jc w:val="center"/>
              <w:rPr>
                <w:rFonts w:eastAsia="MS Mincho"/>
                <w:lang w:eastAsia="ja-JP"/>
              </w:rPr>
            </w:pPr>
            <w:r w:rsidRPr="008F5C25">
              <w:rPr>
                <w:rFonts w:eastAsia="MS Mincho"/>
                <w:lang w:eastAsia="ja-JP"/>
              </w:rPr>
              <w:t>1 885-1 980 MHz,</w:t>
            </w:r>
          </w:p>
          <w:p w14:paraId="79F5C259" w14:textId="77777777" w:rsidR="00782081" w:rsidRPr="008F5C25" w:rsidRDefault="00782081" w:rsidP="00101F0B">
            <w:pPr>
              <w:autoSpaceDE w:val="0"/>
              <w:autoSpaceDN w:val="0"/>
              <w:spacing w:line="276" w:lineRule="auto"/>
              <w:jc w:val="center"/>
              <w:rPr>
                <w:rFonts w:eastAsia="MS Mincho"/>
                <w:lang w:eastAsia="ja-JP"/>
              </w:rPr>
            </w:pPr>
            <w:r w:rsidRPr="008F5C25">
              <w:rPr>
                <w:rFonts w:eastAsia="MS Mincho"/>
                <w:lang w:eastAsia="ja-JP"/>
              </w:rPr>
              <w:t>2 010-2 025 MHz,</w:t>
            </w:r>
          </w:p>
          <w:p w14:paraId="642DBB2E" w14:textId="77777777" w:rsidR="00782081" w:rsidRDefault="00782081" w:rsidP="00101F0B">
            <w:pPr>
              <w:autoSpaceDE w:val="0"/>
              <w:autoSpaceDN w:val="0"/>
              <w:spacing w:line="276" w:lineRule="auto"/>
              <w:jc w:val="center"/>
              <w:rPr>
                <w:rFonts w:eastAsia="MS Mincho"/>
                <w:lang w:eastAsia="ja-JP"/>
              </w:rPr>
            </w:pPr>
            <w:r w:rsidRPr="008F5C25">
              <w:rPr>
                <w:rFonts w:eastAsia="MS Mincho"/>
                <w:lang w:eastAsia="ja-JP"/>
              </w:rPr>
              <w:t>2 110-2 170 MHz</w:t>
            </w:r>
          </w:p>
        </w:tc>
        <w:tc>
          <w:tcPr>
            <w:tcW w:w="851" w:type="dxa"/>
          </w:tcPr>
          <w:p w14:paraId="4972AE73"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C</w:t>
            </w:r>
            <w:r>
              <w:rPr>
                <w:rFonts w:eastAsia="MS Mincho"/>
                <w:lang w:eastAsia="ja-JP"/>
              </w:rPr>
              <w:t>1</w:t>
            </w:r>
          </w:p>
        </w:tc>
        <w:tc>
          <w:tcPr>
            <w:tcW w:w="4961" w:type="dxa"/>
          </w:tcPr>
          <w:p w14:paraId="4F9B4A58" w14:textId="77777777" w:rsidR="00782081" w:rsidRDefault="00782081" w:rsidP="00101F0B">
            <w:pPr>
              <w:autoSpaceDE w:val="0"/>
              <w:autoSpaceDN w:val="0"/>
              <w:spacing w:line="276" w:lineRule="auto"/>
              <w:rPr>
                <w:rFonts w:eastAsia="MS Mincho"/>
                <w:lang w:eastAsia="ja-JP"/>
              </w:rPr>
            </w:pPr>
            <w:r>
              <w:rPr>
                <w:rFonts w:eastAsia="MS Mincho" w:hint="eastAsia"/>
                <w:lang w:eastAsia="ja-JP"/>
              </w:rPr>
              <w:t>N</w:t>
            </w:r>
            <w:r>
              <w:rPr>
                <w:rFonts w:eastAsia="MS Mincho"/>
                <w:lang w:eastAsia="ja-JP"/>
              </w:rPr>
              <w:t>OC</w:t>
            </w:r>
          </w:p>
        </w:tc>
      </w:tr>
      <w:tr w:rsidR="00782081" w14:paraId="50428CDE" w14:textId="77777777" w:rsidTr="00101F0B">
        <w:trPr>
          <w:trHeight w:val="471"/>
        </w:trPr>
        <w:tc>
          <w:tcPr>
            <w:tcW w:w="2126" w:type="dxa"/>
            <w:vMerge/>
          </w:tcPr>
          <w:p w14:paraId="2BCB89CA" w14:textId="77777777" w:rsidR="00782081" w:rsidRDefault="00782081" w:rsidP="00101F0B">
            <w:pPr>
              <w:autoSpaceDE w:val="0"/>
              <w:autoSpaceDN w:val="0"/>
              <w:spacing w:line="276" w:lineRule="auto"/>
              <w:jc w:val="center"/>
              <w:rPr>
                <w:rFonts w:eastAsia="MS Mincho"/>
                <w:lang w:eastAsia="ja-JP"/>
              </w:rPr>
            </w:pPr>
          </w:p>
        </w:tc>
        <w:tc>
          <w:tcPr>
            <w:tcW w:w="851" w:type="dxa"/>
          </w:tcPr>
          <w:p w14:paraId="3A71D23D"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C</w:t>
            </w:r>
            <w:r>
              <w:rPr>
                <w:rFonts w:eastAsia="MS Mincho"/>
                <w:lang w:eastAsia="ja-JP"/>
              </w:rPr>
              <w:t>2</w:t>
            </w:r>
          </w:p>
        </w:tc>
        <w:tc>
          <w:tcPr>
            <w:tcW w:w="4961" w:type="dxa"/>
          </w:tcPr>
          <w:p w14:paraId="3B9B4F6B" w14:textId="77777777" w:rsidR="00782081" w:rsidRDefault="00782081" w:rsidP="00101F0B">
            <w:pPr>
              <w:autoSpaceDE w:val="0"/>
              <w:autoSpaceDN w:val="0"/>
              <w:spacing w:line="276" w:lineRule="auto"/>
              <w:rPr>
                <w:rFonts w:eastAsia="MS Mincho"/>
                <w:lang w:eastAsia="ja-JP"/>
              </w:rPr>
            </w:pPr>
            <w:r w:rsidRPr="002D6466">
              <w:t>Review existing conditions for the use of HIBS</w:t>
            </w:r>
          </w:p>
        </w:tc>
      </w:tr>
      <w:tr w:rsidR="00782081" w14:paraId="04897CE5" w14:textId="77777777" w:rsidTr="00494411">
        <w:trPr>
          <w:trHeight w:val="383"/>
        </w:trPr>
        <w:tc>
          <w:tcPr>
            <w:tcW w:w="2126" w:type="dxa"/>
            <w:vMerge w:val="restart"/>
          </w:tcPr>
          <w:p w14:paraId="2423080D" w14:textId="77777777" w:rsidR="00782081" w:rsidRDefault="00782081" w:rsidP="00101F0B">
            <w:pPr>
              <w:autoSpaceDE w:val="0"/>
              <w:autoSpaceDN w:val="0"/>
              <w:spacing w:line="276" w:lineRule="auto"/>
              <w:jc w:val="center"/>
              <w:rPr>
                <w:rFonts w:eastAsia="MS Mincho"/>
                <w:lang w:eastAsia="ja-JP"/>
              </w:rPr>
            </w:pPr>
            <w:r w:rsidRPr="008F5C25">
              <w:rPr>
                <w:rFonts w:eastAsia="MS Mincho"/>
                <w:lang w:eastAsia="ja-JP"/>
              </w:rPr>
              <w:t>2 500-2 690 MHz</w:t>
            </w:r>
          </w:p>
        </w:tc>
        <w:tc>
          <w:tcPr>
            <w:tcW w:w="851" w:type="dxa"/>
          </w:tcPr>
          <w:p w14:paraId="6EF8A7AC"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D</w:t>
            </w:r>
            <w:r>
              <w:rPr>
                <w:rFonts w:eastAsia="MS Mincho"/>
                <w:lang w:eastAsia="ja-JP"/>
              </w:rPr>
              <w:t>1</w:t>
            </w:r>
          </w:p>
        </w:tc>
        <w:tc>
          <w:tcPr>
            <w:tcW w:w="4961" w:type="dxa"/>
          </w:tcPr>
          <w:p w14:paraId="5445603A" w14:textId="77777777" w:rsidR="00782081" w:rsidRDefault="00782081" w:rsidP="00101F0B">
            <w:pPr>
              <w:autoSpaceDE w:val="0"/>
              <w:autoSpaceDN w:val="0"/>
              <w:spacing w:line="276" w:lineRule="auto"/>
              <w:rPr>
                <w:rFonts w:eastAsia="MS Mincho"/>
                <w:lang w:eastAsia="ja-JP"/>
              </w:rPr>
            </w:pPr>
            <w:r>
              <w:rPr>
                <w:rFonts w:eastAsia="MS Mincho" w:hint="eastAsia"/>
                <w:lang w:eastAsia="ja-JP"/>
              </w:rPr>
              <w:t>N</w:t>
            </w:r>
            <w:r>
              <w:rPr>
                <w:rFonts w:eastAsia="MS Mincho"/>
                <w:lang w:eastAsia="ja-JP"/>
              </w:rPr>
              <w:t>OC</w:t>
            </w:r>
          </w:p>
        </w:tc>
      </w:tr>
      <w:tr w:rsidR="00782081" w14:paraId="7EF23E7A" w14:textId="77777777" w:rsidTr="00494411">
        <w:trPr>
          <w:trHeight w:val="501"/>
        </w:trPr>
        <w:tc>
          <w:tcPr>
            <w:tcW w:w="2126" w:type="dxa"/>
            <w:vMerge/>
          </w:tcPr>
          <w:p w14:paraId="29891F48" w14:textId="77777777" w:rsidR="00782081" w:rsidRDefault="00782081" w:rsidP="00101F0B">
            <w:pPr>
              <w:autoSpaceDE w:val="0"/>
              <w:autoSpaceDN w:val="0"/>
              <w:spacing w:line="276" w:lineRule="auto"/>
              <w:rPr>
                <w:rFonts w:eastAsia="MS Mincho"/>
                <w:lang w:eastAsia="ja-JP"/>
              </w:rPr>
            </w:pPr>
          </w:p>
        </w:tc>
        <w:tc>
          <w:tcPr>
            <w:tcW w:w="851" w:type="dxa"/>
          </w:tcPr>
          <w:p w14:paraId="0C81C894" w14:textId="77777777" w:rsidR="00782081" w:rsidRDefault="00782081" w:rsidP="00101F0B">
            <w:pPr>
              <w:autoSpaceDE w:val="0"/>
              <w:autoSpaceDN w:val="0"/>
              <w:spacing w:line="276" w:lineRule="auto"/>
              <w:jc w:val="center"/>
              <w:rPr>
                <w:rFonts w:eastAsia="MS Mincho"/>
                <w:lang w:eastAsia="ja-JP"/>
              </w:rPr>
            </w:pPr>
            <w:r>
              <w:rPr>
                <w:rFonts w:eastAsia="MS Mincho" w:hint="eastAsia"/>
                <w:lang w:eastAsia="ja-JP"/>
              </w:rPr>
              <w:t>D</w:t>
            </w:r>
            <w:r>
              <w:rPr>
                <w:rFonts w:eastAsia="MS Mincho"/>
                <w:lang w:eastAsia="ja-JP"/>
              </w:rPr>
              <w:t>2</w:t>
            </w:r>
          </w:p>
        </w:tc>
        <w:tc>
          <w:tcPr>
            <w:tcW w:w="4961" w:type="dxa"/>
          </w:tcPr>
          <w:p w14:paraId="69F88AD0" w14:textId="77777777" w:rsidR="00782081" w:rsidRDefault="00782081" w:rsidP="00101F0B">
            <w:pPr>
              <w:autoSpaceDE w:val="0"/>
              <w:autoSpaceDN w:val="0"/>
              <w:spacing w:line="276" w:lineRule="auto"/>
              <w:rPr>
                <w:rFonts w:eastAsia="MS Mincho"/>
                <w:lang w:eastAsia="ja-JP"/>
              </w:rPr>
            </w:pPr>
            <w:r w:rsidRPr="008F5C25">
              <w:rPr>
                <w:rFonts w:eastAsia="MS Mincho"/>
                <w:lang w:eastAsia="ja-JP"/>
              </w:rPr>
              <w:t>Identification for the use of HIBS</w:t>
            </w:r>
          </w:p>
        </w:tc>
      </w:tr>
    </w:tbl>
    <w:p w14:paraId="2E53C442" w14:textId="04A15E1A" w:rsidR="00782081" w:rsidRPr="00D169EF" w:rsidRDefault="00782081" w:rsidP="00782081">
      <w:pPr>
        <w:pStyle w:val="ListParagraph"/>
        <w:autoSpaceDE w:val="0"/>
        <w:autoSpaceDN w:val="0"/>
        <w:spacing w:line="276" w:lineRule="auto"/>
        <w:rPr>
          <w:rFonts w:eastAsia="MS Mincho"/>
          <w:lang w:eastAsia="ja-JP"/>
        </w:rPr>
      </w:pPr>
      <w:r w:rsidRPr="00996A7B">
        <w:rPr>
          <w:rFonts w:eastAsia="MS Mincho"/>
          <w:lang w:eastAsia="ja-JP"/>
        </w:rPr>
        <w:lastRenderedPageBreak/>
        <w:t>While Section 5 include</w:t>
      </w:r>
      <w:r w:rsidR="00494411">
        <w:rPr>
          <w:rFonts w:eastAsia="MS Mincho"/>
          <w:lang w:eastAsia="ja-JP"/>
        </w:rPr>
        <w:t>s</w:t>
      </w:r>
      <w:r w:rsidRPr="00996A7B">
        <w:rPr>
          <w:rFonts w:eastAsia="MS Mincho"/>
          <w:lang w:eastAsia="ja-JP"/>
        </w:rPr>
        <w:t xml:space="preserve"> regulatory examples to satisfy the different methods, some notes were added to indicate areas where further discussion is needed.</w:t>
      </w:r>
    </w:p>
    <w:p w14:paraId="0E9DB15D"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48303665" w14:textId="7B45D96D" w:rsidR="002A0111" w:rsidRPr="00441526" w:rsidRDefault="00EE3805" w:rsidP="003D3D47">
      <w:pPr>
        <w:numPr>
          <w:ilvl w:val="0"/>
          <w:numId w:val="18"/>
        </w:numPr>
        <w:ind w:leftChars="145" w:left="708"/>
        <w:jc w:val="both"/>
        <w:rPr>
          <w:lang w:val="en-NZ"/>
        </w:rPr>
      </w:pPr>
      <w:bookmarkStart w:id="0" w:name="_Hlk111466325"/>
      <w:r>
        <w:rPr>
          <w:rFonts w:eastAsia="MS Mincho"/>
          <w:lang w:val="en-GB" w:eastAsia="ja-JP"/>
        </w:rPr>
        <w:t>APG23-4/</w:t>
      </w:r>
      <w:hyperlink r:id="rId23" w:history="1">
        <w:r w:rsidRPr="00065D9B">
          <w:rPr>
            <w:rStyle w:val="Hyperlink"/>
            <w:rFonts w:eastAsia="MS Mincho" w:hint="eastAsia"/>
            <w:lang w:val="en-GB" w:eastAsia="ja-JP"/>
          </w:rPr>
          <w:t>I</w:t>
        </w:r>
        <w:r w:rsidRPr="00065D9B">
          <w:rPr>
            <w:rStyle w:val="Hyperlink"/>
            <w:rFonts w:eastAsia="MS Mincho"/>
            <w:lang w:val="en-GB" w:eastAsia="ja-JP"/>
          </w:rPr>
          <w:t>NP-07</w:t>
        </w:r>
      </w:hyperlink>
      <w:r w:rsidRPr="00065D9B">
        <w:rPr>
          <w:rFonts w:eastAsia="MS Mincho"/>
          <w:lang w:val="en-GB" w:eastAsia="ja-JP"/>
        </w:rPr>
        <w:t xml:space="preserve"> (J), </w:t>
      </w:r>
      <w:hyperlink r:id="rId24" w:history="1">
        <w:r w:rsidRPr="00065D9B">
          <w:rPr>
            <w:rStyle w:val="Hyperlink"/>
            <w:rFonts w:eastAsia="MS Mincho"/>
            <w:lang w:val="en-GB" w:eastAsia="ja-JP"/>
          </w:rPr>
          <w:t>INP-14</w:t>
        </w:r>
      </w:hyperlink>
      <w:r w:rsidRPr="00065D9B">
        <w:rPr>
          <w:rFonts w:eastAsia="MS Mincho"/>
          <w:lang w:val="en-GB" w:eastAsia="ja-JP"/>
        </w:rPr>
        <w:t xml:space="preserve"> (AUS), </w:t>
      </w:r>
      <w:hyperlink r:id="rId25" w:history="1">
        <w:r w:rsidRPr="00065D9B">
          <w:rPr>
            <w:rStyle w:val="Hyperlink"/>
            <w:rFonts w:eastAsia="MS Mincho"/>
            <w:lang w:val="en-GB" w:eastAsia="ja-JP"/>
          </w:rPr>
          <w:t>INP-19</w:t>
        </w:r>
      </w:hyperlink>
      <w:r w:rsidRPr="00065D9B">
        <w:rPr>
          <w:rFonts w:eastAsia="MS Mincho"/>
          <w:lang w:val="en-GB" w:eastAsia="ja-JP"/>
        </w:rPr>
        <w:t xml:space="preserve"> (BGD), </w:t>
      </w:r>
      <w:hyperlink r:id="rId26" w:history="1">
        <w:r w:rsidRPr="00065D9B">
          <w:rPr>
            <w:rStyle w:val="Hyperlink"/>
            <w:rFonts w:eastAsia="MS Mincho" w:hint="eastAsia"/>
            <w:lang w:val="en-GB" w:eastAsia="ja-JP"/>
          </w:rPr>
          <w:t>I</w:t>
        </w:r>
        <w:r w:rsidRPr="00065D9B">
          <w:rPr>
            <w:rStyle w:val="Hyperlink"/>
            <w:rFonts w:eastAsia="MS Mincho"/>
            <w:lang w:val="en-GB" w:eastAsia="ja-JP"/>
          </w:rPr>
          <w:t>NP-23</w:t>
        </w:r>
      </w:hyperlink>
      <w:r w:rsidRPr="00065D9B">
        <w:rPr>
          <w:rFonts w:eastAsia="MS Mincho"/>
          <w:lang w:val="en-GB" w:eastAsia="ja-JP"/>
        </w:rPr>
        <w:t xml:space="preserve"> (IRN), </w:t>
      </w:r>
      <w:hyperlink r:id="rId27" w:history="1">
        <w:r w:rsidRPr="00065D9B">
          <w:rPr>
            <w:rStyle w:val="Hyperlink"/>
            <w:rFonts w:eastAsia="MS Mincho"/>
            <w:lang w:val="en-GB" w:eastAsia="ja-JP"/>
          </w:rPr>
          <w:t>INP-34</w:t>
        </w:r>
      </w:hyperlink>
      <w:r w:rsidRPr="00065D9B">
        <w:rPr>
          <w:rFonts w:eastAsia="MS Mincho"/>
          <w:lang w:val="en-GB" w:eastAsia="ja-JP"/>
        </w:rPr>
        <w:t xml:space="preserve"> (KOR), </w:t>
      </w:r>
      <w:hyperlink r:id="rId28" w:history="1">
        <w:r w:rsidRPr="00065D9B">
          <w:rPr>
            <w:rStyle w:val="Hyperlink"/>
            <w:rFonts w:eastAsia="MS Mincho"/>
            <w:lang w:val="en-GB" w:eastAsia="ja-JP"/>
          </w:rPr>
          <w:t>INP-40</w:t>
        </w:r>
      </w:hyperlink>
      <w:r w:rsidRPr="00065D9B">
        <w:rPr>
          <w:rFonts w:eastAsia="MS Mincho"/>
          <w:lang w:val="en-GB" w:eastAsia="ja-JP"/>
        </w:rPr>
        <w:t xml:space="preserve"> (CHN), </w:t>
      </w:r>
      <w:hyperlink r:id="rId29" w:history="1">
        <w:r w:rsidRPr="00065D9B">
          <w:rPr>
            <w:rStyle w:val="Hyperlink"/>
            <w:rFonts w:eastAsia="MS Mincho"/>
            <w:lang w:val="en-GB" w:eastAsia="ja-JP"/>
          </w:rPr>
          <w:t>INP-45</w:t>
        </w:r>
      </w:hyperlink>
      <w:r w:rsidRPr="00065D9B">
        <w:rPr>
          <w:rFonts w:eastAsia="MS Mincho"/>
          <w:lang w:val="en-GB" w:eastAsia="ja-JP"/>
        </w:rPr>
        <w:t xml:space="preserve"> (THA), </w:t>
      </w:r>
      <w:hyperlink r:id="rId30" w:history="1">
        <w:r w:rsidRPr="00065D9B">
          <w:rPr>
            <w:rStyle w:val="Hyperlink"/>
            <w:rFonts w:eastAsia="MS Mincho"/>
            <w:lang w:val="en-GB" w:eastAsia="ja-JP"/>
          </w:rPr>
          <w:t>INP-61</w:t>
        </w:r>
      </w:hyperlink>
      <w:r w:rsidRPr="00065D9B">
        <w:rPr>
          <w:rFonts w:eastAsia="MS Mincho"/>
          <w:lang w:val="en-GB" w:eastAsia="ja-JP"/>
        </w:rPr>
        <w:t xml:space="preserve"> (IND), </w:t>
      </w:r>
      <w:hyperlink r:id="rId31" w:history="1">
        <w:r w:rsidRPr="00065D9B">
          <w:rPr>
            <w:rStyle w:val="Hyperlink"/>
            <w:rFonts w:eastAsia="MS Mincho" w:hint="eastAsia"/>
            <w:lang w:val="en-GB" w:eastAsia="ja-JP"/>
          </w:rPr>
          <w:t>I</w:t>
        </w:r>
        <w:r w:rsidRPr="00065D9B">
          <w:rPr>
            <w:rStyle w:val="Hyperlink"/>
            <w:rFonts w:eastAsia="MS Mincho"/>
            <w:lang w:val="en-GB" w:eastAsia="ja-JP"/>
          </w:rPr>
          <w:t>NP-66</w:t>
        </w:r>
      </w:hyperlink>
      <w:r w:rsidR="009650A3">
        <w:rPr>
          <w:rStyle w:val="Hyperlink"/>
          <w:rFonts w:eastAsia="MS Mincho"/>
          <w:lang w:val="en-GB" w:eastAsia="ja-JP"/>
        </w:rPr>
        <w:t>(Rev.1)</w:t>
      </w:r>
      <w:r w:rsidRPr="00065D9B">
        <w:rPr>
          <w:rFonts w:eastAsia="MS Mincho"/>
          <w:lang w:val="en-GB" w:eastAsia="ja-JP"/>
        </w:rPr>
        <w:t xml:space="preserve"> (MLA), </w:t>
      </w:r>
      <w:hyperlink r:id="rId32" w:history="1">
        <w:r w:rsidRPr="00065D9B">
          <w:rPr>
            <w:rStyle w:val="Hyperlink"/>
            <w:rFonts w:eastAsia="MS Mincho"/>
            <w:lang w:val="en-GB" w:eastAsia="ja-JP"/>
          </w:rPr>
          <w:t>INP-71</w:t>
        </w:r>
      </w:hyperlink>
      <w:r w:rsidRPr="00065D9B">
        <w:rPr>
          <w:rFonts w:eastAsia="MS Mincho"/>
          <w:lang w:val="en-GB" w:eastAsia="ja-JP"/>
        </w:rPr>
        <w:t xml:space="preserve"> (NPL), </w:t>
      </w:r>
      <w:hyperlink r:id="rId33" w:history="1">
        <w:r w:rsidRPr="00065D9B">
          <w:rPr>
            <w:rStyle w:val="Hyperlink"/>
            <w:rFonts w:eastAsia="MS Mincho"/>
            <w:lang w:val="en-GB" w:eastAsia="ja-JP"/>
          </w:rPr>
          <w:t>INP-73</w:t>
        </w:r>
      </w:hyperlink>
      <w:r w:rsidRPr="00065D9B">
        <w:rPr>
          <w:rFonts w:eastAsia="MS Mincho" w:hint="eastAsia"/>
          <w:lang w:val="en-GB" w:eastAsia="ja-JP"/>
        </w:rPr>
        <w:t xml:space="preserve"> (</w:t>
      </w:r>
      <w:r w:rsidRPr="00065D9B">
        <w:rPr>
          <w:rFonts w:eastAsia="MS Mincho"/>
          <w:lang w:val="en-GB" w:eastAsia="ja-JP"/>
        </w:rPr>
        <w:t xml:space="preserve">PHL), </w:t>
      </w:r>
      <w:hyperlink r:id="rId34" w:history="1">
        <w:r w:rsidRPr="00065D9B">
          <w:rPr>
            <w:rStyle w:val="Hyperlink"/>
            <w:rFonts w:eastAsia="MS Mincho"/>
            <w:lang w:val="en-GB" w:eastAsia="ja-JP"/>
          </w:rPr>
          <w:t>INP-74</w:t>
        </w:r>
      </w:hyperlink>
      <w:r w:rsidRPr="00065D9B">
        <w:rPr>
          <w:rFonts w:eastAsia="MS Mincho"/>
          <w:lang w:val="en-GB" w:eastAsia="ja-JP"/>
        </w:rPr>
        <w:t xml:space="preserve"> (VTN), </w:t>
      </w:r>
      <w:hyperlink r:id="rId35" w:history="1">
        <w:r w:rsidRPr="00065D9B">
          <w:rPr>
            <w:rStyle w:val="Hyperlink"/>
            <w:rFonts w:eastAsia="MS Mincho" w:hint="eastAsia"/>
            <w:lang w:val="en-GB" w:eastAsia="ja-JP"/>
          </w:rPr>
          <w:t>I</w:t>
        </w:r>
        <w:r w:rsidRPr="00065D9B">
          <w:rPr>
            <w:rStyle w:val="Hyperlink"/>
            <w:rFonts w:eastAsia="MS Mincho"/>
            <w:lang w:val="en-GB" w:eastAsia="ja-JP"/>
          </w:rPr>
          <w:t>NP-80</w:t>
        </w:r>
      </w:hyperlink>
      <w:r w:rsidRPr="00065D9B">
        <w:rPr>
          <w:rFonts w:eastAsia="MS Mincho"/>
          <w:lang w:val="en-GB" w:eastAsia="ja-JP"/>
        </w:rPr>
        <w:t xml:space="preserve"> (INS)</w:t>
      </w:r>
      <w:r w:rsidR="002A0111" w:rsidRPr="00441526">
        <w:rPr>
          <w:lang w:val="en-NZ"/>
        </w:rPr>
        <w:t xml:space="preserve"> </w:t>
      </w:r>
    </w:p>
    <w:p w14:paraId="7CA38DDD" w14:textId="7A569C67" w:rsidR="002A0111" w:rsidRPr="00441526" w:rsidRDefault="00EE3805" w:rsidP="003D3D47">
      <w:pPr>
        <w:numPr>
          <w:ilvl w:val="0"/>
          <w:numId w:val="18"/>
        </w:numPr>
        <w:ind w:leftChars="145" w:left="708"/>
        <w:jc w:val="both"/>
        <w:rPr>
          <w:lang w:val="en-NZ"/>
        </w:rPr>
      </w:pPr>
      <w:r>
        <w:rPr>
          <w:lang w:val="en-NZ"/>
        </w:rPr>
        <w:t>APG23-4/</w:t>
      </w:r>
      <w:hyperlink r:id="rId36" w:history="1">
        <w:r w:rsidRPr="00065D9B">
          <w:rPr>
            <w:rStyle w:val="Hyperlink"/>
            <w:rFonts w:hint="eastAsia"/>
            <w:lang w:val="en-GB"/>
          </w:rPr>
          <w:t>I</w:t>
        </w:r>
        <w:r w:rsidRPr="00065D9B">
          <w:rPr>
            <w:rStyle w:val="Hyperlink"/>
            <w:lang w:val="en-GB"/>
          </w:rPr>
          <w:t>NF-02</w:t>
        </w:r>
      </w:hyperlink>
      <w:r w:rsidRPr="00065D9B">
        <w:rPr>
          <w:lang w:val="en-GB"/>
        </w:rPr>
        <w:t xml:space="preserve"> (ATU), </w:t>
      </w:r>
      <w:hyperlink r:id="rId37" w:history="1">
        <w:r w:rsidRPr="00065D9B">
          <w:rPr>
            <w:rStyle w:val="Hyperlink"/>
            <w:lang w:val="en-GB"/>
          </w:rPr>
          <w:t>INF-03</w:t>
        </w:r>
      </w:hyperlink>
      <w:r w:rsidRPr="00065D9B">
        <w:rPr>
          <w:lang w:val="en-GB"/>
        </w:rPr>
        <w:t xml:space="preserve"> (WMO),</w:t>
      </w:r>
      <w:r w:rsidRPr="00065D9B">
        <w:rPr>
          <w:rFonts w:hint="eastAsia"/>
          <w:lang w:val="en-GB"/>
        </w:rPr>
        <w:t xml:space="preserve"> </w:t>
      </w:r>
      <w:hyperlink r:id="rId38" w:history="1">
        <w:r w:rsidRPr="00065D9B">
          <w:rPr>
            <w:rStyle w:val="Hyperlink"/>
            <w:rFonts w:hint="eastAsia"/>
            <w:lang w:val="en-GB"/>
          </w:rPr>
          <w:t>I</w:t>
        </w:r>
        <w:r w:rsidRPr="00065D9B">
          <w:rPr>
            <w:rStyle w:val="Hyperlink"/>
            <w:lang w:val="en-GB"/>
          </w:rPr>
          <w:t>NF-19</w:t>
        </w:r>
      </w:hyperlink>
      <w:r w:rsidRPr="00065D9B">
        <w:rPr>
          <w:lang w:val="en-GB"/>
        </w:rPr>
        <w:t xml:space="preserve"> (DG chair),</w:t>
      </w:r>
      <w:r w:rsidRPr="00065D9B">
        <w:rPr>
          <w:rFonts w:hint="eastAsia"/>
          <w:lang w:val="en-GB"/>
        </w:rPr>
        <w:t xml:space="preserve"> </w:t>
      </w:r>
      <w:hyperlink r:id="rId39" w:history="1">
        <w:r w:rsidRPr="00065D9B">
          <w:rPr>
            <w:rStyle w:val="Hyperlink"/>
            <w:lang w:val="en-GB"/>
          </w:rPr>
          <w:t>INF-21</w:t>
        </w:r>
      </w:hyperlink>
      <w:r w:rsidRPr="00065D9B">
        <w:rPr>
          <w:lang w:val="en-GB"/>
        </w:rPr>
        <w:t xml:space="preserve"> (ASMG), </w:t>
      </w:r>
      <w:hyperlink r:id="rId40" w:history="1">
        <w:r w:rsidRPr="00065D9B">
          <w:rPr>
            <w:rStyle w:val="Hyperlink"/>
            <w:lang w:val="en-GB"/>
          </w:rPr>
          <w:t>INF-28</w:t>
        </w:r>
      </w:hyperlink>
      <w:r w:rsidR="00AB695E">
        <w:rPr>
          <w:rStyle w:val="Hyperlink"/>
          <w:lang w:val="en-GB"/>
        </w:rPr>
        <w:t>(Rev.1)</w:t>
      </w:r>
      <w:r w:rsidRPr="00065D9B">
        <w:rPr>
          <w:lang w:val="en-GB"/>
        </w:rPr>
        <w:t xml:space="preserve"> (CITEL)</w:t>
      </w:r>
      <w:r w:rsidR="00AB695E">
        <w:rPr>
          <w:lang w:val="en-NZ"/>
        </w:rPr>
        <w:t xml:space="preserve">, </w:t>
      </w:r>
      <w:hyperlink r:id="rId41" w:history="1">
        <w:r w:rsidR="00162CB0" w:rsidRPr="00162CB0">
          <w:rPr>
            <w:rStyle w:val="Hyperlink"/>
            <w:lang w:val="en-NZ"/>
          </w:rPr>
          <w:t>INF-44</w:t>
        </w:r>
      </w:hyperlink>
      <w:r w:rsidR="00162CB0">
        <w:rPr>
          <w:lang w:val="en-NZ"/>
        </w:rPr>
        <w:t xml:space="preserve"> (RCC), </w:t>
      </w:r>
      <w:hyperlink r:id="rId42" w:history="1">
        <w:r w:rsidR="00AB695E" w:rsidRPr="00AB695E">
          <w:rPr>
            <w:rStyle w:val="Hyperlink"/>
            <w:lang w:val="en-NZ" w:eastAsia="ko-KR"/>
          </w:rPr>
          <w:t>INF-48</w:t>
        </w:r>
      </w:hyperlink>
      <w:r w:rsidR="00AB695E">
        <w:rPr>
          <w:lang w:val="en-NZ"/>
        </w:rPr>
        <w:t xml:space="preserve"> (CEPT)</w:t>
      </w:r>
    </w:p>
    <w:bookmarkEnd w:id="0"/>
    <w:p w14:paraId="26D36DDD" w14:textId="3DA3D0C1" w:rsidR="005206E9" w:rsidRDefault="005206E9">
      <w:pPr>
        <w:rPr>
          <w:b/>
          <w:lang w:val="en-NZ" w:eastAsia="ko-KR"/>
        </w:rPr>
      </w:pPr>
    </w:p>
    <w:p w14:paraId="182A6C43"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2E8809ED"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8E0732F" w14:textId="78B0217E" w:rsidR="00EE3805" w:rsidRPr="00B623A4" w:rsidRDefault="00EE3805" w:rsidP="00EE3805">
      <w:pPr>
        <w:spacing w:after="120"/>
        <w:jc w:val="both"/>
        <w:rPr>
          <w:b/>
          <w:lang w:val="en-NZ" w:eastAsia="ko-KR"/>
        </w:rPr>
      </w:pPr>
      <w:r w:rsidRPr="00B623A4">
        <w:rPr>
          <w:b/>
          <w:lang w:val="fr-FR" w:eastAsia="ko-KR"/>
        </w:rPr>
        <w:t>3.1.</w:t>
      </w:r>
      <w:r>
        <w:rPr>
          <w:b/>
          <w:lang w:val="fr-FR" w:eastAsia="ko-KR"/>
        </w:rPr>
        <w:t>1</w:t>
      </w:r>
      <w:r w:rsidRPr="00B623A4">
        <w:rPr>
          <w:b/>
          <w:lang w:val="fr-FR" w:eastAsia="ko-KR"/>
        </w:rPr>
        <w:t xml:space="preserve"> </w:t>
      </w:r>
      <w:r w:rsidRPr="00B623A4">
        <w:rPr>
          <w:b/>
          <w:lang w:val="fr-FR" w:eastAsia="ko-KR"/>
        </w:rPr>
        <w:tab/>
        <w:t>Japan</w:t>
      </w:r>
      <w:r w:rsidRPr="00B623A4">
        <w:rPr>
          <w:b/>
          <w:lang w:val="en-NZ" w:eastAsia="ko-KR"/>
        </w:rPr>
        <w:t xml:space="preserve"> </w:t>
      </w:r>
      <w:r w:rsidRPr="00B623A4">
        <w:rPr>
          <w:b/>
        </w:rPr>
        <w:t xml:space="preserve">- </w:t>
      </w:r>
      <w:r w:rsidRPr="00B623A4">
        <w:rPr>
          <w:b/>
          <w:lang w:val="en-NZ" w:eastAsia="ko-KR"/>
        </w:rPr>
        <w:t xml:space="preserve">Document </w:t>
      </w:r>
      <w:r w:rsidRPr="00B623A4">
        <w:rPr>
          <w:b/>
        </w:rPr>
        <w:t>APG23-4/</w:t>
      </w:r>
      <w:hyperlink r:id="rId43" w:history="1">
        <w:r w:rsidRPr="00B623A4">
          <w:rPr>
            <w:rStyle w:val="Hyperlink"/>
            <w:rFonts w:eastAsia="MS Mincho" w:hint="eastAsia"/>
            <w:b/>
            <w:lang w:val="en-GB" w:eastAsia="ja-JP"/>
          </w:rPr>
          <w:t>I</w:t>
        </w:r>
        <w:r w:rsidRPr="00B623A4">
          <w:rPr>
            <w:rStyle w:val="Hyperlink"/>
            <w:rFonts w:eastAsia="MS Mincho"/>
            <w:b/>
            <w:lang w:val="en-GB" w:eastAsia="ja-JP"/>
          </w:rPr>
          <w:t>NP-07</w:t>
        </w:r>
      </w:hyperlink>
    </w:p>
    <w:p w14:paraId="75AF8014" w14:textId="77777777" w:rsidR="00EE3805" w:rsidRDefault="00EE3805" w:rsidP="00EE3805">
      <w:pPr>
        <w:numPr>
          <w:ilvl w:val="0"/>
          <w:numId w:val="18"/>
        </w:numPr>
        <w:ind w:leftChars="145" w:left="708"/>
        <w:jc w:val="both"/>
        <w:rPr>
          <w:rFonts w:eastAsiaTheme="minorEastAsia"/>
          <w:lang w:val="en-GB" w:eastAsia="ja-JP"/>
        </w:rPr>
      </w:pPr>
      <w:bookmarkStart w:id="1" w:name="_Hlk111498858"/>
      <w:r w:rsidRPr="00D63D0B">
        <w:rPr>
          <w:rFonts w:eastAsiaTheme="minorEastAsia"/>
          <w:lang w:val="en-GB" w:eastAsia="ja-JP"/>
        </w:rPr>
        <w:t>Based on the results of the sharing and compatibility studies, Japan supports Methods A2, B2, C2 and D2 for each frequency band and the relevant regulatory conditions in the current working document towards the draft CPM text on WRC-23 agenda item 1.4 (</w:t>
      </w:r>
      <w:hyperlink r:id="rId44" w:history="1">
        <w:r w:rsidRPr="00D63D0B">
          <w:rPr>
            <w:rStyle w:val="Hyperlink"/>
            <w:rFonts w:eastAsiaTheme="minorEastAsia"/>
            <w:lang w:val="en-GB" w:eastAsia="ja-JP"/>
          </w:rPr>
          <w:t>Annex 4.28 to 5D/1361</w:t>
        </w:r>
      </w:hyperlink>
      <w:r w:rsidRPr="00D63D0B">
        <w:rPr>
          <w:rFonts w:eastAsiaTheme="minorEastAsia"/>
          <w:lang w:val="en-GB" w:eastAsia="ja-JP"/>
        </w:rPr>
        <w:t>), subject to ensuring the protection of the existing services, to which the frequency band is allocated on a primary basis, and adjacent bands, as appropriate, without adversely affecting in their deployment including other IMT uses, existing systems and the planned development of primary services.</w:t>
      </w:r>
      <w:r w:rsidRPr="00D63D0B">
        <w:rPr>
          <w:rFonts w:eastAsiaTheme="minorEastAsia" w:hint="eastAsia"/>
          <w:lang w:val="en-GB" w:eastAsia="ja-JP"/>
        </w:rPr>
        <w:t xml:space="preserve"> </w:t>
      </w:r>
      <w:r w:rsidRPr="00D63D0B">
        <w:rPr>
          <w:rFonts w:eastAsiaTheme="minorEastAsia"/>
          <w:lang w:val="en-GB" w:eastAsia="ja-JP"/>
        </w:rPr>
        <w:t xml:space="preserve">The methods and regulatory conditions supported by Japan are as </w:t>
      </w:r>
      <w:r>
        <w:rPr>
          <w:rFonts w:eastAsia="MS Mincho" w:hint="eastAsia"/>
          <w:lang w:val="en-GB" w:eastAsia="ja-JP"/>
        </w:rPr>
        <w:t>s</w:t>
      </w:r>
      <w:r>
        <w:rPr>
          <w:rFonts w:eastAsia="MS Mincho"/>
          <w:lang w:val="en-GB" w:eastAsia="ja-JP"/>
        </w:rPr>
        <w:t>hown in the embedded document below</w:t>
      </w:r>
      <w:r>
        <w:rPr>
          <w:rFonts w:eastAsiaTheme="minorEastAsia"/>
          <w:lang w:val="en-GB" w:eastAsia="ja-JP"/>
        </w:rPr>
        <w:t>.</w:t>
      </w:r>
    </w:p>
    <w:bookmarkStart w:id="2" w:name="_MON_1721809212"/>
    <w:bookmarkEnd w:id="2"/>
    <w:p w14:paraId="68D18456" w14:textId="77777777" w:rsidR="00EE3805" w:rsidRPr="007209BE" w:rsidRDefault="00EE3805" w:rsidP="00EE3805">
      <w:pPr>
        <w:numPr>
          <w:ilvl w:val="0"/>
          <w:numId w:val="18"/>
        </w:numPr>
        <w:ind w:leftChars="145" w:left="708"/>
        <w:jc w:val="both"/>
        <w:rPr>
          <w:rFonts w:eastAsiaTheme="minorEastAsia"/>
          <w:lang w:val="en-GB" w:eastAsia="ja-JP"/>
        </w:rPr>
      </w:pPr>
      <w:r>
        <w:rPr>
          <w:rFonts w:eastAsiaTheme="minorEastAsia"/>
          <w:lang w:val="en-GB" w:eastAsia="ja-JP"/>
        </w:rPr>
        <w:object w:dxaOrig="1501" w:dyaOrig="1020" w14:anchorId="033EB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51.05pt" o:ole="">
            <v:imagedata r:id="rId45" o:title=""/>
          </v:shape>
          <o:OLEObject Type="Embed" ProgID="Word.Document.12" ShapeID="_x0000_i1025" DrawAspect="Icon" ObjectID="_1723281993" r:id="rId46">
            <o:FieldCodes>\s</o:FieldCodes>
          </o:OLEObject>
        </w:object>
      </w:r>
    </w:p>
    <w:bookmarkEnd w:id="1"/>
    <w:p w14:paraId="48CEC7DC" w14:textId="223CFFD7" w:rsidR="00EE3805" w:rsidRPr="007209BE" w:rsidRDefault="00EE3805" w:rsidP="00EE3805">
      <w:pPr>
        <w:numPr>
          <w:ilvl w:val="0"/>
          <w:numId w:val="18"/>
        </w:numPr>
        <w:ind w:leftChars="145" w:left="708"/>
        <w:jc w:val="both"/>
        <w:rPr>
          <w:rFonts w:eastAsiaTheme="minorEastAsia"/>
          <w:lang w:val="en-GB" w:eastAsia="ja-JP"/>
        </w:rPr>
      </w:pPr>
      <w:r w:rsidRPr="007209BE">
        <w:rPr>
          <w:rFonts w:eastAsia="MS Mincho"/>
          <w:lang w:val="en-GB" w:eastAsia="ja-JP"/>
        </w:rPr>
        <w:t xml:space="preserve">It should be noted that the above does not mean Japan supports only these regulatory conditions, and Japan will consider supporting additional protection conditions for other existing services or systems at the future APG-23 meetings based on the </w:t>
      </w:r>
      <w:r w:rsidRPr="007209BE">
        <w:rPr>
          <w:rFonts w:eastAsia="MS Mincho" w:hint="eastAsia"/>
          <w:lang w:val="en-GB" w:eastAsia="ja-JP"/>
        </w:rPr>
        <w:t>d</w:t>
      </w:r>
      <w:r w:rsidRPr="007209BE">
        <w:rPr>
          <w:rFonts w:eastAsia="MS Mincho"/>
          <w:lang w:val="en-GB" w:eastAsia="ja-JP"/>
        </w:rPr>
        <w:t xml:space="preserve">raft CPM text which will be finalized in the </w:t>
      </w:r>
      <w:r w:rsidR="009F0A58">
        <w:rPr>
          <w:rFonts w:eastAsia="MS Mincho"/>
          <w:lang w:val="en-GB" w:eastAsia="ja-JP"/>
        </w:rPr>
        <w:t>42</w:t>
      </w:r>
      <w:r w:rsidR="009F0A58" w:rsidRPr="009F0A58">
        <w:rPr>
          <w:rFonts w:eastAsia="MS Mincho"/>
          <w:vertAlign w:val="superscript"/>
          <w:lang w:val="en-GB" w:eastAsia="ja-JP"/>
        </w:rPr>
        <w:t>nd</w:t>
      </w:r>
      <w:r w:rsidR="009F0A58">
        <w:rPr>
          <w:rFonts w:eastAsia="MS Mincho"/>
          <w:lang w:val="en-GB" w:eastAsia="ja-JP"/>
        </w:rPr>
        <w:t xml:space="preserve"> </w:t>
      </w:r>
      <w:r w:rsidRPr="007209BE">
        <w:rPr>
          <w:rFonts w:eastAsia="MS Mincho"/>
          <w:lang w:val="en-GB" w:eastAsia="ja-JP"/>
        </w:rPr>
        <w:t>ITU-R WP 5D meeting.</w:t>
      </w:r>
    </w:p>
    <w:p w14:paraId="3FD61CFC" w14:textId="77777777" w:rsidR="00EE3805" w:rsidRPr="007209BE" w:rsidRDefault="00EE3805" w:rsidP="00EE3805">
      <w:pPr>
        <w:numPr>
          <w:ilvl w:val="0"/>
          <w:numId w:val="18"/>
        </w:numPr>
        <w:ind w:leftChars="145" w:left="708"/>
        <w:jc w:val="both"/>
        <w:rPr>
          <w:rFonts w:eastAsiaTheme="minorEastAsia"/>
          <w:lang w:val="en-GB" w:eastAsia="ja-JP"/>
        </w:rPr>
      </w:pPr>
      <w:r w:rsidRPr="007209BE">
        <w:rPr>
          <w:rFonts w:eastAsia="MS Mincho"/>
          <w:lang w:val="en-GB" w:eastAsia="ja-JP"/>
        </w:rPr>
        <w:t>Japan also supports stipulating a provision in the Radio Regulations (RR) for HIBS operations at the altitude that could go down to 18 km while RR No.</w:t>
      </w:r>
      <w:r w:rsidRPr="007209BE">
        <w:rPr>
          <w:rFonts w:eastAsia="MS Mincho"/>
          <w:b/>
          <w:bCs/>
          <w:lang w:val="en-GB" w:eastAsia="ja-JP"/>
        </w:rPr>
        <w:t>1.66A</w:t>
      </w:r>
      <w:r w:rsidRPr="007209BE">
        <w:rPr>
          <w:rFonts w:eastAsia="MS Mincho"/>
          <w:lang w:val="en-GB" w:eastAsia="ja-JP"/>
        </w:rPr>
        <w:t xml:space="preserve"> define the altitude of HAPS as 20-50 km, based on the results of sensitivity analysis in the sharing and compatibility studies which showed that HIBS operation at altitude of 18 km does not affect adversely </w:t>
      </w:r>
      <w:r w:rsidRPr="00103226">
        <w:rPr>
          <w:lang w:eastAsia="zh-CN"/>
        </w:rPr>
        <w:t>existing services and systems.</w:t>
      </w:r>
    </w:p>
    <w:p w14:paraId="1422D620" w14:textId="77777777" w:rsidR="00EE3805" w:rsidRPr="00D63D0B" w:rsidRDefault="00EE3805" w:rsidP="00EE3805">
      <w:pPr>
        <w:numPr>
          <w:ilvl w:val="0"/>
          <w:numId w:val="18"/>
        </w:numPr>
        <w:ind w:leftChars="145" w:left="708"/>
        <w:jc w:val="both"/>
        <w:rPr>
          <w:rFonts w:eastAsiaTheme="minorEastAsia"/>
          <w:lang w:val="en-GB" w:eastAsia="ja-JP"/>
        </w:rPr>
      </w:pPr>
      <w:bookmarkStart w:id="3" w:name="_Hlk111498931"/>
      <w:r w:rsidRPr="00103226">
        <w:rPr>
          <w:rFonts w:eastAsia="MS Mincho"/>
          <w:lang w:eastAsia="ja-JP"/>
        </w:rPr>
        <w:t xml:space="preserve">Since the user equipment to be served, whether by HIBS or ground-based IMT base stations, is the same in accordance with Resolution </w:t>
      </w:r>
      <w:r w:rsidRPr="00103226">
        <w:rPr>
          <w:rFonts w:eastAsia="MS Mincho"/>
          <w:b/>
          <w:bCs/>
          <w:lang w:eastAsia="ja-JP"/>
        </w:rPr>
        <w:t>247 (WRC-19)</w:t>
      </w:r>
      <w:r w:rsidRPr="00103226">
        <w:rPr>
          <w:rFonts w:eastAsia="MS Mincho"/>
          <w:lang w:eastAsia="ja-JP"/>
        </w:rPr>
        <w:t>, imposing regulatory conditio</w:t>
      </w:r>
      <w:r w:rsidRPr="003E3E34">
        <w:rPr>
          <w:rFonts w:eastAsia="MS Mincho"/>
          <w:lang w:eastAsia="ja-JP"/>
        </w:rPr>
        <w:t xml:space="preserve">ns on user equipment would also impose new restrictions on existing IMT identifications, which is contrary to </w:t>
      </w:r>
      <w:r w:rsidRPr="003E3E34">
        <w:rPr>
          <w:rFonts w:eastAsia="MS Mincho"/>
          <w:i/>
          <w:iCs/>
          <w:lang w:eastAsia="ja-JP"/>
        </w:rPr>
        <w:t>invites WRC-23</w:t>
      </w:r>
      <w:r w:rsidRPr="003E3E34">
        <w:rPr>
          <w:rFonts w:eastAsia="MS Mincho"/>
          <w:lang w:eastAsia="ja-JP"/>
        </w:rPr>
        <w:t xml:space="preserve"> of Resolution </w:t>
      </w:r>
      <w:r w:rsidRPr="003E3E34">
        <w:rPr>
          <w:rFonts w:eastAsia="MS Mincho"/>
          <w:b/>
          <w:bCs/>
          <w:lang w:eastAsia="ja-JP"/>
        </w:rPr>
        <w:t>247 (WRC-19)</w:t>
      </w:r>
      <w:r w:rsidRPr="003E3E34">
        <w:rPr>
          <w:rFonts w:eastAsia="MS Mincho"/>
          <w:lang w:eastAsia="ja-JP"/>
        </w:rPr>
        <w:t>. Therefore, Japan is of the views that the studies on HIBS UE should be treated as the outside the scope of this agenda item.</w:t>
      </w:r>
      <w:bookmarkEnd w:id="3"/>
    </w:p>
    <w:p w14:paraId="6854F31F" w14:textId="77777777" w:rsidR="00EE3805" w:rsidRDefault="00EE3805" w:rsidP="00EE3805">
      <w:pPr>
        <w:spacing w:after="120"/>
        <w:jc w:val="both"/>
        <w:rPr>
          <w:b/>
          <w:lang w:val="en-GB" w:eastAsia="ko-KR"/>
        </w:rPr>
      </w:pPr>
    </w:p>
    <w:p w14:paraId="123F2F8C" w14:textId="516CEC94" w:rsidR="00EE3805" w:rsidRPr="00441526" w:rsidRDefault="00EE3805" w:rsidP="00EE3805">
      <w:pPr>
        <w:spacing w:after="120"/>
        <w:jc w:val="both"/>
        <w:rPr>
          <w:b/>
          <w:lang w:val="en-NZ" w:eastAsia="ko-KR"/>
        </w:rPr>
      </w:pPr>
      <w:r w:rsidRPr="008450FD">
        <w:rPr>
          <w:b/>
          <w:lang w:val="fr-FR" w:eastAsia="ko-KR"/>
        </w:rPr>
        <w:t>3.1.</w:t>
      </w:r>
      <w:r w:rsidR="00FB42FD">
        <w:rPr>
          <w:b/>
          <w:lang w:val="fr-FR" w:eastAsia="ko-KR"/>
        </w:rPr>
        <w:t>2</w:t>
      </w:r>
      <w:r w:rsidRPr="008450FD">
        <w:rPr>
          <w:b/>
          <w:lang w:val="fr-FR" w:eastAsia="ko-KR"/>
        </w:rPr>
        <w:t xml:space="preserve"> </w:t>
      </w:r>
      <w:r w:rsidRPr="008450FD">
        <w:rPr>
          <w:b/>
          <w:lang w:val="fr-FR" w:eastAsia="ko-KR"/>
        </w:rPr>
        <w:tab/>
      </w:r>
      <w:r>
        <w:rPr>
          <w:b/>
          <w:lang w:val="en-NZ" w:eastAsia="ko-KR"/>
        </w:rPr>
        <w:t>Australia</w:t>
      </w:r>
      <w:r w:rsidRPr="00441526">
        <w:rPr>
          <w:b/>
          <w:lang w:val="en-NZ" w:eastAsia="ko-KR"/>
        </w:rPr>
        <w:t xml:space="preserve"> </w:t>
      </w:r>
      <w:r w:rsidRPr="00441526">
        <w:t xml:space="preserve">- </w:t>
      </w:r>
      <w:r w:rsidRPr="00441526">
        <w:rPr>
          <w:b/>
          <w:lang w:val="en-NZ" w:eastAsia="ko-KR"/>
        </w:rPr>
        <w:t xml:space="preserve">Document </w:t>
      </w:r>
      <w:r w:rsidRPr="00C07C54">
        <w:rPr>
          <w:b/>
          <w:bCs/>
        </w:rPr>
        <w:t>APG23-</w:t>
      </w:r>
      <w:r>
        <w:rPr>
          <w:b/>
          <w:bCs/>
        </w:rPr>
        <w:t>4</w:t>
      </w:r>
      <w:r w:rsidRPr="00C07C54">
        <w:rPr>
          <w:b/>
          <w:bCs/>
        </w:rPr>
        <w:t>/</w:t>
      </w:r>
      <w:hyperlink r:id="rId47" w:history="1">
        <w:r w:rsidRPr="00065D9B">
          <w:rPr>
            <w:rStyle w:val="Hyperlink"/>
            <w:rFonts w:eastAsia="MS Mincho"/>
            <w:b/>
            <w:bCs/>
            <w:lang w:val="en-GB" w:eastAsia="ja-JP"/>
          </w:rPr>
          <w:t>INP-14</w:t>
        </w:r>
      </w:hyperlink>
    </w:p>
    <w:p w14:paraId="1D0FCC6D" w14:textId="77777777" w:rsidR="00EE3805" w:rsidRPr="00441526" w:rsidRDefault="00EE3805" w:rsidP="00EE3805">
      <w:pPr>
        <w:numPr>
          <w:ilvl w:val="0"/>
          <w:numId w:val="18"/>
        </w:numPr>
        <w:ind w:leftChars="145" w:left="708"/>
        <w:jc w:val="both"/>
        <w:rPr>
          <w:lang w:val="en-NZ"/>
        </w:rPr>
      </w:pPr>
      <w:r w:rsidRPr="00BE5F1D">
        <w:rPr>
          <w:lang w:val="en-NZ"/>
        </w:rPr>
        <w:t>Australia supports establishing a new globally or regionally harmonised regulatory framework that responds to changing technology and improves the efficient use of frequency bands below 2.7GHz already identified for IMT, by facilitating the use of HIBS. Australia notes that any change must ensure the protection of services to which the bands are allocated and should not give priority to HIBS over existing IMT identifications.</w:t>
      </w:r>
    </w:p>
    <w:p w14:paraId="02223EC7" w14:textId="77777777" w:rsidR="00EE3805" w:rsidRDefault="00EE3805" w:rsidP="00EE3805">
      <w:pPr>
        <w:jc w:val="both"/>
        <w:rPr>
          <w:lang w:val="en-NZ"/>
        </w:rPr>
      </w:pPr>
    </w:p>
    <w:p w14:paraId="438A5A29" w14:textId="183E30C0" w:rsidR="00FB42FD" w:rsidRPr="00B623A4" w:rsidRDefault="00FB42FD" w:rsidP="00FB42FD">
      <w:pPr>
        <w:spacing w:after="120"/>
        <w:jc w:val="both"/>
        <w:rPr>
          <w:b/>
          <w:lang w:val="en-NZ" w:eastAsia="ko-KR"/>
        </w:rPr>
      </w:pPr>
      <w:r w:rsidRPr="00B623A4">
        <w:rPr>
          <w:b/>
          <w:lang w:val="en-NZ" w:eastAsia="ko-KR"/>
        </w:rPr>
        <w:t>3.1.</w:t>
      </w:r>
      <w:r>
        <w:rPr>
          <w:b/>
          <w:lang w:val="en-NZ" w:eastAsia="ko-KR"/>
        </w:rPr>
        <w:t>3</w:t>
      </w:r>
      <w:r w:rsidRPr="00B623A4">
        <w:rPr>
          <w:b/>
          <w:lang w:val="en-NZ" w:eastAsia="ko-KR"/>
        </w:rPr>
        <w:t xml:space="preserve"> </w:t>
      </w:r>
      <w:r w:rsidRPr="00B623A4">
        <w:rPr>
          <w:b/>
          <w:lang w:val="en-NZ" w:eastAsia="ko-KR"/>
        </w:rPr>
        <w:tab/>
        <w:t xml:space="preserve">Bangladesh (People's Republic of) </w:t>
      </w:r>
      <w:r w:rsidRPr="00B623A4">
        <w:rPr>
          <w:b/>
        </w:rPr>
        <w:t xml:space="preserve">- </w:t>
      </w:r>
      <w:r w:rsidRPr="00B623A4">
        <w:rPr>
          <w:b/>
          <w:lang w:val="en-NZ" w:eastAsia="ko-KR"/>
        </w:rPr>
        <w:t>Document APG23-4/</w:t>
      </w:r>
      <w:hyperlink r:id="rId48" w:history="1">
        <w:r w:rsidRPr="00B623A4">
          <w:rPr>
            <w:rStyle w:val="Hyperlink"/>
            <w:rFonts w:eastAsia="MS Mincho"/>
            <w:b/>
            <w:lang w:val="en-GB" w:eastAsia="ja-JP"/>
          </w:rPr>
          <w:t>INP-19</w:t>
        </w:r>
      </w:hyperlink>
    </w:p>
    <w:p w14:paraId="2DB1C112" w14:textId="77777777" w:rsidR="00FB42FD" w:rsidRPr="00A4551D" w:rsidRDefault="00FB42FD" w:rsidP="00FB42FD">
      <w:pPr>
        <w:numPr>
          <w:ilvl w:val="0"/>
          <w:numId w:val="18"/>
        </w:numPr>
        <w:ind w:leftChars="145" w:left="708"/>
        <w:jc w:val="both"/>
        <w:rPr>
          <w:lang w:val="en-NZ"/>
        </w:rPr>
      </w:pPr>
      <w:r>
        <w:t xml:space="preserve">Considering the growing demand for access to mobile broadband, HIBS </w:t>
      </w:r>
      <w:r>
        <w:rPr>
          <w:rFonts w:hint="eastAsia"/>
          <w:lang w:eastAsia="ko-KR"/>
        </w:rPr>
        <w:t>has</w:t>
      </w:r>
      <w:r>
        <w:t xml:space="preserve"> </w:t>
      </w:r>
      <w:r>
        <w:rPr>
          <w:rFonts w:hint="eastAsia"/>
          <w:lang w:eastAsia="ko-KR"/>
        </w:rPr>
        <w:t>been</w:t>
      </w:r>
      <w:r>
        <w:t xml:space="preserve"> </w:t>
      </w:r>
      <w:r>
        <w:rPr>
          <w:rFonts w:hint="eastAsia"/>
          <w:lang w:eastAsia="ko-KR"/>
        </w:rPr>
        <w:t>considered</w:t>
      </w:r>
      <w:r>
        <w:t xml:space="preserve"> </w:t>
      </w:r>
      <w:r>
        <w:rPr>
          <w:rFonts w:hint="eastAsia"/>
          <w:lang w:eastAsia="ko-KR"/>
        </w:rPr>
        <w:t>as</w:t>
      </w:r>
      <w:r>
        <w:t xml:space="preserve"> </w:t>
      </w:r>
      <w:r>
        <w:rPr>
          <w:rFonts w:hint="eastAsia"/>
          <w:lang w:eastAsia="ko-KR"/>
        </w:rPr>
        <w:t>an</w:t>
      </w:r>
      <w:r>
        <w:t xml:space="preserve"> </w:t>
      </w:r>
      <w:r>
        <w:rPr>
          <w:rFonts w:hint="eastAsia"/>
          <w:lang w:eastAsia="ko-KR"/>
        </w:rPr>
        <w:t>approach</w:t>
      </w:r>
      <w:r>
        <w:t xml:space="preserve"> </w:t>
      </w:r>
      <w:r>
        <w:rPr>
          <w:rFonts w:hint="eastAsia"/>
          <w:lang w:eastAsia="ko-KR"/>
        </w:rPr>
        <w:t>for</w:t>
      </w:r>
      <w:r>
        <w:t xml:space="preserve"> </w:t>
      </w:r>
      <w:r>
        <w:rPr>
          <w:rFonts w:hint="eastAsia"/>
          <w:lang w:eastAsia="ko-KR"/>
        </w:rPr>
        <w:t>providing</w:t>
      </w:r>
      <w:r>
        <w:t xml:space="preserve"> </w:t>
      </w:r>
      <w:r>
        <w:rPr>
          <w:rFonts w:hint="eastAsia"/>
          <w:lang w:eastAsia="ko-KR"/>
        </w:rPr>
        <w:t>broadband</w:t>
      </w:r>
      <w:r>
        <w:t xml:space="preserve"> </w:t>
      </w:r>
      <w:r>
        <w:rPr>
          <w:rFonts w:hint="eastAsia"/>
          <w:lang w:eastAsia="ko-KR"/>
        </w:rPr>
        <w:t>connectivity and</w:t>
      </w:r>
      <w:r>
        <w:rPr>
          <w:lang w:eastAsia="ko-KR"/>
        </w:rPr>
        <w:t xml:space="preserve"> </w:t>
      </w:r>
      <w:r>
        <w:rPr>
          <w:rFonts w:hint="eastAsia"/>
          <w:lang w:eastAsia="ko-KR"/>
        </w:rPr>
        <w:t>telecommunication</w:t>
      </w:r>
      <w:r>
        <w:rPr>
          <w:lang w:eastAsia="ko-KR"/>
        </w:rPr>
        <w:t xml:space="preserve"> </w:t>
      </w:r>
      <w:r>
        <w:rPr>
          <w:rFonts w:hint="eastAsia"/>
          <w:lang w:eastAsia="ko-KR"/>
        </w:rPr>
        <w:t>services</w:t>
      </w:r>
      <w:r>
        <w:rPr>
          <w:lang w:eastAsia="ko-KR"/>
        </w:rPr>
        <w:t xml:space="preserve"> </w:t>
      </w:r>
      <w:r>
        <w:rPr>
          <w:rFonts w:hint="eastAsia"/>
          <w:lang w:eastAsia="ko-KR"/>
        </w:rPr>
        <w:t>with</w:t>
      </w:r>
      <w:r>
        <w:rPr>
          <w:lang w:eastAsia="ko-KR"/>
        </w:rPr>
        <w:t xml:space="preserve"> </w:t>
      </w:r>
      <w:r>
        <w:rPr>
          <w:rFonts w:hint="eastAsia"/>
          <w:lang w:eastAsia="ko-KR"/>
        </w:rPr>
        <w:t>minimal</w:t>
      </w:r>
      <w:r>
        <w:rPr>
          <w:lang w:eastAsia="ko-KR"/>
        </w:rPr>
        <w:t xml:space="preserve"> </w:t>
      </w:r>
      <w:r>
        <w:rPr>
          <w:rFonts w:hint="eastAsia"/>
          <w:lang w:eastAsia="ko-KR"/>
        </w:rPr>
        <w:t>network</w:t>
      </w:r>
      <w:r>
        <w:rPr>
          <w:lang w:eastAsia="ko-KR"/>
        </w:rPr>
        <w:t xml:space="preserve"> infrastructure. </w:t>
      </w:r>
      <w:r>
        <w:rPr>
          <w:rFonts w:hint="eastAsia"/>
          <w:lang w:eastAsia="ko-KR"/>
        </w:rPr>
        <w:t>H</w:t>
      </w:r>
      <w:r>
        <w:rPr>
          <w:lang w:eastAsia="ko-KR"/>
        </w:rPr>
        <w:t xml:space="preserve">owever, the people’s Republic of Bangladesh is of the view that existing and future </w:t>
      </w:r>
      <w:r w:rsidRPr="00A4551D">
        <w:rPr>
          <w:lang w:val="en-NZ"/>
        </w:rPr>
        <w:t xml:space="preserve">services allocated in the frequency bands and the adjacent bands considered under this agenda item </w:t>
      </w:r>
      <w:r>
        <w:rPr>
          <w:rFonts w:hint="eastAsia"/>
          <w:lang w:eastAsia="ko-KR"/>
        </w:rPr>
        <w:t>including</w:t>
      </w:r>
      <w:r>
        <w:rPr>
          <w:lang w:eastAsia="ko-KR"/>
        </w:rPr>
        <w:t xml:space="preserve"> </w:t>
      </w:r>
      <w:proofErr w:type="gramStart"/>
      <w:r>
        <w:rPr>
          <w:rFonts w:hint="eastAsia"/>
          <w:lang w:eastAsia="ko-KR"/>
        </w:rPr>
        <w:t>ground</w:t>
      </w:r>
      <w:r w:rsidRPr="00D06C9B">
        <w:t>-based</w:t>
      </w:r>
      <w:proofErr w:type="gramEnd"/>
      <w:r w:rsidRPr="00D06C9B">
        <w:t xml:space="preserve"> IMT systems</w:t>
      </w:r>
      <w:r>
        <w:t xml:space="preserve"> </w:t>
      </w:r>
      <w:r>
        <w:rPr>
          <w:rFonts w:hint="eastAsia"/>
          <w:lang w:eastAsia="ko-KR"/>
        </w:rPr>
        <w:t>should</w:t>
      </w:r>
      <w:r>
        <w:rPr>
          <w:lang w:eastAsia="ko-KR"/>
        </w:rPr>
        <w:t xml:space="preserve"> </w:t>
      </w:r>
      <w:r>
        <w:rPr>
          <w:rFonts w:hint="eastAsia"/>
          <w:lang w:eastAsia="ko-KR"/>
        </w:rPr>
        <w:t>be</w:t>
      </w:r>
      <w:r>
        <w:rPr>
          <w:lang w:eastAsia="ko-KR"/>
        </w:rPr>
        <w:t xml:space="preserve"> </w:t>
      </w:r>
      <w:r>
        <w:rPr>
          <w:rFonts w:hint="eastAsia"/>
          <w:lang w:eastAsia="ko-KR"/>
        </w:rPr>
        <w:t>protected</w:t>
      </w:r>
      <w:r>
        <w:rPr>
          <w:lang w:eastAsia="ko-KR"/>
        </w:rPr>
        <w:t xml:space="preserve"> based on the results of sharing and compatibility</w:t>
      </w:r>
      <w:r w:rsidRPr="00A4551D">
        <w:rPr>
          <w:lang w:val="en-NZ"/>
        </w:rPr>
        <w:t xml:space="preserve"> studies without imposing any additional technical or regulatory constraints in their deployment.</w:t>
      </w:r>
    </w:p>
    <w:p w14:paraId="174891C7" w14:textId="77777777" w:rsidR="00FB42FD" w:rsidRDefault="00FB42FD" w:rsidP="00FB42FD">
      <w:pPr>
        <w:rPr>
          <w:lang w:val="en-NZ"/>
        </w:rPr>
      </w:pPr>
    </w:p>
    <w:p w14:paraId="731DAC46" w14:textId="62775237" w:rsidR="00FB42FD" w:rsidRPr="00B623A4" w:rsidRDefault="00FB42FD" w:rsidP="00FB42FD">
      <w:pPr>
        <w:spacing w:after="120"/>
        <w:jc w:val="both"/>
        <w:rPr>
          <w:b/>
          <w:lang w:val="en-NZ" w:eastAsia="ko-KR"/>
        </w:rPr>
      </w:pPr>
      <w:r w:rsidRPr="00B623A4">
        <w:rPr>
          <w:b/>
          <w:lang w:val="fr-FR" w:eastAsia="ko-KR"/>
        </w:rPr>
        <w:t>3.1.</w:t>
      </w:r>
      <w:r>
        <w:rPr>
          <w:b/>
          <w:lang w:val="fr-FR" w:eastAsia="ko-KR"/>
        </w:rPr>
        <w:t>4</w:t>
      </w:r>
      <w:r w:rsidRPr="00B623A4">
        <w:rPr>
          <w:b/>
          <w:lang w:val="fr-FR" w:eastAsia="ko-KR"/>
        </w:rPr>
        <w:t xml:space="preserve"> </w:t>
      </w:r>
      <w:r w:rsidRPr="00B623A4">
        <w:rPr>
          <w:b/>
          <w:lang w:val="fr-FR" w:eastAsia="ko-KR"/>
        </w:rPr>
        <w:tab/>
        <w:t>Iran (</w:t>
      </w:r>
      <w:proofErr w:type="spellStart"/>
      <w:r w:rsidRPr="00B623A4">
        <w:rPr>
          <w:b/>
          <w:lang w:val="fr-FR" w:eastAsia="ko-KR"/>
        </w:rPr>
        <w:t>Islamic</w:t>
      </w:r>
      <w:proofErr w:type="spellEnd"/>
      <w:r w:rsidRPr="00B623A4">
        <w:rPr>
          <w:b/>
          <w:lang w:val="fr-FR" w:eastAsia="ko-KR"/>
        </w:rPr>
        <w:t xml:space="preserve"> </w:t>
      </w:r>
      <w:proofErr w:type="spellStart"/>
      <w:r w:rsidRPr="00B623A4">
        <w:rPr>
          <w:b/>
          <w:lang w:val="fr-FR" w:eastAsia="ko-KR"/>
        </w:rPr>
        <w:t>Republic</w:t>
      </w:r>
      <w:proofErr w:type="spellEnd"/>
      <w:r w:rsidRPr="00B623A4">
        <w:rPr>
          <w:b/>
          <w:lang w:val="fr-FR" w:eastAsia="ko-KR"/>
        </w:rPr>
        <w:t xml:space="preserve"> of)</w:t>
      </w:r>
      <w:r w:rsidRPr="00B623A4">
        <w:rPr>
          <w:b/>
          <w:lang w:val="en-NZ" w:eastAsia="ko-KR"/>
        </w:rPr>
        <w:t xml:space="preserve"> </w:t>
      </w:r>
      <w:r w:rsidRPr="00B623A4">
        <w:rPr>
          <w:b/>
        </w:rPr>
        <w:t xml:space="preserve">- </w:t>
      </w:r>
      <w:r w:rsidRPr="00B623A4">
        <w:rPr>
          <w:b/>
          <w:lang w:val="en-NZ" w:eastAsia="ko-KR"/>
        </w:rPr>
        <w:t xml:space="preserve">Document </w:t>
      </w:r>
      <w:r w:rsidRPr="00B623A4">
        <w:rPr>
          <w:b/>
        </w:rPr>
        <w:t>APG23-4/</w:t>
      </w:r>
      <w:hyperlink r:id="rId49" w:history="1">
        <w:r w:rsidRPr="00B623A4">
          <w:rPr>
            <w:rStyle w:val="Hyperlink"/>
            <w:rFonts w:eastAsia="MS Mincho" w:hint="eastAsia"/>
            <w:b/>
            <w:lang w:val="en-GB" w:eastAsia="ja-JP"/>
          </w:rPr>
          <w:t>I</w:t>
        </w:r>
        <w:r w:rsidRPr="00B623A4">
          <w:rPr>
            <w:rStyle w:val="Hyperlink"/>
            <w:rFonts w:eastAsia="MS Mincho"/>
            <w:b/>
            <w:lang w:val="en-GB" w:eastAsia="ja-JP"/>
          </w:rPr>
          <w:t>NP-23</w:t>
        </w:r>
      </w:hyperlink>
    </w:p>
    <w:p w14:paraId="5466F210" w14:textId="77777777" w:rsidR="00FB42FD" w:rsidRDefault="00FB42FD" w:rsidP="00FB42FD">
      <w:pPr>
        <w:numPr>
          <w:ilvl w:val="0"/>
          <w:numId w:val="18"/>
        </w:numPr>
        <w:ind w:leftChars="145" w:left="708"/>
        <w:jc w:val="both"/>
        <w:rPr>
          <w:lang w:val="en-NZ"/>
        </w:rPr>
      </w:pPr>
      <w:r>
        <w:t>The Islamic Republic of Iran is of the view that</w:t>
      </w:r>
      <w:r>
        <w:rPr>
          <w:rFonts w:hint="eastAsia"/>
          <w:lang w:eastAsia="ko-KR"/>
        </w:rPr>
        <w:t xml:space="preserve"> </w:t>
      </w:r>
      <w:r>
        <w:rPr>
          <w:lang w:eastAsia="ko-KR"/>
        </w:rPr>
        <w:t>existing services allocated in the frequency bands considered under this agenda item and the adjacent bands, particularly, when neighboring countries use terrestrial IMT base stations and mobile stations, shall be protected based on sharing and compatibility studies,</w:t>
      </w:r>
      <w:r w:rsidRPr="00E34592">
        <w:rPr>
          <w:lang w:val="en-GB" w:eastAsia="ko-KR"/>
        </w:rPr>
        <w:t xml:space="preserve"> with no additional technical or regulatory constraints on those existing uses and planned development</w:t>
      </w:r>
      <w:r>
        <w:rPr>
          <w:lang w:eastAsia="ko-KR"/>
        </w:rPr>
        <w:t>.</w:t>
      </w:r>
    </w:p>
    <w:p w14:paraId="0C613ABD" w14:textId="77777777" w:rsidR="00FB42FD" w:rsidRPr="00E34592" w:rsidRDefault="00FB42FD" w:rsidP="00FB42FD">
      <w:pPr>
        <w:numPr>
          <w:ilvl w:val="0"/>
          <w:numId w:val="18"/>
        </w:numPr>
        <w:ind w:leftChars="145" w:left="708"/>
        <w:jc w:val="both"/>
        <w:rPr>
          <w:lang w:val="en-NZ"/>
        </w:rPr>
      </w:pPr>
      <w:r>
        <w:t xml:space="preserve">Moreover, this administration is of the view that </w:t>
      </w:r>
      <w:r w:rsidRPr="0015245D">
        <w:t xml:space="preserve">HIBS operating in the band 694/ 698 MHz -862 MHz </w:t>
      </w:r>
      <w:r>
        <w:t>sh</w:t>
      </w:r>
      <w:r w:rsidRPr="0015245D">
        <w:t xml:space="preserve">all not cause interference to nor claim protection </w:t>
      </w:r>
      <w:r>
        <w:t>from</w:t>
      </w:r>
      <w:r w:rsidRPr="0015245D">
        <w:t xml:space="preserve"> the broadcasting service</w:t>
      </w:r>
      <w:r>
        <w:t>s in this frequency band operating in accordance with GE06 Agreement.</w:t>
      </w:r>
    </w:p>
    <w:p w14:paraId="09171FDB" w14:textId="77777777" w:rsidR="00FB42FD" w:rsidRPr="002F4359" w:rsidRDefault="00FB42FD" w:rsidP="00FB42FD">
      <w:pPr>
        <w:jc w:val="both"/>
        <w:rPr>
          <w:lang w:val="en-NZ"/>
        </w:rPr>
      </w:pPr>
    </w:p>
    <w:p w14:paraId="4BDD7F6A" w14:textId="2C6FB94F" w:rsidR="00FB42FD" w:rsidRPr="00B623A4" w:rsidRDefault="00FB42FD" w:rsidP="00FB42FD">
      <w:pPr>
        <w:spacing w:after="120"/>
        <w:jc w:val="both"/>
        <w:rPr>
          <w:b/>
          <w:lang w:val="en-NZ" w:eastAsia="ko-KR"/>
        </w:rPr>
      </w:pPr>
      <w:r w:rsidRPr="00B623A4">
        <w:rPr>
          <w:b/>
          <w:lang w:val="en-NZ" w:eastAsia="ko-KR"/>
        </w:rPr>
        <w:t>3.1.</w:t>
      </w:r>
      <w:r>
        <w:rPr>
          <w:b/>
          <w:lang w:val="en-NZ" w:eastAsia="ko-KR"/>
        </w:rPr>
        <w:t>5</w:t>
      </w:r>
      <w:r w:rsidRPr="00B623A4">
        <w:rPr>
          <w:b/>
          <w:lang w:val="en-NZ" w:eastAsia="ko-KR"/>
        </w:rPr>
        <w:t xml:space="preserve"> </w:t>
      </w:r>
      <w:r w:rsidRPr="00B623A4">
        <w:rPr>
          <w:b/>
          <w:lang w:val="en-NZ" w:eastAsia="ko-KR"/>
        </w:rPr>
        <w:tab/>
        <w:t xml:space="preserve">Korea (Republic of) </w:t>
      </w:r>
      <w:r w:rsidRPr="00B623A4">
        <w:rPr>
          <w:b/>
        </w:rPr>
        <w:t xml:space="preserve">- </w:t>
      </w:r>
      <w:r w:rsidRPr="00B623A4">
        <w:rPr>
          <w:b/>
          <w:lang w:val="en-NZ" w:eastAsia="ko-KR"/>
        </w:rPr>
        <w:t>Document APG23-4/</w:t>
      </w:r>
      <w:hyperlink r:id="rId50" w:history="1">
        <w:r w:rsidRPr="00B623A4">
          <w:rPr>
            <w:rStyle w:val="Hyperlink"/>
            <w:rFonts w:eastAsia="MS Mincho"/>
            <w:b/>
            <w:lang w:val="en-GB" w:eastAsia="ja-JP"/>
          </w:rPr>
          <w:t>INP-34</w:t>
        </w:r>
      </w:hyperlink>
    </w:p>
    <w:p w14:paraId="0B6DF41B" w14:textId="77777777" w:rsidR="00FB42FD" w:rsidRPr="00BE5F1D" w:rsidRDefault="00FB42FD" w:rsidP="00FB42FD">
      <w:pPr>
        <w:numPr>
          <w:ilvl w:val="0"/>
          <w:numId w:val="18"/>
        </w:numPr>
        <w:ind w:leftChars="145" w:left="708"/>
        <w:jc w:val="both"/>
        <w:rPr>
          <w:lang w:val="en-NZ"/>
        </w:rPr>
      </w:pPr>
      <w:r w:rsidRPr="00FC64A9">
        <w:t xml:space="preserve">The Republic of Korea supports the on-going ITU-R studies </w:t>
      </w:r>
      <w:r>
        <w:t xml:space="preserve">and </w:t>
      </w:r>
      <w:r w:rsidRPr="00FC64A9">
        <w:rPr>
          <w:lang w:eastAsia="ko-KR"/>
        </w:rPr>
        <w:t>is of the views that</w:t>
      </w:r>
    </w:p>
    <w:p w14:paraId="143A672F" w14:textId="77777777" w:rsidR="00FB42FD" w:rsidRPr="00D03108" w:rsidRDefault="00FB42FD" w:rsidP="00790EDF">
      <w:pPr>
        <w:numPr>
          <w:ilvl w:val="2"/>
          <w:numId w:val="31"/>
        </w:numPr>
        <w:jc w:val="both"/>
      </w:pPr>
      <w:r w:rsidRPr="00D03108">
        <w:t xml:space="preserve">On-going ITU-R studies should be conducted in accordance with resolves to invite the ITU Radiocommunication Sector in Resolution </w:t>
      </w:r>
      <w:r w:rsidRPr="00D03108">
        <w:rPr>
          <w:b/>
          <w:bCs/>
        </w:rPr>
        <w:t>247 (WRC-19)</w:t>
      </w:r>
      <w:r w:rsidRPr="00D03108">
        <w:t xml:space="preserve">. </w:t>
      </w:r>
    </w:p>
    <w:p w14:paraId="1F953278" w14:textId="77777777" w:rsidR="00FB42FD" w:rsidRPr="00D03108" w:rsidRDefault="00FB42FD" w:rsidP="00790EDF">
      <w:pPr>
        <w:numPr>
          <w:ilvl w:val="2"/>
          <w:numId w:val="31"/>
        </w:numPr>
        <w:jc w:val="both"/>
      </w:pPr>
      <w:r w:rsidRPr="00D03108">
        <w:t>If HIBS is operated in altitudes lower than 20 km, the protection of the existing services should be ensured.</w:t>
      </w:r>
    </w:p>
    <w:p w14:paraId="39BDE881" w14:textId="77777777" w:rsidR="00FB42FD" w:rsidRPr="00D03108" w:rsidRDefault="00FB42FD" w:rsidP="00790EDF">
      <w:pPr>
        <w:numPr>
          <w:ilvl w:val="2"/>
          <w:numId w:val="31"/>
        </w:numPr>
        <w:jc w:val="both"/>
      </w:pPr>
      <w:bookmarkStart w:id="4" w:name="_Hlk111499014"/>
      <w:r w:rsidRPr="00D03108">
        <w:t>The parameters used in the studies, especially the propagation model, would have a significant impact on the results of the sharing and compatibility studies. Regarding the parameters including the propagation model, the guidelines proposed by the contributing groups need to be respected as much as possible.</w:t>
      </w:r>
    </w:p>
    <w:bookmarkEnd w:id="4"/>
    <w:p w14:paraId="458D7E92" w14:textId="77777777" w:rsidR="00FB42FD" w:rsidRPr="00D03108" w:rsidRDefault="00FB42FD" w:rsidP="00790EDF">
      <w:pPr>
        <w:numPr>
          <w:ilvl w:val="2"/>
          <w:numId w:val="31"/>
        </w:numPr>
        <w:jc w:val="both"/>
      </w:pPr>
      <w:r w:rsidRPr="00D03108">
        <w:t>To protect incumbent services, the power flux density (</w:t>
      </w:r>
      <w:proofErr w:type="spellStart"/>
      <w:r w:rsidRPr="00D03108">
        <w:t>pfd</w:t>
      </w:r>
      <w:proofErr w:type="spellEnd"/>
      <w:r w:rsidRPr="00D03108">
        <w:t>) levels should be developed as the regulatory application.</w:t>
      </w:r>
    </w:p>
    <w:p w14:paraId="13CA4F31" w14:textId="77777777" w:rsidR="00FB42FD" w:rsidRDefault="00FB42FD" w:rsidP="00EE3805">
      <w:pPr>
        <w:spacing w:after="120"/>
        <w:jc w:val="both"/>
        <w:rPr>
          <w:b/>
          <w:lang w:val="en-NZ" w:eastAsia="ko-KR"/>
        </w:rPr>
      </w:pPr>
    </w:p>
    <w:p w14:paraId="142553C3" w14:textId="77777777" w:rsidR="00FB42FD" w:rsidRPr="00B623A4" w:rsidRDefault="00FB42FD" w:rsidP="00FB42FD">
      <w:pPr>
        <w:spacing w:after="120"/>
        <w:jc w:val="both"/>
        <w:rPr>
          <w:b/>
          <w:lang w:val="en-NZ" w:eastAsia="ko-KR"/>
        </w:rPr>
      </w:pPr>
      <w:r w:rsidRPr="00B623A4">
        <w:rPr>
          <w:b/>
          <w:lang w:val="fr-FR" w:eastAsia="ko-KR"/>
        </w:rPr>
        <w:t xml:space="preserve">3.1.6 </w:t>
      </w:r>
      <w:r w:rsidRPr="00B623A4">
        <w:rPr>
          <w:b/>
          <w:lang w:val="fr-FR" w:eastAsia="ko-KR"/>
        </w:rPr>
        <w:tab/>
        <w:t>China (</w:t>
      </w:r>
      <w:proofErr w:type="spellStart"/>
      <w:r w:rsidRPr="00B623A4">
        <w:rPr>
          <w:b/>
          <w:lang w:val="fr-FR" w:eastAsia="ko-KR"/>
        </w:rPr>
        <w:t>People’s</w:t>
      </w:r>
      <w:proofErr w:type="spellEnd"/>
      <w:r w:rsidRPr="00B623A4">
        <w:rPr>
          <w:b/>
          <w:lang w:val="fr-FR" w:eastAsia="ko-KR"/>
        </w:rPr>
        <w:t xml:space="preserve"> </w:t>
      </w:r>
      <w:proofErr w:type="spellStart"/>
      <w:r w:rsidRPr="00B623A4">
        <w:rPr>
          <w:b/>
          <w:lang w:val="fr-FR" w:eastAsia="ko-KR"/>
        </w:rPr>
        <w:t>Republic</w:t>
      </w:r>
      <w:proofErr w:type="spellEnd"/>
      <w:r w:rsidRPr="00B623A4">
        <w:rPr>
          <w:b/>
          <w:lang w:val="fr-FR" w:eastAsia="ko-KR"/>
        </w:rPr>
        <w:t xml:space="preserve"> of)</w:t>
      </w:r>
      <w:r w:rsidRPr="00B623A4">
        <w:rPr>
          <w:b/>
          <w:lang w:val="en-NZ" w:eastAsia="ko-KR"/>
        </w:rPr>
        <w:t xml:space="preserve"> </w:t>
      </w:r>
      <w:r w:rsidRPr="00B623A4">
        <w:rPr>
          <w:b/>
        </w:rPr>
        <w:t xml:space="preserve">- </w:t>
      </w:r>
      <w:r w:rsidRPr="00B623A4">
        <w:rPr>
          <w:b/>
          <w:lang w:val="en-NZ" w:eastAsia="ko-KR"/>
        </w:rPr>
        <w:t xml:space="preserve">Document </w:t>
      </w:r>
      <w:r w:rsidRPr="00B623A4">
        <w:rPr>
          <w:b/>
        </w:rPr>
        <w:t>APG23-4/</w:t>
      </w:r>
      <w:hyperlink r:id="rId51" w:history="1">
        <w:r w:rsidRPr="00B623A4">
          <w:rPr>
            <w:rStyle w:val="Hyperlink"/>
            <w:rFonts w:eastAsia="MS Mincho"/>
            <w:b/>
            <w:lang w:val="en-GB" w:eastAsia="ja-JP"/>
          </w:rPr>
          <w:t>INP-40</w:t>
        </w:r>
      </w:hyperlink>
    </w:p>
    <w:p w14:paraId="770B120A" w14:textId="77777777" w:rsidR="00FB42FD" w:rsidRPr="00710DBF" w:rsidRDefault="00FB42FD" w:rsidP="00FB42FD">
      <w:pPr>
        <w:numPr>
          <w:ilvl w:val="0"/>
          <w:numId w:val="18"/>
        </w:numPr>
        <w:ind w:leftChars="145" w:left="708"/>
        <w:jc w:val="both"/>
        <w:rPr>
          <w:lang w:val="en-NZ"/>
        </w:rPr>
      </w:pPr>
      <w:r w:rsidRPr="00710DBF">
        <w:rPr>
          <w:rFonts w:eastAsiaTheme="minorEastAsia"/>
          <w:lang w:val="en-GB" w:eastAsia="ja-JP"/>
        </w:rPr>
        <w:t xml:space="preserve">China supports </w:t>
      </w:r>
      <w:r w:rsidRPr="00710DBF">
        <w:rPr>
          <w:rFonts w:eastAsia="SimSun" w:hint="eastAsia"/>
          <w:lang w:eastAsia="zh-CN"/>
        </w:rPr>
        <w:t xml:space="preserve">further study how to define </w:t>
      </w:r>
      <w:r w:rsidRPr="006B79BA">
        <w:rPr>
          <w:lang w:bidi="ar"/>
        </w:rPr>
        <w:t>HIBS, including possible modifications to the provisions of the</w:t>
      </w:r>
      <w:r w:rsidRPr="00710DBF">
        <w:rPr>
          <w:rFonts w:eastAsia="MS Mincho"/>
          <w:lang w:bidi="ar"/>
        </w:rPr>
        <w:t xml:space="preserve"> </w:t>
      </w:r>
      <w:r w:rsidRPr="006B79BA">
        <w:rPr>
          <w:lang w:bidi="ar"/>
        </w:rPr>
        <w:t>Radio Regulations, as appropriate</w:t>
      </w:r>
      <w:r w:rsidRPr="00710DBF">
        <w:rPr>
          <w:rFonts w:eastAsia="SimSun" w:hint="eastAsia"/>
          <w:lang w:eastAsia="zh-CN" w:bidi="ar"/>
        </w:rPr>
        <w:t xml:space="preserve">, in </w:t>
      </w:r>
      <w:r w:rsidRPr="00710DBF">
        <w:rPr>
          <w:rFonts w:eastAsiaTheme="minorEastAsia"/>
          <w:lang w:val="en-GB" w:eastAsia="ja-JP"/>
        </w:rPr>
        <w:t>ITU-R</w:t>
      </w:r>
      <w:r w:rsidRPr="00710DBF">
        <w:rPr>
          <w:rFonts w:eastAsia="SimSun" w:hint="eastAsia"/>
          <w:lang w:eastAsia="zh-CN"/>
        </w:rPr>
        <w:t xml:space="preserve"> and APT, based </w:t>
      </w:r>
      <w:r w:rsidRPr="00710DBF">
        <w:rPr>
          <w:rFonts w:eastAsiaTheme="minorEastAsia"/>
          <w:lang w:val="en-GB" w:eastAsia="ja-JP"/>
        </w:rPr>
        <w:t xml:space="preserve">Resolution </w:t>
      </w:r>
      <w:r w:rsidRPr="00710DBF">
        <w:rPr>
          <w:rFonts w:eastAsiaTheme="minorEastAsia"/>
          <w:b/>
          <w:lang w:val="en-GB" w:eastAsia="ja-JP"/>
        </w:rPr>
        <w:t>247 (</w:t>
      </w:r>
      <w:r w:rsidRPr="00710DBF">
        <w:rPr>
          <w:rFonts w:eastAsiaTheme="minorEastAsia" w:hint="eastAsia"/>
          <w:b/>
          <w:lang w:val="en-GB" w:eastAsia="ja-JP"/>
        </w:rPr>
        <w:t>WRC-1</w:t>
      </w:r>
      <w:r w:rsidRPr="00710DBF">
        <w:rPr>
          <w:rFonts w:eastAsiaTheme="minorEastAsia"/>
          <w:b/>
          <w:lang w:val="en-GB" w:eastAsia="ja-JP"/>
        </w:rPr>
        <w:t>9</w:t>
      </w:r>
      <w:r w:rsidRPr="00710DBF">
        <w:rPr>
          <w:rFonts w:eastAsiaTheme="minorEastAsia" w:hint="eastAsia"/>
          <w:b/>
          <w:lang w:val="en-GB" w:eastAsia="ja-JP"/>
        </w:rPr>
        <w:t>)</w:t>
      </w:r>
      <w:r w:rsidRPr="00710DBF">
        <w:rPr>
          <w:rFonts w:eastAsiaTheme="minorEastAsia" w:hint="eastAsia"/>
          <w:lang w:val="en-GB" w:eastAsia="ja-JP"/>
        </w:rPr>
        <w:t>.</w:t>
      </w:r>
    </w:p>
    <w:p w14:paraId="7EC009CB" w14:textId="77777777" w:rsidR="00FB42FD" w:rsidRDefault="00FB42FD" w:rsidP="00FB42FD">
      <w:pPr>
        <w:numPr>
          <w:ilvl w:val="0"/>
          <w:numId w:val="18"/>
        </w:numPr>
        <w:ind w:leftChars="145" w:left="708"/>
        <w:jc w:val="both"/>
        <w:rPr>
          <w:lang w:val="en-NZ"/>
        </w:rPr>
      </w:pPr>
      <w:bookmarkStart w:id="5" w:name="_Hlk111499114"/>
      <w:r w:rsidRPr="00710DBF">
        <w:rPr>
          <w:rFonts w:eastAsia="SimSun" w:hint="eastAsia"/>
          <w:lang w:eastAsia="zh-CN"/>
        </w:rPr>
        <w:t xml:space="preserve">China is also of the view that, </w:t>
      </w:r>
      <w:r w:rsidRPr="00710DBF">
        <w:rPr>
          <w:rFonts w:eastAsia="SimSun"/>
        </w:rPr>
        <w:t xml:space="preserve">HIBS </w:t>
      </w:r>
      <w:r w:rsidRPr="00710DBF">
        <w:rPr>
          <w:rFonts w:eastAsia="SimSun" w:hint="eastAsia"/>
          <w:lang w:eastAsia="zh-CN"/>
        </w:rPr>
        <w:t>should</w:t>
      </w:r>
      <w:r w:rsidRPr="00710DBF">
        <w:rPr>
          <w:rFonts w:eastAsia="SimSun"/>
        </w:rPr>
        <w:t xml:space="preserve"> operate in frequency bands identified for IMT</w:t>
      </w:r>
      <w:r w:rsidRPr="00710DBF">
        <w:rPr>
          <w:rFonts w:eastAsia="SimSun" w:hint="eastAsia"/>
          <w:lang w:eastAsia="zh-CN"/>
        </w:rPr>
        <w:t xml:space="preserve">; and the terminals/user equipment for both </w:t>
      </w:r>
      <w:r w:rsidRPr="00710DBF">
        <w:rPr>
          <w:rFonts w:eastAsia="SimSun"/>
          <w:lang w:eastAsia="zh-CN"/>
        </w:rPr>
        <w:t xml:space="preserve">HIBS and </w:t>
      </w:r>
      <w:proofErr w:type="gramStart"/>
      <w:r w:rsidRPr="00710DBF">
        <w:rPr>
          <w:rFonts w:eastAsia="SimSun"/>
          <w:lang w:eastAsia="zh-CN"/>
        </w:rPr>
        <w:t>ground-based</w:t>
      </w:r>
      <w:proofErr w:type="gramEnd"/>
      <w:r w:rsidRPr="00710DBF">
        <w:rPr>
          <w:rFonts w:eastAsia="SimSun"/>
          <w:lang w:eastAsia="zh-CN"/>
        </w:rPr>
        <w:t xml:space="preserve"> IMT are the same</w:t>
      </w:r>
      <w:r w:rsidRPr="00710DBF">
        <w:rPr>
          <w:rFonts w:eastAsia="SimSun" w:hint="eastAsia"/>
          <w:lang w:eastAsia="zh-CN"/>
        </w:rPr>
        <w:t xml:space="preserve"> in those</w:t>
      </w:r>
      <w:r w:rsidRPr="00710DBF">
        <w:rPr>
          <w:rFonts w:eastAsia="SimSun"/>
          <w:lang w:eastAsia="zh-CN"/>
        </w:rPr>
        <w:t xml:space="preserve"> bands are already identified for </w:t>
      </w:r>
      <w:r w:rsidRPr="00710DBF">
        <w:rPr>
          <w:rFonts w:eastAsia="SimSun" w:hint="eastAsia"/>
          <w:lang w:eastAsia="zh-CN"/>
        </w:rPr>
        <w:t>IMT.</w:t>
      </w:r>
    </w:p>
    <w:bookmarkEnd w:id="5"/>
    <w:p w14:paraId="2844B898" w14:textId="77777777" w:rsidR="00FB42FD" w:rsidRPr="00710DBF" w:rsidRDefault="00FB42FD" w:rsidP="00FB42FD">
      <w:pPr>
        <w:numPr>
          <w:ilvl w:val="0"/>
          <w:numId w:val="18"/>
        </w:numPr>
        <w:ind w:leftChars="145" w:left="708"/>
        <w:jc w:val="both"/>
        <w:rPr>
          <w:lang w:val="en-NZ"/>
        </w:rPr>
      </w:pPr>
      <w:r w:rsidRPr="00710DBF">
        <w:rPr>
          <w:rFonts w:eastAsia="SimSun"/>
          <w:lang w:eastAsia="zh-CN"/>
        </w:rPr>
        <w:t xml:space="preserve">China supports the ongoing ITU-R studies for establishing a new globally or regionally </w:t>
      </w:r>
      <w:proofErr w:type="spellStart"/>
      <w:r w:rsidRPr="00710DBF">
        <w:rPr>
          <w:rFonts w:eastAsia="SimSun"/>
          <w:lang w:eastAsia="zh-CN"/>
        </w:rPr>
        <w:t>harmonised</w:t>
      </w:r>
      <w:proofErr w:type="spellEnd"/>
      <w:r w:rsidRPr="00710DBF">
        <w:rPr>
          <w:rFonts w:eastAsia="SimSun"/>
          <w:lang w:eastAsia="zh-CN"/>
        </w:rPr>
        <w:t xml:space="preserve"> regulatory framework for HIBS with a view to providing flexibility of spectrum usage for HIBS in possible new bands </w:t>
      </w:r>
      <w:r w:rsidRPr="00710DBF">
        <w:rPr>
          <w:rFonts w:eastAsia="SimSun" w:hint="eastAsia"/>
          <w:lang w:eastAsia="zh-CN"/>
        </w:rPr>
        <w:t>in</w:t>
      </w:r>
      <w:r w:rsidRPr="00710DBF">
        <w:rPr>
          <w:rFonts w:eastAsia="SimSun"/>
          <w:lang w:eastAsia="zh-CN"/>
        </w:rPr>
        <w:t xml:space="preserve"> Resolution </w:t>
      </w:r>
      <w:r w:rsidRPr="009F0A58">
        <w:rPr>
          <w:rFonts w:eastAsia="SimSun"/>
          <w:b/>
          <w:bCs/>
          <w:lang w:eastAsia="zh-CN"/>
        </w:rPr>
        <w:t>247 (WRC-19)</w:t>
      </w:r>
      <w:r w:rsidRPr="00710DBF">
        <w:rPr>
          <w:rFonts w:eastAsia="SimSun"/>
          <w:lang w:eastAsia="zh-CN"/>
        </w:rPr>
        <w:t xml:space="preserve"> </w:t>
      </w:r>
      <w:r w:rsidRPr="00710DBF">
        <w:rPr>
          <w:rFonts w:eastAsia="SimSun" w:hint="eastAsia"/>
          <w:lang w:eastAsia="zh-CN"/>
        </w:rPr>
        <w:t>which</w:t>
      </w:r>
      <w:r w:rsidRPr="00710DBF">
        <w:rPr>
          <w:rFonts w:eastAsia="SimSun"/>
          <w:lang w:eastAsia="zh-CN"/>
        </w:rPr>
        <w:t xml:space="preserve"> already identified for IMT, while ensuring protection of the existing services, to which the frequency band is allocated on a primary basis, and adjacent bands, as appropriate, without adversely affecting in their deployment including other IMT uses, existing systems and the planned development of primary services.</w:t>
      </w:r>
    </w:p>
    <w:p w14:paraId="63FF91DD" w14:textId="77777777" w:rsidR="00FB42FD" w:rsidRDefault="00FB42FD" w:rsidP="00EE3805">
      <w:pPr>
        <w:spacing w:after="120"/>
        <w:jc w:val="both"/>
        <w:rPr>
          <w:b/>
          <w:lang w:val="en-NZ" w:eastAsia="ko-KR"/>
        </w:rPr>
      </w:pPr>
    </w:p>
    <w:p w14:paraId="76CF0F36" w14:textId="03EB4C48" w:rsidR="00EE3805" w:rsidRPr="00441526" w:rsidRDefault="00EE3805" w:rsidP="00EE3805">
      <w:pPr>
        <w:spacing w:after="120"/>
        <w:jc w:val="both"/>
        <w:rPr>
          <w:b/>
          <w:lang w:val="en-NZ" w:eastAsia="ko-KR"/>
        </w:rPr>
      </w:pPr>
      <w:r w:rsidRPr="008450FD">
        <w:rPr>
          <w:b/>
          <w:lang w:val="fr-FR" w:eastAsia="ko-KR"/>
        </w:rPr>
        <w:t>3.1.</w:t>
      </w:r>
      <w:r w:rsidR="00FB42FD">
        <w:rPr>
          <w:b/>
          <w:lang w:val="fr-FR" w:eastAsia="ko-KR"/>
        </w:rPr>
        <w:t>7</w:t>
      </w:r>
      <w:r w:rsidRPr="008450FD">
        <w:rPr>
          <w:b/>
          <w:lang w:val="fr-FR" w:eastAsia="ko-KR"/>
        </w:rPr>
        <w:t xml:space="preserve"> </w:t>
      </w:r>
      <w:r w:rsidRPr="008450FD">
        <w:rPr>
          <w:b/>
          <w:lang w:val="fr-FR" w:eastAsia="ko-KR"/>
        </w:rPr>
        <w:tab/>
      </w:r>
      <w:r w:rsidRPr="00C07C54">
        <w:rPr>
          <w:b/>
          <w:lang w:val="en-NZ" w:eastAsia="ko-KR"/>
        </w:rPr>
        <w:t>Thailand (Kingdom of)</w:t>
      </w:r>
      <w:r w:rsidRPr="00441526">
        <w:rPr>
          <w:b/>
          <w:lang w:val="en-NZ" w:eastAsia="ko-KR"/>
        </w:rPr>
        <w:t xml:space="preserve"> </w:t>
      </w:r>
      <w:r w:rsidRPr="00441526">
        <w:t xml:space="preserve">- </w:t>
      </w:r>
      <w:r w:rsidRPr="00441526">
        <w:rPr>
          <w:b/>
          <w:lang w:val="en-NZ" w:eastAsia="ko-KR"/>
        </w:rPr>
        <w:t xml:space="preserve">Document </w:t>
      </w:r>
      <w:r w:rsidRPr="00C07C54">
        <w:rPr>
          <w:b/>
          <w:bCs/>
        </w:rPr>
        <w:t>APG23-</w:t>
      </w:r>
      <w:r>
        <w:rPr>
          <w:b/>
          <w:bCs/>
        </w:rPr>
        <w:t>4</w:t>
      </w:r>
      <w:r w:rsidRPr="00C07C54">
        <w:rPr>
          <w:b/>
          <w:bCs/>
        </w:rPr>
        <w:t>/</w:t>
      </w:r>
      <w:hyperlink r:id="rId52" w:history="1">
        <w:r w:rsidRPr="00065D9B">
          <w:rPr>
            <w:rStyle w:val="Hyperlink"/>
            <w:rFonts w:eastAsia="MS Mincho"/>
            <w:b/>
            <w:bCs/>
            <w:lang w:val="en-GB" w:eastAsia="ja-JP"/>
          </w:rPr>
          <w:t>INP-45</w:t>
        </w:r>
      </w:hyperlink>
    </w:p>
    <w:p w14:paraId="0087904C" w14:textId="77777777" w:rsidR="00EE3805" w:rsidRPr="00BE5F1D" w:rsidRDefault="00EE3805" w:rsidP="00EE3805">
      <w:pPr>
        <w:numPr>
          <w:ilvl w:val="0"/>
          <w:numId w:val="18"/>
        </w:numPr>
        <w:ind w:leftChars="145" w:left="708"/>
        <w:jc w:val="both"/>
        <w:rPr>
          <w:lang w:val="en-NZ"/>
        </w:rPr>
      </w:pPr>
      <w:r w:rsidRPr="00BE5F1D">
        <w:rPr>
          <w:lang w:val="en-NZ"/>
        </w:rPr>
        <w:t xml:space="preserve">Thailand maintains its Preliminary View expressed at APG23-3 in which Thailand supports the ongoing ITU-R studies for establishing a new globally or regionally harmonised regulatory framework for HIBS with a view to providing flexibility of spectrum usage for HIBS in certain frequency bands below 2.7 GHz already identified for IMT referred to in Resolution </w:t>
      </w:r>
      <w:r w:rsidRPr="00BE5F1D">
        <w:rPr>
          <w:b/>
          <w:bCs/>
          <w:lang w:val="en-NZ"/>
        </w:rPr>
        <w:t>247 (WRC-19)</w:t>
      </w:r>
      <w:r w:rsidRPr="00BE5F1D">
        <w:rPr>
          <w:lang w:val="en-NZ"/>
        </w:rPr>
        <w:t>, while ensuring protection of the existing primary services, to which the frequency band is allocated and in the adjacent frequency bands, without imposing any additional technical or regulatory constraints in their deployment including other IMT uses, existing systems and the planned development of primary services.</w:t>
      </w:r>
    </w:p>
    <w:p w14:paraId="3A7331E7" w14:textId="77777777" w:rsidR="00FB42FD" w:rsidRDefault="00FB42FD" w:rsidP="00FB42FD">
      <w:pPr>
        <w:spacing w:after="120"/>
        <w:jc w:val="both"/>
        <w:rPr>
          <w:b/>
          <w:lang w:val="en-NZ" w:eastAsia="ko-KR"/>
        </w:rPr>
      </w:pPr>
    </w:p>
    <w:p w14:paraId="7EBF42DE" w14:textId="4A0BAC5A" w:rsidR="00FB42FD" w:rsidRPr="00B623A4" w:rsidRDefault="00FB42FD" w:rsidP="00FB42FD">
      <w:pPr>
        <w:spacing w:after="120"/>
        <w:jc w:val="both"/>
        <w:rPr>
          <w:b/>
          <w:lang w:val="en-NZ" w:eastAsia="ko-KR"/>
        </w:rPr>
      </w:pPr>
      <w:r w:rsidRPr="00B623A4">
        <w:rPr>
          <w:b/>
          <w:lang w:val="en-NZ" w:eastAsia="ko-KR"/>
        </w:rPr>
        <w:t>3.1.</w:t>
      </w:r>
      <w:r>
        <w:rPr>
          <w:b/>
          <w:lang w:val="en-NZ" w:eastAsia="ko-KR"/>
        </w:rPr>
        <w:t>8</w:t>
      </w:r>
      <w:r w:rsidRPr="00B623A4">
        <w:rPr>
          <w:b/>
          <w:lang w:val="en-NZ" w:eastAsia="ko-KR"/>
        </w:rPr>
        <w:t xml:space="preserve"> </w:t>
      </w:r>
      <w:r w:rsidRPr="00B623A4">
        <w:rPr>
          <w:b/>
          <w:lang w:val="en-NZ" w:eastAsia="ko-KR"/>
        </w:rPr>
        <w:tab/>
        <w:t xml:space="preserve">India (Republic of) </w:t>
      </w:r>
      <w:r w:rsidRPr="00B623A4">
        <w:rPr>
          <w:b/>
        </w:rPr>
        <w:t xml:space="preserve">- </w:t>
      </w:r>
      <w:r w:rsidRPr="00B623A4">
        <w:rPr>
          <w:b/>
          <w:lang w:val="en-NZ" w:eastAsia="ko-KR"/>
        </w:rPr>
        <w:t>Document APG23-4/</w:t>
      </w:r>
      <w:hyperlink r:id="rId53" w:history="1">
        <w:r w:rsidRPr="00B623A4">
          <w:rPr>
            <w:rStyle w:val="Hyperlink"/>
            <w:rFonts w:eastAsia="MS Mincho"/>
            <w:b/>
            <w:lang w:val="en-GB" w:eastAsia="ja-JP"/>
          </w:rPr>
          <w:t>INP-61</w:t>
        </w:r>
      </w:hyperlink>
    </w:p>
    <w:p w14:paraId="0A753C62" w14:textId="77777777" w:rsidR="00FB42FD" w:rsidRDefault="00FB42FD" w:rsidP="00FB42FD">
      <w:pPr>
        <w:numPr>
          <w:ilvl w:val="0"/>
          <w:numId w:val="18"/>
        </w:numPr>
        <w:ind w:leftChars="145" w:left="708"/>
        <w:jc w:val="both"/>
        <w:rPr>
          <w:lang w:val="en-NZ"/>
        </w:rPr>
      </w:pPr>
      <w:bookmarkStart w:id="6" w:name="_Hlk111499199"/>
      <w:r w:rsidRPr="002601F1">
        <w:rPr>
          <w:lang w:val="en-NZ"/>
        </w:rPr>
        <w:t xml:space="preserve">While considering the feasibility of HIBS in the IMT bands below 2.7 GHz, India supports technical and regulatory provision for the protection of existing and planned satellite services in the band 2500-2690 MHz and in the adjacent band 2483.5 -2500 </w:t>
      </w:r>
      <w:proofErr w:type="spellStart"/>
      <w:r w:rsidRPr="002601F1">
        <w:rPr>
          <w:lang w:val="en-NZ"/>
        </w:rPr>
        <w:t>MHz.</w:t>
      </w:r>
      <w:proofErr w:type="spellEnd"/>
    </w:p>
    <w:bookmarkEnd w:id="6"/>
    <w:p w14:paraId="4E9A2749" w14:textId="77777777" w:rsidR="00FB42FD" w:rsidRPr="002601F1" w:rsidRDefault="00FB42FD" w:rsidP="00FB42FD">
      <w:pPr>
        <w:numPr>
          <w:ilvl w:val="0"/>
          <w:numId w:val="18"/>
        </w:numPr>
        <w:ind w:leftChars="145" w:left="708"/>
        <w:jc w:val="both"/>
        <w:rPr>
          <w:lang w:val="en-NZ"/>
        </w:rPr>
      </w:pPr>
      <w:r w:rsidRPr="002601F1">
        <w:rPr>
          <w:lang w:val="en-NZ"/>
        </w:rPr>
        <w:t>In addition, India supports technical and regulatory provisions required for protection of existing and planned IMT services in the proposed bands below 2.7 GHz</w:t>
      </w:r>
    </w:p>
    <w:p w14:paraId="49596E17" w14:textId="77777777" w:rsidR="00EE3805" w:rsidRDefault="00EE3805" w:rsidP="00EE3805">
      <w:pPr>
        <w:jc w:val="both"/>
        <w:rPr>
          <w:lang w:val="en-NZ"/>
        </w:rPr>
      </w:pPr>
    </w:p>
    <w:p w14:paraId="5BF89332" w14:textId="71BF21E3" w:rsidR="00EE3805" w:rsidRPr="00B623A4" w:rsidRDefault="00EE3805" w:rsidP="00EE3805">
      <w:pPr>
        <w:spacing w:after="120"/>
        <w:jc w:val="both"/>
        <w:rPr>
          <w:b/>
          <w:lang w:val="en-NZ" w:eastAsia="ko-KR"/>
        </w:rPr>
      </w:pPr>
      <w:r w:rsidRPr="00B623A4">
        <w:rPr>
          <w:b/>
          <w:lang w:val="en-NZ" w:eastAsia="ko-KR"/>
        </w:rPr>
        <w:t>3.1.</w:t>
      </w:r>
      <w:r w:rsidR="00FB42FD">
        <w:rPr>
          <w:b/>
          <w:lang w:val="en-NZ" w:eastAsia="ko-KR"/>
        </w:rPr>
        <w:t>9</w:t>
      </w:r>
      <w:r w:rsidRPr="00B623A4">
        <w:rPr>
          <w:b/>
          <w:lang w:val="en-NZ" w:eastAsia="ko-KR"/>
        </w:rPr>
        <w:t xml:space="preserve"> </w:t>
      </w:r>
      <w:r w:rsidRPr="00B623A4">
        <w:rPr>
          <w:b/>
          <w:lang w:val="en-NZ" w:eastAsia="ko-KR"/>
        </w:rPr>
        <w:tab/>
        <w:t xml:space="preserve">Viet Nam (Socialist Republic of) </w:t>
      </w:r>
      <w:r w:rsidRPr="00B623A4">
        <w:rPr>
          <w:b/>
        </w:rPr>
        <w:t xml:space="preserve">- </w:t>
      </w:r>
      <w:r w:rsidRPr="00B623A4">
        <w:rPr>
          <w:b/>
          <w:lang w:val="en-NZ" w:eastAsia="ko-KR"/>
        </w:rPr>
        <w:t>Document APG23-4/</w:t>
      </w:r>
      <w:hyperlink r:id="rId54" w:history="1">
        <w:r w:rsidRPr="00B623A4">
          <w:rPr>
            <w:rStyle w:val="Hyperlink"/>
            <w:rFonts w:eastAsia="MS Mincho"/>
            <w:b/>
            <w:lang w:val="en-GB" w:eastAsia="ja-JP"/>
          </w:rPr>
          <w:t>INP-74</w:t>
        </w:r>
      </w:hyperlink>
    </w:p>
    <w:p w14:paraId="6A33BBA1" w14:textId="77777777" w:rsidR="00EE3805" w:rsidRPr="00E34592" w:rsidRDefault="00EE3805" w:rsidP="00EE3805">
      <w:pPr>
        <w:numPr>
          <w:ilvl w:val="0"/>
          <w:numId w:val="18"/>
        </w:numPr>
        <w:ind w:leftChars="145" w:left="708"/>
        <w:jc w:val="both"/>
        <w:rPr>
          <w:lang w:val="en-NZ"/>
        </w:rPr>
      </w:pPr>
      <w:bookmarkStart w:id="7" w:name="_Hlk111499272"/>
      <w:r>
        <w:t>Viet Nam</w:t>
      </w:r>
      <w:r w:rsidRPr="00CB29AB">
        <w:t xml:space="preserve"> supports </w:t>
      </w:r>
      <w:r>
        <w:t xml:space="preserve">the ITU-R </w:t>
      </w:r>
      <w:r w:rsidRPr="00CB29AB">
        <w:t xml:space="preserve">studies on the use of </w:t>
      </w:r>
      <w:r>
        <w:t>HIBS</w:t>
      </w:r>
      <w:r w:rsidRPr="00CB29AB">
        <w:t xml:space="preserve"> </w:t>
      </w:r>
      <w:r>
        <w:t xml:space="preserve">in frequency bands from </w:t>
      </w:r>
      <w:r w:rsidRPr="00E34592">
        <w:rPr>
          <w:i/>
        </w:rPr>
        <w:t>resolve to invite ITU-R 2</w:t>
      </w:r>
      <w:r>
        <w:t xml:space="preserve"> of </w:t>
      </w:r>
      <w:r w:rsidRPr="00CB29AB">
        <w:t xml:space="preserve">Resolution </w:t>
      </w:r>
      <w:r w:rsidRPr="00E34592">
        <w:rPr>
          <w:b/>
          <w:bCs/>
        </w:rPr>
        <w:t xml:space="preserve">247 (WRC-19) </w:t>
      </w:r>
      <w:r>
        <w:t>with the views that ensuring</w:t>
      </w:r>
      <w:r w:rsidRPr="00CB29AB">
        <w:t xml:space="preserve"> the protection of </w:t>
      </w:r>
      <w:r>
        <w:t xml:space="preserve">existing </w:t>
      </w:r>
      <w:r w:rsidRPr="00CB29AB">
        <w:t>primary services</w:t>
      </w:r>
      <w:r>
        <w:t xml:space="preserve">, including IMT ground systems, </w:t>
      </w:r>
      <w:proofErr w:type="gramStart"/>
      <w:r>
        <w:t>broadcasting</w:t>
      </w:r>
      <w:proofErr w:type="gramEnd"/>
      <w:r>
        <w:t xml:space="preserve"> and aeronautical services, in the same and </w:t>
      </w:r>
      <w:r w:rsidRPr="00CB29AB">
        <w:t xml:space="preserve">in adjacent </w:t>
      </w:r>
      <w:r>
        <w:t xml:space="preserve">frequency </w:t>
      </w:r>
      <w:r w:rsidRPr="00CB29AB">
        <w:t>bands</w:t>
      </w:r>
      <w:r>
        <w:t>,</w:t>
      </w:r>
      <w:r w:rsidRPr="00CB29AB">
        <w:t xml:space="preserve"> as appropriate and without imposing any technical or regulatory constraints on these services</w:t>
      </w:r>
      <w:r>
        <w:t xml:space="preserve">, </w:t>
      </w:r>
      <w:r w:rsidRPr="00CB29AB">
        <w:t xml:space="preserve">in accordance with Resolution </w:t>
      </w:r>
      <w:r w:rsidRPr="00E34592">
        <w:rPr>
          <w:b/>
          <w:bCs/>
        </w:rPr>
        <w:t>247 (WRC-19)</w:t>
      </w:r>
      <w:r w:rsidRPr="00CB29AB">
        <w:t>.</w:t>
      </w:r>
      <w:r w:rsidRPr="00E34592">
        <w:rPr>
          <w:color w:val="FF0000"/>
        </w:rPr>
        <w:t xml:space="preserve"> </w:t>
      </w:r>
    </w:p>
    <w:bookmarkEnd w:id="7"/>
    <w:p w14:paraId="5DB200DA" w14:textId="77777777" w:rsidR="00EE3805" w:rsidRDefault="00EE3805" w:rsidP="00EE3805">
      <w:pPr>
        <w:rPr>
          <w:lang w:val="en-NZ"/>
        </w:rPr>
      </w:pPr>
    </w:p>
    <w:p w14:paraId="273F8F0D" w14:textId="21BD6E86" w:rsidR="00EE3805" w:rsidRPr="00B623A4" w:rsidRDefault="00EE3805" w:rsidP="00EE3805">
      <w:pPr>
        <w:spacing w:after="120"/>
        <w:jc w:val="both"/>
        <w:rPr>
          <w:b/>
          <w:lang w:val="en-NZ" w:eastAsia="ko-KR"/>
        </w:rPr>
      </w:pPr>
      <w:r w:rsidRPr="00B623A4">
        <w:rPr>
          <w:b/>
          <w:lang w:val="en-NZ" w:eastAsia="ko-KR"/>
        </w:rPr>
        <w:t>3.1.1</w:t>
      </w:r>
      <w:r w:rsidR="00FB42FD">
        <w:rPr>
          <w:b/>
          <w:lang w:val="en-NZ" w:eastAsia="ko-KR"/>
        </w:rPr>
        <w:t>0</w:t>
      </w:r>
      <w:r w:rsidRPr="00B623A4">
        <w:rPr>
          <w:b/>
          <w:lang w:val="en-NZ" w:eastAsia="ko-KR"/>
        </w:rPr>
        <w:t xml:space="preserve"> </w:t>
      </w:r>
      <w:r w:rsidRPr="00B623A4">
        <w:rPr>
          <w:b/>
          <w:lang w:val="en-NZ" w:eastAsia="ko-KR"/>
        </w:rPr>
        <w:tab/>
        <w:t xml:space="preserve">Malaysia </w:t>
      </w:r>
      <w:r w:rsidRPr="00B623A4">
        <w:rPr>
          <w:b/>
        </w:rPr>
        <w:t xml:space="preserve">- </w:t>
      </w:r>
      <w:r w:rsidRPr="00B623A4">
        <w:rPr>
          <w:b/>
          <w:lang w:val="en-NZ" w:eastAsia="ko-KR"/>
        </w:rPr>
        <w:t>Document APG23-4/</w:t>
      </w:r>
      <w:hyperlink r:id="rId55" w:history="1">
        <w:r w:rsidRPr="00B623A4">
          <w:rPr>
            <w:rStyle w:val="Hyperlink"/>
            <w:rFonts w:eastAsia="MS Mincho" w:hint="eastAsia"/>
            <w:b/>
            <w:lang w:val="en-GB" w:eastAsia="ja-JP"/>
          </w:rPr>
          <w:t>I</w:t>
        </w:r>
        <w:r w:rsidRPr="00B623A4">
          <w:rPr>
            <w:rStyle w:val="Hyperlink"/>
            <w:rFonts w:eastAsia="MS Mincho"/>
            <w:b/>
            <w:lang w:val="en-GB" w:eastAsia="ja-JP"/>
          </w:rPr>
          <w:t>NP-66</w:t>
        </w:r>
      </w:hyperlink>
      <w:r w:rsidR="009231B9">
        <w:rPr>
          <w:rStyle w:val="Hyperlink"/>
          <w:rFonts w:eastAsia="MS Mincho"/>
          <w:b/>
          <w:lang w:val="en-GB" w:eastAsia="ja-JP"/>
        </w:rPr>
        <w:t>(Rev.1)</w:t>
      </w:r>
    </w:p>
    <w:p w14:paraId="5B6FFA0E" w14:textId="77777777" w:rsidR="009231B9" w:rsidRPr="009231B9" w:rsidRDefault="009231B9" w:rsidP="009231B9">
      <w:pPr>
        <w:numPr>
          <w:ilvl w:val="0"/>
          <w:numId w:val="18"/>
        </w:numPr>
        <w:ind w:leftChars="145" w:left="708"/>
        <w:jc w:val="both"/>
        <w:rPr>
          <w:lang w:val="en-NZ"/>
        </w:rPr>
      </w:pPr>
      <w:r w:rsidRPr="009231B9">
        <w:rPr>
          <w:rFonts w:eastAsia="Times New Roman"/>
        </w:rPr>
        <w:t>Malaysia supports the development of new regulatory framework for HIBS with a view to provide flexibility of spectrum usage below 2.7 GHz already identified for IMT in accordance with Resolution</w:t>
      </w:r>
      <w:r w:rsidRPr="009231B9">
        <w:rPr>
          <w:rFonts w:eastAsia="Times New Roman"/>
          <w:b/>
          <w:bCs/>
        </w:rPr>
        <w:t xml:space="preserve"> 247 (WRC-19)</w:t>
      </w:r>
      <w:r w:rsidRPr="009231B9">
        <w:rPr>
          <w:rFonts w:eastAsia="Times New Roman"/>
        </w:rPr>
        <w:t>, while ensuring protection of the existing primary services in the allocated frequency band and the adjacent frequency bands, and without imposing any additional technical or regulatory constraints to the deployment of existing services.</w:t>
      </w:r>
    </w:p>
    <w:p w14:paraId="0C9E9305" w14:textId="77777777" w:rsidR="00EE3805" w:rsidRDefault="00EE3805" w:rsidP="00EE3805">
      <w:pPr>
        <w:rPr>
          <w:lang w:val="en-NZ"/>
        </w:rPr>
      </w:pPr>
    </w:p>
    <w:p w14:paraId="3A7AD679" w14:textId="4C5E069B" w:rsidR="00EE3805" w:rsidRPr="00B623A4" w:rsidRDefault="00EE3805" w:rsidP="00EE3805">
      <w:pPr>
        <w:spacing w:after="120"/>
        <w:jc w:val="both"/>
        <w:rPr>
          <w:b/>
          <w:lang w:val="en-NZ" w:eastAsia="ko-KR"/>
        </w:rPr>
      </w:pPr>
      <w:r w:rsidRPr="00B623A4">
        <w:rPr>
          <w:b/>
          <w:lang w:val="en-NZ" w:eastAsia="ko-KR"/>
        </w:rPr>
        <w:t>3.1.1</w:t>
      </w:r>
      <w:r w:rsidR="00FB42FD">
        <w:rPr>
          <w:b/>
          <w:lang w:val="en-NZ" w:eastAsia="ko-KR"/>
        </w:rPr>
        <w:t>1</w:t>
      </w:r>
      <w:r w:rsidRPr="00B623A4">
        <w:rPr>
          <w:b/>
          <w:lang w:val="en-NZ" w:eastAsia="ko-KR"/>
        </w:rPr>
        <w:t xml:space="preserve"> </w:t>
      </w:r>
      <w:r w:rsidRPr="00B623A4">
        <w:rPr>
          <w:b/>
          <w:lang w:val="en-NZ" w:eastAsia="ko-KR"/>
        </w:rPr>
        <w:tab/>
        <w:t xml:space="preserve">Nepal (Federal Democratic Republic of) </w:t>
      </w:r>
      <w:r w:rsidRPr="00B623A4">
        <w:rPr>
          <w:b/>
        </w:rPr>
        <w:t xml:space="preserve">- </w:t>
      </w:r>
      <w:r w:rsidRPr="00B623A4">
        <w:rPr>
          <w:b/>
          <w:lang w:val="en-NZ" w:eastAsia="ko-KR"/>
        </w:rPr>
        <w:t>Document APG23-4/</w:t>
      </w:r>
      <w:hyperlink r:id="rId56" w:history="1">
        <w:r w:rsidRPr="00B623A4">
          <w:rPr>
            <w:rStyle w:val="Hyperlink"/>
            <w:rFonts w:eastAsia="MS Mincho"/>
            <w:b/>
            <w:lang w:val="en-GB" w:eastAsia="ja-JP"/>
          </w:rPr>
          <w:t>INP-71</w:t>
        </w:r>
      </w:hyperlink>
    </w:p>
    <w:p w14:paraId="1582A784" w14:textId="2CF8F804" w:rsidR="00EE3805" w:rsidRPr="00B623A4" w:rsidRDefault="00EE3805" w:rsidP="00EE3805">
      <w:pPr>
        <w:numPr>
          <w:ilvl w:val="0"/>
          <w:numId w:val="18"/>
        </w:numPr>
        <w:ind w:leftChars="145" w:left="708"/>
        <w:jc w:val="both"/>
        <w:rPr>
          <w:lang w:val="en-NZ"/>
        </w:rPr>
      </w:pPr>
      <w:r>
        <w:t>Nepal support</w:t>
      </w:r>
      <w:r w:rsidR="00C620AC">
        <w:t>s</w:t>
      </w:r>
      <w:r>
        <w:t xml:space="preserve"> the studies as per the </w:t>
      </w:r>
      <w:r w:rsidRPr="00F35BF2">
        <w:t xml:space="preserve">Resolution </w:t>
      </w:r>
      <w:r w:rsidRPr="00B623A4">
        <w:rPr>
          <w:b/>
          <w:bCs/>
        </w:rPr>
        <w:t>247 (WRC-19).</w:t>
      </w:r>
      <w:r w:rsidRPr="001845F6">
        <w:t xml:space="preserve"> </w:t>
      </w:r>
      <w:bookmarkStart w:id="8" w:name="_Hlk111499599"/>
      <w:r>
        <w:t xml:space="preserve">Nepal is of the view that </w:t>
      </w:r>
      <w:proofErr w:type="gramStart"/>
      <w:r>
        <w:t>ground-based</w:t>
      </w:r>
      <w:proofErr w:type="gramEnd"/>
      <w:r>
        <w:t xml:space="preserve"> IMT systems as well as services in adjacent frequency bands must be protected and there should be no additional regulatory or technical constraints imposed on the deployment of ground based IMT systems.</w:t>
      </w:r>
      <w:bookmarkEnd w:id="8"/>
    </w:p>
    <w:p w14:paraId="50613856" w14:textId="77777777" w:rsidR="00EE3805" w:rsidRDefault="00EE3805" w:rsidP="00EE3805">
      <w:pPr>
        <w:rPr>
          <w:lang w:val="en-NZ"/>
        </w:rPr>
      </w:pPr>
    </w:p>
    <w:p w14:paraId="3CBB1CB9" w14:textId="2B21AC18" w:rsidR="00EE3805" w:rsidRPr="00B623A4" w:rsidRDefault="00EE3805" w:rsidP="00EE3805">
      <w:pPr>
        <w:spacing w:after="120"/>
        <w:jc w:val="both"/>
        <w:rPr>
          <w:b/>
          <w:lang w:val="en-NZ" w:eastAsia="ko-KR"/>
        </w:rPr>
      </w:pPr>
      <w:r w:rsidRPr="00B623A4">
        <w:rPr>
          <w:b/>
          <w:lang w:val="en-NZ" w:eastAsia="ko-KR"/>
        </w:rPr>
        <w:t>3.1.1</w:t>
      </w:r>
      <w:r w:rsidR="00FB42FD">
        <w:rPr>
          <w:b/>
          <w:lang w:val="en-NZ" w:eastAsia="ko-KR"/>
        </w:rPr>
        <w:t>2</w:t>
      </w:r>
      <w:r w:rsidRPr="00B623A4">
        <w:rPr>
          <w:b/>
          <w:lang w:val="en-NZ" w:eastAsia="ko-KR"/>
        </w:rPr>
        <w:t xml:space="preserve"> </w:t>
      </w:r>
      <w:r w:rsidRPr="00B623A4">
        <w:rPr>
          <w:b/>
          <w:lang w:val="en-NZ" w:eastAsia="ko-KR"/>
        </w:rPr>
        <w:tab/>
        <w:t xml:space="preserve">Philippines (Republic of the) </w:t>
      </w:r>
      <w:r w:rsidRPr="00B623A4">
        <w:rPr>
          <w:b/>
        </w:rPr>
        <w:t xml:space="preserve">- </w:t>
      </w:r>
      <w:r w:rsidRPr="00B623A4">
        <w:rPr>
          <w:b/>
          <w:lang w:val="en-NZ" w:eastAsia="ko-KR"/>
        </w:rPr>
        <w:t>Document APG23-4/</w:t>
      </w:r>
      <w:hyperlink r:id="rId57" w:history="1">
        <w:r w:rsidRPr="00B623A4">
          <w:rPr>
            <w:rStyle w:val="Hyperlink"/>
            <w:rFonts w:eastAsia="MS Mincho"/>
            <w:b/>
            <w:lang w:val="en-GB" w:eastAsia="ja-JP"/>
          </w:rPr>
          <w:t>INP-73</w:t>
        </w:r>
      </w:hyperlink>
    </w:p>
    <w:p w14:paraId="7149CB1B" w14:textId="77777777" w:rsidR="00EE3805" w:rsidRPr="00B623A4" w:rsidRDefault="00EE3805" w:rsidP="00EE3805">
      <w:pPr>
        <w:numPr>
          <w:ilvl w:val="0"/>
          <w:numId w:val="18"/>
        </w:numPr>
        <w:ind w:leftChars="145" w:left="708"/>
        <w:jc w:val="both"/>
        <w:rPr>
          <w:lang w:val="en-NZ"/>
        </w:rPr>
      </w:pPr>
      <w:r>
        <w:t xml:space="preserve">Philippines supports the ITU-R studies on the use of HIBS in certain frequency bands below 2.7 GHz already identified for IMT referred to in Resolution </w:t>
      </w:r>
      <w:r w:rsidRPr="00B623A4">
        <w:rPr>
          <w:b/>
        </w:rPr>
        <w:t>247 (WRC-19)</w:t>
      </w:r>
      <w:r>
        <w:t xml:space="preserve">, while ensuring the protection of existing primary services in the same and in adjacent frequency </w:t>
      </w:r>
      <w:r>
        <w:lastRenderedPageBreak/>
        <w:t xml:space="preserve">bands, as appropriate, and without imposing </w:t>
      </w:r>
      <w:r w:rsidRPr="00B623A4">
        <w:rPr>
          <w:rFonts w:eastAsia="MS Mincho"/>
          <w:bCs/>
          <w:lang w:eastAsia="ja-JP"/>
        </w:rPr>
        <w:t>any technical or regulatory constraints on these services.</w:t>
      </w:r>
    </w:p>
    <w:p w14:paraId="2E1BECFD" w14:textId="77777777" w:rsidR="00FB42FD" w:rsidRDefault="00FB42FD" w:rsidP="00FB42FD">
      <w:pPr>
        <w:spacing w:after="120"/>
        <w:jc w:val="both"/>
        <w:rPr>
          <w:b/>
          <w:lang w:val="en-NZ" w:eastAsia="ko-KR"/>
        </w:rPr>
      </w:pPr>
    </w:p>
    <w:p w14:paraId="5984C067" w14:textId="3AA2BCCA" w:rsidR="00FB42FD" w:rsidRPr="00B623A4" w:rsidRDefault="00FB42FD" w:rsidP="00FB42FD">
      <w:pPr>
        <w:spacing w:after="120"/>
        <w:jc w:val="both"/>
        <w:rPr>
          <w:b/>
          <w:lang w:val="en-NZ" w:eastAsia="ko-KR"/>
        </w:rPr>
      </w:pPr>
      <w:r w:rsidRPr="00B623A4">
        <w:rPr>
          <w:b/>
          <w:lang w:val="en-NZ" w:eastAsia="ko-KR"/>
        </w:rPr>
        <w:t>3.1.</w:t>
      </w:r>
      <w:r>
        <w:rPr>
          <w:b/>
          <w:lang w:val="en-NZ" w:eastAsia="ko-KR"/>
        </w:rPr>
        <w:t>1</w:t>
      </w:r>
      <w:r w:rsidRPr="00B623A4">
        <w:rPr>
          <w:b/>
          <w:lang w:val="en-NZ" w:eastAsia="ko-KR"/>
        </w:rPr>
        <w:t xml:space="preserve">3 </w:t>
      </w:r>
      <w:r w:rsidRPr="00B623A4">
        <w:rPr>
          <w:b/>
          <w:lang w:val="en-NZ" w:eastAsia="ko-KR"/>
        </w:rPr>
        <w:tab/>
        <w:t xml:space="preserve">Indonesia (Republic of) </w:t>
      </w:r>
      <w:r w:rsidRPr="00B623A4">
        <w:rPr>
          <w:b/>
        </w:rPr>
        <w:t xml:space="preserve">- </w:t>
      </w:r>
      <w:r w:rsidRPr="00B623A4">
        <w:rPr>
          <w:b/>
          <w:lang w:val="en-NZ" w:eastAsia="ko-KR"/>
        </w:rPr>
        <w:t>Document APG23-4/</w:t>
      </w:r>
      <w:hyperlink r:id="rId58" w:history="1">
        <w:r w:rsidRPr="00B623A4">
          <w:rPr>
            <w:rStyle w:val="Hyperlink"/>
            <w:rFonts w:eastAsia="MS Mincho" w:hint="eastAsia"/>
            <w:b/>
            <w:lang w:val="en-GB" w:eastAsia="ja-JP"/>
          </w:rPr>
          <w:t>I</w:t>
        </w:r>
        <w:r w:rsidRPr="00B623A4">
          <w:rPr>
            <w:rStyle w:val="Hyperlink"/>
            <w:rFonts w:eastAsia="MS Mincho"/>
            <w:b/>
            <w:lang w:val="en-GB" w:eastAsia="ja-JP"/>
          </w:rPr>
          <w:t>NP-80</w:t>
        </w:r>
      </w:hyperlink>
    </w:p>
    <w:p w14:paraId="54D61C23" w14:textId="77777777" w:rsidR="00FB42FD" w:rsidRPr="002F4359" w:rsidRDefault="00FB42FD" w:rsidP="00FB42FD">
      <w:pPr>
        <w:numPr>
          <w:ilvl w:val="0"/>
          <w:numId w:val="18"/>
        </w:numPr>
        <w:ind w:leftChars="145" w:left="708"/>
        <w:jc w:val="both"/>
        <w:rPr>
          <w:lang w:val="en-NZ"/>
        </w:rPr>
      </w:pPr>
      <w:r w:rsidRPr="00BE5F1D">
        <w:rPr>
          <w:lang w:val="en-NZ"/>
        </w:rPr>
        <w:t xml:space="preserve">Indonesia is of the view to support the sharing and compatibility studies, as well of the development of the working document towards a preliminary draft new Report ITU-R M.[HIBS-CHARACTERISTICS] and working document towards draft CPM Text on WRC-23 agenda item 1.4 by ITU-R on frequency bands below 2.7 GHz already identified for IMT to be used by HIBS as provisioned by Resolution </w:t>
      </w:r>
      <w:r w:rsidRPr="00BE5F1D">
        <w:rPr>
          <w:b/>
          <w:bCs/>
          <w:lang w:val="en-NZ"/>
        </w:rPr>
        <w:t>247 (WRC-19)</w:t>
      </w:r>
      <w:r w:rsidRPr="00BE5F1D">
        <w:rPr>
          <w:lang w:val="en-NZ"/>
        </w:rPr>
        <w:t xml:space="preserve"> and ensuring the protection to the incumbent services, to which the frequency band is allocated on the primary basis.</w:t>
      </w:r>
    </w:p>
    <w:p w14:paraId="5E1DBD53" w14:textId="77777777" w:rsidR="002A0111" w:rsidRPr="00441526" w:rsidRDefault="002A0111" w:rsidP="002A0111">
      <w:pPr>
        <w:rPr>
          <w:lang w:val="en-NZ"/>
        </w:rPr>
      </w:pPr>
    </w:p>
    <w:p w14:paraId="35F51011"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35FAF793" w14:textId="4A2C7CE4" w:rsidR="00636679" w:rsidRPr="001D573A" w:rsidRDefault="00636679" w:rsidP="00800229">
      <w:pPr>
        <w:numPr>
          <w:ilvl w:val="0"/>
          <w:numId w:val="18"/>
        </w:numPr>
        <w:ind w:leftChars="145" w:left="708"/>
        <w:jc w:val="both"/>
        <w:rPr>
          <w:rFonts w:eastAsia="MS Mincho"/>
          <w:iCs/>
          <w:lang w:val="en-NZ" w:eastAsia="ja-JP"/>
        </w:rPr>
      </w:pPr>
      <w:r w:rsidRPr="001D573A">
        <w:rPr>
          <w:rFonts w:eastAsia="MS Mincho"/>
          <w:iCs/>
          <w:lang w:val="en-NZ" w:eastAsia="ja-JP"/>
        </w:rPr>
        <w:t xml:space="preserve">There was a discussion on </w:t>
      </w:r>
      <w:r w:rsidR="003E5108">
        <w:rPr>
          <w:rFonts w:eastAsia="MS Mincho"/>
          <w:iCs/>
          <w:lang w:val="en-NZ" w:eastAsia="ja-JP"/>
        </w:rPr>
        <w:t xml:space="preserve">the </w:t>
      </w:r>
      <w:r w:rsidRPr="001D573A">
        <w:rPr>
          <w:rFonts w:eastAsia="MS Mincho"/>
          <w:iCs/>
          <w:lang w:val="en-NZ" w:eastAsia="ja-JP"/>
        </w:rPr>
        <w:t>protection of IMT, the broadcasting service (470-694 MHz, 694/698-862 MHz), the aeronautical mobile and the aeronautical radionavigation service (960-1 164 MHz)</w:t>
      </w:r>
      <w:r w:rsidR="003E5108">
        <w:rPr>
          <w:rFonts w:eastAsia="MS Mincho"/>
          <w:iCs/>
          <w:lang w:val="en-NZ" w:eastAsia="ja-JP"/>
        </w:rPr>
        <w:t>,</w:t>
      </w:r>
      <w:r w:rsidR="007A3C4F" w:rsidRPr="001D573A">
        <w:rPr>
          <w:rFonts w:eastAsia="MS Mincho"/>
          <w:iCs/>
          <w:lang w:val="en-NZ" w:eastAsia="ja-JP"/>
        </w:rPr>
        <w:t xml:space="preserve"> and the satellite services (2500-2690 MHz and 2483.5 -2500 MHz)</w:t>
      </w:r>
      <w:r w:rsidRPr="001D573A">
        <w:rPr>
          <w:rFonts w:eastAsia="MS Mincho"/>
          <w:iCs/>
          <w:lang w:val="en-NZ" w:eastAsia="ja-JP"/>
        </w:rPr>
        <w:t>.</w:t>
      </w:r>
    </w:p>
    <w:p w14:paraId="45214862" w14:textId="31B27E83" w:rsidR="00636679" w:rsidRPr="001D573A" w:rsidRDefault="00CE69CF" w:rsidP="00650E13">
      <w:pPr>
        <w:numPr>
          <w:ilvl w:val="2"/>
          <w:numId w:val="18"/>
        </w:numPr>
        <w:jc w:val="both"/>
        <w:rPr>
          <w:rFonts w:eastAsia="MS Mincho"/>
          <w:iCs/>
          <w:lang w:val="en-NZ" w:eastAsia="ja-JP"/>
        </w:rPr>
      </w:pPr>
      <w:r w:rsidRPr="001D573A">
        <w:rPr>
          <w:rFonts w:eastAsia="MS Mincho"/>
          <w:iCs/>
          <w:lang w:val="en-NZ" w:eastAsia="ja-JP"/>
        </w:rPr>
        <w:t xml:space="preserve">For the protection of IMT, there was a discussion on what is an appropriate method to protect IMT in terms of APT perspective, given that ITU-R is developing </w:t>
      </w:r>
      <w:r w:rsidR="003E5108">
        <w:rPr>
          <w:rFonts w:eastAsia="MS Mincho"/>
          <w:iCs/>
          <w:lang w:val="en-NZ" w:eastAsia="ja-JP"/>
        </w:rPr>
        <w:t xml:space="preserve">a </w:t>
      </w:r>
      <w:r w:rsidRPr="001D573A">
        <w:rPr>
          <w:rFonts w:eastAsia="MS Mincho"/>
          <w:iCs/>
          <w:lang w:val="en-NZ" w:eastAsia="ja-JP"/>
        </w:rPr>
        <w:t>draft CPM text</w:t>
      </w:r>
      <w:r w:rsidR="003E5108">
        <w:rPr>
          <w:rFonts w:eastAsia="MS Mincho"/>
          <w:iCs/>
          <w:lang w:val="en-NZ" w:eastAsia="ja-JP"/>
        </w:rPr>
        <w:t xml:space="preserve"> in</w:t>
      </w:r>
      <w:r w:rsidRPr="001D573A">
        <w:rPr>
          <w:rFonts w:eastAsia="MS Mincho"/>
          <w:iCs/>
          <w:lang w:val="en-NZ" w:eastAsia="ja-JP"/>
        </w:rPr>
        <w:t xml:space="preserve"> which only </w:t>
      </w:r>
      <w:proofErr w:type="spellStart"/>
      <w:r w:rsidRPr="001D573A">
        <w:rPr>
          <w:rFonts w:eastAsia="MS Mincho"/>
          <w:iCs/>
          <w:lang w:val="en-NZ" w:eastAsia="ja-JP"/>
        </w:rPr>
        <w:t>pfd</w:t>
      </w:r>
      <w:proofErr w:type="spellEnd"/>
      <w:r w:rsidRPr="001D573A">
        <w:rPr>
          <w:rFonts w:eastAsia="MS Mincho"/>
          <w:iCs/>
          <w:lang w:val="en-NZ" w:eastAsia="ja-JP"/>
        </w:rPr>
        <w:t xml:space="preserve"> limitations as the regulatory measures for ground-based IMT are included in the current version. In addition, there was a proposal to initiate the discussion on specific values of </w:t>
      </w:r>
      <w:proofErr w:type="spellStart"/>
      <w:r w:rsidRPr="001D573A">
        <w:rPr>
          <w:rFonts w:eastAsia="MS Mincho"/>
          <w:iCs/>
          <w:lang w:val="en-NZ" w:eastAsia="ja-JP"/>
        </w:rPr>
        <w:t>pfd</w:t>
      </w:r>
      <w:proofErr w:type="spellEnd"/>
      <w:r w:rsidRPr="001D573A">
        <w:rPr>
          <w:rFonts w:eastAsia="MS Mincho"/>
          <w:iCs/>
          <w:lang w:val="en-NZ" w:eastAsia="ja-JP"/>
        </w:rPr>
        <w:t xml:space="preserve"> limitation. However, agreements were not reached at APG23-4 </w:t>
      </w:r>
      <w:proofErr w:type="gramStart"/>
      <w:r w:rsidRPr="001D573A">
        <w:rPr>
          <w:rFonts w:eastAsia="MS Mincho"/>
          <w:iCs/>
          <w:lang w:val="en-NZ" w:eastAsia="ja-JP"/>
        </w:rPr>
        <w:t>in light of</w:t>
      </w:r>
      <w:proofErr w:type="gramEnd"/>
      <w:r w:rsidRPr="001D573A">
        <w:rPr>
          <w:rFonts w:eastAsia="MS Mincho"/>
          <w:iCs/>
          <w:lang w:val="en-NZ" w:eastAsia="ja-JP"/>
        </w:rPr>
        <w:t xml:space="preserve"> the views from some APT Members that these issues are still under study in ITU-R and the draft CPM text has not been finalized yet. These matters will be discussed in the APG23-5 based on the results of ITU-R study.</w:t>
      </w:r>
    </w:p>
    <w:p w14:paraId="4DB074D8" w14:textId="1D53B4C7" w:rsidR="0014696B" w:rsidRPr="001D573A" w:rsidRDefault="0014696B" w:rsidP="00E03A60">
      <w:pPr>
        <w:numPr>
          <w:ilvl w:val="2"/>
          <w:numId w:val="18"/>
        </w:numPr>
        <w:jc w:val="both"/>
        <w:rPr>
          <w:rFonts w:eastAsia="MS Mincho"/>
          <w:iCs/>
          <w:lang w:val="en-NZ" w:eastAsia="ja-JP"/>
        </w:rPr>
      </w:pPr>
      <w:r w:rsidRPr="001D573A">
        <w:rPr>
          <w:rFonts w:eastAsia="MS Mincho" w:hint="eastAsia"/>
          <w:iCs/>
          <w:lang w:val="en-NZ" w:eastAsia="ja-JP"/>
        </w:rPr>
        <w:t>F</w:t>
      </w:r>
      <w:r w:rsidRPr="001D573A">
        <w:rPr>
          <w:rFonts w:eastAsia="MS Mincho"/>
          <w:iCs/>
          <w:lang w:val="en-NZ" w:eastAsia="ja-JP"/>
        </w:rPr>
        <w:t xml:space="preserve">or the protection of the broadcasting service, it was expressed that HIBS operating in the band 694/698-862 MHz shall not cause interference to nor claim protection from the broadcasting services in this frequency band operating in accordance with </w:t>
      </w:r>
      <w:r w:rsidR="003E5108">
        <w:rPr>
          <w:rFonts w:eastAsia="MS Mincho"/>
          <w:iCs/>
          <w:lang w:val="en-NZ" w:eastAsia="ja-JP"/>
        </w:rPr>
        <w:t xml:space="preserve">the </w:t>
      </w:r>
      <w:r w:rsidRPr="001D573A">
        <w:rPr>
          <w:rFonts w:eastAsia="MS Mincho"/>
          <w:iCs/>
          <w:lang w:val="en-NZ" w:eastAsia="ja-JP"/>
        </w:rPr>
        <w:t>GE06 Agreement.</w:t>
      </w:r>
      <w:r w:rsidR="00DC0EF8" w:rsidRPr="001D573A">
        <w:rPr>
          <w:rFonts w:eastAsia="MS Mincho"/>
          <w:iCs/>
          <w:lang w:val="en-NZ" w:eastAsia="ja-JP"/>
        </w:rPr>
        <w:t xml:space="preserve"> It was also expressed that the appropriate protection of the broadcasting services is also needed </w:t>
      </w:r>
      <w:r w:rsidR="00E03A60" w:rsidRPr="001D573A">
        <w:rPr>
          <w:rFonts w:eastAsia="MS Mincho"/>
          <w:iCs/>
          <w:lang w:val="en-NZ" w:eastAsia="ja-JP"/>
        </w:rPr>
        <w:t xml:space="preserve">for </w:t>
      </w:r>
      <w:proofErr w:type="gramStart"/>
      <w:r w:rsidR="00E03A60" w:rsidRPr="001D573A">
        <w:rPr>
          <w:rFonts w:eastAsia="MS Mincho"/>
          <w:iCs/>
          <w:lang w:val="en-NZ" w:eastAsia="ja-JP"/>
        </w:rPr>
        <w:t>Region</w:t>
      </w:r>
      <w:proofErr w:type="gramEnd"/>
      <w:r w:rsidR="00E03A60" w:rsidRPr="001D573A">
        <w:rPr>
          <w:rFonts w:eastAsia="MS Mincho"/>
          <w:iCs/>
          <w:lang w:val="en-NZ" w:eastAsia="ja-JP"/>
        </w:rPr>
        <w:t xml:space="preserve"> 3 countries </w:t>
      </w:r>
      <w:r w:rsidR="00DC0EF8" w:rsidRPr="001D573A">
        <w:rPr>
          <w:rFonts w:eastAsia="MS Mincho"/>
          <w:iCs/>
          <w:lang w:val="en-NZ" w:eastAsia="ja-JP"/>
        </w:rPr>
        <w:t xml:space="preserve">outside </w:t>
      </w:r>
      <w:r w:rsidR="00E03A60" w:rsidRPr="001D573A">
        <w:rPr>
          <w:rFonts w:eastAsia="MS Mincho"/>
          <w:iCs/>
          <w:lang w:val="en-NZ" w:eastAsia="ja-JP"/>
        </w:rPr>
        <w:t xml:space="preserve">the </w:t>
      </w:r>
      <w:r w:rsidR="00DC0EF8" w:rsidRPr="001D573A">
        <w:rPr>
          <w:rFonts w:eastAsia="MS Mincho"/>
          <w:iCs/>
          <w:lang w:val="en-NZ" w:eastAsia="ja-JP"/>
        </w:rPr>
        <w:t>GE06 Agreement</w:t>
      </w:r>
      <w:r w:rsidR="003E5108">
        <w:rPr>
          <w:rFonts w:eastAsia="MS Mincho"/>
          <w:iCs/>
          <w:lang w:val="en-NZ" w:eastAsia="ja-JP"/>
        </w:rPr>
        <w:t>,</w:t>
      </w:r>
      <w:r w:rsidR="00E03A60" w:rsidRPr="001D573A">
        <w:rPr>
          <w:rFonts w:eastAsia="MS Mincho"/>
          <w:iCs/>
          <w:lang w:val="en-NZ" w:eastAsia="ja-JP"/>
        </w:rPr>
        <w:t xml:space="preserve"> which are also </w:t>
      </w:r>
      <w:r w:rsidR="00675FA6" w:rsidRPr="001D573A">
        <w:rPr>
          <w:rFonts w:eastAsia="MS Mincho"/>
          <w:iCs/>
          <w:lang w:val="en-NZ" w:eastAsia="ja-JP"/>
        </w:rPr>
        <w:t>neighbou</w:t>
      </w:r>
      <w:r w:rsidR="00675FA6">
        <w:rPr>
          <w:rFonts w:eastAsia="MS Mincho"/>
          <w:iCs/>
          <w:lang w:val="en-NZ" w:eastAsia="ja-JP"/>
        </w:rPr>
        <w:t>rs</w:t>
      </w:r>
      <w:r w:rsidR="00E03A60" w:rsidRPr="001D573A">
        <w:rPr>
          <w:rFonts w:eastAsia="MS Mincho"/>
          <w:iCs/>
          <w:lang w:val="en-NZ" w:eastAsia="ja-JP"/>
        </w:rPr>
        <w:t xml:space="preserve"> to Region 1</w:t>
      </w:r>
      <w:r w:rsidR="00F16667" w:rsidRPr="001D573A">
        <w:rPr>
          <w:rFonts w:eastAsia="MS Mincho"/>
          <w:iCs/>
          <w:lang w:val="en-NZ" w:eastAsia="ja-JP"/>
        </w:rPr>
        <w:t xml:space="preserve">, and further discussions are </w:t>
      </w:r>
      <w:r w:rsidR="00242DEA" w:rsidRPr="001D573A">
        <w:rPr>
          <w:rFonts w:eastAsia="MS Mincho" w:hint="eastAsia"/>
          <w:iCs/>
          <w:lang w:val="en-NZ" w:eastAsia="ja-JP"/>
        </w:rPr>
        <w:t>r</w:t>
      </w:r>
      <w:r w:rsidR="00242DEA" w:rsidRPr="001D573A">
        <w:rPr>
          <w:rFonts w:eastAsia="MS Mincho"/>
          <w:iCs/>
          <w:lang w:val="en-NZ" w:eastAsia="ja-JP"/>
        </w:rPr>
        <w:t>equired</w:t>
      </w:r>
      <w:r w:rsidR="00F16667" w:rsidRPr="001D573A">
        <w:rPr>
          <w:rFonts w:eastAsia="MS Mincho"/>
          <w:iCs/>
          <w:lang w:val="en-NZ" w:eastAsia="ja-JP"/>
        </w:rPr>
        <w:t>.</w:t>
      </w:r>
    </w:p>
    <w:p w14:paraId="51A93112" w14:textId="017FA719" w:rsidR="00787076" w:rsidRPr="001D573A" w:rsidRDefault="00787076" w:rsidP="00787076">
      <w:pPr>
        <w:numPr>
          <w:ilvl w:val="2"/>
          <w:numId w:val="18"/>
        </w:numPr>
        <w:jc w:val="both"/>
        <w:rPr>
          <w:rFonts w:eastAsia="MS Mincho"/>
          <w:iCs/>
          <w:lang w:val="en-NZ" w:eastAsia="ja-JP"/>
        </w:rPr>
      </w:pPr>
      <w:r w:rsidRPr="001D573A">
        <w:rPr>
          <w:rFonts w:eastAsia="MS Mincho"/>
          <w:iCs/>
          <w:lang w:val="en-NZ" w:eastAsia="ja-JP"/>
        </w:rPr>
        <w:t xml:space="preserve">For those </w:t>
      </w:r>
      <w:r w:rsidR="00BF3E59" w:rsidRPr="001D573A">
        <w:rPr>
          <w:rFonts w:eastAsia="MS Mincho"/>
          <w:iCs/>
          <w:lang w:val="en-NZ" w:eastAsia="ja-JP"/>
        </w:rPr>
        <w:t xml:space="preserve">sharing and compatibility </w:t>
      </w:r>
      <w:r w:rsidRPr="001D573A">
        <w:rPr>
          <w:rFonts w:eastAsia="MS Mincho"/>
          <w:iCs/>
          <w:lang w:val="en-NZ" w:eastAsia="ja-JP"/>
        </w:rPr>
        <w:t>studies</w:t>
      </w:r>
      <w:r w:rsidR="00BF3E59" w:rsidRPr="001D573A">
        <w:rPr>
          <w:rFonts w:eastAsia="MS Mincho"/>
          <w:iCs/>
          <w:lang w:val="en-NZ" w:eastAsia="ja-JP"/>
        </w:rPr>
        <w:t xml:space="preserve"> in ITU-R</w:t>
      </w:r>
      <w:r w:rsidRPr="001D573A">
        <w:rPr>
          <w:rFonts w:eastAsia="MS Mincho"/>
          <w:iCs/>
          <w:lang w:val="en-NZ" w:eastAsia="ja-JP"/>
        </w:rPr>
        <w:t xml:space="preserve"> that have different results for the same service, the opinion was expressed that the</w:t>
      </w:r>
      <w:r w:rsidR="00E03A60" w:rsidRPr="001D573A">
        <w:rPr>
          <w:rFonts w:eastAsia="MS Mincho"/>
          <w:iCs/>
          <w:lang w:val="en-NZ" w:eastAsia="ja-JP"/>
        </w:rPr>
        <w:t xml:space="preserve"> related</w:t>
      </w:r>
      <w:r w:rsidRPr="001D573A">
        <w:rPr>
          <w:rFonts w:eastAsia="MS Mincho"/>
          <w:iCs/>
          <w:lang w:val="en-NZ" w:eastAsia="ja-JP"/>
        </w:rPr>
        <w:t xml:space="preserve"> factors, especially the parameters and methodologies used in the study, should be clarified. APT </w:t>
      </w:r>
      <w:r w:rsidR="003E5108">
        <w:rPr>
          <w:rFonts w:eastAsia="MS Mincho"/>
          <w:iCs/>
          <w:lang w:val="en-NZ" w:eastAsia="ja-JP"/>
        </w:rPr>
        <w:t>M</w:t>
      </w:r>
      <w:r w:rsidRPr="001D573A">
        <w:rPr>
          <w:rFonts w:eastAsia="MS Mincho"/>
          <w:iCs/>
          <w:lang w:val="en-NZ" w:eastAsia="ja-JP"/>
        </w:rPr>
        <w:t>embers are encouraged to participate in ITU-R studies in this regard.</w:t>
      </w:r>
    </w:p>
    <w:p w14:paraId="1778DABC" w14:textId="3833B320" w:rsidR="005206E9" w:rsidRDefault="005206E9">
      <w:pPr>
        <w:rPr>
          <w:b/>
          <w:lang w:val="en-NZ" w:eastAsia="ko-KR"/>
        </w:rPr>
      </w:pPr>
    </w:p>
    <w:p w14:paraId="126C0FAD"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60C76F30" w14:textId="0595010A" w:rsidR="00800229" w:rsidRDefault="00800229" w:rsidP="00096846">
      <w:pPr>
        <w:numPr>
          <w:ilvl w:val="0"/>
          <w:numId w:val="18"/>
        </w:numPr>
        <w:ind w:leftChars="145" w:left="708"/>
        <w:jc w:val="both"/>
        <w:rPr>
          <w:lang w:val="en-NZ" w:eastAsia="ja-JP"/>
        </w:rPr>
      </w:pPr>
      <w:r w:rsidRPr="00383B76">
        <w:rPr>
          <w:lang w:val="en-NZ"/>
        </w:rPr>
        <w:t xml:space="preserve">APT Members </w:t>
      </w:r>
      <w:r w:rsidRPr="00383B76">
        <w:rPr>
          <w:lang w:val="en-NZ" w:eastAsia="ko-KR"/>
        </w:rPr>
        <w:t xml:space="preserve">support the ongoing ITU-R studies for </w:t>
      </w:r>
      <w:r w:rsidRPr="00383B76">
        <w:rPr>
          <w:rFonts w:eastAsia="MS Mincho"/>
          <w:lang w:val="en-NZ" w:eastAsia="ja-JP"/>
        </w:rPr>
        <w:t>establishing a new globally or regionally harmoni</w:t>
      </w:r>
      <w:r w:rsidR="00823E88">
        <w:rPr>
          <w:rFonts w:eastAsia="MS Mincho"/>
          <w:lang w:val="en-NZ" w:eastAsia="ja-JP"/>
        </w:rPr>
        <w:t>z</w:t>
      </w:r>
      <w:r w:rsidRPr="00383B76">
        <w:rPr>
          <w:rFonts w:eastAsia="MS Mincho"/>
          <w:lang w:val="en-NZ" w:eastAsia="ja-JP"/>
        </w:rPr>
        <w:t xml:space="preserve">ed regulatory framework </w:t>
      </w:r>
      <w:r w:rsidRPr="00383B76">
        <w:t>for HIBS</w:t>
      </w:r>
      <w:r w:rsidRPr="00383B76">
        <w:rPr>
          <w:lang w:val="en-NZ"/>
        </w:rPr>
        <w:t xml:space="preserve"> with a view to providing flexibility of spectrum usage for HIBS in certain</w:t>
      </w:r>
      <w:r w:rsidRPr="00383B76">
        <w:t xml:space="preserve"> frequency bands below 2.7 GHz already identified for IMT referred to in Resolution </w:t>
      </w:r>
      <w:r w:rsidRPr="00383B76">
        <w:rPr>
          <w:b/>
        </w:rPr>
        <w:t>247 (WRC-19)</w:t>
      </w:r>
      <w:r w:rsidRPr="00383B76">
        <w:t xml:space="preserve">, </w:t>
      </w:r>
      <w:r w:rsidRPr="00383B76">
        <w:rPr>
          <w:lang w:val="en-NZ"/>
        </w:rPr>
        <w:t xml:space="preserve">while ensuring </w:t>
      </w:r>
      <w:r w:rsidR="00823E88">
        <w:rPr>
          <w:lang w:val="en-NZ"/>
        </w:rPr>
        <w:t xml:space="preserve">the </w:t>
      </w:r>
      <w:r w:rsidRPr="00383B76">
        <w:rPr>
          <w:lang w:val="en-NZ"/>
        </w:rPr>
        <w:t>protection of the existing services, to which the frequency band is allocated on a primary basis, and adjacent bands, as appropriate, without adversely affecting in their deployment including other IMT uses, existing systems and the planned development of primary services.</w:t>
      </w:r>
      <w:r w:rsidRPr="00383B76" w:rsidDel="002D3327">
        <w:rPr>
          <w:lang w:val="en-NZ"/>
        </w:rPr>
        <w:t xml:space="preserve"> </w:t>
      </w:r>
    </w:p>
    <w:p w14:paraId="405588D7" w14:textId="21A708D2" w:rsidR="00B55621" w:rsidRPr="00383B76" w:rsidRDefault="00B55621" w:rsidP="00096846">
      <w:pPr>
        <w:numPr>
          <w:ilvl w:val="0"/>
          <w:numId w:val="18"/>
        </w:numPr>
        <w:ind w:leftChars="145" w:left="708"/>
        <w:jc w:val="both"/>
        <w:rPr>
          <w:lang w:val="en-NZ" w:eastAsia="ja-JP"/>
        </w:rPr>
      </w:pPr>
      <w:r>
        <w:rPr>
          <w:rFonts w:eastAsia="MS Mincho" w:hint="eastAsia"/>
          <w:lang w:val="en-NZ" w:eastAsia="ja-JP"/>
        </w:rPr>
        <w:t>A</w:t>
      </w:r>
      <w:r>
        <w:rPr>
          <w:rFonts w:eastAsia="MS Mincho"/>
          <w:lang w:val="en-NZ" w:eastAsia="ja-JP"/>
        </w:rPr>
        <w:t xml:space="preserve">PT Members are considering that there is a need to </w:t>
      </w:r>
      <w:r w:rsidR="00825563">
        <w:rPr>
          <w:rFonts w:eastAsia="MS Mincho"/>
          <w:lang w:val="en-NZ" w:eastAsia="ja-JP"/>
        </w:rPr>
        <w:t>develop</w:t>
      </w:r>
      <w:r>
        <w:rPr>
          <w:rFonts w:eastAsia="MS Mincho"/>
          <w:lang w:val="en-NZ" w:eastAsia="ja-JP"/>
        </w:rPr>
        <w:t xml:space="preserve"> the definition of HIBS</w:t>
      </w:r>
      <w:r w:rsidR="004C7A9B">
        <w:rPr>
          <w:rFonts w:eastAsia="MS Mincho"/>
          <w:lang w:val="en-NZ" w:eastAsia="ja-JP"/>
        </w:rPr>
        <w:t xml:space="preserve"> with a view to potentially be included in the ITU Radio Regulations</w:t>
      </w:r>
      <w:r>
        <w:rPr>
          <w:rFonts w:eastAsia="MS Mincho"/>
          <w:lang w:val="en-NZ" w:eastAsia="ja-JP"/>
        </w:rPr>
        <w:t>.</w:t>
      </w:r>
    </w:p>
    <w:p w14:paraId="37DA7FEE" w14:textId="77777777" w:rsidR="002A0111" w:rsidRPr="00441526" w:rsidRDefault="002A0111" w:rsidP="00096846">
      <w:pPr>
        <w:jc w:val="both"/>
        <w:rPr>
          <w:lang w:val="en-NZ"/>
        </w:rPr>
      </w:pPr>
    </w:p>
    <w:p w14:paraId="546AA041"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735C057E" w14:textId="0F46B1A3" w:rsidR="00383B76" w:rsidRPr="00C26624" w:rsidRDefault="008855C8" w:rsidP="003D3D47">
      <w:pPr>
        <w:numPr>
          <w:ilvl w:val="0"/>
          <w:numId w:val="18"/>
        </w:numPr>
        <w:ind w:leftChars="145" w:left="708"/>
        <w:jc w:val="both"/>
        <w:rPr>
          <w:rFonts w:eastAsia="MS Mincho"/>
          <w:lang w:val="en-NZ" w:eastAsia="ja-JP"/>
        </w:rPr>
      </w:pPr>
      <w:r>
        <w:rPr>
          <w:rFonts w:eastAsia="MS Mincho"/>
          <w:iCs/>
          <w:lang w:val="en-NZ" w:eastAsia="ja-JP"/>
        </w:rPr>
        <w:lastRenderedPageBreak/>
        <w:t xml:space="preserve">Some </w:t>
      </w:r>
      <w:r w:rsidRPr="00383B76">
        <w:rPr>
          <w:rFonts w:eastAsia="MS Mincho"/>
          <w:iCs/>
          <w:lang w:val="en-NZ" w:eastAsia="ja-JP"/>
        </w:rPr>
        <w:t>APT</w:t>
      </w:r>
      <w:r>
        <w:rPr>
          <w:rFonts w:eastAsia="MS Mincho"/>
          <w:iCs/>
          <w:lang w:val="en-NZ" w:eastAsia="ja-JP"/>
        </w:rPr>
        <w:t xml:space="preserve"> Members</w:t>
      </w:r>
      <w:r w:rsidRPr="00383B76">
        <w:rPr>
          <w:rFonts w:eastAsia="MS Mincho"/>
          <w:iCs/>
          <w:lang w:val="en-NZ" w:eastAsia="ja-JP"/>
        </w:rPr>
        <w:t xml:space="preserve"> </w:t>
      </w:r>
      <w:r>
        <w:rPr>
          <w:rFonts w:eastAsia="MS Mincho"/>
          <w:iCs/>
          <w:lang w:val="en-NZ" w:eastAsia="ja-JP"/>
        </w:rPr>
        <w:t xml:space="preserve">support the study of </w:t>
      </w:r>
      <w:r w:rsidR="005D32F8" w:rsidRPr="00383B76">
        <w:rPr>
          <w:rFonts w:eastAsia="MS Mincho"/>
          <w:iCs/>
          <w:lang w:val="en-NZ" w:eastAsia="ja-JP"/>
        </w:rPr>
        <w:t>operational altitude of the HIBS platform from 20 km to 18 km, provided that the protection of the existing and planned services where the frequency bands and the adjacent bands as appropriate, are allocated should be ensured</w:t>
      </w:r>
      <w:r w:rsidR="001D573A">
        <w:rPr>
          <w:rFonts w:eastAsia="MS Mincho"/>
          <w:iCs/>
          <w:lang w:val="en-NZ" w:eastAsia="ja-JP"/>
        </w:rPr>
        <w:t>.</w:t>
      </w:r>
    </w:p>
    <w:p w14:paraId="7C666FC1" w14:textId="3B43D1EF" w:rsidR="00C26624" w:rsidRDefault="00C26624" w:rsidP="00C26624">
      <w:pPr>
        <w:numPr>
          <w:ilvl w:val="0"/>
          <w:numId w:val="18"/>
        </w:numPr>
        <w:ind w:leftChars="145" w:left="708"/>
        <w:jc w:val="both"/>
        <w:rPr>
          <w:rFonts w:eastAsia="MS Mincho"/>
          <w:iCs/>
          <w:lang w:val="en-NZ" w:eastAsia="ja-JP"/>
        </w:rPr>
      </w:pPr>
      <w:proofErr w:type="gramStart"/>
      <w:r>
        <w:rPr>
          <w:rFonts w:eastAsia="MS Mincho"/>
          <w:iCs/>
          <w:lang w:val="en-NZ" w:eastAsia="ja-JP"/>
        </w:rPr>
        <w:t>With regard to</w:t>
      </w:r>
      <w:proofErr w:type="gramEnd"/>
      <w:r>
        <w:rPr>
          <w:rFonts w:eastAsia="MS Mincho"/>
          <w:iCs/>
          <w:lang w:val="en-NZ" w:eastAsia="ja-JP"/>
        </w:rPr>
        <w:t xml:space="preserve"> </w:t>
      </w:r>
      <w:r w:rsidR="008855C8">
        <w:rPr>
          <w:rFonts w:eastAsia="MS Mincho" w:hint="eastAsia"/>
          <w:iCs/>
          <w:lang w:val="en-NZ" w:eastAsia="ja-JP"/>
        </w:rPr>
        <w:t>sharing</w:t>
      </w:r>
      <w:r w:rsidR="008855C8">
        <w:rPr>
          <w:rFonts w:eastAsia="MS Mincho"/>
          <w:iCs/>
          <w:lang w:val="en-NZ" w:eastAsia="ja-JP"/>
        </w:rPr>
        <w:t xml:space="preserve"> and compatibility </w:t>
      </w:r>
      <w:r>
        <w:rPr>
          <w:rFonts w:eastAsia="MS Mincho"/>
          <w:iCs/>
          <w:lang w:val="en-NZ" w:eastAsia="ja-JP"/>
        </w:rPr>
        <w:t xml:space="preserve">studies </w:t>
      </w:r>
      <w:r w:rsidR="008855C8">
        <w:rPr>
          <w:rFonts w:eastAsia="MS Mincho"/>
          <w:iCs/>
          <w:lang w:val="en-NZ" w:eastAsia="ja-JP"/>
        </w:rPr>
        <w:t xml:space="preserve">with </w:t>
      </w:r>
      <w:r>
        <w:rPr>
          <w:rFonts w:eastAsia="MS Mincho"/>
          <w:iCs/>
          <w:lang w:val="en-NZ" w:eastAsia="ja-JP"/>
        </w:rPr>
        <w:t>HIBS UE as interfer</w:t>
      </w:r>
      <w:r w:rsidR="008855C8">
        <w:rPr>
          <w:rFonts w:eastAsia="MS Mincho"/>
          <w:iCs/>
          <w:lang w:val="en-NZ" w:eastAsia="ja-JP"/>
        </w:rPr>
        <w:t>ing stations</w:t>
      </w:r>
      <w:r w:rsidR="00823E88">
        <w:rPr>
          <w:rFonts w:eastAsia="MS Mincho"/>
          <w:iCs/>
          <w:lang w:val="en-NZ" w:eastAsia="ja-JP"/>
        </w:rPr>
        <w:t>,</w:t>
      </w:r>
      <w:r>
        <w:rPr>
          <w:rFonts w:eastAsia="MS Mincho"/>
          <w:iCs/>
          <w:lang w:val="en-NZ" w:eastAsia="ja-JP"/>
        </w:rPr>
        <w:t xml:space="preserve"> which is under discussion in ITU-R, Some </w:t>
      </w:r>
      <w:r w:rsidRPr="00607EB2">
        <w:rPr>
          <w:rFonts w:eastAsia="MS Mincho"/>
          <w:iCs/>
          <w:lang w:val="en-NZ" w:eastAsia="ja-JP"/>
        </w:rPr>
        <w:t xml:space="preserve">APT </w:t>
      </w:r>
      <w:r>
        <w:rPr>
          <w:rFonts w:eastAsia="MS Mincho"/>
          <w:iCs/>
          <w:lang w:val="en-NZ" w:eastAsia="ja-JP"/>
        </w:rPr>
        <w:t>Members are</w:t>
      </w:r>
      <w:r w:rsidRPr="00607EB2">
        <w:rPr>
          <w:rFonts w:eastAsia="MS Mincho"/>
          <w:iCs/>
          <w:lang w:val="en-NZ" w:eastAsia="ja-JP"/>
        </w:rPr>
        <w:t xml:space="preserve"> of the view that the studies on HIBS UE should be treated as outside the scope of this agenda item in accordance with Resolution </w:t>
      </w:r>
      <w:r w:rsidRPr="00607EB2">
        <w:rPr>
          <w:rFonts w:eastAsia="MS Mincho"/>
          <w:b/>
          <w:bCs/>
          <w:iCs/>
          <w:lang w:val="en-NZ" w:eastAsia="ja-JP"/>
        </w:rPr>
        <w:t>247 (WRC-19)</w:t>
      </w:r>
      <w:r w:rsidRPr="00607EB2">
        <w:rPr>
          <w:rFonts w:eastAsia="MS Mincho"/>
          <w:iCs/>
          <w:lang w:val="en-NZ" w:eastAsia="ja-JP"/>
        </w:rPr>
        <w:t>.</w:t>
      </w:r>
    </w:p>
    <w:p w14:paraId="04BED217" w14:textId="77777777" w:rsidR="005206E9" w:rsidRPr="00823E88" w:rsidRDefault="005206E9" w:rsidP="002A0111">
      <w:pPr>
        <w:rPr>
          <w:lang w:val="en-NZ"/>
        </w:rPr>
      </w:pPr>
    </w:p>
    <w:p w14:paraId="278E603F"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3717A071" w14:textId="5339D721" w:rsidR="00086311" w:rsidRDefault="00086311" w:rsidP="00086311">
      <w:pPr>
        <w:numPr>
          <w:ilvl w:val="0"/>
          <w:numId w:val="18"/>
        </w:numPr>
        <w:ind w:leftChars="145" w:left="708"/>
        <w:jc w:val="both"/>
        <w:rPr>
          <w:lang w:val="en-NZ"/>
        </w:rPr>
      </w:pPr>
      <w:r>
        <w:rPr>
          <w:lang w:val="en-NZ"/>
        </w:rPr>
        <w:t xml:space="preserve">Conditions </w:t>
      </w:r>
      <w:r w:rsidR="00AB3493">
        <w:rPr>
          <w:lang w:val="en-NZ"/>
        </w:rPr>
        <w:t>for</w:t>
      </w:r>
      <w:r>
        <w:rPr>
          <w:lang w:val="en-NZ"/>
        </w:rPr>
        <w:t xml:space="preserve"> </w:t>
      </w:r>
      <w:r w:rsidR="00823E88">
        <w:rPr>
          <w:lang w:val="en-NZ"/>
        </w:rPr>
        <w:t xml:space="preserve">the </w:t>
      </w:r>
      <w:r>
        <w:rPr>
          <w:lang w:val="en-NZ"/>
        </w:rPr>
        <w:t>protect</w:t>
      </w:r>
      <w:r w:rsidR="00AB3493">
        <w:rPr>
          <w:lang w:val="en-NZ"/>
        </w:rPr>
        <w:t>ion of</w:t>
      </w:r>
      <w:r>
        <w:rPr>
          <w:lang w:val="en-NZ"/>
        </w:rPr>
        <w:t xml:space="preserve"> existing services</w:t>
      </w:r>
      <w:r w:rsidR="00823E88">
        <w:rPr>
          <w:lang w:val="en-NZ"/>
        </w:rPr>
        <w:t>,</w:t>
      </w:r>
      <w:r>
        <w:rPr>
          <w:lang w:val="en-NZ"/>
        </w:rPr>
        <w:t xml:space="preserve"> including IMT</w:t>
      </w:r>
      <w:r w:rsidR="00AB3493">
        <w:rPr>
          <w:lang w:val="en-NZ"/>
        </w:rPr>
        <w:t xml:space="preserve"> (e.g.,</w:t>
      </w:r>
      <w:r>
        <w:rPr>
          <w:lang w:val="en-NZ"/>
        </w:rPr>
        <w:t xml:space="preserve"> values of PFD limitation</w:t>
      </w:r>
      <w:r w:rsidR="00AB3493">
        <w:rPr>
          <w:lang w:val="en-NZ"/>
        </w:rPr>
        <w:t>)</w:t>
      </w:r>
      <w:r w:rsidR="00823E88">
        <w:rPr>
          <w:lang w:val="en-NZ"/>
        </w:rPr>
        <w:t>,</w:t>
      </w:r>
      <w:r>
        <w:rPr>
          <w:lang w:val="en-NZ"/>
        </w:rPr>
        <w:t xml:space="preserve"> </w:t>
      </w:r>
      <w:r w:rsidR="00984F9C">
        <w:rPr>
          <w:lang w:val="en-NZ"/>
        </w:rPr>
        <w:t xml:space="preserve">are expected to </w:t>
      </w:r>
      <w:r>
        <w:rPr>
          <w:lang w:val="en-NZ"/>
        </w:rPr>
        <w:t xml:space="preserve">be </w:t>
      </w:r>
      <w:r w:rsidR="00984F9C">
        <w:rPr>
          <w:lang w:val="en-NZ"/>
        </w:rPr>
        <w:t xml:space="preserve">finalized </w:t>
      </w:r>
      <w:r w:rsidR="00AB3493">
        <w:rPr>
          <w:lang w:val="en-NZ"/>
        </w:rPr>
        <w:t>at</w:t>
      </w:r>
      <w:r>
        <w:rPr>
          <w:lang w:val="en-NZ"/>
        </w:rPr>
        <w:t xml:space="preserve"> </w:t>
      </w:r>
      <w:r w:rsidR="00AB3493">
        <w:rPr>
          <w:lang w:val="en-NZ"/>
        </w:rPr>
        <w:t>the</w:t>
      </w:r>
      <w:r w:rsidR="00984F9C">
        <w:rPr>
          <w:lang w:val="en-NZ"/>
        </w:rPr>
        <w:t xml:space="preserve"> next ITU-R WP 5D meeting in October 2022. B</w:t>
      </w:r>
      <w:r>
        <w:rPr>
          <w:lang w:val="en-NZ"/>
        </w:rPr>
        <w:t>ased on the results of ITU-R study</w:t>
      </w:r>
      <w:r w:rsidR="00984F9C">
        <w:rPr>
          <w:lang w:val="en-NZ"/>
        </w:rPr>
        <w:t>,</w:t>
      </w:r>
      <w:r>
        <w:rPr>
          <w:lang w:val="en-NZ"/>
        </w:rPr>
        <w:t xml:space="preserve"> AP</w:t>
      </w:r>
      <w:r w:rsidR="00AB3493">
        <w:rPr>
          <w:lang w:val="en-NZ"/>
        </w:rPr>
        <w:t>T</w:t>
      </w:r>
      <w:r>
        <w:rPr>
          <w:lang w:val="en-NZ"/>
        </w:rPr>
        <w:t xml:space="preserve"> Members are encouraged to submit their contributions to the next APG23-5 meeting</w:t>
      </w:r>
      <w:r w:rsidR="00AB3493">
        <w:rPr>
          <w:lang w:val="en-NZ"/>
        </w:rPr>
        <w:t>.</w:t>
      </w:r>
    </w:p>
    <w:p w14:paraId="350D51D8" w14:textId="77777777" w:rsidR="002A0111" w:rsidRPr="00441526" w:rsidRDefault="002A0111" w:rsidP="003D3D47">
      <w:pPr>
        <w:jc w:val="both"/>
        <w:rPr>
          <w:lang w:val="en-NZ"/>
        </w:rPr>
      </w:pPr>
    </w:p>
    <w:p w14:paraId="5B098CA8"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1865E3EC" w14:textId="6684F132"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EC3ED4">
        <w:rPr>
          <w:lang w:val="en-NZ"/>
        </w:rPr>
        <w:t>4</w:t>
      </w:r>
      <w:r w:rsidR="003D3D47">
        <w:rPr>
          <w:lang w:val="en-NZ"/>
        </w:rPr>
        <w:t>)</w:t>
      </w:r>
    </w:p>
    <w:p w14:paraId="2318E23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0CAA0FA0" w14:textId="426AF7E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F00939">
        <w:rPr>
          <w:b/>
          <w:lang w:val="en-NZ" w:eastAsia="ko-KR"/>
        </w:rPr>
        <w:t>4</w:t>
      </w:r>
      <w:r w:rsidR="002A0111" w:rsidRPr="00441526">
        <w:rPr>
          <w:b/>
          <w:lang w:val="en-NZ" w:eastAsia="ko-KR"/>
        </w:rPr>
        <w:t>/</w:t>
      </w:r>
      <w:hyperlink r:id="rId59" w:history="1">
        <w:r w:rsidR="00FB42FD" w:rsidRPr="00FB42FD">
          <w:rPr>
            <w:rStyle w:val="Hyperlink"/>
            <w:rFonts w:eastAsia="MS Mincho"/>
            <w:b/>
            <w:bCs/>
            <w:lang w:val="en-GB" w:eastAsia="ja-JP"/>
          </w:rPr>
          <w:t>INF-21</w:t>
        </w:r>
      </w:hyperlink>
    </w:p>
    <w:p w14:paraId="292844F1" w14:textId="77777777" w:rsidR="00FB42FD" w:rsidRDefault="00FB42FD" w:rsidP="00096846">
      <w:pPr>
        <w:numPr>
          <w:ilvl w:val="0"/>
          <w:numId w:val="18"/>
        </w:numPr>
        <w:ind w:leftChars="145" w:left="708"/>
        <w:jc w:val="both"/>
        <w:rPr>
          <w:lang w:val="en-NZ"/>
        </w:rPr>
      </w:pPr>
      <w:r w:rsidRPr="00DA1C72">
        <w:rPr>
          <w:bCs/>
          <w:lang w:val="en-NZ" w:eastAsia="ko-KR"/>
        </w:rPr>
        <w:t xml:space="preserve">Follow-up studies of the possibility of using high-altitude platforms as base stations for International Mobile Telecommunications (HIBS) in the frequency bands referred to in Resolution </w:t>
      </w:r>
      <w:r w:rsidRPr="00DA1C72">
        <w:rPr>
          <w:b/>
          <w:lang w:val="en-NZ" w:eastAsia="ko-KR"/>
        </w:rPr>
        <w:t>247 (WRC-19)</w:t>
      </w:r>
      <w:r w:rsidRPr="00DA1C72">
        <w:rPr>
          <w:bCs/>
          <w:lang w:val="en-NZ" w:eastAsia="ko-KR"/>
        </w:rPr>
        <w:t xml:space="preserve"> with follow-up studies of sharing and compatibility in order to ensure the protection of existing services to which the frequency band is allocated on a primary basis and services operating in adjacent bands as appropriate, in addition to the measures required for coordination with </w:t>
      </w:r>
      <w:proofErr w:type="spellStart"/>
      <w:r w:rsidRPr="00DA1C72">
        <w:rPr>
          <w:bCs/>
          <w:lang w:val="en-NZ" w:eastAsia="ko-KR"/>
        </w:rPr>
        <w:t>neighboring</w:t>
      </w:r>
      <w:proofErr w:type="spellEnd"/>
      <w:r w:rsidRPr="00DA1C72">
        <w:rPr>
          <w:bCs/>
          <w:lang w:val="en-NZ" w:eastAsia="ko-KR"/>
        </w:rPr>
        <w:t xml:space="preserve"> countries regarding exceeded coverage.</w:t>
      </w:r>
    </w:p>
    <w:p w14:paraId="08E99AC2" w14:textId="77777777" w:rsidR="00FB42FD" w:rsidRDefault="00FB42FD" w:rsidP="00096846">
      <w:pPr>
        <w:numPr>
          <w:ilvl w:val="0"/>
          <w:numId w:val="18"/>
        </w:numPr>
        <w:ind w:leftChars="145" w:left="708"/>
        <w:jc w:val="both"/>
        <w:rPr>
          <w:lang w:val="en-NZ"/>
        </w:rPr>
      </w:pPr>
      <w:r w:rsidRPr="00DA1C72">
        <w:rPr>
          <w:bCs/>
          <w:lang w:val="en-NZ" w:eastAsia="ko-KR"/>
        </w:rPr>
        <w:t xml:space="preserve">Protection of existing systems and the future development of services to which bands are distributed on a primary basis and services operating in </w:t>
      </w:r>
      <w:proofErr w:type="spellStart"/>
      <w:r w:rsidRPr="00DA1C72">
        <w:rPr>
          <w:bCs/>
          <w:lang w:val="en-NZ" w:eastAsia="ko-KR"/>
        </w:rPr>
        <w:t>neighboring</w:t>
      </w:r>
      <w:proofErr w:type="spellEnd"/>
      <w:r w:rsidRPr="00DA1C72">
        <w:rPr>
          <w:bCs/>
          <w:lang w:val="en-NZ" w:eastAsia="ko-KR"/>
        </w:rPr>
        <w:t xml:space="preserve"> bands as necessary.</w:t>
      </w:r>
    </w:p>
    <w:p w14:paraId="36099866" w14:textId="2B7EBDEE" w:rsidR="00FB42FD" w:rsidRPr="00FB42FD" w:rsidRDefault="00FB42FD" w:rsidP="00096846">
      <w:pPr>
        <w:numPr>
          <w:ilvl w:val="0"/>
          <w:numId w:val="18"/>
        </w:numPr>
        <w:ind w:leftChars="145" w:left="708"/>
        <w:jc w:val="both"/>
        <w:rPr>
          <w:lang w:val="en-NZ"/>
        </w:rPr>
      </w:pPr>
      <w:r w:rsidRPr="00FB42FD">
        <w:rPr>
          <w:bCs/>
          <w:lang w:val="en-NZ" w:eastAsia="ko-KR"/>
        </w:rPr>
        <w:t xml:space="preserve">To continue to study the spectrum needs of high-altitude platform stations as base stations for International Mobile Communications (HIBS), </w:t>
      </w:r>
      <w:proofErr w:type="gramStart"/>
      <w:r w:rsidRPr="00FB42FD">
        <w:rPr>
          <w:bCs/>
          <w:lang w:val="en-NZ" w:eastAsia="ko-KR"/>
        </w:rPr>
        <w:t>taking into account</w:t>
      </w:r>
      <w:proofErr w:type="gramEnd"/>
      <w:r w:rsidRPr="00FB42FD">
        <w:rPr>
          <w:bCs/>
          <w:lang w:val="en-NZ" w:eastAsia="ko-KR"/>
        </w:rPr>
        <w:t xml:space="preserve"> that no additional regulatory or technical restrictions are imposed on IMT terrestrial systems and determining the position on the possibility of using these applications in the bands mentioned in Resolution </w:t>
      </w:r>
      <w:r w:rsidRPr="00FB42FD">
        <w:rPr>
          <w:b/>
          <w:lang w:val="en-NZ" w:eastAsia="ko-KR"/>
        </w:rPr>
        <w:t xml:space="preserve">247 (WRC-19) </w:t>
      </w:r>
      <w:r w:rsidRPr="00FB42FD">
        <w:rPr>
          <w:bCs/>
          <w:lang w:val="en-NZ" w:eastAsia="ko-KR"/>
        </w:rPr>
        <w:t>or not in the upcoming Arab meetings.</w:t>
      </w:r>
    </w:p>
    <w:p w14:paraId="1A6CB239" w14:textId="77777777" w:rsidR="002A0111" w:rsidRPr="00441526" w:rsidRDefault="002A0111" w:rsidP="002A0111">
      <w:pPr>
        <w:rPr>
          <w:lang w:val="en-NZ"/>
        </w:rPr>
      </w:pPr>
    </w:p>
    <w:p w14:paraId="6ADF749F" w14:textId="77777777" w:rsidR="0003056B" w:rsidRPr="00D73C9E" w:rsidRDefault="005206E9" w:rsidP="0003056B">
      <w:pPr>
        <w:spacing w:after="120"/>
        <w:jc w:val="both"/>
        <w:rPr>
          <w:bCs/>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r>
      <w:r w:rsidR="002A0111" w:rsidRPr="0003056B">
        <w:rPr>
          <w:b/>
          <w:lang w:val="en-NZ" w:eastAsia="ko-KR"/>
        </w:rPr>
        <w:t xml:space="preserve">ATU </w:t>
      </w:r>
      <w:r w:rsidR="002A0111" w:rsidRPr="0003056B">
        <w:rPr>
          <w:b/>
        </w:rPr>
        <w:t xml:space="preserve">- </w:t>
      </w:r>
      <w:r w:rsidR="002A0111" w:rsidRPr="0003056B">
        <w:rPr>
          <w:b/>
          <w:lang w:val="en-NZ" w:eastAsia="ko-KR"/>
        </w:rPr>
        <w:t>Document APG</w:t>
      </w:r>
      <w:r w:rsidR="006B09DB" w:rsidRPr="0003056B">
        <w:rPr>
          <w:b/>
          <w:lang w:val="en-NZ" w:eastAsia="ko-KR"/>
        </w:rPr>
        <w:t>23</w:t>
      </w:r>
      <w:r w:rsidR="002A0111" w:rsidRPr="0003056B">
        <w:rPr>
          <w:b/>
          <w:lang w:val="en-NZ" w:eastAsia="ko-KR"/>
        </w:rPr>
        <w:t>-</w:t>
      </w:r>
      <w:r w:rsidR="00F00939" w:rsidRPr="0003056B">
        <w:rPr>
          <w:b/>
          <w:lang w:val="en-NZ" w:eastAsia="ko-KR"/>
        </w:rPr>
        <w:t>4</w:t>
      </w:r>
      <w:r w:rsidR="002A0111" w:rsidRPr="0003056B">
        <w:rPr>
          <w:b/>
          <w:lang w:val="en-NZ" w:eastAsia="ko-KR"/>
        </w:rPr>
        <w:t>/</w:t>
      </w:r>
      <w:hyperlink r:id="rId60" w:history="1">
        <w:r w:rsidR="0003056B" w:rsidRPr="0003056B">
          <w:rPr>
            <w:rStyle w:val="Hyperlink"/>
            <w:rFonts w:eastAsia="MS Mincho" w:hint="eastAsia"/>
            <w:b/>
            <w:lang w:val="en-GB" w:eastAsia="ja-JP"/>
          </w:rPr>
          <w:t>I</w:t>
        </w:r>
        <w:r w:rsidR="0003056B" w:rsidRPr="0003056B">
          <w:rPr>
            <w:rStyle w:val="Hyperlink"/>
            <w:rFonts w:eastAsia="MS Mincho"/>
            <w:b/>
            <w:lang w:val="en-GB" w:eastAsia="ja-JP"/>
          </w:rPr>
          <w:t>NF-02</w:t>
        </w:r>
      </w:hyperlink>
    </w:p>
    <w:p w14:paraId="1989DCEB" w14:textId="77777777" w:rsidR="0003056B" w:rsidRDefault="0003056B" w:rsidP="0003056B">
      <w:pPr>
        <w:numPr>
          <w:ilvl w:val="0"/>
          <w:numId w:val="18"/>
        </w:numPr>
        <w:ind w:leftChars="145" w:left="708"/>
        <w:rPr>
          <w:lang w:val="en-NZ"/>
        </w:rPr>
      </w:pPr>
      <w:r w:rsidRPr="00E03B9F">
        <w:rPr>
          <w:lang w:val="en-NZ"/>
        </w:rPr>
        <w:t>Support studies to enable the use of HIBS in bands below 2700 MHz, already identified for IMT</w:t>
      </w:r>
      <w:r>
        <w:rPr>
          <w:lang w:val="en-NZ"/>
        </w:rPr>
        <w:t>.</w:t>
      </w:r>
    </w:p>
    <w:p w14:paraId="6C6E0F2F" w14:textId="77777777" w:rsidR="0003056B" w:rsidRDefault="0003056B" w:rsidP="0003056B">
      <w:pPr>
        <w:numPr>
          <w:ilvl w:val="0"/>
          <w:numId w:val="18"/>
        </w:numPr>
        <w:ind w:leftChars="145" w:left="708"/>
        <w:rPr>
          <w:lang w:val="en-NZ"/>
        </w:rPr>
      </w:pPr>
      <w:r w:rsidRPr="00E03B9F">
        <w:rPr>
          <w:lang w:val="en-NZ"/>
        </w:rPr>
        <w:t>Support the ITU-R sharing and compatibility studies for HIBS usage and protection of existing co-primary and primary services in adjacent bands without adversely affecting these services</w:t>
      </w:r>
      <w:r w:rsidRPr="00D73C9E">
        <w:rPr>
          <w:lang w:val="en-NZ"/>
        </w:rPr>
        <w:t>,</w:t>
      </w:r>
    </w:p>
    <w:p w14:paraId="56FDE363" w14:textId="3F48F1B9" w:rsidR="002A0111" w:rsidRPr="0003056B" w:rsidRDefault="0003056B" w:rsidP="0003056B">
      <w:pPr>
        <w:numPr>
          <w:ilvl w:val="0"/>
          <w:numId w:val="18"/>
        </w:numPr>
        <w:ind w:leftChars="145" w:left="708"/>
        <w:rPr>
          <w:lang w:val="en-NZ"/>
        </w:rPr>
      </w:pPr>
      <w:r w:rsidRPr="0003056B">
        <w:rPr>
          <w:lang w:val="en-NZ"/>
        </w:rPr>
        <w:t>Support, based on the result of studies, the global/regional harmonization on the use of the frequency bands for HIBS, which may include addition of African countries names in the existing footnotes in the RR.</w:t>
      </w:r>
    </w:p>
    <w:p w14:paraId="26306F8B" w14:textId="77777777" w:rsidR="005206E9" w:rsidRDefault="005206E9" w:rsidP="002A0111">
      <w:pPr>
        <w:spacing w:after="120"/>
        <w:jc w:val="both"/>
        <w:rPr>
          <w:b/>
          <w:lang w:val="en-NZ" w:eastAsia="ko-KR"/>
        </w:rPr>
      </w:pPr>
    </w:p>
    <w:p w14:paraId="2B33EE74" w14:textId="06228D0F" w:rsidR="002A0111" w:rsidRPr="00AB695E" w:rsidRDefault="00AB695E" w:rsidP="00AB695E">
      <w:pPr>
        <w:spacing w:after="120"/>
        <w:jc w:val="both"/>
        <w:rPr>
          <w:b/>
          <w:lang w:val="en-NZ" w:eastAsia="ko-KR"/>
        </w:rPr>
      </w:pPr>
      <w:r>
        <w:rPr>
          <w:b/>
          <w:lang w:val="en-NZ" w:eastAsia="ko-KR"/>
        </w:rPr>
        <w:t>7</w:t>
      </w:r>
      <w:r w:rsidRPr="00441526">
        <w:rPr>
          <w:b/>
          <w:lang w:val="en-NZ" w:eastAsia="ko-KR"/>
        </w:rPr>
        <w:t>.1.</w:t>
      </w:r>
      <w:r>
        <w:rPr>
          <w:b/>
          <w:lang w:val="en-NZ" w:eastAsia="ko-KR"/>
        </w:rPr>
        <w:t>3</w:t>
      </w:r>
      <w:r w:rsidRPr="00441526">
        <w:rPr>
          <w:b/>
          <w:lang w:val="en-NZ" w:eastAsia="ko-KR"/>
        </w:rPr>
        <w:t xml:space="preserve"> </w:t>
      </w:r>
      <w:r w:rsidRPr="00441526">
        <w:rPr>
          <w:b/>
          <w:lang w:val="en-NZ" w:eastAsia="ko-KR"/>
        </w:rPr>
        <w:tab/>
      </w:r>
      <w:r w:rsidR="002A0111" w:rsidRPr="00AB695E">
        <w:rPr>
          <w:b/>
          <w:lang w:val="en-NZ" w:eastAsia="ko-KR"/>
        </w:rPr>
        <w:t xml:space="preserve">CEPT </w:t>
      </w:r>
      <w:r w:rsidR="002A0111" w:rsidRPr="00441526">
        <w:t xml:space="preserve">- </w:t>
      </w:r>
      <w:r w:rsidR="002A0111" w:rsidRPr="00AB695E">
        <w:rPr>
          <w:b/>
          <w:lang w:val="en-NZ" w:eastAsia="ko-KR"/>
        </w:rPr>
        <w:t>Document APG</w:t>
      </w:r>
      <w:r w:rsidR="006B09DB" w:rsidRPr="00AB695E">
        <w:rPr>
          <w:b/>
          <w:lang w:val="en-NZ" w:eastAsia="ko-KR"/>
        </w:rPr>
        <w:t>23</w:t>
      </w:r>
      <w:r w:rsidR="002A0111" w:rsidRPr="00AB695E">
        <w:rPr>
          <w:b/>
          <w:lang w:val="en-NZ" w:eastAsia="ko-KR"/>
        </w:rPr>
        <w:t>-</w:t>
      </w:r>
      <w:r w:rsidR="00F00939" w:rsidRPr="00AB695E">
        <w:rPr>
          <w:b/>
          <w:lang w:val="en-NZ" w:eastAsia="ko-KR"/>
        </w:rPr>
        <w:t>4</w:t>
      </w:r>
      <w:r w:rsidR="002A0111" w:rsidRPr="00AB695E">
        <w:rPr>
          <w:b/>
          <w:lang w:val="en-NZ" w:eastAsia="ko-KR"/>
        </w:rPr>
        <w:t>/</w:t>
      </w:r>
      <w:hyperlink r:id="rId61" w:history="1">
        <w:r w:rsidR="002A0111" w:rsidRPr="00AB695E">
          <w:rPr>
            <w:rStyle w:val="Hyperlink"/>
            <w:b/>
            <w:lang w:val="en-NZ" w:eastAsia="ko-KR"/>
          </w:rPr>
          <w:t>INF-</w:t>
        </w:r>
        <w:r w:rsidR="00D03108" w:rsidRPr="00AB695E">
          <w:rPr>
            <w:rStyle w:val="Hyperlink"/>
            <w:b/>
            <w:lang w:val="en-NZ" w:eastAsia="ko-KR"/>
          </w:rPr>
          <w:t>48</w:t>
        </w:r>
      </w:hyperlink>
    </w:p>
    <w:p w14:paraId="1AF9F0FB" w14:textId="45A7A564" w:rsidR="00D03108" w:rsidRDefault="009C44B8" w:rsidP="00D03108">
      <w:pPr>
        <w:numPr>
          <w:ilvl w:val="0"/>
          <w:numId w:val="18"/>
        </w:numPr>
        <w:ind w:leftChars="145" w:left="708"/>
        <w:rPr>
          <w:lang w:val="en-NZ"/>
        </w:rPr>
      </w:pPr>
      <w:r>
        <w:rPr>
          <w:lang w:val="en-NZ"/>
        </w:rPr>
        <w:t>One i</w:t>
      </w:r>
      <w:r w:rsidR="00D03108" w:rsidRPr="00D03108">
        <w:rPr>
          <w:lang w:val="en-NZ"/>
        </w:rPr>
        <w:t>ssue a)</w:t>
      </w:r>
      <w:r>
        <w:rPr>
          <w:lang w:val="en-NZ"/>
        </w:rPr>
        <w:t xml:space="preserve"> </w:t>
      </w:r>
      <w:r w:rsidRPr="009C44B8">
        <w:rPr>
          <w:lang w:val="en-NZ"/>
        </w:rPr>
        <w:t>spectrum needs for high-altitude platform stations as IMT base stations</w:t>
      </w:r>
      <w:r>
        <w:rPr>
          <w:lang w:val="en-NZ"/>
        </w:rPr>
        <w:t>:</w:t>
      </w:r>
    </w:p>
    <w:p w14:paraId="42C6FDEE" w14:textId="71552F0B" w:rsidR="00D03108" w:rsidRPr="00D03108" w:rsidRDefault="00D03108" w:rsidP="00096846">
      <w:pPr>
        <w:numPr>
          <w:ilvl w:val="2"/>
          <w:numId w:val="32"/>
        </w:numPr>
        <w:jc w:val="both"/>
        <w:rPr>
          <w:lang w:val="en-NZ"/>
        </w:rPr>
      </w:pPr>
      <w:r w:rsidRPr="00D03108">
        <w:rPr>
          <w:lang w:val="en-NZ"/>
        </w:rPr>
        <w:lastRenderedPageBreak/>
        <w:t>HIBS will operate in frequency bands identified for IMT, so CEPT does not see the need for and does not support</w:t>
      </w:r>
      <w:r>
        <w:rPr>
          <w:rFonts w:ascii="MS Mincho" w:eastAsia="MS Mincho" w:hAnsi="MS Mincho" w:hint="eastAsia"/>
          <w:lang w:val="en-NZ" w:eastAsia="ja-JP"/>
        </w:rPr>
        <w:t xml:space="preserve"> </w:t>
      </w:r>
      <w:r w:rsidRPr="00D03108">
        <w:rPr>
          <w:lang w:val="en-NZ"/>
        </w:rPr>
        <w:t>additional spectrum for HIBS.</w:t>
      </w:r>
    </w:p>
    <w:p w14:paraId="72DBF65C" w14:textId="4B80D541" w:rsidR="00D03108" w:rsidRDefault="00D03108" w:rsidP="00096846">
      <w:pPr>
        <w:numPr>
          <w:ilvl w:val="0"/>
          <w:numId w:val="18"/>
        </w:numPr>
        <w:ind w:leftChars="145" w:left="708"/>
        <w:jc w:val="both"/>
        <w:rPr>
          <w:lang w:val="en-NZ"/>
        </w:rPr>
      </w:pPr>
      <w:r w:rsidRPr="00D03108">
        <w:rPr>
          <w:lang w:val="en-NZ"/>
        </w:rPr>
        <w:t>On issue b)</w:t>
      </w:r>
      <w:r w:rsidR="009C44B8">
        <w:rPr>
          <w:lang w:val="en-NZ"/>
        </w:rPr>
        <w:t xml:space="preserve"> </w:t>
      </w:r>
      <w:r w:rsidR="009C44B8" w:rsidRPr="009C44B8">
        <w:rPr>
          <w:lang w:val="en-NZ"/>
        </w:rPr>
        <w:t xml:space="preserve">sharing and compatibility studies in 694-960 MHz, 1 710-1 885 </w:t>
      </w:r>
      <w:proofErr w:type="gramStart"/>
      <w:r w:rsidR="009C44B8" w:rsidRPr="009C44B8">
        <w:rPr>
          <w:lang w:val="en-NZ"/>
        </w:rPr>
        <w:t>MHz</w:t>
      </w:r>
      <w:proofErr w:type="gramEnd"/>
      <w:r w:rsidR="009C44B8" w:rsidRPr="009C44B8">
        <w:rPr>
          <w:lang w:val="en-NZ"/>
        </w:rPr>
        <w:t xml:space="preserve"> and 2 500-2 690 MHz</w:t>
      </w:r>
      <w:r w:rsidR="009C44B8">
        <w:rPr>
          <w:lang w:val="en-NZ"/>
        </w:rPr>
        <w:t>:</w:t>
      </w:r>
    </w:p>
    <w:p w14:paraId="465F16C9" w14:textId="7375376B" w:rsidR="00D03108" w:rsidRPr="00D03108" w:rsidRDefault="00D03108" w:rsidP="00096846">
      <w:pPr>
        <w:numPr>
          <w:ilvl w:val="2"/>
          <w:numId w:val="30"/>
        </w:numPr>
        <w:jc w:val="both"/>
        <w:rPr>
          <w:lang w:val="en-NZ"/>
        </w:rPr>
      </w:pPr>
      <w:r w:rsidRPr="00D03108">
        <w:rPr>
          <w:lang w:val="en-NZ"/>
        </w:rPr>
        <w:t>To be defined</w:t>
      </w:r>
    </w:p>
    <w:p w14:paraId="2FD167FE" w14:textId="2E8FB877" w:rsidR="00D03108" w:rsidRDefault="00D03108" w:rsidP="00096846">
      <w:pPr>
        <w:numPr>
          <w:ilvl w:val="0"/>
          <w:numId w:val="18"/>
        </w:numPr>
        <w:ind w:leftChars="145" w:left="708"/>
        <w:jc w:val="both"/>
        <w:rPr>
          <w:lang w:val="en-NZ"/>
        </w:rPr>
      </w:pPr>
      <w:r w:rsidRPr="00D03108">
        <w:rPr>
          <w:lang w:val="en-NZ"/>
        </w:rPr>
        <w:t>On issue c)</w:t>
      </w:r>
      <w:r w:rsidR="009C44B8">
        <w:rPr>
          <w:lang w:val="en-NZ"/>
        </w:rPr>
        <w:t xml:space="preserve"> </w:t>
      </w:r>
      <w:r w:rsidR="009C44B8" w:rsidRPr="009C44B8">
        <w:rPr>
          <w:lang w:val="en-NZ"/>
        </w:rPr>
        <w:t>possible modification to the existing HAPS identification in the 2 GHz IMT bands</w:t>
      </w:r>
      <w:r w:rsidRPr="00D03108">
        <w:rPr>
          <w:lang w:val="en-NZ"/>
        </w:rPr>
        <w:t>:</w:t>
      </w:r>
    </w:p>
    <w:p w14:paraId="54716C25" w14:textId="34292036" w:rsidR="00D03108" w:rsidRPr="00D03108" w:rsidRDefault="00D03108" w:rsidP="00096846">
      <w:pPr>
        <w:numPr>
          <w:ilvl w:val="2"/>
          <w:numId w:val="28"/>
        </w:numPr>
        <w:jc w:val="both"/>
        <w:rPr>
          <w:lang w:val="en-NZ"/>
        </w:rPr>
      </w:pPr>
      <w:r w:rsidRPr="00D03108">
        <w:rPr>
          <w:lang w:val="en-NZ"/>
        </w:rPr>
        <w:t>CEPT does not support any changes to the existing HAPS identification in the 2 GHz IMT bands, which already</w:t>
      </w:r>
      <w:r>
        <w:rPr>
          <w:rFonts w:ascii="MS Mincho" w:eastAsia="MS Mincho" w:hAnsi="MS Mincho" w:hint="eastAsia"/>
          <w:lang w:val="en-NZ" w:eastAsia="ja-JP"/>
        </w:rPr>
        <w:t xml:space="preserve"> </w:t>
      </w:r>
      <w:r w:rsidRPr="00D03108">
        <w:rPr>
          <w:lang w:val="en-NZ"/>
        </w:rPr>
        <w:t xml:space="preserve">sufficiently covers the use of HIBS (see RR No. </w:t>
      </w:r>
      <w:r w:rsidRPr="00D03108">
        <w:rPr>
          <w:b/>
          <w:bCs/>
          <w:lang w:val="en-NZ"/>
        </w:rPr>
        <w:t>5.388A</w:t>
      </w:r>
      <w:r w:rsidRPr="00D03108">
        <w:rPr>
          <w:lang w:val="en-NZ"/>
        </w:rPr>
        <w:t>).</w:t>
      </w:r>
    </w:p>
    <w:p w14:paraId="7453947A" w14:textId="6E5D5912" w:rsidR="00D03108" w:rsidRDefault="00D03108" w:rsidP="00096846">
      <w:pPr>
        <w:numPr>
          <w:ilvl w:val="0"/>
          <w:numId w:val="18"/>
        </w:numPr>
        <w:ind w:leftChars="145" w:left="708"/>
        <w:jc w:val="both"/>
        <w:rPr>
          <w:lang w:val="en-NZ"/>
        </w:rPr>
      </w:pPr>
      <w:r w:rsidRPr="00D03108">
        <w:rPr>
          <w:lang w:val="en-NZ"/>
        </w:rPr>
        <w:t>On issue d)</w:t>
      </w:r>
      <w:r w:rsidR="009C44B8">
        <w:rPr>
          <w:lang w:val="en-NZ"/>
        </w:rPr>
        <w:t xml:space="preserve"> </w:t>
      </w:r>
      <w:r w:rsidR="009C44B8" w:rsidRPr="009C44B8">
        <w:rPr>
          <w:lang w:val="en-NZ"/>
        </w:rPr>
        <w:t>the definition of high-altitude platform stations as IMT base stations (HIBS)</w:t>
      </w:r>
      <w:r w:rsidRPr="00D03108">
        <w:rPr>
          <w:lang w:val="en-NZ"/>
        </w:rPr>
        <w:t>:</w:t>
      </w:r>
    </w:p>
    <w:p w14:paraId="229F4CAC" w14:textId="68C1F7FD" w:rsidR="00D03108" w:rsidRPr="00790EDF" w:rsidRDefault="00D03108" w:rsidP="00096846">
      <w:pPr>
        <w:pStyle w:val="ListParagraph"/>
        <w:numPr>
          <w:ilvl w:val="0"/>
          <w:numId w:val="29"/>
        </w:numPr>
        <w:jc w:val="both"/>
        <w:rPr>
          <w:lang w:val="en-NZ"/>
        </w:rPr>
      </w:pPr>
      <w:r w:rsidRPr="00790EDF">
        <w:rPr>
          <w:lang w:val="en-NZ"/>
        </w:rPr>
        <w:t>To be defined</w:t>
      </w:r>
    </w:p>
    <w:p w14:paraId="467FDAF3" w14:textId="77777777" w:rsidR="002A0111" w:rsidRPr="00441526" w:rsidRDefault="002A0111" w:rsidP="002A0111">
      <w:pPr>
        <w:rPr>
          <w:lang w:val="en-NZ"/>
        </w:rPr>
      </w:pPr>
    </w:p>
    <w:p w14:paraId="22864F7B" w14:textId="424D81A9" w:rsidR="005376AC" w:rsidRPr="00441526" w:rsidRDefault="005206E9" w:rsidP="005376AC">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w:t>
      </w:r>
      <w:hyperlink r:id="rId62" w:history="1">
        <w:r w:rsidR="0093719B" w:rsidRPr="0093719B">
          <w:rPr>
            <w:rStyle w:val="Hyperlink"/>
            <w:b/>
            <w:bCs/>
            <w:lang w:val="en-GB"/>
          </w:rPr>
          <w:t>INF-28</w:t>
        </w:r>
      </w:hyperlink>
      <w:r w:rsidR="0093719B" w:rsidRPr="0093719B">
        <w:rPr>
          <w:rStyle w:val="Hyperlink"/>
          <w:b/>
          <w:bCs/>
          <w:lang w:val="en-GB"/>
        </w:rPr>
        <w:t>(Rev.1)</w:t>
      </w:r>
    </w:p>
    <w:p w14:paraId="592D51B2" w14:textId="228F7012" w:rsidR="00790EDF" w:rsidRDefault="00790EDF" w:rsidP="005376AC">
      <w:pPr>
        <w:numPr>
          <w:ilvl w:val="0"/>
          <w:numId w:val="18"/>
        </w:numPr>
        <w:ind w:leftChars="145" w:left="708"/>
        <w:rPr>
          <w:lang w:val="en-NZ"/>
        </w:rPr>
      </w:pPr>
      <w:r>
        <w:rPr>
          <w:lang w:val="en-NZ"/>
        </w:rPr>
        <w:t>Preliminary view</w:t>
      </w:r>
      <w:r w:rsidR="00851E62">
        <w:rPr>
          <w:lang w:val="en-NZ"/>
        </w:rPr>
        <w:t>s</w:t>
      </w:r>
    </w:p>
    <w:p w14:paraId="3C919148" w14:textId="56496826" w:rsidR="00FC3A41" w:rsidRDefault="00FC3A41" w:rsidP="00096846">
      <w:pPr>
        <w:numPr>
          <w:ilvl w:val="2"/>
          <w:numId w:val="27"/>
        </w:numPr>
        <w:jc w:val="both"/>
        <w:rPr>
          <w:lang w:val="en-NZ"/>
        </w:rPr>
      </w:pPr>
      <w:r w:rsidRPr="00FC3A41">
        <w:rPr>
          <w:lang w:val="en-NZ"/>
        </w:rPr>
        <w:t xml:space="preserve">An Administration supports studies on WRC-23 agenda item 1.4, “to consider the use of high-altitude platform stations as IMT base stations (HIBS) in the mobile service in certain frequency bands below 2.7 GHz already identified for IMT, on a global or regional level” in accordance with Resolution </w:t>
      </w:r>
      <w:r w:rsidRPr="00FC3A41">
        <w:rPr>
          <w:b/>
          <w:bCs/>
          <w:lang w:val="en-NZ"/>
        </w:rPr>
        <w:t>247 (WRC-19)</w:t>
      </w:r>
      <w:r w:rsidRPr="00FC3A41">
        <w:rPr>
          <w:lang w:val="en-NZ"/>
        </w:rPr>
        <w:t xml:space="preserve">. It is also of the view that there should be no additional regulatory or technical constraints imposed to existing </w:t>
      </w:r>
      <w:proofErr w:type="gramStart"/>
      <w:r w:rsidRPr="00FC3A41">
        <w:rPr>
          <w:lang w:val="en-NZ"/>
        </w:rPr>
        <w:t>ground</w:t>
      </w:r>
      <w:r w:rsidR="00790EDF">
        <w:rPr>
          <w:lang w:val="en-NZ"/>
        </w:rPr>
        <w:t>-</w:t>
      </w:r>
      <w:r w:rsidRPr="00FC3A41">
        <w:rPr>
          <w:lang w:val="en-NZ"/>
        </w:rPr>
        <w:t>based</w:t>
      </w:r>
      <w:proofErr w:type="gramEnd"/>
      <w:r w:rsidRPr="00FC3A41">
        <w:rPr>
          <w:lang w:val="en-NZ"/>
        </w:rPr>
        <w:t xml:space="preserve"> IMT networks in the frequency bands under study.</w:t>
      </w:r>
    </w:p>
    <w:p w14:paraId="57AEF41E" w14:textId="455D0032" w:rsidR="00790EDF" w:rsidRDefault="00790EDF" w:rsidP="00096846">
      <w:pPr>
        <w:numPr>
          <w:ilvl w:val="2"/>
          <w:numId w:val="27"/>
        </w:numPr>
        <w:jc w:val="both"/>
        <w:rPr>
          <w:lang w:val="en-NZ"/>
        </w:rPr>
      </w:pPr>
      <w:r w:rsidRPr="00790EDF">
        <w:rPr>
          <w:lang w:val="en-NZ"/>
        </w:rPr>
        <w:t xml:space="preserve">Some Administrations consider that modifications to the identifications to IMT (RR Nos. </w:t>
      </w:r>
      <w:r w:rsidRPr="00790EDF">
        <w:rPr>
          <w:b/>
          <w:bCs/>
          <w:lang w:val="en-NZ"/>
        </w:rPr>
        <w:t>5.286AA</w:t>
      </w:r>
      <w:r w:rsidRPr="00790EDF">
        <w:rPr>
          <w:lang w:val="en-NZ"/>
        </w:rPr>
        <w:t xml:space="preserve">, </w:t>
      </w:r>
      <w:r w:rsidRPr="00790EDF">
        <w:rPr>
          <w:b/>
          <w:bCs/>
          <w:lang w:val="en-NZ"/>
        </w:rPr>
        <w:t>5.317A</w:t>
      </w:r>
      <w:r w:rsidRPr="00790EDF">
        <w:rPr>
          <w:lang w:val="en-NZ"/>
        </w:rPr>
        <w:t xml:space="preserve">, </w:t>
      </w:r>
      <w:r w:rsidRPr="00790EDF">
        <w:rPr>
          <w:b/>
          <w:bCs/>
          <w:lang w:val="en-NZ"/>
        </w:rPr>
        <w:t>5.341A</w:t>
      </w:r>
      <w:r w:rsidRPr="00790EDF">
        <w:rPr>
          <w:lang w:val="en-NZ"/>
        </w:rPr>
        <w:t xml:space="preserve">, </w:t>
      </w:r>
      <w:r w:rsidRPr="00790EDF">
        <w:rPr>
          <w:b/>
          <w:bCs/>
          <w:lang w:val="en-NZ"/>
        </w:rPr>
        <w:t>5.341B</w:t>
      </w:r>
      <w:r w:rsidRPr="00790EDF">
        <w:rPr>
          <w:lang w:val="en-NZ"/>
        </w:rPr>
        <w:t xml:space="preserve">, </w:t>
      </w:r>
      <w:r w:rsidRPr="00790EDF">
        <w:rPr>
          <w:b/>
          <w:bCs/>
          <w:lang w:val="en-NZ"/>
        </w:rPr>
        <w:t>5.341C</w:t>
      </w:r>
      <w:r w:rsidRPr="00790EDF">
        <w:rPr>
          <w:lang w:val="en-NZ"/>
        </w:rPr>
        <w:t xml:space="preserve">, </w:t>
      </w:r>
      <w:r w:rsidRPr="00790EDF">
        <w:rPr>
          <w:b/>
          <w:bCs/>
          <w:lang w:val="en-NZ"/>
        </w:rPr>
        <w:t>5.346</w:t>
      </w:r>
      <w:r w:rsidRPr="00790EDF">
        <w:rPr>
          <w:lang w:val="en-NZ"/>
        </w:rPr>
        <w:t xml:space="preserve">, </w:t>
      </w:r>
      <w:r w:rsidRPr="00790EDF">
        <w:rPr>
          <w:b/>
          <w:bCs/>
          <w:lang w:val="en-NZ"/>
        </w:rPr>
        <w:t>5.346A</w:t>
      </w:r>
      <w:r w:rsidRPr="00790EDF">
        <w:rPr>
          <w:lang w:val="en-NZ"/>
        </w:rPr>
        <w:t xml:space="preserve">, </w:t>
      </w:r>
      <w:r w:rsidRPr="00790EDF">
        <w:rPr>
          <w:b/>
          <w:bCs/>
          <w:lang w:val="en-NZ"/>
        </w:rPr>
        <w:t>5.384A</w:t>
      </w:r>
      <w:r w:rsidRPr="00790EDF">
        <w:rPr>
          <w:lang w:val="en-NZ"/>
        </w:rPr>
        <w:t xml:space="preserve"> and </w:t>
      </w:r>
      <w:r w:rsidRPr="00790EDF">
        <w:rPr>
          <w:b/>
          <w:bCs/>
          <w:lang w:val="en-NZ"/>
        </w:rPr>
        <w:t>5.388</w:t>
      </w:r>
      <w:r w:rsidRPr="00790EDF">
        <w:rPr>
          <w:lang w:val="en-NZ"/>
        </w:rPr>
        <w:t>) in the Radio Regulations are outside the scope of WRC-23 agenda item 1.4; there should be no additional regulatory or technical constraints imposed on the deployment of terrestrial IMT in the frequency bands referred to in those footnotes.</w:t>
      </w:r>
    </w:p>
    <w:p w14:paraId="767DBDDA" w14:textId="73CB1D21" w:rsidR="00FC3A41" w:rsidRDefault="00FC3A41" w:rsidP="00096846">
      <w:pPr>
        <w:numPr>
          <w:ilvl w:val="2"/>
          <w:numId w:val="27"/>
        </w:numPr>
        <w:jc w:val="both"/>
        <w:rPr>
          <w:lang w:val="en-NZ"/>
        </w:rPr>
      </w:pPr>
      <w:r w:rsidRPr="00FC3A41">
        <w:rPr>
          <w:lang w:val="en-NZ"/>
        </w:rPr>
        <w:t>Some Administrations support conducting sharing and compatibility studies to ensure the protection of services to which the frequency bands 694-960 MHz, 1 710-1 885 MHz and 2 500-2 690 MHz are allocated on a primary basis, including other IMT uses, incumbent systems and the planned development of services allocated on a primary basis, with the aim of knowing and assessing the potential for establishing the necessary technical and regulatory provisions for HIBS to be used in such frequency bands, if deemed advisable.</w:t>
      </w:r>
    </w:p>
    <w:p w14:paraId="52297CD7" w14:textId="2E234BD1" w:rsidR="00851E62" w:rsidRDefault="00851E62" w:rsidP="00096846">
      <w:pPr>
        <w:numPr>
          <w:ilvl w:val="0"/>
          <w:numId w:val="18"/>
        </w:numPr>
        <w:ind w:leftChars="145" w:left="708"/>
        <w:jc w:val="both"/>
        <w:rPr>
          <w:bCs/>
          <w:lang w:val="en-NZ" w:eastAsia="ko-KR"/>
        </w:rPr>
      </w:pPr>
      <w:r w:rsidRPr="00851E62">
        <w:rPr>
          <w:bCs/>
          <w:lang w:val="en-NZ" w:eastAsia="ko-KR"/>
        </w:rPr>
        <w:t>Preliminary Proposal</w:t>
      </w:r>
    </w:p>
    <w:p w14:paraId="5F26EA6C" w14:textId="1FD754D0" w:rsidR="00851E62" w:rsidRDefault="00851E62" w:rsidP="00096846">
      <w:pPr>
        <w:numPr>
          <w:ilvl w:val="2"/>
          <w:numId w:val="18"/>
        </w:numPr>
        <w:jc w:val="both"/>
        <w:rPr>
          <w:bCs/>
          <w:lang w:val="en-NZ" w:eastAsia="ko-KR"/>
        </w:rPr>
      </w:pPr>
      <w:r w:rsidRPr="00851E62">
        <w:rPr>
          <w:bCs/>
          <w:lang w:val="en-NZ" w:eastAsia="ko-KR"/>
        </w:rPr>
        <w:t>An Administration proposes the following modifications:</w:t>
      </w:r>
    </w:p>
    <w:p w14:paraId="2FBD308D" w14:textId="0ECF254C" w:rsidR="00851E62" w:rsidRPr="00851E62" w:rsidRDefault="00851E62" w:rsidP="00096846">
      <w:pPr>
        <w:numPr>
          <w:ilvl w:val="3"/>
          <w:numId w:val="18"/>
        </w:numPr>
        <w:jc w:val="both"/>
        <w:rPr>
          <w:b/>
          <w:lang w:val="en-NZ" w:eastAsia="ko-KR"/>
        </w:rPr>
      </w:pPr>
      <w:r w:rsidRPr="00851E62">
        <w:rPr>
          <w:b/>
          <w:lang w:val="en-NZ" w:eastAsia="ko-KR"/>
        </w:rPr>
        <w:t>ADD 5.A14</w:t>
      </w:r>
    </w:p>
    <w:p w14:paraId="07FC52B7" w14:textId="3BD689E2" w:rsidR="00851E62" w:rsidRPr="00851E62" w:rsidRDefault="00851E62" w:rsidP="00096846">
      <w:pPr>
        <w:numPr>
          <w:ilvl w:val="3"/>
          <w:numId w:val="18"/>
        </w:numPr>
        <w:jc w:val="both"/>
        <w:rPr>
          <w:bCs/>
          <w:i/>
          <w:iCs/>
          <w:lang w:val="en-NZ" w:eastAsia="ko-KR"/>
        </w:rPr>
      </w:pPr>
      <w:r w:rsidRPr="00851E62">
        <w:rPr>
          <w:b/>
          <w:lang w:val="en-NZ" w:eastAsia="ko-KR"/>
        </w:rPr>
        <w:t>ADD RESOLUTION [A14-HIBS 698-960 MHZ] (WRC-23)</w:t>
      </w:r>
      <w:r w:rsidRPr="00851E62">
        <w:rPr>
          <w:bCs/>
          <w:lang w:val="en-NZ" w:eastAsia="ko-KR"/>
        </w:rPr>
        <w:t xml:space="preserve"> </w:t>
      </w:r>
      <w:r w:rsidRPr="00851E62">
        <w:rPr>
          <w:bCs/>
          <w:i/>
          <w:iCs/>
          <w:lang w:val="en-NZ" w:eastAsia="ko-KR"/>
        </w:rPr>
        <w:t>Use of high-altitude platform stations as International Mobile Telecommunications base stations (HIBS) in the frequency band 694-960 MHz, or portions thereof</w:t>
      </w:r>
    </w:p>
    <w:p w14:paraId="75FDE083" w14:textId="30748290" w:rsidR="00851E62" w:rsidRPr="00851E62" w:rsidRDefault="00851E62" w:rsidP="00096846">
      <w:pPr>
        <w:numPr>
          <w:ilvl w:val="3"/>
          <w:numId w:val="18"/>
        </w:numPr>
        <w:jc w:val="both"/>
        <w:rPr>
          <w:b/>
          <w:lang w:val="en-NZ" w:eastAsia="ko-KR"/>
        </w:rPr>
      </w:pPr>
      <w:r w:rsidRPr="00851E62">
        <w:rPr>
          <w:b/>
          <w:lang w:val="en-NZ" w:eastAsia="ko-KR"/>
        </w:rPr>
        <w:t>MOD 5.388A</w:t>
      </w:r>
    </w:p>
    <w:p w14:paraId="000E0105" w14:textId="726749B1" w:rsidR="00851E62" w:rsidRPr="00851E62" w:rsidRDefault="00851E62" w:rsidP="00096846">
      <w:pPr>
        <w:numPr>
          <w:ilvl w:val="3"/>
          <w:numId w:val="18"/>
        </w:numPr>
        <w:jc w:val="both"/>
        <w:rPr>
          <w:bCs/>
          <w:i/>
          <w:iCs/>
          <w:lang w:val="en-NZ" w:eastAsia="ko-KR"/>
        </w:rPr>
      </w:pPr>
      <w:r w:rsidRPr="00851E62">
        <w:rPr>
          <w:b/>
          <w:lang w:val="en-NZ" w:eastAsia="ko-KR"/>
        </w:rPr>
        <w:t>MOD RESOLUTION 221 (REV.WRC 07)</w:t>
      </w:r>
      <w:r w:rsidRPr="00851E62">
        <w:rPr>
          <w:bCs/>
          <w:lang w:val="en-NZ" w:eastAsia="ko-KR"/>
        </w:rPr>
        <w:t xml:space="preserve"> </w:t>
      </w:r>
      <w:r w:rsidRPr="00851E62">
        <w:rPr>
          <w:bCs/>
          <w:i/>
          <w:iCs/>
          <w:lang w:val="en-NZ" w:eastAsia="ko-KR"/>
        </w:rPr>
        <w:t xml:space="preserve">Use of </w:t>
      </w:r>
      <w:proofErr w:type="gramStart"/>
      <w:r w:rsidRPr="00851E62">
        <w:rPr>
          <w:bCs/>
          <w:i/>
          <w:iCs/>
          <w:lang w:val="en-NZ" w:eastAsia="ko-KR"/>
        </w:rPr>
        <w:t>high altitude</w:t>
      </w:r>
      <w:proofErr w:type="gramEnd"/>
      <w:r w:rsidRPr="00851E62">
        <w:rPr>
          <w:bCs/>
          <w:i/>
          <w:iCs/>
          <w:lang w:val="en-NZ" w:eastAsia="ko-KR"/>
        </w:rPr>
        <w:t xml:space="preserve"> platform stations providing IMT in the bands 1 885 1 980 MHz,</w:t>
      </w:r>
      <w:r w:rsidRPr="00851E62">
        <w:rPr>
          <w:rFonts w:eastAsia="MS Mincho" w:hint="eastAsia"/>
          <w:bCs/>
          <w:i/>
          <w:iCs/>
          <w:lang w:val="en-NZ" w:eastAsia="ja-JP"/>
        </w:rPr>
        <w:t xml:space="preserve"> </w:t>
      </w:r>
      <w:r w:rsidRPr="00851E62">
        <w:rPr>
          <w:bCs/>
          <w:i/>
          <w:iCs/>
          <w:lang w:val="en-NZ" w:eastAsia="ko-KR"/>
        </w:rPr>
        <w:t>2 010-2 025 MHz and 2 110-2 170 MHz in Regions 1 and 3 and 1 885-1 980 MHz and 2 110-2 160 MHz in Region 2</w:t>
      </w:r>
    </w:p>
    <w:p w14:paraId="3449BBD6" w14:textId="1CF898E6" w:rsidR="00851E62" w:rsidRPr="00851E62" w:rsidRDefault="00851E62" w:rsidP="00096846">
      <w:pPr>
        <w:numPr>
          <w:ilvl w:val="3"/>
          <w:numId w:val="18"/>
        </w:numPr>
        <w:jc w:val="both"/>
        <w:rPr>
          <w:b/>
          <w:lang w:val="en-NZ" w:eastAsia="ko-KR"/>
        </w:rPr>
      </w:pPr>
      <w:r w:rsidRPr="00851E62">
        <w:rPr>
          <w:b/>
          <w:lang w:val="en-NZ" w:eastAsia="ko-KR"/>
        </w:rPr>
        <w:t>ADD 5.B14</w:t>
      </w:r>
    </w:p>
    <w:p w14:paraId="0BB7E23B" w14:textId="080E7385" w:rsidR="00851E62" w:rsidRPr="00851E62" w:rsidRDefault="00851E62" w:rsidP="00096846">
      <w:pPr>
        <w:numPr>
          <w:ilvl w:val="3"/>
          <w:numId w:val="18"/>
        </w:numPr>
        <w:jc w:val="both"/>
        <w:rPr>
          <w:bCs/>
          <w:lang w:val="en-NZ" w:eastAsia="ko-KR"/>
        </w:rPr>
      </w:pPr>
      <w:r w:rsidRPr="00851E62">
        <w:rPr>
          <w:b/>
          <w:lang w:val="en-NZ" w:eastAsia="ko-KR"/>
        </w:rPr>
        <w:t xml:space="preserve">ADD RESOLUTION [B14-HIBS 2 500-2 690 MHZ] (WRC-23) </w:t>
      </w:r>
      <w:r w:rsidRPr="00851E62">
        <w:rPr>
          <w:bCs/>
          <w:lang w:val="en-NZ" w:eastAsia="ko-KR"/>
        </w:rPr>
        <w:t>Use of high-altitude platform stations as International Mobile Telecommunications base stations (HIBS) in the frequency band 2 500-2 690 MHz, or portions thereof</w:t>
      </w:r>
    </w:p>
    <w:p w14:paraId="22DD7027" w14:textId="19717241" w:rsidR="00851E62" w:rsidRPr="00851E62" w:rsidRDefault="00851E62" w:rsidP="00096846">
      <w:pPr>
        <w:numPr>
          <w:ilvl w:val="3"/>
          <w:numId w:val="18"/>
        </w:numPr>
        <w:jc w:val="both"/>
        <w:rPr>
          <w:bCs/>
          <w:lang w:val="en-NZ" w:eastAsia="ko-KR"/>
        </w:rPr>
      </w:pPr>
      <w:r w:rsidRPr="00851E62">
        <w:rPr>
          <w:b/>
          <w:lang w:val="en-NZ" w:eastAsia="ko-KR"/>
        </w:rPr>
        <w:t xml:space="preserve">Reasons: </w:t>
      </w:r>
      <w:r w:rsidRPr="00851E62">
        <w:rPr>
          <w:bCs/>
          <w:lang w:val="en-NZ" w:eastAsia="ko-KR"/>
        </w:rPr>
        <w:t xml:space="preserve">The identification of additional frequency bands below 2.7 GHz for HIBS has the potential to support the expansion of coverage and connectivity for </w:t>
      </w:r>
      <w:r w:rsidRPr="00851E62">
        <w:rPr>
          <w:bCs/>
          <w:lang w:val="en-NZ" w:eastAsia="ko-KR"/>
        </w:rPr>
        <w:lastRenderedPageBreak/>
        <w:t xml:space="preserve">existing </w:t>
      </w:r>
      <w:proofErr w:type="gramStart"/>
      <w:r w:rsidRPr="00851E62">
        <w:rPr>
          <w:bCs/>
          <w:lang w:val="en-NZ" w:eastAsia="ko-KR"/>
        </w:rPr>
        <w:t>ground-based</w:t>
      </w:r>
      <w:proofErr w:type="gramEnd"/>
      <w:r w:rsidRPr="00851E62">
        <w:rPr>
          <w:bCs/>
          <w:lang w:val="en-NZ" w:eastAsia="ko-KR"/>
        </w:rPr>
        <w:t xml:space="preserve"> IMT networks. The technical studies show when sharing and compatibility with other services is feasible, and when some additional measures may be required, as provided in the text of the new Resolutions.</w:t>
      </w:r>
    </w:p>
    <w:p w14:paraId="0AB8F580" w14:textId="77777777" w:rsidR="002A0111" w:rsidRDefault="002A0111" w:rsidP="00096846">
      <w:pPr>
        <w:spacing w:after="120"/>
        <w:jc w:val="both"/>
        <w:rPr>
          <w:b/>
          <w:lang w:val="en-NZ" w:eastAsia="ko-KR"/>
        </w:rPr>
      </w:pPr>
    </w:p>
    <w:p w14:paraId="077A37F8" w14:textId="310C6DCE" w:rsidR="005376AC" w:rsidRPr="00AB695E" w:rsidRDefault="00AB695E" w:rsidP="00096846">
      <w:pPr>
        <w:spacing w:after="120"/>
        <w:jc w:val="both"/>
        <w:rPr>
          <w:b/>
          <w:lang w:val="en-NZ" w:eastAsia="ko-KR"/>
        </w:rPr>
      </w:pPr>
      <w:r>
        <w:rPr>
          <w:b/>
          <w:lang w:val="en-NZ" w:eastAsia="ko-KR"/>
        </w:rPr>
        <w:t>7</w:t>
      </w:r>
      <w:r w:rsidRPr="00441526">
        <w:rPr>
          <w:b/>
          <w:lang w:val="en-NZ" w:eastAsia="ko-KR"/>
        </w:rPr>
        <w:t>.1.</w:t>
      </w:r>
      <w:r>
        <w:rPr>
          <w:b/>
          <w:lang w:val="en-NZ" w:eastAsia="ko-KR"/>
        </w:rPr>
        <w:t>5</w:t>
      </w:r>
      <w:r w:rsidRPr="00441526">
        <w:rPr>
          <w:b/>
          <w:lang w:val="en-NZ" w:eastAsia="ko-KR"/>
        </w:rPr>
        <w:t xml:space="preserve"> </w:t>
      </w:r>
      <w:r w:rsidRPr="00441526">
        <w:rPr>
          <w:b/>
          <w:lang w:val="en-NZ" w:eastAsia="ko-KR"/>
        </w:rPr>
        <w:tab/>
      </w:r>
      <w:r w:rsidR="002A0111" w:rsidRPr="00AB695E">
        <w:rPr>
          <w:b/>
          <w:lang w:val="en-NZ" w:eastAsia="ko-KR"/>
        </w:rPr>
        <w:t xml:space="preserve">RCC </w:t>
      </w:r>
      <w:r w:rsidR="002A0111" w:rsidRPr="00441526">
        <w:t xml:space="preserve">- </w:t>
      </w:r>
      <w:r w:rsidR="002A0111" w:rsidRPr="00AB695E">
        <w:rPr>
          <w:b/>
          <w:lang w:val="en-NZ" w:eastAsia="ko-KR"/>
        </w:rPr>
        <w:t>Document APG</w:t>
      </w:r>
      <w:r w:rsidR="006B09DB" w:rsidRPr="00AB695E">
        <w:rPr>
          <w:b/>
          <w:lang w:val="en-NZ" w:eastAsia="ko-KR"/>
        </w:rPr>
        <w:t>23</w:t>
      </w:r>
      <w:r w:rsidR="002A0111" w:rsidRPr="00AB695E">
        <w:rPr>
          <w:b/>
          <w:lang w:val="en-NZ" w:eastAsia="ko-KR"/>
        </w:rPr>
        <w:t>-</w:t>
      </w:r>
      <w:r w:rsidR="00F00939" w:rsidRPr="00AB695E">
        <w:rPr>
          <w:b/>
          <w:lang w:val="en-NZ" w:eastAsia="ko-KR"/>
        </w:rPr>
        <w:t>4</w:t>
      </w:r>
      <w:r w:rsidR="002A0111" w:rsidRPr="00AB695E">
        <w:rPr>
          <w:b/>
          <w:lang w:val="en-NZ" w:eastAsia="ko-KR"/>
        </w:rPr>
        <w:t>/</w:t>
      </w:r>
      <w:hyperlink r:id="rId63" w:history="1">
        <w:r w:rsidR="002A0111" w:rsidRPr="00E97EF8">
          <w:rPr>
            <w:rStyle w:val="Hyperlink"/>
            <w:b/>
            <w:lang w:val="en-NZ" w:eastAsia="ko-KR"/>
          </w:rPr>
          <w:t>INF-</w:t>
        </w:r>
        <w:r w:rsidR="00E97EF8" w:rsidRPr="00E97EF8">
          <w:rPr>
            <w:rStyle w:val="Hyperlink"/>
            <w:b/>
          </w:rPr>
          <w:t>44</w:t>
        </w:r>
        <w:r w:rsidR="00E97EF8" w:rsidRPr="00E97EF8">
          <w:rPr>
            <w:rStyle w:val="Hyperlink"/>
            <w:b/>
            <w:lang w:val="en-NZ" w:eastAsia="ko-KR"/>
          </w:rPr>
          <w:t xml:space="preserve"> </w:t>
        </w:r>
      </w:hyperlink>
    </w:p>
    <w:p w14:paraId="53A364B6" w14:textId="77777777" w:rsidR="007933A2" w:rsidRDefault="007933A2" w:rsidP="00096846">
      <w:pPr>
        <w:numPr>
          <w:ilvl w:val="0"/>
          <w:numId w:val="18"/>
        </w:numPr>
        <w:ind w:leftChars="145" w:left="708"/>
        <w:jc w:val="both"/>
        <w:rPr>
          <w:lang w:val="en-NZ"/>
        </w:rPr>
      </w:pPr>
      <w:r w:rsidRPr="00DA1C72">
        <w:rPr>
          <w:bCs/>
          <w:lang w:val="en-NZ" w:eastAsia="ko-KR"/>
        </w:rPr>
        <w:t xml:space="preserve">The RCC Telecommunication Administrations are of the view that, definition of possibilities and conditions for using HIBS in the radio frequency bands referred to in Resolution </w:t>
      </w:r>
      <w:r w:rsidRPr="00DA1C72">
        <w:rPr>
          <w:b/>
          <w:lang w:val="en-NZ" w:eastAsia="ko-KR"/>
        </w:rPr>
        <w:t>247 (WRC-19)</w:t>
      </w:r>
      <w:r w:rsidRPr="00DA1C72">
        <w:rPr>
          <w:bCs/>
          <w:lang w:val="en-NZ" w:eastAsia="ko-KR"/>
        </w:rPr>
        <w:t xml:space="preserve">, shall be based on the results of the appropriate ITU-R compatibility studies, </w:t>
      </w:r>
      <w:proofErr w:type="gramStart"/>
      <w:r w:rsidRPr="00DA1C72">
        <w:rPr>
          <w:bCs/>
          <w:lang w:val="en-NZ" w:eastAsia="ko-KR"/>
        </w:rPr>
        <w:t>taking into account</w:t>
      </w:r>
      <w:proofErr w:type="gramEnd"/>
      <w:r w:rsidRPr="00DA1C72">
        <w:rPr>
          <w:bCs/>
          <w:lang w:val="en-NZ" w:eastAsia="ko-KR"/>
        </w:rPr>
        <w:t xml:space="preserve"> the planned use of the considered and adjacent frequency bands.</w:t>
      </w:r>
    </w:p>
    <w:p w14:paraId="3E5B8C3C" w14:textId="77777777" w:rsidR="007933A2" w:rsidRDefault="007933A2" w:rsidP="00096846">
      <w:pPr>
        <w:numPr>
          <w:ilvl w:val="0"/>
          <w:numId w:val="18"/>
        </w:numPr>
        <w:ind w:leftChars="145" w:left="708"/>
        <w:jc w:val="both"/>
        <w:rPr>
          <w:lang w:val="en-NZ"/>
        </w:rPr>
      </w:pPr>
      <w:r w:rsidRPr="00DA1C72">
        <w:rPr>
          <w:bCs/>
          <w:lang w:val="en-NZ" w:eastAsia="ko-KR"/>
        </w:rPr>
        <w:t xml:space="preserve">The RCC Telecommunication Administrations are of the view that, conditions for using HIBS in the radio frequency bands referred to in Resolution </w:t>
      </w:r>
      <w:r w:rsidRPr="00DA1C72">
        <w:rPr>
          <w:b/>
          <w:lang w:val="en-NZ" w:eastAsia="ko-KR"/>
        </w:rPr>
        <w:t>247 (WRC-19)</w:t>
      </w:r>
      <w:r w:rsidRPr="00DA1C72">
        <w:rPr>
          <w:bCs/>
          <w:lang w:val="en-NZ" w:eastAsia="ko-KR"/>
        </w:rPr>
        <w:t xml:space="preserve">, shall take into account </w:t>
      </w:r>
      <w:proofErr w:type="gramStart"/>
      <w:r w:rsidRPr="00DA1C72">
        <w:rPr>
          <w:bCs/>
          <w:lang w:val="en-NZ" w:eastAsia="ko-KR"/>
        </w:rPr>
        <w:t>the  requirements</w:t>
      </w:r>
      <w:proofErr w:type="gramEnd"/>
      <w:r w:rsidRPr="00DA1C72">
        <w:rPr>
          <w:bCs/>
          <w:lang w:val="en-NZ" w:eastAsia="ko-KR"/>
        </w:rPr>
        <w:t xml:space="preserve"> for the protection of existing primary services in these and adjacent bands, including other IMT uses. </w:t>
      </w:r>
    </w:p>
    <w:p w14:paraId="591FA5C6" w14:textId="77777777" w:rsidR="007933A2" w:rsidRPr="00DA1C72" w:rsidRDefault="007933A2" w:rsidP="00096846">
      <w:pPr>
        <w:numPr>
          <w:ilvl w:val="0"/>
          <w:numId w:val="18"/>
        </w:numPr>
        <w:ind w:leftChars="145" w:left="708"/>
        <w:jc w:val="both"/>
        <w:rPr>
          <w:lang w:val="en-NZ"/>
        </w:rPr>
      </w:pPr>
      <w:r w:rsidRPr="00DA1C72">
        <w:rPr>
          <w:bCs/>
          <w:lang w:val="en-NZ" w:eastAsia="ko-KR"/>
        </w:rPr>
        <w:t>The RCC Telecommunication Administrations are of the view that, the use of HIBS in the frequency band 694-960MHz shall not cause interferences to and impose any additional restrictions on the use of frequency bands 645-862 MHz and 960-1164 MHz by the stations in the aeronautical radionavigation service, as well as the use of HIBS in the frequency bands 1710-1885 MHz, 1885-1980 MHz, 2010-2025 MHz and 2110-2170 MHz shall not cause interferences to and impose any additional restrictions on the use of frequency band 1675-1710MHz by the stations in the Meteorological Satellite Service, the frequency band 2025-2110 MHz by SOS, SRS, EESS stations, and the frequency bands 1980-2010 MHz, 2170-2200 MHz by MSS stations.</w:t>
      </w:r>
    </w:p>
    <w:p w14:paraId="1C6B4782" w14:textId="77777777" w:rsidR="00162CB0" w:rsidRPr="00162CB0" w:rsidRDefault="00162CB0" w:rsidP="00096846">
      <w:pPr>
        <w:jc w:val="both"/>
        <w:rPr>
          <w:lang w:val="en-NZ"/>
        </w:rPr>
      </w:pPr>
    </w:p>
    <w:p w14:paraId="28EC94BE" w14:textId="77777777" w:rsidR="002A0111" w:rsidRPr="00441526" w:rsidRDefault="005206E9" w:rsidP="00096846">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6DD3FC4C" w14:textId="77777777" w:rsidR="00E66AB2" w:rsidRPr="008450FD" w:rsidRDefault="00E66AB2" w:rsidP="00096846">
      <w:pPr>
        <w:spacing w:after="120"/>
        <w:jc w:val="both"/>
        <w:rPr>
          <w:b/>
          <w:lang w:val="fr-FR" w:eastAsia="ko-KR"/>
        </w:rPr>
      </w:pPr>
      <w:r w:rsidRPr="00DA1C72">
        <w:rPr>
          <w:b/>
          <w:lang w:val="fr-FR" w:eastAsia="ko-KR"/>
        </w:rPr>
        <w:t xml:space="preserve">7.2.1 </w:t>
      </w:r>
      <w:r w:rsidRPr="00DA1C72">
        <w:rPr>
          <w:b/>
          <w:lang w:val="fr-FR" w:eastAsia="ko-KR"/>
        </w:rPr>
        <w:tab/>
        <w:t xml:space="preserve">ICAO </w:t>
      </w:r>
      <w:r w:rsidRPr="00DA1C72">
        <w:rPr>
          <w:lang w:val="fr-FR"/>
        </w:rPr>
        <w:t xml:space="preserve">- </w:t>
      </w:r>
      <w:r w:rsidRPr="00DA1C72">
        <w:rPr>
          <w:b/>
          <w:lang w:val="fr-FR" w:eastAsia="ko-KR"/>
        </w:rPr>
        <w:t>Document APG23-3/</w:t>
      </w:r>
      <w:hyperlink r:id="rId64" w:history="1">
        <w:r w:rsidRPr="00DA1C72">
          <w:rPr>
            <w:rStyle w:val="Hyperlink"/>
            <w:rFonts w:eastAsia="MS Mincho"/>
            <w:b/>
            <w:bCs/>
            <w:lang w:val="en-GB" w:eastAsia="ja-JP"/>
          </w:rPr>
          <w:t>INF-15</w:t>
        </w:r>
      </w:hyperlink>
    </w:p>
    <w:p w14:paraId="7882E039" w14:textId="77777777" w:rsidR="00E66AB2" w:rsidRDefault="00E66AB2" w:rsidP="00096846">
      <w:pPr>
        <w:numPr>
          <w:ilvl w:val="0"/>
          <w:numId w:val="18"/>
        </w:numPr>
        <w:ind w:leftChars="145" w:left="708"/>
        <w:jc w:val="both"/>
        <w:rPr>
          <w:lang w:val="en-NZ"/>
        </w:rPr>
      </w:pPr>
      <w:r w:rsidRPr="00D313C8">
        <w:rPr>
          <w:rFonts w:eastAsia="SimSun"/>
          <w:lang w:val="en-GB"/>
        </w:rPr>
        <w:t>To ensure that high</w:t>
      </w:r>
      <w:r w:rsidRPr="00D313C8">
        <w:rPr>
          <w:rFonts w:eastAsia="SimSun"/>
          <w:lang w:val="en-GB"/>
        </w:rPr>
        <w:noBreakHyphen/>
        <w:t>altitude platform stations as IMT</w:t>
      </w:r>
      <w:r w:rsidRPr="00D313C8">
        <w:rPr>
          <w:rFonts w:eastAsia="SimSun"/>
          <w:lang w:val="en-GB"/>
        </w:rPr>
        <w:noBreakHyphen/>
        <w:t xml:space="preserve">base stations (HIBs) sharing and compatibility studies performed under Resolution </w:t>
      </w:r>
      <w:r w:rsidRPr="00D313C8">
        <w:rPr>
          <w:rFonts w:eastAsia="SimSun"/>
          <w:b/>
          <w:bCs/>
          <w:lang w:val="en-GB"/>
        </w:rPr>
        <w:t>247 (WRC-19)</w:t>
      </w:r>
      <w:r w:rsidRPr="00D313C8">
        <w:rPr>
          <w:rFonts w:eastAsia="SimSun"/>
          <w:lang w:val="en-GB"/>
        </w:rPr>
        <w:t xml:space="preserve"> address the protection of aeronautical systems operating in the frequency bands 960-1 164 MHz and 2 700-2 900 </w:t>
      </w:r>
      <w:proofErr w:type="spellStart"/>
      <w:r w:rsidRPr="00D313C8">
        <w:rPr>
          <w:rFonts w:eastAsia="SimSun"/>
          <w:lang w:val="en-GB"/>
        </w:rPr>
        <w:t>MHz.</w:t>
      </w:r>
      <w:proofErr w:type="spellEnd"/>
    </w:p>
    <w:p w14:paraId="4FE0EB35" w14:textId="77777777" w:rsidR="00E66AB2" w:rsidRPr="00032745" w:rsidRDefault="00E66AB2" w:rsidP="00096846">
      <w:pPr>
        <w:numPr>
          <w:ilvl w:val="0"/>
          <w:numId w:val="18"/>
        </w:numPr>
        <w:ind w:leftChars="145" w:left="708"/>
        <w:jc w:val="both"/>
        <w:rPr>
          <w:lang w:val="en-NZ"/>
        </w:rPr>
      </w:pPr>
      <w:proofErr w:type="gramStart"/>
      <w:r w:rsidRPr="00D313C8">
        <w:rPr>
          <w:rFonts w:eastAsia="SimSun"/>
          <w:lang w:val="en-GB"/>
        </w:rPr>
        <w:t>In particular, to</w:t>
      </w:r>
      <w:proofErr w:type="gramEnd"/>
      <w:r w:rsidRPr="00D313C8">
        <w:rPr>
          <w:rFonts w:eastAsia="SimSun"/>
          <w:lang w:val="en-GB"/>
        </w:rPr>
        <w:t xml:space="preserve"> oppose the use of HIBS within the frequency band 2 500-2 690 MHz or parts thereof where agreed studies have not demonstrated that the signal levels from the HIBS will be below the predicted levels from the ground based IMT studies.</w:t>
      </w:r>
    </w:p>
    <w:p w14:paraId="02AC3DE1" w14:textId="77777777" w:rsidR="00E66AB2" w:rsidRPr="00A37606" w:rsidRDefault="00E66AB2" w:rsidP="00096846">
      <w:pPr>
        <w:jc w:val="both"/>
        <w:rPr>
          <w:lang w:val="en-NZ"/>
        </w:rPr>
      </w:pPr>
    </w:p>
    <w:p w14:paraId="24CE8A40" w14:textId="77777777" w:rsidR="00E66AB2" w:rsidRPr="008450FD" w:rsidRDefault="00E66AB2" w:rsidP="00096846">
      <w:pPr>
        <w:spacing w:after="120"/>
        <w:jc w:val="both"/>
        <w:rPr>
          <w:b/>
          <w:lang w:val="fr-FR" w:eastAsia="ko-KR"/>
        </w:rPr>
      </w:pPr>
      <w:r w:rsidRPr="008450FD">
        <w:rPr>
          <w:b/>
          <w:lang w:val="fr-FR" w:eastAsia="ko-KR"/>
        </w:rPr>
        <w:t>7.2.</w:t>
      </w:r>
      <w:r>
        <w:rPr>
          <w:b/>
          <w:lang w:val="fr-FR" w:eastAsia="ko-KR"/>
        </w:rPr>
        <w:t>2</w:t>
      </w:r>
      <w:r w:rsidRPr="008450FD">
        <w:rPr>
          <w:b/>
          <w:lang w:val="fr-FR" w:eastAsia="ko-KR"/>
        </w:rPr>
        <w:t xml:space="preserve"> </w:t>
      </w:r>
      <w:r w:rsidRPr="008450FD">
        <w:rPr>
          <w:b/>
          <w:lang w:val="fr-FR" w:eastAsia="ko-KR"/>
        </w:rPr>
        <w:tab/>
        <w:t xml:space="preserve">WMO </w:t>
      </w:r>
      <w:r w:rsidRPr="008450FD">
        <w:rPr>
          <w:lang w:val="fr-FR"/>
        </w:rPr>
        <w:t xml:space="preserve">- </w:t>
      </w:r>
      <w:r w:rsidRPr="008450FD">
        <w:rPr>
          <w:b/>
          <w:lang w:val="fr-FR" w:eastAsia="ko-KR"/>
        </w:rPr>
        <w:t>Document APG23-</w:t>
      </w:r>
      <w:r>
        <w:rPr>
          <w:b/>
          <w:lang w:val="fr-FR" w:eastAsia="ko-KR"/>
        </w:rPr>
        <w:t>4</w:t>
      </w:r>
      <w:r w:rsidRPr="008450FD">
        <w:rPr>
          <w:b/>
          <w:lang w:val="fr-FR" w:eastAsia="ko-KR"/>
        </w:rPr>
        <w:t>/</w:t>
      </w:r>
      <w:hyperlink r:id="rId65" w:history="1">
        <w:r w:rsidRPr="00E66AB2">
          <w:rPr>
            <w:rStyle w:val="Hyperlink"/>
            <w:rFonts w:eastAsia="MS Mincho"/>
            <w:b/>
            <w:bCs/>
            <w:lang w:val="en-GB" w:eastAsia="ja-JP"/>
          </w:rPr>
          <w:t>INF-03</w:t>
        </w:r>
      </w:hyperlink>
    </w:p>
    <w:p w14:paraId="229A84DB" w14:textId="77777777" w:rsidR="00E66AB2" w:rsidRDefault="00E66AB2" w:rsidP="00096846">
      <w:pPr>
        <w:numPr>
          <w:ilvl w:val="0"/>
          <w:numId w:val="18"/>
        </w:numPr>
        <w:ind w:leftChars="145" w:left="708"/>
        <w:jc w:val="both"/>
        <w:rPr>
          <w:lang w:val="en-NZ"/>
        </w:rPr>
      </w:pPr>
      <w:r w:rsidRPr="007E3C4C">
        <w:rPr>
          <w:lang w:val="en-NZ"/>
        </w:rPr>
        <w:t>WMO is of the opinion that studies must be conducted to specify the HIBS out-of-band unwanted emissions to prevent interference:</w:t>
      </w:r>
    </w:p>
    <w:p w14:paraId="1CE79A9B" w14:textId="77777777" w:rsidR="00E66AB2" w:rsidRDefault="00E66AB2" w:rsidP="00096846">
      <w:pPr>
        <w:numPr>
          <w:ilvl w:val="2"/>
          <w:numId w:val="26"/>
        </w:numPr>
        <w:ind w:left="1134" w:hanging="283"/>
        <w:jc w:val="both"/>
        <w:rPr>
          <w:lang w:val="en-NZ"/>
        </w:rPr>
      </w:pPr>
      <w:r w:rsidRPr="007E3C4C">
        <w:rPr>
          <w:lang w:val="en-NZ"/>
        </w:rPr>
        <w:t>to meteorological radars in the 2700-2900 MHz band from HIBS operated in the 2500-2690 MHz band,</w:t>
      </w:r>
    </w:p>
    <w:p w14:paraId="7C22E600" w14:textId="77777777" w:rsidR="00E66AB2" w:rsidRPr="007E3C4C" w:rsidRDefault="00E66AB2" w:rsidP="00096846">
      <w:pPr>
        <w:numPr>
          <w:ilvl w:val="2"/>
          <w:numId w:val="26"/>
        </w:numPr>
        <w:ind w:left="1134" w:hanging="283"/>
        <w:jc w:val="both"/>
        <w:rPr>
          <w:lang w:val="en-NZ"/>
        </w:rPr>
      </w:pPr>
      <w:r>
        <w:t xml:space="preserve">to </w:t>
      </w:r>
      <w:proofErr w:type="spellStart"/>
      <w:r>
        <w:t>MetSat</w:t>
      </w:r>
      <w:proofErr w:type="spellEnd"/>
      <w:r>
        <w:t xml:space="preserve"> service in the 1675-1710 MHz from HIBS operated in the 1710-1885 MHz band. </w:t>
      </w:r>
      <w:r w:rsidRPr="00C9329A">
        <w:rPr>
          <w:lang w:val="en-GB"/>
        </w:rPr>
        <w:t>This is important to ensure the protection of the downlink of the measured data as well as the global dissemination of the data directly to the users,</w:t>
      </w:r>
    </w:p>
    <w:p w14:paraId="13562E73" w14:textId="146C51F1" w:rsidR="002A0111" w:rsidRPr="00494411" w:rsidRDefault="00E66AB2" w:rsidP="00096846">
      <w:pPr>
        <w:numPr>
          <w:ilvl w:val="2"/>
          <w:numId w:val="26"/>
        </w:numPr>
        <w:ind w:left="1134" w:hanging="283"/>
        <w:jc w:val="both"/>
        <w:rPr>
          <w:lang w:val="en-NZ"/>
        </w:rPr>
      </w:pPr>
      <w:r w:rsidRPr="00C9329A">
        <w:t>to the EESS/SOS in the 2025-2110 MHz band.</w:t>
      </w:r>
    </w:p>
    <w:p w14:paraId="47D45828" w14:textId="2B68FB8D" w:rsidR="00654896" w:rsidRPr="00494411" w:rsidRDefault="002A0111" w:rsidP="00096846">
      <w:pPr>
        <w:jc w:val="both"/>
        <w:rPr>
          <w:snapToGrid w:val="0"/>
          <w:lang w:val="en-NZ"/>
        </w:rPr>
      </w:pPr>
      <w:r w:rsidRPr="00441526">
        <w:rPr>
          <w:lang w:val="en-NZ"/>
        </w:rPr>
        <w:t>____________</w:t>
      </w:r>
    </w:p>
    <w:sectPr w:rsidR="00654896" w:rsidRPr="00494411" w:rsidSect="00494411">
      <w:headerReference w:type="default" r:id="rId66"/>
      <w:footerReference w:type="even" r:id="rId67"/>
      <w:footerReference w:type="default" r:id="rId68"/>
      <w:headerReference w:type="first" r:id="rId69"/>
      <w:footerReference w:type="first" r:id="rId7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E8F6" w14:textId="77777777" w:rsidR="005C170D" w:rsidRDefault="005C170D">
      <w:r>
        <w:separator/>
      </w:r>
    </w:p>
  </w:endnote>
  <w:endnote w:type="continuationSeparator" w:id="0">
    <w:p w14:paraId="15030465" w14:textId="77777777" w:rsidR="005C170D" w:rsidRDefault="005C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220F331A"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F00939">
      <w:rPr>
        <w:lang w:eastAsia="ko-KR"/>
      </w:rPr>
      <w:t>4</w:t>
    </w:r>
    <w:r w:rsidR="002A0111">
      <w:rPr>
        <w:lang w:eastAsia="ko-KR"/>
      </w:rPr>
      <w:t>/</w:t>
    </w:r>
    <w:r w:rsidR="00515C40">
      <w:rPr>
        <w:lang w:eastAsia="ko-KR"/>
      </w:rPr>
      <w:t>OUT-08</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3666"/>
      <w:gridCol w:w="4398"/>
    </w:tblGrid>
    <w:tr w:rsidR="00782081" w14:paraId="0F6B4D27" w14:textId="77777777" w:rsidTr="00F24204">
      <w:trPr>
        <w:trHeight w:val="432"/>
      </w:trPr>
      <w:tc>
        <w:tcPr>
          <w:tcW w:w="1296" w:type="dxa"/>
          <w:tcBorders>
            <w:top w:val="single" w:sz="8" w:space="0" w:color="auto"/>
            <w:bottom w:val="nil"/>
            <w:right w:val="nil"/>
          </w:tcBorders>
        </w:tcPr>
        <w:p w14:paraId="2F9F6BCF" w14:textId="0D8D3F13" w:rsidR="00782081" w:rsidRDefault="00782081" w:rsidP="00782081">
          <w:pPr>
            <w:pStyle w:val="Footer"/>
            <w:tabs>
              <w:tab w:val="clear" w:pos="4320"/>
              <w:tab w:val="clear" w:pos="8640"/>
            </w:tabs>
            <w:rPr>
              <w:sz w:val="16"/>
              <w:szCs w:val="16"/>
            </w:rPr>
          </w:pPr>
          <w:r>
            <w:rPr>
              <w:b/>
              <w:bCs/>
            </w:rPr>
            <w:t>Contact:</w:t>
          </w:r>
        </w:p>
      </w:tc>
      <w:tc>
        <w:tcPr>
          <w:tcW w:w="3666" w:type="dxa"/>
          <w:tcBorders>
            <w:top w:val="single" w:sz="8" w:space="0" w:color="auto"/>
            <w:left w:val="nil"/>
            <w:bottom w:val="nil"/>
            <w:right w:val="nil"/>
          </w:tcBorders>
        </w:tcPr>
        <w:p w14:paraId="68E3500F" w14:textId="30CE0F47" w:rsidR="00782081" w:rsidRPr="002A0111" w:rsidRDefault="00782081" w:rsidP="00782081">
          <w:pPr>
            <w:pStyle w:val="Footer"/>
            <w:tabs>
              <w:tab w:val="clear" w:pos="4320"/>
              <w:tab w:val="clear" w:pos="8640"/>
            </w:tabs>
          </w:pPr>
        </w:p>
      </w:tc>
      <w:tc>
        <w:tcPr>
          <w:tcW w:w="4398" w:type="dxa"/>
          <w:tcBorders>
            <w:top w:val="single" w:sz="8" w:space="0" w:color="auto"/>
            <w:left w:val="nil"/>
            <w:bottom w:val="nil"/>
          </w:tcBorders>
        </w:tcPr>
        <w:p w14:paraId="73834E9A" w14:textId="6C2CF4D3" w:rsidR="00782081" w:rsidRPr="0092727B" w:rsidRDefault="00782081" w:rsidP="00782081">
          <w:pPr>
            <w:pStyle w:val="Footer"/>
            <w:tabs>
              <w:tab w:val="clear" w:pos="4320"/>
              <w:tab w:val="clear" w:pos="8640"/>
            </w:tabs>
          </w:pPr>
          <w:r w:rsidRPr="00FE2293">
            <w:rPr>
              <w:b/>
              <w:bCs/>
              <w:lang w:val="fr-FR"/>
            </w:rPr>
            <w:t>Email:</w:t>
          </w:r>
          <w:r w:rsidRPr="008450FD">
            <w:rPr>
              <w:lang w:val="fr-FR"/>
            </w:rPr>
            <w:t xml:space="preserve"> </w:t>
          </w:r>
        </w:p>
      </w:tc>
    </w:tr>
  </w:tbl>
  <w:p w14:paraId="227B9787" w14:textId="09EABE25"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9B3" w14:textId="77777777" w:rsidR="005C170D" w:rsidRDefault="005C170D">
      <w:r>
        <w:separator/>
      </w:r>
    </w:p>
  </w:footnote>
  <w:footnote w:type="continuationSeparator" w:id="0">
    <w:p w14:paraId="4B3D8EE8" w14:textId="77777777" w:rsidR="005C170D" w:rsidRDefault="005C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97693B" w:rsidRDefault="0097693B" w:rsidP="0092727B">
    <w:pPr>
      <w:pStyle w:val="Header"/>
      <w:tabs>
        <w:tab w:val="clear" w:pos="4320"/>
        <w:tab w:val="clear" w:pos="8640"/>
      </w:tabs>
      <w:rPr>
        <w:lang w:eastAsia="ko-KR"/>
      </w:rPr>
    </w:pPr>
  </w:p>
  <w:p w14:paraId="2912C8C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C1"/>
    <w:multiLevelType w:val="hybridMultilevel"/>
    <w:tmpl w:val="BA9C6F62"/>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3AEA8DA">
      <w:start w:val="1"/>
      <w:numFmt w:val="bullet"/>
      <w:lvlText w:val="·"/>
      <w:lvlJc w:val="left"/>
      <w:pPr>
        <w:ind w:left="1120" w:hanging="400"/>
      </w:pPr>
      <w:rPr>
        <w:rFonts w:ascii="BatangChe" w:eastAsia="BatangChe" w:hAnsi="BatangChe" w:hint="eastAsia"/>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E742140"/>
    <w:multiLevelType w:val="hybridMultilevel"/>
    <w:tmpl w:val="76262D8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41776E"/>
    <w:multiLevelType w:val="hybridMultilevel"/>
    <w:tmpl w:val="050848C2"/>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3AEA8DA">
      <w:start w:val="1"/>
      <w:numFmt w:val="bullet"/>
      <w:lvlText w:val="·"/>
      <w:lvlJc w:val="left"/>
      <w:pPr>
        <w:ind w:left="1120" w:hanging="400"/>
      </w:pPr>
      <w:rPr>
        <w:rFonts w:ascii="BatangChe" w:eastAsia="BatangChe" w:hAnsi="BatangChe" w:hint="eastAsia"/>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7378E"/>
    <w:multiLevelType w:val="hybridMultilevel"/>
    <w:tmpl w:val="F5961D9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3AEA8DA">
      <w:start w:val="1"/>
      <w:numFmt w:val="bullet"/>
      <w:lvlText w:val="·"/>
      <w:lvlJc w:val="left"/>
      <w:pPr>
        <w:ind w:left="1120" w:hanging="400"/>
      </w:pPr>
      <w:rPr>
        <w:rFonts w:ascii="BatangChe" w:eastAsia="BatangChe" w:hAnsi="BatangChe" w:hint="eastAsia"/>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1" w15:restartNumberingAfterBreak="0">
    <w:nsid w:val="2CDF2FF0"/>
    <w:multiLevelType w:val="hybridMultilevel"/>
    <w:tmpl w:val="A9A0CF68"/>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3AEA8DA">
      <w:start w:val="1"/>
      <w:numFmt w:val="bullet"/>
      <w:lvlText w:val="·"/>
      <w:lvlJc w:val="left"/>
      <w:pPr>
        <w:ind w:left="1120" w:hanging="400"/>
      </w:pPr>
      <w:rPr>
        <w:rFonts w:ascii="BatangChe" w:eastAsia="BatangChe" w:hAnsi="BatangChe" w:hint="eastAsia"/>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5" w15:restartNumberingAfterBreak="0">
    <w:nsid w:val="352875E5"/>
    <w:multiLevelType w:val="hybridMultilevel"/>
    <w:tmpl w:val="32043B7E"/>
    <w:lvl w:ilvl="0" w:tplc="0C090001">
      <w:start w:val="1"/>
      <w:numFmt w:val="bullet"/>
      <w:lvlText w:val=""/>
      <w:lvlJc w:val="left"/>
      <w:pPr>
        <w:ind w:left="280" w:hanging="360"/>
      </w:pPr>
      <w:rPr>
        <w:rFonts w:ascii="Symbol" w:hAnsi="Symbol" w:hint="default"/>
      </w:rPr>
    </w:lvl>
    <w:lvl w:ilvl="1" w:tplc="FFFFFFFF">
      <w:start w:val="1"/>
      <w:numFmt w:val="bullet"/>
      <w:lvlText w:val=""/>
      <w:lvlJc w:val="left"/>
      <w:pPr>
        <w:ind w:left="720" w:hanging="400"/>
      </w:pPr>
      <w:rPr>
        <w:rFonts w:ascii="Wingdings" w:hAnsi="Wingdings" w:hint="default"/>
      </w:rPr>
    </w:lvl>
    <w:lvl w:ilvl="2" w:tplc="FFFFFFFF">
      <w:start w:val="1"/>
      <w:numFmt w:val="bullet"/>
      <w:lvlText w:val="·"/>
      <w:lvlJc w:val="left"/>
      <w:pPr>
        <w:ind w:left="1120" w:hanging="400"/>
      </w:pPr>
      <w:rPr>
        <w:rFonts w:ascii="BatangChe" w:eastAsia="BatangChe" w:hAnsi="BatangChe" w:hint="eastAsia"/>
      </w:rPr>
    </w:lvl>
    <w:lvl w:ilvl="3" w:tplc="FFFFFFFF">
      <w:start w:val="1"/>
      <w:numFmt w:val="bullet"/>
      <w:lvlText w:val="o"/>
      <w:lvlJc w:val="left"/>
      <w:pPr>
        <w:ind w:left="1520" w:hanging="400"/>
      </w:pPr>
      <w:rPr>
        <w:rFonts w:ascii="Courier New" w:hAnsi="Courier New" w:cs="Courier New" w:hint="default"/>
      </w:rPr>
    </w:lvl>
    <w:lvl w:ilvl="4" w:tplc="FFFFFFFF" w:tentative="1">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BBE1A4D"/>
    <w:multiLevelType w:val="hybridMultilevel"/>
    <w:tmpl w:val="0E0E780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3AEA8DA">
      <w:start w:val="1"/>
      <w:numFmt w:val="bullet"/>
      <w:lvlText w:val="·"/>
      <w:lvlJc w:val="left"/>
      <w:pPr>
        <w:ind w:left="1120" w:hanging="400"/>
      </w:pPr>
      <w:rPr>
        <w:rFonts w:ascii="BatangChe" w:eastAsia="BatangChe" w:hAnsi="BatangChe" w:hint="eastAsia"/>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B11B35"/>
    <w:multiLevelType w:val="hybridMultilevel"/>
    <w:tmpl w:val="0ECAA552"/>
    <w:lvl w:ilvl="0" w:tplc="A114EBFA">
      <w:start w:val="1"/>
      <w:numFmt w:val="bullet"/>
      <w:lvlText w:val="-"/>
      <w:lvlJc w:val="left"/>
      <w:pPr>
        <w:ind w:left="1353" w:hanging="360"/>
      </w:pPr>
      <w:rPr>
        <w:rFonts w:ascii="Malgun Gothic" w:eastAsia="Malgun Gothic" w:hAnsi="Malgun Gothic" w:cstheme="minorBidi" w:hint="eastAsia"/>
      </w:rPr>
    </w:lvl>
    <w:lvl w:ilvl="1" w:tplc="04090003">
      <w:start w:val="1"/>
      <w:numFmt w:val="bullet"/>
      <w:lvlText w:val=""/>
      <w:lvlJc w:val="left"/>
      <w:pPr>
        <w:ind w:left="1793" w:hanging="400"/>
      </w:pPr>
      <w:rPr>
        <w:rFonts w:ascii="Wingdings" w:hAnsi="Wingdings" w:hint="default"/>
      </w:rPr>
    </w:lvl>
    <w:lvl w:ilvl="2" w:tplc="04090001">
      <w:start w:val="1"/>
      <w:numFmt w:val="bullet"/>
      <w:lvlText w:val=""/>
      <w:lvlJc w:val="left"/>
      <w:pPr>
        <w:ind w:left="2193" w:hanging="400"/>
      </w:pPr>
      <w:rPr>
        <w:rFonts w:ascii="Symbol" w:hAnsi="Symbol" w:hint="default"/>
      </w:rPr>
    </w:lvl>
    <w:lvl w:ilvl="3" w:tplc="14090003">
      <w:start w:val="1"/>
      <w:numFmt w:val="bullet"/>
      <w:lvlText w:val="o"/>
      <w:lvlJc w:val="left"/>
      <w:pPr>
        <w:ind w:left="2593" w:hanging="400"/>
      </w:pPr>
      <w:rPr>
        <w:rFonts w:ascii="Courier New" w:hAnsi="Courier New" w:cs="Courier New"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23" w15:restartNumberingAfterBreak="0">
    <w:nsid w:val="651C3068"/>
    <w:multiLevelType w:val="hybridMultilevel"/>
    <w:tmpl w:val="77AA43F2"/>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3AEA8DA">
      <w:start w:val="1"/>
      <w:numFmt w:val="bullet"/>
      <w:lvlText w:val="·"/>
      <w:lvlJc w:val="left"/>
      <w:pPr>
        <w:ind w:left="1120" w:hanging="400"/>
      </w:pPr>
      <w:rPr>
        <w:rFonts w:ascii="BatangChe" w:eastAsia="BatangChe" w:hAnsi="BatangChe" w:hint="eastAsia"/>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4" w15:restartNumberingAfterBreak="0">
    <w:nsid w:val="67310B16"/>
    <w:multiLevelType w:val="hybridMultilevel"/>
    <w:tmpl w:val="1F6A6BEA"/>
    <w:lvl w:ilvl="0" w:tplc="A114EBFA">
      <w:start w:val="1"/>
      <w:numFmt w:val="bullet"/>
      <w:lvlText w:val="-"/>
      <w:lvlJc w:val="left"/>
      <w:pPr>
        <w:ind w:left="280" w:hanging="360"/>
      </w:pPr>
      <w:rPr>
        <w:rFonts w:ascii="Malgun Gothic" w:eastAsia="Malgun Gothic" w:hAnsi="Malgun Gothic" w:cstheme="minorBidi" w:hint="eastAsia"/>
      </w:rPr>
    </w:lvl>
    <w:lvl w:ilvl="1" w:tplc="0409000F">
      <w:start w:val="1"/>
      <w:numFmt w:val="decimal"/>
      <w:lvlText w:val="%2."/>
      <w:lvlJc w:val="left"/>
      <w:pPr>
        <w:ind w:left="720" w:hanging="400"/>
      </w:pPr>
      <w:rPr>
        <w:rFonts w:hint="default"/>
      </w:rPr>
    </w:lvl>
    <w:lvl w:ilvl="2" w:tplc="B3AEA8DA">
      <w:start w:val="1"/>
      <w:numFmt w:val="bullet"/>
      <w:lvlText w:val="·"/>
      <w:lvlJc w:val="left"/>
      <w:pPr>
        <w:ind w:left="1120" w:hanging="400"/>
      </w:pPr>
      <w:rPr>
        <w:rFonts w:ascii="BatangChe" w:eastAsia="BatangChe" w:hAnsi="BatangChe" w:hint="eastAsia"/>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5" w15:restartNumberingAfterBreak="0">
    <w:nsid w:val="70651976"/>
    <w:multiLevelType w:val="hybridMultilevel"/>
    <w:tmpl w:val="F4B42338"/>
    <w:lvl w:ilvl="0" w:tplc="B3AEA8DA">
      <w:start w:val="1"/>
      <w:numFmt w:val="bullet"/>
      <w:lvlText w:val="·"/>
      <w:lvlJc w:val="left"/>
      <w:pPr>
        <w:ind w:left="1140" w:hanging="420"/>
      </w:pPr>
      <w:rPr>
        <w:rFonts w:ascii="BatangChe" w:eastAsia="BatangChe" w:hAnsi="BatangChe"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6573ABB"/>
    <w:multiLevelType w:val="multilevel"/>
    <w:tmpl w:val="99FCF0D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AC106F8"/>
    <w:multiLevelType w:val="multilevel"/>
    <w:tmpl w:val="0F50D97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661347342">
    <w:abstractNumId w:val="16"/>
  </w:num>
  <w:num w:numId="2" w16cid:durableId="312948425">
    <w:abstractNumId w:val="8"/>
  </w:num>
  <w:num w:numId="3" w16cid:durableId="1514877576">
    <w:abstractNumId w:val="7"/>
  </w:num>
  <w:num w:numId="4" w16cid:durableId="1372922672">
    <w:abstractNumId w:val="26"/>
  </w:num>
  <w:num w:numId="5" w16cid:durableId="537358203">
    <w:abstractNumId w:val="14"/>
  </w:num>
  <w:num w:numId="6" w16cid:durableId="1704673986">
    <w:abstractNumId w:val="17"/>
  </w:num>
  <w:num w:numId="7" w16cid:durableId="1924994861">
    <w:abstractNumId w:val="5"/>
  </w:num>
  <w:num w:numId="8" w16cid:durableId="1644776134">
    <w:abstractNumId w:val="2"/>
  </w:num>
  <w:num w:numId="9" w16cid:durableId="1894000338">
    <w:abstractNumId w:val="30"/>
  </w:num>
  <w:num w:numId="10" w16cid:durableId="507477689">
    <w:abstractNumId w:val="21"/>
  </w:num>
  <w:num w:numId="11" w16cid:durableId="1148474288">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9237055">
    <w:abstractNumId w:val="19"/>
  </w:num>
  <w:num w:numId="13" w16cid:durableId="367947690">
    <w:abstractNumId w:val="1"/>
  </w:num>
  <w:num w:numId="14" w16cid:durableId="8319885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459523">
    <w:abstractNumId w:val="9"/>
  </w:num>
  <w:num w:numId="16" w16cid:durableId="1601404257">
    <w:abstractNumId w:val="31"/>
  </w:num>
  <w:num w:numId="17" w16cid:durableId="1551963212">
    <w:abstractNumId w:val="20"/>
  </w:num>
  <w:num w:numId="18" w16cid:durableId="2025746148">
    <w:abstractNumId w:val="18"/>
  </w:num>
  <w:num w:numId="19" w16cid:durableId="1880820037">
    <w:abstractNumId w:val="28"/>
  </w:num>
  <w:num w:numId="20" w16cid:durableId="2073235908">
    <w:abstractNumId w:val="13"/>
  </w:num>
  <w:num w:numId="21" w16cid:durableId="1485315995">
    <w:abstractNumId w:val="27"/>
  </w:num>
  <w:num w:numId="22" w16cid:durableId="1309552499">
    <w:abstractNumId w:val="33"/>
  </w:num>
  <w:num w:numId="23" w16cid:durableId="468089756">
    <w:abstractNumId w:val="12"/>
  </w:num>
  <w:num w:numId="24" w16cid:durableId="1270743295">
    <w:abstractNumId w:val="32"/>
  </w:num>
  <w:num w:numId="25" w16cid:durableId="943728750">
    <w:abstractNumId w:val="29"/>
  </w:num>
  <w:num w:numId="26" w16cid:durableId="1639530124">
    <w:abstractNumId w:val="22"/>
  </w:num>
  <w:num w:numId="27" w16cid:durableId="483350736">
    <w:abstractNumId w:val="10"/>
  </w:num>
  <w:num w:numId="28" w16cid:durableId="256905222">
    <w:abstractNumId w:val="4"/>
  </w:num>
  <w:num w:numId="29" w16cid:durableId="1981306208">
    <w:abstractNumId w:val="25"/>
  </w:num>
  <w:num w:numId="30" w16cid:durableId="357318821">
    <w:abstractNumId w:val="11"/>
  </w:num>
  <w:num w:numId="31" w16cid:durableId="2117014553">
    <w:abstractNumId w:val="23"/>
  </w:num>
  <w:num w:numId="32" w16cid:durableId="368576049">
    <w:abstractNumId w:val="0"/>
  </w:num>
  <w:num w:numId="33" w16cid:durableId="1753120484">
    <w:abstractNumId w:val="24"/>
  </w:num>
  <w:num w:numId="34" w16cid:durableId="1707833053">
    <w:abstractNumId w:val="3"/>
  </w:num>
  <w:num w:numId="35" w16cid:durableId="12321549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056B"/>
    <w:rsid w:val="0003595B"/>
    <w:rsid w:val="00036517"/>
    <w:rsid w:val="00036CC9"/>
    <w:rsid w:val="00037454"/>
    <w:rsid w:val="00040149"/>
    <w:rsid w:val="00055E22"/>
    <w:rsid w:val="00070642"/>
    <w:rsid w:val="000713CF"/>
    <w:rsid w:val="00075C14"/>
    <w:rsid w:val="000822B5"/>
    <w:rsid w:val="00086311"/>
    <w:rsid w:val="00094B87"/>
    <w:rsid w:val="00096846"/>
    <w:rsid w:val="000A012B"/>
    <w:rsid w:val="000A5418"/>
    <w:rsid w:val="000D47FB"/>
    <w:rsid w:val="000E710F"/>
    <w:rsid w:val="000F345F"/>
    <w:rsid w:val="000F517C"/>
    <w:rsid w:val="000F5540"/>
    <w:rsid w:val="000F5F06"/>
    <w:rsid w:val="00105F1A"/>
    <w:rsid w:val="00125FBD"/>
    <w:rsid w:val="00131B45"/>
    <w:rsid w:val="001409B2"/>
    <w:rsid w:val="00142FD3"/>
    <w:rsid w:val="0014696B"/>
    <w:rsid w:val="00152636"/>
    <w:rsid w:val="001539DD"/>
    <w:rsid w:val="00156782"/>
    <w:rsid w:val="00162CB0"/>
    <w:rsid w:val="00165F01"/>
    <w:rsid w:val="001731F4"/>
    <w:rsid w:val="001916F2"/>
    <w:rsid w:val="001930A7"/>
    <w:rsid w:val="00196568"/>
    <w:rsid w:val="00197C18"/>
    <w:rsid w:val="001A2F16"/>
    <w:rsid w:val="001B1804"/>
    <w:rsid w:val="001B18C2"/>
    <w:rsid w:val="001C443F"/>
    <w:rsid w:val="001C61A5"/>
    <w:rsid w:val="001C6707"/>
    <w:rsid w:val="001D573A"/>
    <w:rsid w:val="001D5D7E"/>
    <w:rsid w:val="001E6D61"/>
    <w:rsid w:val="001F5947"/>
    <w:rsid w:val="00202410"/>
    <w:rsid w:val="00214A0C"/>
    <w:rsid w:val="0021588B"/>
    <w:rsid w:val="002161B6"/>
    <w:rsid w:val="002216AC"/>
    <w:rsid w:val="0023212E"/>
    <w:rsid w:val="00242DEA"/>
    <w:rsid w:val="002475E2"/>
    <w:rsid w:val="002506D2"/>
    <w:rsid w:val="00250DE2"/>
    <w:rsid w:val="00254A1B"/>
    <w:rsid w:val="0026064A"/>
    <w:rsid w:val="00264566"/>
    <w:rsid w:val="00264FAC"/>
    <w:rsid w:val="0028454D"/>
    <w:rsid w:val="00291C9E"/>
    <w:rsid w:val="002926D4"/>
    <w:rsid w:val="0029734E"/>
    <w:rsid w:val="002A0111"/>
    <w:rsid w:val="002A3CF5"/>
    <w:rsid w:val="002A5F7C"/>
    <w:rsid w:val="002B06A3"/>
    <w:rsid w:val="002B435C"/>
    <w:rsid w:val="002B447F"/>
    <w:rsid w:val="002C07DA"/>
    <w:rsid w:val="002C2A49"/>
    <w:rsid w:val="002C7EA9"/>
    <w:rsid w:val="002E531B"/>
    <w:rsid w:val="002F575D"/>
    <w:rsid w:val="003113D7"/>
    <w:rsid w:val="00311E8A"/>
    <w:rsid w:val="00335D02"/>
    <w:rsid w:val="00342F20"/>
    <w:rsid w:val="00356D5B"/>
    <w:rsid w:val="00360377"/>
    <w:rsid w:val="00366548"/>
    <w:rsid w:val="0038005B"/>
    <w:rsid w:val="003809C7"/>
    <w:rsid w:val="0038236C"/>
    <w:rsid w:val="00383B76"/>
    <w:rsid w:val="00393DCD"/>
    <w:rsid w:val="00395B40"/>
    <w:rsid w:val="003A2006"/>
    <w:rsid w:val="003A6568"/>
    <w:rsid w:val="003B1933"/>
    <w:rsid w:val="003B4FD1"/>
    <w:rsid w:val="003B6263"/>
    <w:rsid w:val="003C29E6"/>
    <w:rsid w:val="003C64A7"/>
    <w:rsid w:val="003C7E97"/>
    <w:rsid w:val="003D1128"/>
    <w:rsid w:val="003D1671"/>
    <w:rsid w:val="003D3D47"/>
    <w:rsid w:val="003D3FDA"/>
    <w:rsid w:val="003D51DE"/>
    <w:rsid w:val="003D6D00"/>
    <w:rsid w:val="003E166F"/>
    <w:rsid w:val="003E5108"/>
    <w:rsid w:val="003E586D"/>
    <w:rsid w:val="003F307E"/>
    <w:rsid w:val="004001E5"/>
    <w:rsid w:val="0041313C"/>
    <w:rsid w:val="00420822"/>
    <w:rsid w:val="00420C74"/>
    <w:rsid w:val="00441526"/>
    <w:rsid w:val="004465AA"/>
    <w:rsid w:val="00446A5E"/>
    <w:rsid w:val="0045458F"/>
    <w:rsid w:val="004633B4"/>
    <w:rsid w:val="00494411"/>
    <w:rsid w:val="00495CED"/>
    <w:rsid w:val="004A2F96"/>
    <w:rsid w:val="004A4BDF"/>
    <w:rsid w:val="004B3553"/>
    <w:rsid w:val="004B3F4B"/>
    <w:rsid w:val="004C7A9B"/>
    <w:rsid w:val="004E1FCA"/>
    <w:rsid w:val="004E47D6"/>
    <w:rsid w:val="004F0E70"/>
    <w:rsid w:val="005026C6"/>
    <w:rsid w:val="00503189"/>
    <w:rsid w:val="00515C40"/>
    <w:rsid w:val="005165CB"/>
    <w:rsid w:val="00516BD1"/>
    <w:rsid w:val="005206E9"/>
    <w:rsid w:val="00526D01"/>
    <w:rsid w:val="00530E8C"/>
    <w:rsid w:val="00535D34"/>
    <w:rsid w:val="005376AC"/>
    <w:rsid w:val="00545933"/>
    <w:rsid w:val="00552105"/>
    <w:rsid w:val="005562F2"/>
    <w:rsid w:val="00557544"/>
    <w:rsid w:val="00565BBB"/>
    <w:rsid w:val="00571B26"/>
    <w:rsid w:val="00585F3C"/>
    <w:rsid w:val="00586CA0"/>
    <w:rsid w:val="00587875"/>
    <w:rsid w:val="005A63EB"/>
    <w:rsid w:val="005B0876"/>
    <w:rsid w:val="005C170D"/>
    <w:rsid w:val="005C33B6"/>
    <w:rsid w:val="005D32F8"/>
    <w:rsid w:val="005D6202"/>
    <w:rsid w:val="005D67A4"/>
    <w:rsid w:val="005D6E98"/>
    <w:rsid w:val="00603319"/>
    <w:rsid w:val="00607E2B"/>
    <w:rsid w:val="00607EB2"/>
    <w:rsid w:val="006139D6"/>
    <w:rsid w:val="00616D1B"/>
    <w:rsid w:val="00623CE1"/>
    <w:rsid w:val="00627880"/>
    <w:rsid w:val="0063062B"/>
    <w:rsid w:val="00634A82"/>
    <w:rsid w:val="00636679"/>
    <w:rsid w:val="00637351"/>
    <w:rsid w:val="00646166"/>
    <w:rsid w:val="00650E13"/>
    <w:rsid w:val="00652BDD"/>
    <w:rsid w:val="00654896"/>
    <w:rsid w:val="006621F0"/>
    <w:rsid w:val="00662A90"/>
    <w:rsid w:val="006647BA"/>
    <w:rsid w:val="00667229"/>
    <w:rsid w:val="00675FA6"/>
    <w:rsid w:val="00680E0A"/>
    <w:rsid w:val="006821DE"/>
    <w:rsid w:val="00682BE5"/>
    <w:rsid w:val="00683846"/>
    <w:rsid w:val="00690FED"/>
    <w:rsid w:val="006939A5"/>
    <w:rsid w:val="006A00A5"/>
    <w:rsid w:val="006B09DB"/>
    <w:rsid w:val="006D5223"/>
    <w:rsid w:val="006D5970"/>
    <w:rsid w:val="006E12FC"/>
    <w:rsid w:val="006F0F24"/>
    <w:rsid w:val="006F2B2E"/>
    <w:rsid w:val="006F6A5C"/>
    <w:rsid w:val="00703F6F"/>
    <w:rsid w:val="007052B3"/>
    <w:rsid w:val="00705962"/>
    <w:rsid w:val="00707C21"/>
    <w:rsid w:val="00710599"/>
    <w:rsid w:val="00712451"/>
    <w:rsid w:val="00717DE9"/>
    <w:rsid w:val="0072518B"/>
    <w:rsid w:val="00731041"/>
    <w:rsid w:val="007329E4"/>
    <w:rsid w:val="00732F08"/>
    <w:rsid w:val="007342F0"/>
    <w:rsid w:val="0074190C"/>
    <w:rsid w:val="0075493D"/>
    <w:rsid w:val="00762576"/>
    <w:rsid w:val="007673CA"/>
    <w:rsid w:val="00782081"/>
    <w:rsid w:val="00785914"/>
    <w:rsid w:val="00787076"/>
    <w:rsid w:val="00790EDF"/>
    <w:rsid w:val="00791060"/>
    <w:rsid w:val="007926EA"/>
    <w:rsid w:val="007933A2"/>
    <w:rsid w:val="007A3C4F"/>
    <w:rsid w:val="007A50B1"/>
    <w:rsid w:val="007B5626"/>
    <w:rsid w:val="007B6124"/>
    <w:rsid w:val="007D3C53"/>
    <w:rsid w:val="007E3A0F"/>
    <w:rsid w:val="007F0AE6"/>
    <w:rsid w:val="007F2628"/>
    <w:rsid w:val="007F2FBA"/>
    <w:rsid w:val="00800229"/>
    <w:rsid w:val="00800C3A"/>
    <w:rsid w:val="0080570B"/>
    <w:rsid w:val="008148E1"/>
    <w:rsid w:val="00822B33"/>
    <w:rsid w:val="00823E88"/>
    <w:rsid w:val="00825563"/>
    <w:rsid w:val="008319BF"/>
    <w:rsid w:val="008415F0"/>
    <w:rsid w:val="008433C2"/>
    <w:rsid w:val="00844457"/>
    <w:rsid w:val="008454C8"/>
    <w:rsid w:val="00851D78"/>
    <w:rsid w:val="00851E62"/>
    <w:rsid w:val="0087122A"/>
    <w:rsid w:val="008855C8"/>
    <w:rsid w:val="008A016F"/>
    <w:rsid w:val="008A1A0D"/>
    <w:rsid w:val="008A72E1"/>
    <w:rsid w:val="008A76ED"/>
    <w:rsid w:val="008B3C72"/>
    <w:rsid w:val="008C5FED"/>
    <w:rsid w:val="008D0265"/>
    <w:rsid w:val="008D0E09"/>
    <w:rsid w:val="00903007"/>
    <w:rsid w:val="00906AF8"/>
    <w:rsid w:val="009231B9"/>
    <w:rsid w:val="00923816"/>
    <w:rsid w:val="0092727B"/>
    <w:rsid w:val="0093074B"/>
    <w:rsid w:val="00930E64"/>
    <w:rsid w:val="0093719B"/>
    <w:rsid w:val="00943CF9"/>
    <w:rsid w:val="009557DC"/>
    <w:rsid w:val="00956F8C"/>
    <w:rsid w:val="00961D57"/>
    <w:rsid w:val="009650A3"/>
    <w:rsid w:val="00976716"/>
    <w:rsid w:val="0097693B"/>
    <w:rsid w:val="00984F9C"/>
    <w:rsid w:val="00993355"/>
    <w:rsid w:val="009963F7"/>
    <w:rsid w:val="009A0E13"/>
    <w:rsid w:val="009A11CB"/>
    <w:rsid w:val="009A4A6D"/>
    <w:rsid w:val="009B361F"/>
    <w:rsid w:val="009B44DD"/>
    <w:rsid w:val="009B7E42"/>
    <w:rsid w:val="009C44B8"/>
    <w:rsid w:val="009C7235"/>
    <w:rsid w:val="009D46CE"/>
    <w:rsid w:val="009D4ADA"/>
    <w:rsid w:val="009E13DD"/>
    <w:rsid w:val="009F0A58"/>
    <w:rsid w:val="009F547A"/>
    <w:rsid w:val="00A03525"/>
    <w:rsid w:val="00A03D78"/>
    <w:rsid w:val="00A0503B"/>
    <w:rsid w:val="00A059CD"/>
    <w:rsid w:val="00A13265"/>
    <w:rsid w:val="00A14900"/>
    <w:rsid w:val="00A2159F"/>
    <w:rsid w:val="00A23C16"/>
    <w:rsid w:val="00A324FF"/>
    <w:rsid w:val="00A529BC"/>
    <w:rsid w:val="00A5346C"/>
    <w:rsid w:val="00A53F51"/>
    <w:rsid w:val="00A562F0"/>
    <w:rsid w:val="00A564FB"/>
    <w:rsid w:val="00A614C1"/>
    <w:rsid w:val="00A61EA6"/>
    <w:rsid w:val="00A657BF"/>
    <w:rsid w:val="00A71136"/>
    <w:rsid w:val="00A772D8"/>
    <w:rsid w:val="00A922EC"/>
    <w:rsid w:val="00A92578"/>
    <w:rsid w:val="00AA474C"/>
    <w:rsid w:val="00AB3493"/>
    <w:rsid w:val="00AB57E2"/>
    <w:rsid w:val="00AB695E"/>
    <w:rsid w:val="00AC35EF"/>
    <w:rsid w:val="00AC4D5B"/>
    <w:rsid w:val="00AD1DDB"/>
    <w:rsid w:val="00AD2697"/>
    <w:rsid w:val="00AD7E5F"/>
    <w:rsid w:val="00AE3066"/>
    <w:rsid w:val="00AF68E4"/>
    <w:rsid w:val="00B00A87"/>
    <w:rsid w:val="00B01AA1"/>
    <w:rsid w:val="00B06025"/>
    <w:rsid w:val="00B30C81"/>
    <w:rsid w:val="00B30DA1"/>
    <w:rsid w:val="00B34A82"/>
    <w:rsid w:val="00B368D7"/>
    <w:rsid w:val="00B4793B"/>
    <w:rsid w:val="00B55621"/>
    <w:rsid w:val="00B56099"/>
    <w:rsid w:val="00B64A60"/>
    <w:rsid w:val="00B661AC"/>
    <w:rsid w:val="00B8468D"/>
    <w:rsid w:val="00B937D7"/>
    <w:rsid w:val="00B96B67"/>
    <w:rsid w:val="00BB0EA4"/>
    <w:rsid w:val="00BC57EF"/>
    <w:rsid w:val="00BC69DB"/>
    <w:rsid w:val="00BD651C"/>
    <w:rsid w:val="00BE6B6B"/>
    <w:rsid w:val="00BF25F9"/>
    <w:rsid w:val="00BF3E59"/>
    <w:rsid w:val="00C00B04"/>
    <w:rsid w:val="00C13FD5"/>
    <w:rsid w:val="00C15633"/>
    <w:rsid w:val="00C15799"/>
    <w:rsid w:val="00C26624"/>
    <w:rsid w:val="00C32E84"/>
    <w:rsid w:val="00C35415"/>
    <w:rsid w:val="00C357AD"/>
    <w:rsid w:val="00C422B1"/>
    <w:rsid w:val="00C516C7"/>
    <w:rsid w:val="00C51C5F"/>
    <w:rsid w:val="00C554CC"/>
    <w:rsid w:val="00C6069C"/>
    <w:rsid w:val="00C620AC"/>
    <w:rsid w:val="00C70477"/>
    <w:rsid w:val="00C72AD4"/>
    <w:rsid w:val="00C74745"/>
    <w:rsid w:val="00C85119"/>
    <w:rsid w:val="00C86AE4"/>
    <w:rsid w:val="00C95C48"/>
    <w:rsid w:val="00CA3B92"/>
    <w:rsid w:val="00CA41E7"/>
    <w:rsid w:val="00CA420A"/>
    <w:rsid w:val="00CC48D5"/>
    <w:rsid w:val="00CD170C"/>
    <w:rsid w:val="00CD320B"/>
    <w:rsid w:val="00CD3F37"/>
    <w:rsid w:val="00CD5431"/>
    <w:rsid w:val="00CE4B93"/>
    <w:rsid w:val="00CE69CF"/>
    <w:rsid w:val="00CF2491"/>
    <w:rsid w:val="00CF3963"/>
    <w:rsid w:val="00D03108"/>
    <w:rsid w:val="00D1252E"/>
    <w:rsid w:val="00D13D9D"/>
    <w:rsid w:val="00D14AFE"/>
    <w:rsid w:val="00D2190A"/>
    <w:rsid w:val="00D23A5F"/>
    <w:rsid w:val="00D30A82"/>
    <w:rsid w:val="00D416A3"/>
    <w:rsid w:val="00D459A2"/>
    <w:rsid w:val="00D530FF"/>
    <w:rsid w:val="00D53688"/>
    <w:rsid w:val="00D5407A"/>
    <w:rsid w:val="00D57772"/>
    <w:rsid w:val="00D61E12"/>
    <w:rsid w:val="00D66311"/>
    <w:rsid w:val="00D72AE3"/>
    <w:rsid w:val="00D75A4D"/>
    <w:rsid w:val="00D8478B"/>
    <w:rsid w:val="00D86151"/>
    <w:rsid w:val="00D9172D"/>
    <w:rsid w:val="00D97E84"/>
    <w:rsid w:val="00DA5641"/>
    <w:rsid w:val="00DA7595"/>
    <w:rsid w:val="00DB0A68"/>
    <w:rsid w:val="00DC0EF8"/>
    <w:rsid w:val="00DC43A3"/>
    <w:rsid w:val="00DC4CF3"/>
    <w:rsid w:val="00DC5C01"/>
    <w:rsid w:val="00DD6AC6"/>
    <w:rsid w:val="00DD7C09"/>
    <w:rsid w:val="00DE20E6"/>
    <w:rsid w:val="00DE3E4E"/>
    <w:rsid w:val="00DF0EB4"/>
    <w:rsid w:val="00DF111E"/>
    <w:rsid w:val="00DF354B"/>
    <w:rsid w:val="00E0124F"/>
    <w:rsid w:val="00E03A60"/>
    <w:rsid w:val="00E249F3"/>
    <w:rsid w:val="00E431DE"/>
    <w:rsid w:val="00E5762A"/>
    <w:rsid w:val="00E6427C"/>
    <w:rsid w:val="00E64A49"/>
    <w:rsid w:val="00E66AB2"/>
    <w:rsid w:val="00E674D3"/>
    <w:rsid w:val="00E70FD0"/>
    <w:rsid w:val="00E72B2C"/>
    <w:rsid w:val="00E7309D"/>
    <w:rsid w:val="00E7423F"/>
    <w:rsid w:val="00E77C4B"/>
    <w:rsid w:val="00E9301F"/>
    <w:rsid w:val="00E9690A"/>
    <w:rsid w:val="00E97DC7"/>
    <w:rsid w:val="00E97EF8"/>
    <w:rsid w:val="00EC3ED4"/>
    <w:rsid w:val="00EE3805"/>
    <w:rsid w:val="00F000EF"/>
    <w:rsid w:val="00F00939"/>
    <w:rsid w:val="00F16667"/>
    <w:rsid w:val="00F24204"/>
    <w:rsid w:val="00F2504E"/>
    <w:rsid w:val="00F2585B"/>
    <w:rsid w:val="00F4053F"/>
    <w:rsid w:val="00F516E7"/>
    <w:rsid w:val="00F57BF7"/>
    <w:rsid w:val="00F6263E"/>
    <w:rsid w:val="00F627C2"/>
    <w:rsid w:val="00F736FD"/>
    <w:rsid w:val="00F84067"/>
    <w:rsid w:val="00FA4BC6"/>
    <w:rsid w:val="00FA50B4"/>
    <w:rsid w:val="00FB42FD"/>
    <w:rsid w:val="00FB6E83"/>
    <w:rsid w:val="00FC156A"/>
    <w:rsid w:val="00FC3A41"/>
    <w:rsid w:val="00FC5C91"/>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uiPriority w:val="99"/>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 w:type="character" w:customStyle="1" w:styleId="ListParagraphChar">
    <w:name w:val="List Paragraph Char"/>
    <w:basedOn w:val="DefaultParagraphFont"/>
    <w:link w:val="ListParagraph"/>
    <w:uiPriority w:val="34"/>
    <w:locked/>
    <w:rsid w:val="00782081"/>
    <w:rPr>
      <w:rFonts w:eastAsia="BatangChe"/>
      <w:sz w:val="24"/>
      <w:szCs w:val="24"/>
    </w:rPr>
  </w:style>
  <w:style w:type="character" w:styleId="LineNumber">
    <w:name w:val="line number"/>
    <w:basedOn w:val="DefaultParagraphFont"/>
    <w:semiHidden/>
    <w:unhideWhenUsed/>
    <w:rsid w:val="00DE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87683">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t.int/sites/default/files/2022/08/APG23-4-INP-23_IRN_WP1_Preliminary_Views_on_WRC-23_Agenda_Items_1.1_1.2_1.3_1.4_1.5_and_9.1Topic_c.docx" TargetMode="External"/><Relationship Id="rId21" Type="http://schemas.openxmlformats.org/officeDocument/2006/relationships/hyperlink" Target="https://www.itu.int/dms_ties/itu-r/md/19/wp5d/c/R19-WP5D-C-1361!H4-N4.35!MSW-E.docx" TargetMode="External"/><Relationship Id="rId42" Type="http://schemas.openxmlformats.org/officeDocument/2006/relationships/hyperlink" Target="https://www.apt.int/sites/default/files/2022/08/APG23-4-INF-48_Status_of_CEPT_preparation_for_WRC-23_and_RA-23.pdf" TargetMode="External"/><Relationship Id="rId47" Type="http://schemas.openxmlformats.org/officeDocument/2006/relationships/hyperlink" Target="https://www.apt.int/sites/default/files/2022/08/APG23-4-INP-14_AUS_WP1_Preliminary_Views_on_WRC-23_Agenda_Items_1.1_1.2_1.3_1.4_1.5_9.1Topic_c_and_No21.5.docx" TargetMode="External"/><Relationship Id="rId63" Type="http://schemas.openxmlformats.org/officeDocument/2006/relationships/hyperlink" Target="https://www.apt.int/sites/default/files/2022/08/APG23-4-INF-44_Status_of_RCC_preparation_to_the_World_Radio_Conference_and_Radio_Assembly_2023.pdf"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dms_ties/itu-r/md/19/wp5d/c/R19-WP5D-C-1361!H4-N4.30!MSW-E.docx" TargetMode="External"/><Relationship Id="rId29" Type="http://schemas.openxmlformats.org/officeDocument/2006/relationships/hyperlink" Target="https://www.apt.int/sites/default/files/2022/08/APG23-4-INP-45_Thailand_WP1_Preliminary_Views_on_WRC-23_Agenda_Items_1.1_1.2_1.4_and_9.1Topic_c.docx" TargetMode="External"/><Relationship Id="rId11" Type="http://schemas.openxmlformats.org/officeDocument/2006/relationships/hyperlink" Target="https://www.itu.int/dms_pub/itu-r/md/16/wrc19/c/R16-WRC19-C-0011!A24-A2!MSW-E.docx" TargetMode="External"/><Relationship Id="rId24" Type="http://schemas.openxmlformats.org/officeDocument/2006/relationships/hyperlink" Target="https://www.apt.int/sites/default/files/2022/08/APG23-4-INP-14_AUS_WP1_Preliminary_Views_on_WRC-23_Agenda_Items_1.1_1.2_1.3_1.4_1.5_9.1Topic_c_and_No21.5.docx" TargetMode="External"/><Relationship Id="rId32" Type="http://schemas.openxmlformats.org/officeDocument/2006/relationships/hyperlink" Target="https://www.apt.int/sites/default/files/2022/08/APG23-4-INP-71_Nepal_WP1_Preliminary_Views_on_WRC-23_Agenda_Items_1.1_1.2_and_1.4_0.docx" TargetMode="External"/><Relationship Id="rId37" Type="http://schemas.openxmlformats.org/officeDocument/2006/relationships/hyperlink" Target="https://www.apt.int/sites/default/files/2022/07/APG23-4-INF-03_WMO_Positions.docx" TargetMode="External"/><Relationship Id="rId40" Type="http://schemas.openxmlformats.org/officeDocument/2006/relationships/hyperlink" Target="https://www.apt.int/sites/default/files/2022/08/APG23-4-INF-28Rev.1_CITEL_Preparation_for_WRC-23.pdf" TargetMode="External"/><Relationship Id="rId45" Type="http://schemas.openxmlformats.org/officeDocument/2006/relationships/image" Target="media/image2.emf"/><Relationship Id="rId53" Type="http://schemas.openxmlformats.org/officeDocument/2006/relationships/hyperlink" Target="https://www.apt.int/sites/default/files/2022/08/APG23-4-INP-61_India_WP1_Preliminary_Views_on_WRC-23_Agenda_Items_1.2_1.3_1.4_1.5_9.1Topic_c_and_No.21.5.docx" TargetMode="External"/><Relationship Id="rId58" Type="http://schemas.openxmlformats.org/officeDocument/2006/relationships/hyperlink" Target="https://www.apt.int/sites/default/files/2022/08/APG23-4-INP-80_Indonesia_WP1_Preliminary_Views_on_WRC-23_Agenda_Items_1.2_and_1.4.docx"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apt.int/sites/default/files/2022/08/APG23-4-INF-48_Status_of_CEPT_preparation_for_WRC-23_and_RA-23.pdf" TargetMode="External"/><Relationship Id="rId19" Type="http://schemas.openxmlformats.org/officeDocument/2006/relationships/hyperlink" Target="https://www.itu.int/dms_ties/itu-r/md/19/wp5d/c/R19-WP5D-C-1361!H4-N4.33!MSW-E.docx" TargetMode="External"/><Relationship Id="rId14" Type="http://schemas.openxmlformats.org/officeDocument/2006/relationships/hyperlink" Target="https://www.itu.int/md/R19-WP5D-C-1361/en" TargetMode="External"/><Relationship Id="rId22" Type="http://schemas.openxmlformats.org/officeDocument/2006/relationships/hyperlink" Target="https://www.itu.int/dms_ties/itu-r/md/19/wp5d/c/R19-WP5D-C-1361!H4-N4.28!MSW-E.docx" TargetMode="External"/><Relationship Id="rId27" Type="http://schemas.openxmlformats.org/officeDocument/2006/relationships/hyperlink" Target="https://www.apt.int/sites/default/files/2022/08/APG23-4-INP-34_KOR_WP1_Preliminary_Views_on_WRC-23_Agenda_Items_1.1_1.2_1.3_1.4__9.1Topic_c_and_No.21.5.docx" TargetMode="External"/><Relationship Id="rId30" Type="http://schemas.openxmlformats.org/officeDocument/2006/relationships/hyperlink" Target="https://www.apt.int/sites/default/files/2022/08/APG23-4-INP-61_India_WP1_Preliminary_Views_on_WRC-23_Agenda_Items_1.2_1.3_1.4_1.5_9.1Topic_c_and_No.21.5.docx" TargetMode="External"/><Relationship Id="rId35" Type="http://schemas.openxmlformats.org/officeDocument/2006/relationships/hyperlink" Target="https://www.apt.int/sites/default/files/2022/08/APG23-4-INP-80_Indonesia_WP1_Preliminary_Views_on_WRC-23_Agenda_Items_1.2_and_1.4.docx" TargetMode="External"/><Relationship Id="rId43" Type="http://schemas.openxmlformats.org/officeDocument/2006/relationships/hyperlink" Target="https://www.apt.int/sites/default/files/2022/08/APG23-4-INP-07_J-1_WP1_Preliminary_Views_on_WRC-23_Agenda_Items_1.1_1.2_1.3_1.4_1.5_9.1.C_and_RR_No.21.5.docx" TargetMode="External"/><Relationship Id="rId48" Type="http://schemas.openxmlformats.org/officeDocument/2006/relationships/hyperlink" Target="https://www.apt.int/sites/default/files/2022/08/APG23-4-INP-19_BGD_WP1_Preliminary_Views_on_WRC-23_Agenda_Items_1.2_1.4_and_9.1Topic_c.docx" TargetMode="External"/><Relationship Id="rId56" Type="http://schemas.openxmlformats.org/officeDocument/2006/relationships/hyperlink" Target="https://www.apt.int/sites/default/files/2022/08/APG23-4-INP-71_Nepal_WP1_Preliminary_Views_on_WRC-23_Agenda_Items_1.1_1.2_and_1.4_0.docx" TargetMode="External"/><Relationship Id="rId64" Type="http://schemas.openxmlformats.org/officeDocument/2006/relationships/hyperlink" Target="https://www.apt.int/sites/default/files/2021/10/APG23-3-INF-15_ICAO-Position_for_ITU_WRC-23.docx" TargetMode="External"/><Relationship Id="rId69"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apt.int/sites/default/files/2022/08/APG23-4-INP-40_China_WP1_Preliminary_Views_on_WRC-23_Agenda_Items_1.1_1.2_1.3_1.4_1.5_9.1Topic_c_and_No.21.5.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dms_pub/itu-r/md/16/wrc19/c/R16-WRC19-C-0067!A24!MSW-E.docx" TargetMode="External"/><Relationship Id="rId17" Type="http://schemas.openxmlformats.org/officeDocument/2006/relationships/hyperlink" Target="https://www.itu.int/dms_ties/itu-r/md/19/wp5d/c/R19-WP5D-C-1361!H4-N4.31!MSW-E.docx" TargetMode="External"/><Relationship Id="rId25" Type="http://schemas.openxmlformats.org/officeDocument/2006/relationships/hyperlink" Target="https://www.apt.int/sites/default/files/2022/08/APG23-4-INP-19_BGD_WP1_Preliminary_Views_on_WRC-23_Agenda_Items_1.2_1.4_and_9.1Topic_c.docx" TargetMode="External"/><Relationship Id="rId33" Type="http://schemas.openxmlformats.org/officeDocument/2006/relationships/hyperlink" Target="https://www.apt.int/sites/default/files/2022/08/APG23-4-INP-73_Philippines_WP1_Preliminary_Views_on_WRC-23_Agenda_Items_1.1_1.2_1.3_1.4_and_9.1Topic_c_0.docx" TargetMode="External"/><Relationship Id="rId38" Type="http://schemas.openxmlformats.org/officeDocument/2006/relationships/hyperlink" Target="https://www.apt.int/sites/default/files/2022/08/APG23-4-INF-19_Brief_on_AI1.4.docx" TargetMode="External"/><Relationship Id="rId46" Type="http://schemas.openxmlformats.org/officeDocument/2006/relationships/package" Target="embeddings/Microsoft_Word_Document.docx"/><Relationship Id="rId59" Type="http://schemas.openxmlformats.org/officeDocument/2006/relationships/hyperlink" Target="https://www.apt.int/sites/default/files/2022/08/APG23-4-INF-21_ASMG_Preparation_for_WRC-23.pdf" TargetMode="External"/><Relationship Id="rId67" Type="http://schemas.openxmlformats.org/officeDocument/2006/relationships/footer" Target="footer1.xml"/><Relationship Id="rId20" Type="http://schemas.openxmlformats.org/officeDocument/2006/relationships/hyperlink" Target="https://www.itu.int/dms_ties/itu-r/md/19/wp5d/c/R19-WP5D-C-1361!H4-N4.34!MSW-E.docx" TargetMode="External"/><Relationship Id="rId41" Type="http://schemas.openxmlformats.org/officeDocument/2006/relationships/hyperlink" Target="https://www.apt.int/sites/default/files/2022/08/APG23-4-INF-44_Status_of_RCC_preparation_to_the_World_Radio_Conference_and_Radio_Assembly_2023.pdf" TargetMode="External"/><Relationship Id="rId54" Type="http://schemas.openxmlformats.org/officeDocument/2006/relationships/hyperlink" Target="https://www.apt.int/sites/default/files/2022/08/APG23-4-INP-74_VTN_WP1_Preliminary_Views_on_WRC-23_Agenda_Items_1.1_1.2_1.3_1.4_and_1.5.docx" TargetMode="External"/><Relationship Id="rId62" Type="http://schemas.openxmlformats.org/officeDocument/2006/relationships/hyperlink" Target="https://www.apt.int/sites/default/files/2022/08/APG23-4-INF-28Rev.1_CITEL_Preparation_for_WRC-23.pdf"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dms_ties/itu-r/md/19/wp5d/c/R19-WP5D-C-1361!H4-N4.29!MSW-E.docx" TargetMode="External"/><Relationship Id="rId23" Type="http://schemas.openxmlformats.org/officeDocument/2006/relationships/hyperlink" Target="https://www.apt.int/sites/default/files/2022/08/APG23-4-INP-07_J-1_WP1_Preliminary_Views_on_WRC-23_Agenda_Items_1.1_1.2_1.3_1.4_1.5_9.1.C_and_RR_No.21.5.docx" TargetMode="External"/><Relationship Id="rId28" Type="http://schemas.openxmlformats.org/officeDocument/2006/relationships/hyperlink" Target="https://www.apt.int/sites/default/files/2022/08/APG23-4-INP-40_China_WP1_Preliminary_Views_on_WRC-23_Agenda_Items_1.1_1.2_1.3_1.4_1.5_9.1Topic_c_and_No.21.5.docx" TargetMode="External"/><Relationship Id="rId36" Type="http://schemas.openxmlformats.org/officeDocument/2006/relationships/hyperlink" Target="https://www.apt.int/sites/default/files/2022/07/APG23-4-INF-02_ATU_preparation.docx" TargetMode="External"/><Relationship Id="rId49" Type="http://schemas.openxmlformats.org/officeDocument/2006/relationships/hyperlink" Target="https://www.apt.int/sites/default/files/2022/08/APG23-4-INP-23_IRN_WP1_Preliminary_Views_on_WRC-23_Agenda_Items_1.1_1.2_1.3_1.4_1.5_and_9.1Topic_c.docx" TargetMode="External"/><Relationship Id="rId57" Type="http://schemas.openxmlformats.org/officeDocument/2006/relationships/hyperlink" Target="https://www.apt.int/sites/default/files/2022/08/APG23-4-INP-73_Philippines_WP1_Preliminary_Views_on_WRC-23_Agenda_Items_1.1_1.2_1.3_1.4_and_9.1Topic_c_0.docx" TargetMode="External"/><Relationship Id="rId10" Type="http://schemas.openxmlformats.org/officeDocument/2006/relationships/hyperlink" Target="https://www.itu.int/dms_ties/itu-r/md/16/wrc19/c/R16-WRC19-C-0046!A24-A8!MSW-E.docx" TargetMode="External"/><Relationship Id="rId31" Type="http://schemas.openxmlformats.org/officeDocument/2006/relationships/hyperlink" Target="https://www.apt.int/sites/default/files/2022/08/APG23-4-INP-66Rev.1_MLA_WP1_Preliminary_Views_on_WRC-23_Agenda_Items_1.1_1.2_and_1.4.docx" TargetMode="External"/><Relationship Id="rId44" Type="http://schemas.openxmlformats.org/officeDocument/2006/relationships/hyperlink" Target="https://www.itu.int/dms_ties/itu-r/md/19/wp5d/c/R19-WP5D-C-1361!H4-N4.28!MSW-E.docx" TargetMode="External"/><Relationship Id="rId52" Type="http://schemas.openxmlformats.org/officeDocument/2006/relationships/hyperlink" Target="https://www.apt.int/sites/default/files/2022/08/APG23-4-INP-45_Thailand_WP1_Preliminary_Views_on_WRC-23_Agenda_Items_1.1_1.2_1.4_and_9.1Topic_c.docx" TargetMode="External"/><Relationship Id="rId60" Type="http://schemas.openxmlformats.org/officeDocument/2006/relationships/hyperlink" Target="https://www.apt.int/sites/default/files/2022/07/APG23-4-INF-02_ATU_preparation.docx" TargetMode="External"/><Relationship Id="rId65" Type="http://schemas.openxmlformats.org/officeDocument/2006/relationships/hyperlink" Target="https://www.apt.int/sites/default/files/2022/07/APG23-4-INF-03_WMO_Positions.docx" TargetMode="External"/><Relationship Id="rId4" Type="http://schemas.openxmlformats.org/officeDocument/2006/relationships/settings" Target="settings.xml"/><Relationship Id="rId9" Type="http://schemas.openxmlformats.org/officeDocument/2006/relationships/hyperlink" Target="https://www.itu.int/dms_pub/itu-r/md/16/wrc19/c/R16-WRC19-C-0024!A24-A4!MSW-E.docx" TargetMode="External"/><Relationship Id="rId13" Type="http://schemas.openxmlformats.org/officeDocument/2006/relationships/hyperlink" Target="https://www.itu.int/dms_pub/itu-r/md/00/ca/cir/R00-CA-CIR-0251!!PDF-E.pdf" TargetMode="External"/><Relationship Id="rId18" Type="http://schemas.openxmlformats.org/officeDocument/2006/relationships/hyperlink" Target="https://www.itu.int/dms_ties/itu-r/md/19/wp5d/c/R19-WP5D-C-1361!H4-N4.32!MSW-E.docx" TargetMode="External"/><Relationship Id="rId39" Type="http://schemas.openxmlformats.org/officeDocument/2006/relationships/hyperlink" Target="https://www.apt.int/sites/default/files/2022/08/APG23-4-INF-21_ASMG_Preparation_for_WRC-23.pdf" TargetMode="External"/><Relationship Id="rId34" Type="http://schemas.openxmlformats.org/officeDocument/2006/relationships/hyperlink" Target="https://www.apt.int/sites/default/files/2022/08/APG23-4-INP-74_VTN_WP1_Preliminary_Views_on_WRC-23_Agenda_Items_1.1_1.2_1.3_1.4_and_1.5.docx" TargetMode="External"/><Relationship Id="rId50" Type="http://schemas.openxmlformats.org/officeDocument/2006/relationships/hyperlink" Target="https://www.apt.int/sites/default/files/2022/08/APG23-4-INP-34_KOR_WP1_Preliminary_Views_on_WRC-23_Agenda_Items_1.1_1.2_1.3_1.4__9.1Topic_c_and_No.21.5.docx" TargetMode="External"/><Relationship Id="rId55" Type="http://schemas.openxmlformats.org/officeDocument/2006/relationships/hyperlink" Target="https://www.apt.int/sites/default/files/2022/08/APG23-4-INP-66Rev.1_MLA_WP1_Preliminary_Views_on_WRC-23_Agenda_Items_1.1_1.2_and_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4520</Words>
  <Characters>25765</Characters>
  <Application>Microsoft Office Word</Application>
  <DocSecurity>0</DocSecurity>
  <Lines>214</Lines>
  <Paragraphs>60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2022-08-29T05:40:00Z</dcterms:created>
  <dcterms:modified xsi:type="dcterms:W3CDTF">2022-08-29T05:40:00Z</dcterms:modified>
</cp:coreProperties>
</file>