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E6541" w:rsidRPr="00723BE9" w14:paraId="28DA5FB8" w14:textId="77777777" w:rsidTr="00716C4C">
        <w:trPr>
          <w:cantSplit/>
          <w:trHeight w:val="288"/>
        </w:trPr>
        <w:tc>
          <w:tcPr>
            <w:tcW w:w="1399" w:type="dxa"/>
            <w:vMerge w:val="restart"/>
          </w:tcPr>
          <w:p w14:paraId="15F4EC14" w14:textId="77777777" w:rsidR="000E6541" w:rsidRPr="00891D0B" w:rsidRDefault="000E6541" w:rsidP="00716C4C">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19DB50A" wp14:editId="2A37336D">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011891D" w14:textId="77777777" w:rsidR="000E6541" w:rsidRPr="00E86131" w:rsidRDefault="000E6541" w:rsidP="00716C4C">
            <w:r w:rsidRPr="00E86131">
              <w:t>ASIA-PACIFIC TELECOMMUNITY</w:t>
            </w:r>
          </w:p>
        </w:tc>
        <w:tc>
          <w:tcPr>
            <w:tcW w:w="2160" w:type="dxa"/>
          </w:tcPr>
          <w:p w14:paraId="6BC6132C" w14:textId="77777777" w:rsidR="000E6541" w:rsidRPr="00723BE9" w:rsidRDefault="000E6541" w:rsidP="00716C4C">
            <w:pPr>
              <w:rPr>
                <w:b/>
                <w:sz w:val="22"/>
                <w:szCs w:val="22"/>
              </w:rPr>
            </w:pPr>
            <w:r w:rsidRPr="00723BE9">
              <w:rPr>
                <w:b/>
              </w:rPr>
              <w:t>Document No:</w:t>
            </w:r>
          </w:p>
        </w:tc>
      </w:tr>
      <w:tr w:rsidR="000E6541" w14:paraId="5ECB75F7" w14:textId="77777777" w:rsidTr="00716C4C">
        <w:trPr>
          <w:cantSplit/>
          <w:trHeight w:val="504"/>
        </w:trPr>
        <w:tc>
          <w:tcPr>
            <w:tcW w:w="1399" w:type="dxa"/>
            <w:vMerge/>
          </w:tcPr>
          <w:p w14:paraId="5C96DC80" w14:textId="77777777" w:rsidR="000E6541" w:rsidRPr="00891D0B" w:rsidRDefault="000E6541" w:rsidP="00716C4C"/>
        </w:tc>
        <w:tc>
          <w:tcPr>
            <w:tcW w:w="5760" w:type="dxa"/>
          </w:tcPr>
          <w:p w14:paraId="2295FF5B" w14:textId="77777777" w:rsidR="000E6541" w:rsidRDefault="000E6541" w:rsidP="00716C4C">
            <w:pPr>
              <w:spacing w:line="0" w:lineRule="atLeast"/>
              <w:rPr>
                <w:b/>
              </w:rPr>
            </w:pPr>
            <w:r>
              <w:rPr>
                <w:b/>
              </w:rPr>
              <w:t>The 4th Meeting of the APT Conference Preparatory</w:t>
            </w:r>
          </w:p>
          <w:p w14:paraId="6F720C44" w14:textId="77777777" w:rsidR="000E6541" w:rsidRPr="00891D0B" w:rsidRDefault="000E6541" w:rsidP="00716C4C">
            <w:pPr>
              <w:spacing w:line="0" w:lineRule="atLeast"/>
            </w:pPr>
            <w:r>
              <w:rPr>
                <w:b/>
              </w:rPr>
              <w:t>Group for WRC-23 (APG23-4)</w:t>
            </w:r>
          </w:p>
        </w:tc>
        <w:tc>
          <w:tcPr>
            <w:tcW w:w="2160" w:type="dxa"/>
          </w:tcPr>
          <w:p w14:paraId="054D6E1D" w14:textId="66EFB1A3" w:rsidR="000E6541" w:rsidRPr="00084461" w:rsidRDefault="000E6541" w:rsidP="00716C4C">
            <w:pPr>
              <w:rPr>
                <w:rFonts w:cs="Angsana New"/>
                <w:b/>
                <w:bCs/>
                <w:szCs w:val="30"/>
                <w:lang w:bidi="th-TH"/>
              </w:rPr>
            </w:pPr>
            <w:r w:rsidRPr="00C96104">
              <w:rPr>
                <w:b/>
                <w:bCs/>
                <w:lang w:val="fr-FR"/>
              </w:rPr>
              <w:t>AP</w:t>
            </w:r>
            <w:r>
              <w:rPr>
                <w:b/>
                <w:bCs/>
                <w:lang w:val="fr-FR"/>
              </w:rPr>
              <w:t>G23-4/</w:t>
            </w:r>
            <w:r w:rsidR="00516631">
              <w:rPr>
                <w:b/>
                <w:bCs/>
                <w:lang w:val="fr-FR"/>
              </w:rPr>
              <w:t>OUT</w:t>
            </w:r>
            <w:r>
              <w:rPr>
                <w:b/>
                <w:bCs/>
                <w:lang w:val="fr-FR"/>
              </w:rPr>
              <w:t>-</w:t>
            </w:r>
            <w:r w:rsidR="00516631">
              <w:rPr>
                <w:rFonts w:cs="Angsana New"/>
                <w:b/>
                <w:bCs/>
                <w:szCs w:val="30"/>
                <w:lang w:bidi="th-TH"/>
              </w:rPr>
              <w:t>09</w:t>
            </w:r>
          </w:p>
          <w:p w14:paraId="0686071C" w14:textId="77777777" w:rsidR="000E6541" w:rsidRDefault="000E6541" w:rsidP="00716C4C">
            <w:pPr>
              <w:spacing w:line="0" w:lineRule="atLeast"/>
              <w:rPr>
                <w:b/>
              </w:rPr>
            </w:pPr>
          </w:p>
        </w:tc>
      </w:tr>
      <w:tr w:rsidR="000E6541" w14:paraId="2D19CB6C" w14:textId="77777777" w:rsidTr="00716C4C">
        <w:trPr>
          <w:cantSplit/>
          <w:trHeight w:val="288"/>
        </w:trPr>
        <w:tc>
          <w:tcPr>
            <w:tcW w:w="1399" w:type="dxa"/>
            <w:vMerge/>
          </w:tcPr>
          <w:p w14:paraId="3E7978CB" w14:textId="77777777" w:rsidR="000E6541" w:rsidRPr="007E1FDD" w:rsidRDefault="000E6541" w:rsidP="00716C4C">
            <w:pPr>
              <w:rPr>
                <w:lang w:val="en-GB"/>
              </w:rPr>
            </w:pPr>
          </w:p>
        </w:tc>
        <w:tc>
          <w:tcPr>
            <w:tcW w:w="5760" w:type="dxa"/>
            <w:vAlign w:val="bottom"/>
          </w:tcPr>
          <w:p w14:paraId="551BEB72" w14:textId="77777777" w:rsidR="000E6541" w:rsidRPr="007F0AE6" w:rsidRDefault="000E6541" w:rsidP="00716C4C">
            <w:pPr>
              <w:rPr>
                <w:bCs/>
              </w:rPr>
            </w:pPr>
            <w:r>
              <w:t>15 – 20 August 2022</w:t>
            </w:r>
            <w:r w:rsidRPr="00891D0B">
              <w:t xml:space="preserve">, </w:t>
            </w:r>
            <w:r>
              <w:t>Bangkok, Thailand</w:t>
            </w:r>
          </w:p>
        </w:tc>
        <w:tc>
          <w:tcPr>
            <w:tcW w:w="2160" w:type="dxa"/>
            <w:vAlign w:val="bottom"/>
          </w:tcPr>
          <w:p w14:paraId="2B245D3E" w14:textId="5F9439CE" w:rsidR="000E6541" w:rsidRDefault="00516631" w:rsidP="00716C4C">
            <w:r>
              <w:rPr>
                <w:bCs/>
              </w:rPr>
              <w:t>20</w:t>
            </w:r>
            <w:r w:rsidR="000E6541" w:rsidRPr="007E1FDD">
              <w:rPr>
                <w:bCs/>
              </w:rPr>
              <w:t xml:space="preserve"> </w:t>
            </w:r>
            <w:r w:rsidR="000E6541">
              <w:rPr>
                <w:bCs/>
              </w:rPr>
              <w:t xml:space="preserve">August </w:t>
            </w:r>
            <w:r w:rsidR="000E6541" w:rsidRPr="007E1FDD">
              <w:rPr>
                <w:bCs/>
              </w:rPr>
              <w:t>20</w:t>
            </w:r>
            <w:r w:rsidR="000E6541">
              <w:rPr>
                <w:bCs/>
              </w:rPr>
              <w:t>22</w:t>
            </w:r>
          </w:p>
        </w:tc>
      </w:tr>
    </w:tbl>
    <w:p w14:paraId="397F30C8" w14:textId="77777777" w:rsidR="00311E8A" w:rsidRDefault="00311E8A" w:rsidP="00D737F5">
      <w:pPr>
        <w:rPr>
          <w:lang w:val="en-NZ"/>
        </w:rPr>
      </w:pPr>
    </w:p>
    <w:p w14:paraId="493DDC98" w14:textId="77777777" w:rsidR="007E64E6" w:rsidRDefault="007E64E6" w:rsidP="00E26B16">
      <w:pPr>
        <w:jc w:val="center"/>
        <w:rPr>
          <w:lang w:val="en-NZ" w:eastAsia="ko-KR"/>
        </w:rPr>
      </w:pPr>
    </w:p>
    <w:p w14:paraId="5F7F298B" w14:textId="3881A424" w:rsidR="00B64A60" w:rsidRPr="002A0111" w:rsidRDefault="00516631" w:rsidP="00E26B16">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6082D294"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25197">
        <w:rPr>
          <w:b/>
          <w:bCs/>
          <w:caps/>
          <w:lang w:val="en-NZ"/>
        </w:rPr>
        <w:t>5</w:t>
      </w:r>
    </w:p>
    <w:p w14:paraId="18056C90" w14:textId="77777777" w:rsidR="00B64A60" w:rsidRPr="00441526" w:rsidRDefault="00B64A60" w:rsidP="00264566">
      <w:pPr>
        <w:spacing w:after="120"/>
        <w:rPr>
          <w:lang w:val="en-NZ"/>
        </w:rPr>
      </w:pPr>
    </w:p>
    <w:p w14:paraId="23228B95" w14:textId="160090CB" w:rsidR="002A0111" w:rsidRPr="00441526" w:rsidRDefault="002A0111" w:rsidP="002A0111">
      <w:pPr>
        <w:spacing w:after="120"/>
        <w:jc w:val="both"/>
        <w:rPr>
          <w:lang w:val="en-NZ"/>
        </w:rPr>
      </w:pPr>
      <w:r w:rsidRPr="00441526">
        <w:rPr>
          <w:b/>
          <w:lang w:val="en-NZ"/>
        </w:rPr>
        <w:t>Agenda Item 1.</w:t>
      </w:r>
      <w:r w:rsidR="00925197">
        <w:rPr>
          <w:b/>
          <w:lang w:val="en-NZ"/>
        </w:rPr>
        <w:t>5</w:t>
      </w:r>
      <w:r w:rsidRPr="00441526">
        <w:rPr>
          <w:b/>
          <w:lang w:val="en-NZ"/>
        </w:rPr>
        <w:t xml:space="preserve">: </w:t>
      </w:r>
    </w:p>
    <w:p w14:paraId="1057F58F" w14:textId="77777777" w:rsidR="00925197" w:rsidRPr="003E0AFE" w:rsidRDefault="00925197" w:rsidP="006C5616">
      <w:pPr>
        <w:pStyle w:val="ListParagraph"/>
        <w:ind w:left="0"/>
        <w:jc w:val="both"/>
        <w:rPr>
          <w:rFonts w:ascii="Calibri" w:eastAsia="Batang" w:hAnsi="Calibri" w:cs="Calibri"/>
          <w:lang w:eastAsia="nl-NL"/>
        </w:rPr>
      </w:pPr>
      <w:r w:rsidRPr="009D055C">
        <w:rPr>
          <w:i/>
          <w:lang w:val="en-NZ"/>
        </w:rPr>
        <w:t xml:space="preserve">to review the </w:t>
      </w:r>
      <w:proofErr w:type="gramStart"/>
      <w:r w:rsidRPr="009D055C">
        <w:rPr>
          <w:i/>
          <w:lang w:val="en-NZ"/>
        </w:rPr>
        <w:t>spectrum</w:t>
      </w:r>
      <w:proofErr w:type="gramEnd"/>
      <w:r w:rsidRPr="009D055C">
        <w:rPr>
          <w:i/>
          <w:lang w:val="en-NZ"/>
        </w:rPr>
        <w:t xml:space="preserve"> use and spectrum needs of existing services in the frequency band 470-960 MHz in Region 1 and consider possible regulatory actions in the frequency band 470</w:t>
      </w:r>
      <w:r w:rsidRPr="009D055C">
        <w:rPr>
          <w:i/>
          <w:lang w:val="en-NZ"/>
        </w:rPr>
        <w:noBreakHyphen/>
        <w:t xml:space="preserve">694 MHz in Region 1 on the basis of the review in accordance with Resolution </w:t>
      </w:r>
      <w:r w:rsidRPr="00A767AF">
        <w:rPr>
          <w:b/>
          <w:i/>
          <w:lang w:val="en-NZ"/>
        </w:rPr>
        <w:t>235 (WRC</w:t>
      </w:r>
      <w:r w:rsidRPr="00A767AF">
        <w:rPr>
          <w:b/>
          <w:i/>
          <w:lang w:val="en-NZ"/>
        </w:rPr>
        <w:noBreakHyphen/>
        <w:t>15)</w:t>
      </w:r>
      <w:r w:rsidRPr="009D055C">
        <w:rPr>
          <w:i/>
          <w:lang w:val="en-NZ"/>
        </w:rPr>
        <w:t>;</w:t>
      </w:r>
    </w:p>
    <w:p w14:paraId="20149A04" w14:textId="77777777" w:rsidR="005C568F" w:rsidRDefault="005C568F" w:rsidP="00B40853">
      <w:pPr>
        <w:spacing w:before="120" w:after="120"/>
        <w:jc w:val="both"/>
        <w:outlineLvl w:val="0"/>
        <w:rPr>
          <w:b/>
          <w:lang w:val="en-NZ" w:eastAsia="ko-KR"/>
        </w:rPr>
      </w:pPr>
    </w:p>
    <w:p w14:paraId="6B4E33B5" w14:textId="720AB6D2" w:rsidR="002A0111" w:rsidRPr="00441526" w:rsidRDefault="002A0111" w:rsidP="00B40853">
      <w:pPr>
        <w:spacing w:before="120" w:after="120"/>
        <w:jc w:val="both"/>
        <w:outlineLvl w:val="0"/>
        <w:rPr>
          <w:b/>
          <w:lang w:val="en-NZ" w:eastAsia="ko-KR"/>
        </w:rPr>
      </w:pPr>
      <w:r w:rsidRPr="00441526">
        <w:rPr>
          <w:b/>
          <w:lang w:val="en-NZ" w:eastAsia="ko-KR"/>
        </w:rPr>
        <w:t xml:space="preserve">1. </w:t>
      </w:r>
      <w:r w:rsidRPr="00441526">
        <w:rPr>
          <w:b/>
          <w:lang w:val="en-NZ" w:eastAsia="ko-KR"/>
        </w:rPr>
        <w:tab/>
        <w:t>Background</w:t>
      </w:r>
    </w:p>
    <w:p w14:paraId="29A1E731" w14:textId="4FA4F291" w:rsidR="00206A33" w:rsidRDefault="008B3E43" w:rsidP="00206A33">
      <w:pPr>
        <w:spacing w:before="120"/>
        <w:jc w:val="both"/>
        <w:rPr>
          <w:bCs/>
          <w:lang w:val="en-GB" w:eastAsia="zh-CN"/>
        </w:rPr>
      </w:pPr>
      <w:r>
        <w:rPr>
          <w:rFonts w:hint="eastAsia"/>
          <w:bCs/>
          <w:lang w:val="en-GB" w:eastAsia="ko-KR"/>
        </w:rPr>
        <w:t>The</w:t>
      </w:r>
      <w:r>
        <w:rPr>
          <w:bCs/>
          <w:lang w:val="en-GB" w:eastAsia="zh-CN"/>
        </w:rPr>
        <w:t xml:space="preserve"> </w:t>
      </w:r>
      <w:r>
        <w:rPr>
          <w:rFonts w:hint="eastAsia"/>
          <w:bCs/>
          <w:lang w:val="en-GB" w:eastAsia="ko-KR"/>
        </w:rPr>
        <w:t>s</w:t>
      </w:r>
      <w:r w:rsidR="00206A33" w:rsidRPr="00152A11">
        <w:rPr>
          <w:bCs/>
          <w:lang w:val="en-GB" w:eastAsia="zh-CN"/>
        </w:rPr>
        <w:t>pectrum below 1 GHz is exceptionally well suited for</w:t>
      </w:r>
      <w:r w:rsidR="00206A33">
        <w:rPr>
          <w:bCs/>
          <w:lang w:val="en-GB" w:eastAsia="zh-CN"/>
        </w:rPr>
        <w:t xml:space="preserve"> mobile broadband applications.</w:t>
      </w:r>
      <w:r w:rsidR="00206A33" w:rsidRPr="00152A11">
        <w:rPr>
          <w:bCs/>
          <w:lang w:val="en-GB" w:eastAsia="zh-CN"/>
        </w:rPr>
        <w:t xml:space="preserve"> In particular, the unique propagation characteristics of the bands below 1 GHz allow for wider area coverage, which in turn requires fewer infrastructures and facilitates service delivery to rural or sparsely populated areas.</w:t>
      </w:r>
    </w:p>
    <w:p w14:paraId="432F0437" w14:textId="1F1E9454" w:rsidR="00206A33" w:rsidRDefault="00206A33" w:rsidP="00206A33">
      <w:pPr>
        <w:autoSpaceDE w:val="0"/>
        <w:autoSpaceDN w:val="0"/>
        <w:adjustRightInd w:val="0"/>
        <w:spacing w:before="120"/>
        <w:jc w:val="both"/>
        <w:rPr>
          <w:rFonts w:eastAsiaTheme="minorEastAsia"/>
          <w:lang w:val="en-NZ" w:eastAsia="zh-CN"/>
        </w:rPr>
      </w:pPr>
      <w:r>
        <w:t xml:space="preserve">During </w:t>
      </w:r>
      <w:r w:rsidRPr="00113916">
        <w:rPr>
          <w:bCs/>
        </w:rPr>
        <w:t>WRC-15</w:t>
      </w:r>
      <w:r>
        <w:t xml:space="preserve">, after </w:t>
      </w:r>
      <w:r w:rsidR="008B3E43">
        <w:rPr>
          <w:rFonts w:hint="eastAsia"/>
          <w:lang w:eastAsia="ko-KR"/>
        </w:rPr>
        <w:t>a</w:t>
      </w:r>
      <w:r w:rsidR="008B3E43">
        <w:t xml:space="preserve"> </w:t>
      </w:r>
      <w:r>
        <w:t xml:space="preserve">proposal of </w:t>
      </w:r>
      <w:r w:rsidRPr="00113916">
        <w:rPr>
          <w:bCs/>
        </w:rPr>
        <w:t>WRC-19</w:t>
      </w:r>
      <w:r>
        <w:t xml:space="preserve"> agenda item by multiple Region 1 administrations for studying Region 1 identification of 470-694/698 MHz for IMT and consequent Plenary-session </w:t>
      </w:r>
      <w:r w:rsidRPr="003E0724">
        <w:rPr>
          <w:lang w:val="en-NZ"/>
        </w:rPr>
        <w:t>discussions</w:t>
      </w:r>
      <w:r>
        <w:t xml:space="preserve">, an agenda item was proposed for </w:t>
      </w:r>
      <w:r w:rsidRPr="00113916">
        <w:rPr>
          <w:bCs/>
        </w:rPr>
        <w:t>WRC-23</w:t>
      </w:r>
      <w:r w:rsidRPr="00730AE5">
        <w:t>,</w:t>
      </w:r>
      <w:r>
        <w:rPr>
          <w:b/>
          <w:bCs/>
        </w:rPr>
        <w:t xml:space="preserve"> </w:t>
      </w:r>
      <w:r>
        <w:t xml:space="preserve">as item </w:t>
      </w:r>
      <w:r w:rsidRPr="00113916">
        <w:rPr>
          <w:bCs/>
        </w:rPr>
        <w:t>2.5</w:t>
      </w:r>
      <w:r>
        <w:t xml:space="preserve"> in the Resolution </w:t>
      </w:r>
      <w:r w:rsidRPr="00F551FB">
        <w:rPr>
          <w:b/>
          <w:bCs/>
        </w:rPr>
        <w:t>810 (WRC-15)</w:t>
      </w:r>
      <w:r>
        <w:t xml:space="preserve">. This proposal was approved in </w:t>
      </w:r>
      <w:r w:rsidRPr="00113916">
        <w:rPr>
          <w:bCs/>
        </w:rPr>
        <w:t>WRC-19</w:t>
      </w:r>
      <w:r>
        <w:t xml:space="preserve"> as Agenda Item </w:t>
      </w:r>
      <w:r>
        <w:rPr>
          <w:bCs/>
        </w:rPr>
        <w:t>1.5</w:t>
      </w:r>
      <w:r>
        <w:t xml:space="preserve"> and the relevant Resolution </w:t>
      </w:r>
      <w:r w:rsidRPr="00A631BD">
        <w:rPr>
          <w:b/>
          <w:bCs/>
        </w:rPr>
        <w:t>235</w:t>
      </w:r>
      <w:r>
        <w:t xml:space="preserve"> </w:t>
      </w:r>
      <w:r w:rsidRPr="00A32668">
        <w:rPr>
          <w:b/>
          <w:bCs/>
        </w:rPr>
        <w:t>(WRC-15)</w:t>
      </w:r>
      <w:r w:rsidR="008B3E43" w:rsidRPr="0067757F">
        <w:t xml:space="preserve"> </w:t>
      </w:r>
      <w:r w:rsidR="008B3E43" w:rsidRPr="0067757F">
        <w:rPr>
          <w:lang w:eastAsia="ko-KR"/>
        </w:rPr>
        <w:t>was</w:t>
      </w:r>
      <w:r>
        <w:t xml:space="preserve"> kept intact.</w:t>
      </w:r>
      <w:r w:rsidRPr="004C34AF">
        <w:rPr>
          <w:rFonts w:eastAsiaTheme="minorEastAsia"/>
          <w:lang w:val="en-NZ" w:eastAsia="zh-CN"/>
        </w:rPr>
        <w:t xml:space="preserve"> </w:t>
      </w:r>
    </w:p>
    <w:p w14:paraId="7DC17B68" w14:textId="05FA9765" w:rsidR="00206A33" w:rsidRPr="00A00FFB" w:rsidRDefault="00206A33" w:rsidP="00206A33">
      <w:pPr>
        <w:autoSpaceDE w:val="0"/>
        <w:autoSpaceDN w:val="0"/>
        <w:adjustRightInd w:val="0"/>
        <w:spacing w:before="120"/>
        <w:jc w:val="both"/>
        <w:rPr>
          <w:lang w:val="en-NZ"/>
        </w:rPr>
      </w:pPr>
      <w:r>
        <w:t xml:space="preserve">Resolution </w:t>
      </w:r>
      <w:r w:rsidRPr="00A631BD">
        <w:rPr>
          <w:b/>
          <w:bCs/>
        </w:rPr>
        <w:t>235</w:t>
      </w:r>
      <w:r>
        <w:t xml:space="preserve"> </w:t>
      </w:r>
      <w:r w:rsidRPr="00A32668">
        <w:rPr>
          <w:b/>
          <w:bCs/>
        </w:rPr>
        <w:t>(WRC-15)</w:t>
      </w:r>
      <w:r w:rsidRPr="00F23CD1">
        <w:t xml:space="preserve"> invites </w:t>
      </w:r>
      <w:r>
        <w:t xml:space="preserve">ITU-R </w:t>
      </w:r>
      <w:r w:rsidRPr="001050A7">
        <w:rPr>
          <w:lang w:val="en-NZ"/>
        </w:rPr>
        <w:t xml:space="preserve">to review the spectrum use and study the spectrum needs of existing services within the frequency band 470-960 MHz in Region 1, </w:t>
      </w:r>
      <w:proofErr w:type="gramStart"/>
      <w:r w:rsidRPr="001050A7">
        <w:rPr>
          <w:lang w:val="en-NZ"/>
        </w:rPr>
        <w:t>in particular the</w:t>
      </w:r>
      <w:proofErr w:type="gramEnd"/>
      <w:r w:rsidRPr="001050A7">
        <w:rPr>
          <w:lang w:val="en-NZ"/>
        </w:rPr>
        <w:t xml:space="preserve"> spectrum requirements of the broadcasting and mobile, except aeronautical mobile, services</w:t>
      </w:r>
      <w:r>
        <w:rPr>
          <w:lang w:val="en-NZ"/>
        </w:rPr>
        <w:t xml:space="preserve">. Furthermore, </w:t>
      </w:r>
      <w:r>
        <w:t>ITU-R</w:t>
      </w:r>
      <w:r w:rsidR="008F29F6">
        <w:t xml:space="preserve"> </w:t>
      </w:r>
      <w:r w:rsidR="008F29F6">
        <w:rPr>
          <w:rFonts w:hint="eastAsia"/>
          <w:lang w:eastAsia="ko-KR"/>
        </w:rPr>
        <w:t>is</w:t>
      </w:r>
      <w:r>
        <w:t xml:space="preserve"> invited </w:t>
      </w:r>
      <w:r w:rsidRPr="001050A7">
        <w:rPr>
          <w:lang w:val="en-NZ"/>
        </w:rPr>
        <w:t>to carry out sharing and compatibility studies, as appropriate, in the frequency band 470</w:t>
      </w:r>
      <w:r w:rsidRPr="001050A7">
        <w:rPr>
          <w:lang w:val="en-NZ"/>
        </w:rPr>
        <w:noBreakHyphen/>
        <w:t xml:space="preserve">694 MHz in Region 1 between the broadcasting and mobile, except aeronautical mobile, services, </w:t>
      </w:r>
      <w:r>
        <w:rPr>
          <w:lang w:val="en-NZ"/>
        </w:rPr>
        <w:t xml:space="preserve">as well as </w:t>
      </w:r>
      <w:r w:rsidRPr="001050A7">
        <w:rPr>
          <w:lang w:val="en-NZ"/>
        </w:rPr>
        <w:t xml:space="preserve">to conduct sharing and compatibility studies, as appropriate, </w:t>
      </w:r>
      <w:proofErr w:type="gramStart"/>
      <w:r w:rsidRPr="001050A7">
        <w:rPr>
          <w:lang w:val="en-NZ"/>
        </w:rPr>
        <w:t>in order to</w:t>
      </w:r>
      <w:proofErr w:type="gramEnd"/>
      <w:r w:rsidRPr="001050A7">
        <w:rPr>
          <w:lang w:val="en-NZ"/>
        </w:rPr>
        <w:t xml:space="preserve"> provide relevant protection of systems of other exis</w:t>
      </w:r>
      <w:r>
        <w:rPr>
          <w:lang w:val="en-NZ"/>
        </w:rPr>
        <w:t xml:space="preserve">ting services. At the end, this Resolution limits WRC-23 to take </w:t>
      </w:r>
      <w:r w:rsidRPr="00A00FFB">
        <w:rPr>
          <w:lang w:val="en-NZ"/>
        </w:rPr>
        <w:t>possible regulatory actions in the frequency band 470-694 MHz in Region 1, as</w:t>
      </w:r>
      <w:r>
        <w:rPr>
          <w:lang w:val="en-NZ"/>
        </w:rPr>
        <w:t xml:space="preserve"> </w:t>
      </w:r>
      <w:r w:rsidRPr="00A00FFB">
        <w:rPr>
          <w:lang w:val="en-NZ"/>
        </w:rPr>
        <w:t>appropriate,</w:t>
      </w:r>
      <w:r>
        <w:rPr>
          <w:lang w:val="en-NZ"/>
        </w:rPr>
        <w:t xml:space="preserve"> </w:t>
      </w:r>
      <w:r w:rsidRPr="00A00FFB">
        <w:rPr>
          <w:lang w:val="en-NZ"/>
        </w:rPr>
        <w:t>based on the results of</w:t>
      </w:r>
      <w:r w:rsidR="008F29F6">
        <w:rPr>
          <w:lang w:val="en-NZ"/>
        </w:rPr>
        <w:t xml:space="preserve"> </w:t>
      </w:r>
      <w:r w:rsidR="008F29F6">
        <w:rPr>
          <w:rFonts w:hint="eastAsia"/>
          <w:lang w:val="en-NZ" w:eastAsia="ko-KR"/>
        </w:rPr>
        <w:t>the</w:t>
      </w:r>
      <w:r w:rsidRPr="00A00FFB">
        <w:rPr>
          <w:lang w:val="en-NZ"/>
        </w:rPr>
        <w:t xml:space="preserve"> </w:t>
      </w:r>
      <w:r>
        <w:rPr>
          <w:lang w:val="en-NZ"/>
        </w:rPr>
        <w:t xml:space="preserve">completed </w:t>
      </w:r>
      <w:r w:rsidRPr="00A00FFB">
        <w:rPr>
          <w:lang w:val="en-NZ"/>
        </w:rPr>
        <w:t>studies above</w:t>
      </w:r>
      <w:r>
        <w:rPr>
          <w:lang w:val="en-NZ"/>
        </w:rPr>
        <w:t>.</w:t>
      </w:r>
    </w:p>
    <w:p w14:paraId="02A8454A" w14:textId="798EB4B0" w:rsidR="00206A33" w:rsidRPr="00936C98" w:rsidRDefault="00206A33" w:rsidP="00DF2DF1">
      <w:pPr>
        <w:autoSpaceDE w:val="0"/>
        <w:autoSpaceDN w:val="0"/>
        <w:jc w:val="both"/>
        <w:rPr>
          <w:lang w:val="en-NZ"/>
        </w:rPr>
      </w:pPr>
      <w:r w:rsidRPr="00936C98">
        <w:rPr>
          <w:lang w:val="en-NZ"/>
        </w:rPr>
        <w:t xml:space="preserve">Task Group 6/1 (TG 6/1) was established by </w:t>
      </w:r>
      <w:hyperlink r:id="rId9" w:history="1">
        <w:r w:rsidRPr="00936C98">
          <w:rPr>
            <w:rStyle w:val="Hyperlink"/>
            <w:lang w:val="en-NZ"/>
          </w:rPr>
          <w:t>CPM23-1</w:t>
        </w:r>
      </w:hyperlink>
      <w:r w:rsidRPr="00936C98">
        <w:rPr>
          <w:lang w:val="en-NZ"/>
        </w:rPr>
        <w:t xml:space="preserve"> to be responsible group for conduction of Agenda Item 1.5 work. </w:t>
      </w:r>
      <w:r>
        <w:rPr>
          <w:lang w:val="en-NZ"/>
        </w:rPr>
        <w:t xml:space="preserve">Three working groups (WGS) </w:t>
      </w:r>
      <w:r w:rsidR="008F29F6">
        <w:rPr>
          <w:rFonts w:hint="eastAsia"/>
          <w:lang w:val="en-NZ" w:eastAsia="ko-KR"/>
        </w:rPr>
        <w:t>were</w:t>
      </w:r>
      <w:r w:rsidR="008F29F6">
        <w:rPr>
          <w:lang w:val="en-NZ"/>
        </w:rPr>
        <w:t xml:space="preserve"> </w:t>
      </w:r>
      <w:r>
        <w:rPr>
          <w:lang w:val="en-NZ"/>
        </w:rPr>
        <w:t xml:space="preserve">established from the beginning, and as reported by </w:t>
      </w:r>
      <w:r w:rsidRPr="00E42517">
        <w:t>TG 6/1</w:t>
      </w:r>
      <w:r>
        <w:t xml:space="preserve"> at the fourth meeting (latest meeting from </w:t>
      </w:r>
      <w:r w:rsidRPr="00936C98">
        <w:rPr>
          <w:bCs/>
          <w:lang w:eastAsia="zh-CN"/>
        </w:rPr>
        <w:t>21 February to 4 March 2021</w:t>
      </w:r>
      <w:r>
        <w:rPr>
          <w:bCs/>
          <w:lang w:eastAsia="zh-CN"/>
        </w:rPr>
        <w:t>)</w:t>
      </w:r>
      <w:r>
        <w:t xml:space="preserve">, </w:t>
      </w:r>
      <w:r w:rsidR="00036296">
        <w:rPr>
          <w:rFonts w:hint="eastAsia"/>
          <w:lang w:eastAsia="ko-KR"/>
        </w:rPr>
        <w:t>the</w:t>
      </w:r>
      <w:r w:rsidR="00036296">
        <w:t xml:space="preserve"> </w:t>
      </w:r>
      <w:r>
        <w:t xml:space="preserve">following summary of activities could be provided </w:t>
      </w:r>
      <w:r w:rsidR="00036296">
        <w:rPr>
          <w:rFonts w:hint="eastAsia"/>
          <w:lang w:eastAsia="ko-KR"/>
        </w:rPr>
        <w:t>at</w:t>
      </w:r>
      <w:r>
        <w:t xml:space="preserve"> glance:</w:t>
      </w:r>
    </w:p>
    <w:p w14:paraId="0C76C8C8" w14:textId="202CB2E9" w:rsidR="00206A33" w:rsidRDefault="00206A33" w:rsidP="00F50181">
      <w:pPr>
        <w:pStyle w:val="ListParagraph"/>
        <w:numPr>
          <w:ilvl w:val="1"/>
          <w:numId w:val="29"/>
        </w:numPr>
        <w:tabs>
          <w:tab w:val="left" w:pos="1701"/>
          <w:tab w:val="left" w:pos="1985"/>
          <w:tab w:val="left" w:pos="2552"/>
          <w:tab w:val="left" w:pos="2835"/>
          <w:tab w:val="left" w:pos="3119"/>
          <w:tab w:val="left" w:pos="3402"/>
          <w:tab w:val="left" w:pos="3686"/>
          <w:tab w:val="left" w:pos="3969"/>
        </w:tabs>
        <w:spacing w:before="40"/>
        <w:ind w:left="630"/>
        <w:jc w:val="both"/>
        <w:rPr>
          <w:bCs/>
          <w:lang w:eastAsia="zh-CN"/>
        </w:rPr>
      </w:pPr>
      <w:r w:rsidRPr="0099352F">
        <w:rPr>
          <w:b/>
        </w:rPr>
        <w:t>WG 1 activity -</w:t>
      </w:r>
      <w:r w:rsidRPr="00B207F7">
        <w:rPr>
          <w:bCs/>
          <w:i/>
          <w:iCs/>
          <w:caps/>
        </w:rPr>
        <w:t xml:space="preserve"> </w:t>
      </w:r>
      <w:r w:rsidRPr="00960118">
        <w:rPr>
          <w:bCs/>
          <w:i/>
          <w:iCs/>
        </w:rPr>
        <w:t>Spectrum use and needs of all existing services in the band 470-960 MHz (WG 1 activity)</w:t>
      </w:r>
      <w:r>
        <w:rPr>
          <w:bCs/>
          <w:i/>
          <w:iCs/>
        </w:rPr>
        <w:tab/>
      </w:r>
      <w:r>
        <w:rPr>
          <w:bCs/>
        </w:rPr>
        <w:br/>
      </w:r>
      <w:r w:rsidRPr="00960118">
        <w:rPr>
          <w:bCs/>
        </w:rPr>
        <w:t xml:space="preserve">At this stage, the Working document </w:t>
      </w:r>
      <w:r>
        <w:rPr>
          <w:bCs/>
        </w:rPr>
        <w:t>(</w:t>
      </w:r>
      <w:hyperlink r:id="rId10" w:history="1">
        <w:r w:rsidRPr="00E823F4">
          <w:rPr>
            <w:rStyle w:val="Hyperlink"/>
            <w:bCs/>
          </w:rPr>
          <w:t>Annex 1 to</w:t>
        </w:r>
        <w:r w:rsidRPr="00E22FE4">
          <w:rPr>
            <w:rStyle w:val="Hyperlink"/>
            <w:bCs/>
          </w:rPr>
          <w:t xml:space="preserve"> </w:t>
        </w:r>
        <w:r w:rsidRPr="00E823F4">
          <w:rPr>
            <w:rStyle w:val="Hyperlink"/>
            <w:bCs/>
          </w:rPr>
          <w:t>Document 6-1/106-E</w:t>
        </w:r>
      </w:hyperlink>
      <w:r>
        <w:rPr>
          <w:bCs/>
        </w:rPr>
        <w:t xml:space="preserve">) </w:t>
      </w:r>
      <w:r w:rsidRPr="00960118">
        <w:rPr>
          <w:bCs/>
        </w:rPr>
        <w:t xml:space="preserve">is subject to further reviews and further inputs </w:t>
      </w:r>
      <w:r>
        <w:rPr>
          <w:bCs/>
        </w:rPr>
        <w:t xml:space="preserve">might be received in </w:t>
      </w:r>
      <w:r w:rsidR="00036296">
        <w:rPr>
          <w:rFonts w:hint="eastAsia"/>
          <w:bCs/>
          <w:lang w:eastAsia="ko-KR"/>
        </w:rPr>
        <w:t>the</w:t>
      </w:r>
      <w:r w:rsidR="00036296">
        <w:rPr>
          <w:bCs/>
        </w:rPr>
        <w:t xml:space="preserve"> </w:t>
      </w:r>
      <w:r>
        <w:rPr>
          <w:bCs/>
        </w:rPr>
        <w:t>next meeting. This group was</w:t>
      </w:r>
      <w:r w:rsidRPr="00E823F4">
        <w:rPr>
          <w:bCs/>
        </w:rPr>
        <w:t xml:space="preserve"> also task</w:t>
      </w:r>
      <w:r>
        <w:rPr>
          <w:bCs/>
        </w:rPr>
        <w:t>ed</w:t>
      </w:r>
      <w:r w:rsidRPr="00E823F4">
        <w:rPr>
          <w:bCs/>
        </w:rPr>
        <w:t xml:space="preserve"> to develop text for consideration in the CPM Report in accordance with </w:t>
      </w:r>
      <w:r w:rsidRPr="00E823F4">
        <w:rPr>
          <w:bCs/>
          <w:i/>
          <w:iCs/>
        </w:rPr>
        <w:t>resolves 1</w:t>
      </w:r>
      <w:r w:rsidRPr="00E823F4">
        <w:rPr>
          <w:bCs/>
        </w:rPr>
        <w:t xml:space="preserve"> of Resolution </w:t>
      </w:r>
      <w:r w:rsidRPr="00E823F4">
        <w:t>235 (WRC-15)</w:t>
      </w:r>
      <w:r w:rsidRPr="00E823F4">
        <w:rPr>
          <w:bCs/>
        </w:rPr>
        <w:t xml:space="preserve"> on the basis of the gathered </w:t>
      </w:r>
      <w:r w:rsidRPr="0099352F">
        <w:rPr>
          <w:rStyle w:val="Hyperlink"/>
        </w:rPr>
        <w:t>information</w:t>
      </w:r>
      <w:r>
        <w:rPr>
          <w:bCs/>
        </w:rPr>
        <w:t xml:space="preserve"> (</w:t>
      </w:r>
      <w:hyperlink r:id="rId11" w:history="1">
        <w:r w:rsidRPr="00C636CC">
          <w:rPr>
            <w:rStyle w:val="Hyperlink"/>
            <w:bCs/>
          </w:rPr>
          <w:t xml:space="preserve">Annex </w:t>
        </w:r>
        <w:r>
          <w:rPr>
            <w:rStyle w:val="Hyperlink"/>
            <w:bCs/>
          </w:rPr>
          <w:t>2</w:t>
        </w:r>
        <w:r w:rsidRPr="00C636CC">
          <w:rPr>
            <w:rStyle w:val="Hyperlink"/>
            <w:bCs/>
          </w:rPr>
          <w:t xml:space="preserve"> to</w:t>
        </w:r>
        <w:r w:rsidRPr="00E22FE4">
          <w:rPr>
            <w:rStyle w:val="Hyperlink"/>
            <w:bCs/>
          </w:rPr>
          <w:t xml:space="preserve"> </w:t>
        </w:r>
        <w:r w:rsidRPr="00C636CC">
          <w:rPr>
            <w:rStyle w:val="Hyperlink"/>
            <w:bCs/>
          </w:rPr>
          <w:t>Document 6-1/106-E</w:t>
        </w:r>
      </w:hyperlink>
      <w:r>
        <w:rPr>
          <w:bCs/>
        </w:rPr>
        <w:t>).</w:t>
      </w:r>
    </w:p>
    <w:p w14:paraId="44014A2B" w14:textId="72B6AA36" w:rsidR="00206A33" w:rsidRPr="00E823F4" w:rsidRDefault="00206A33" w:rsidP="00DF2DF1">
      <w:pPr>
        <w:pStyle w:val="ListParagraph"/>
        <w:numPr>
          <w:ilvl w:val="1"/>
          <w:numId w:val="29"/>
        </w:numPr>
        <w:tabs>
          <w:tab w:val="left" w:pos="1701"/>
          <w:tab w:val="left" w:pos="1985"/>
          <w:tab w:val="left" w:pos="2552"/>
          <w:tab w:val="left" w:pos="2835"/>
          <w:tab w:val="left" w:pos="3119"/>
          <w:tab w:val="left" w:pos="3402"/>
          <w:tab w:val="left" w:pos="3686"/>
          <w:tab w:val="left" w:pos="3969"/>
        </w:tabs>
        <w:spacing w:before="40"/>
        <w:ind w:left="630"/>
        <w:rPr>
          <w:bCs/>
          <w:caps/>
        </w:rPr>
      </w:pPr>
      <w:r w:rsidRPr="00960118">
        <w:rPr>
          <w:b/>
          <w:bCs/>
        </w:rPr>
        <w:lastRenderedPageBreak/>
        <w:t>WG 2 activity</w:t>
      </w:r>
      <w:r>
        <w:t xml:space="preserve"> </w:t>
      </w:r>
      <w:r>
        <w:rPr>
          <w:bCs/>
          <w:i/>
          <w:iCs/>
        </w:rPr>
        <w:t>-</w:t>
      </w:r>
      <w:r w:rsidRPr="00960118">
        <w:rPr>
          <w:bCs/>
          <w:i/>
          <w:iCs/>
        </w:rPr>
        <w:t xml:space="preserve"> Sharing and compatibility studies in the band 470-694 MHz</w:t>
      </w:r>
      <w:r>
        <w:rPr>
          <w:bCs/>
          <w:i/>
          <w:iCs/>
        </w:rPr>
        <w:br/>
      </w:r>
      <w:r>
        <w:rPr>
          <w:bCs/>
        </w:rPr>
        <w:t xml:space="preserve">Work continued </w:t>
      </w:r>
      <w:r w:rsidRPr="00E823F4">
        <w:rPr>
          <w:bCs/>
        </w:rPr>
        <w:t xml:space="preserve">in accordance with </w:t>
      </w:r>
      <w:r w:rsidRPr="00E823F4">
        <w:rPr>
          <w:bCs/>
          <w:i/>
          <w:iCs/>
        </w:rPr>
        <w:t xml:space="preserve">resolves to invite ITU-R </w:t>
      </w:r>
      <w:r w:rsidRPr="00E823F4">
        <w:rPr>
          <w:bCs/>
        </w:rPr>
        <w:t xml:space="preserve">2 and 3 of Resolution </w:t>
      </w:r>
      <w:r w:rsidRPr="00E823F4">
        <w:rPr>
          <w:b/>
        </w:rPr>
        <w:t>235 (WRC 15)</w:t>
      </w:r>
      <w:r w:rsidRPr="00E823F4">
        <w:rPr>
          <w:bCs/>
        </w:rPr>
        <w:t xml:space="preserve"> </w:t>
      </w:r>
      <w:r>
        <w:rPr>
          <w:bCs/>
        </w:rPr>
        <w:t xml:space="preserve">to </w:t>
      </w:r>
      <w:r w:rsidRPr="00E823F4">
        <w:rPr>
          <w:bCs/>
        </w:rPr>
        <w:t>draft text towards the finali</w:t>
      </w:r>
      <w:r w:rsidR="00036296">
        <w:rPr>
          <w:rFonts w:hint="eastAsia"/>
          <w:bCs/>
          <w:lang w:eastAsia="ko-KR"/>
        </w:rPr>
        <w:t>z</w:t>
      </w:r>
      <w:r w:rsidRPr="00E823F4">
        <w:rPr>
          <w:bCs/>
        </w:rPr>
        <w:t xml:space="preserve">ation of </w:t>
      </w:r>
      <w:r w:rsidR="00036296">
        <w:rPr>
          <w:rFonts w:hint="eastAsia"/>
          <w:bCs/>
          <w:lang w:eastAsia="ko-KR"/>
        </w:rPr>
        <w:t>the</w:t>
      </w:r>
      <w:r w:rsidR="00036296">
        <w:rPr>
          <w:bCs/>
        </w:rPr>
        <w:t xml:space="preserve"> </w:t>
      </w:r>
      <w:r w:rsidRPr="00E823F4">
        <w:rPr>
          <w:bCs/>
        </w:rPr>
        <w:t xml:space="preserve">working document on sharing and compatibility studies </w:t>
      </w:r>
      <w:r>
        <w:rPr>
          <w:bCs/>
        </w:rPr>
        <w:t>(</w:t>
      </w:r>
      <w:hyperlink r:id="rId12" w:history="1">
        <w:r w:rsidRPr="00E823F4">
          <w:rPr>
            <w:rStyle w:val="Hyperlink"/>
            <w:bCs/>
          </w:rPr>
          <w:t xml:space="preserve">Annex </w:t>
        </w:r>
        <w:r>
          <w:rPr>
            <w:rStyle w:val="Hyperlink"/>
            <w:bCs/>
          </w:rPr>
          <w:t>3</w:t>
        </w:r>
        <w:r w:rsidRPr="00E823F4">
          <w:rPr>
            <w:rStyle w:val="Hyperlink"/>
            <w:bCs/>
          </w:rPr>
          <w:t xml:space="preserve"> to Document 6-1/106-E</w:t>
        </w:r>
      </w:hyperlink>
      <w:r>
        <w:rPr>
          <w:bCs/>
        </w:rPr>
        <w:t xml:space="preserve">) </w:t>
      </w:r>
      <w:r w:rsidRPr="00E823F4">
        <w:rPr>
          <w:bCs/>
        </w:rPr>
        <w:t>as well as to draft the Summary of sharing and compatibility studies in the frequency band 470-694 MHz in Region 1 for inclusion in Section 3 of the CPM text.</w:t>
      </w:r>
    </w:p>
    <w:p w14:paraId="00873639" w14:textId="0BE3683F" w:rsidR="00206A33" w:rsidRPr="00E823F4" w:rsidRDefault="00206A33" w:rsidP="00DF2DF1">
      <w:pPr>
        <w:pStyle w:val="ListParagraph"/>
        <w:numPr>
          <w:ilvl w:val="1"/>
          <w:numId w:val="29"/>
        </w:numPr>
        <w:tabs>
          <w:tab w:val="left" w:pos="1701"/>
          <w:tab w:val="left" w:pos="1985"/>
          <w:tab w:val="left" w:pos="2552"/>
          <w:tab w:val="left" w:pos="2835"/>
          <w:tab w:val="left" w:pos="3119"/>
          <w:tab w:val="left" w:pos="3402"/>
          <w:tab w:val="left" w:pos="3686"/>
          <w:tab w:val="left" w:pos="3969"/>
        </w:tabs>
        <w:spacing w:before="40"/>
        <w:ind w:left="630"/>
        <w:rPr>
          <w:bCs/>
          <w:caps/>
        </w:rPr>
      </w:pPr>
      <w:r w:rsidRPr="00960118">
        <w:rPr>
          <w:b/>
          <w:bCs/>
        </w:rPr>
        <w:t>WG 3 activity</w:t>
      </w:r>
      <w:r>
        <w:t xml:space="preserve"> –</w:t>
      </w:r>
      <w:r w:rsidRPr="00960118">
        <w:t xml:space="preserve"> </w:t>
      </w:r>
      <w:r>
        <w:rPr>
          <w:i/>
          <w:iCs/>
        </w:rPr>
        <w:t>D</w:t>
      </w:r>
      <w:r w:rsidRPr="00E823F4">
        <w:rPr>
          <w:i/>
          <w:iCs/>
        </w:rPr>
        <w:t>raft CPM text</w:t>
      </w:r>
      <w:r>
        <w:tab/>
      </w:r>
      <w:r>
        <w:br/>
      </w:r>
      <w:r w:rsidRPr="00E823F4">
        <w:rPr>
          <w:bCs/>
        </w:rPr>
        <w:t xml:space="preserve">WG 3 continued the work on the development of the </w:t>
      </w:r>
      <w:r w:rsidRPr="00E823F4">
        <w:rPr>
          <w:bCs/>
          <w:i/>
          <w:iCs/>
        </w:rPr>
        <w:t>Working document towards a draft CPM text</w:t>
      </w:r>
      <w:r w:rsidRPr="00E823F4">
        <w:rPr>
          <w:bCs/>
        </w:rPr>
        <w:t xml:space="preserve"> </w:t>
      </w:r>
      <w:r>
        <w:rPr>
          <w:bCs/>
        </w:rPr>
        <w:t>(</w:t>
      </w:r>
      <w:hyperlink r:id="rId13" w:history="1">
        <w:r w:rsidRPr="00C636CC">
          <w:rPr>
            <w:rStyle w:val="Hyperlink"/>
            <w:bCs/>
          </w:rPr>
          <w:t xml:space="preserve">Annex </w:t>
        </w:r>
        <w:r>
          <w:rPr>
            <w:rStyle w:val="Hyperlink"/>
            <w:bCs/>
          </w:rPr>
          <w:t>5</w:t>
        </w:r>
        <w:r w:rsidRPr="00C636CC">
          <w:rPr>
            <w:rStyle w:val="Hyperlink"/>
            <w:bCs/>
          </w:rPr>
          <w:t xml:space="preserve"> to Document 6-1/106-E</w:t>
        </w:r>
      </w:hyperlink>
      <w:r>
        <w:rPr>
          <w:bCs/>
        </w:rPr>
        <w:t xml:space="preserve">) </w:t>
      </w:r>
      <w:r w:rsidRPr="00E823F4">
        <w:rPr>
          <w:bCs/>
        </w:rPr>
        <w:t>with understanding that the input to Section 3 of the draft CPM text, summary</w:t>
      </w:r>
      <w:r w:rsidR="00036296">
        <w:rPr>
          <w:rFonts w:hint="eastAsia"/>
          <w:bCs/>
          <w:lang w:eastAsia="ko-KR"/>
        </w:rPr>
        <w:t>,</w:t>
      </w:r>
      <w:r w:rsidRPr="00E823F4">
        <w:rPr>
          <w:bCs/>
        </w:rPr>
        <w:t xml:space="preserve"> and analysis of the technical and </w:t>
      </w:r>
      <w:r w:rsidRPr="0099352F">
        <w:rPr>
          <w:lang w:eastAsia="nl-NL"/>
        </w:rPr>
        <w:t>operational</w:t>
      </w:r>
      <w:r w:rsidRPr="00E823F4">
        <w:rPr>
          <w:bCs/>
        </w:rPr>
        <w:t xml:space="preserve"> studies, developed by WG 1 and WG 2, will be a basis.</w:t>
      </w:r>
      <w:r>
        <w:rPr>
          <w:bCs/>
        </w:rPr>
        <w:t xml:space="preserve"> </w:t>
      </w:r>
      <w:proofErr w:type="gramStart"/>
      <w:r w:rsidRPr="00E823F4">
        <w:rPr>
          <w:bCs/>
        </w:rPr>
        <w:t>However</w:t>
      </w:r>
      <w:proofErr w:type="gramEnd"/>
      <w:r w:rsidRPr="00E823F4">
        <w:rPr>
          <w:bCs/>
        </w:rPr>
        <w:t xml:space="preserve"> </w:t>
      </w:r>
      <w:r>
        <w:rPr>
          <w:bCs/>
        </w:rPr>
        <w:t xml:space="preserve">several texts are inside square brackets and </w:t>
      </w:r>
      <w:r w:rsidRPr="00E823F4">
        <w:rPr>
          <w:bCs/>
        </w:rPr>
        <w:t>further modifications were requested for the next meeting.</w:t>
      </w:r>
    </w:p>
    <w:p w14:paraId="5E37CE65" w14:textId="42C62BE0" w:rsidR="00206A33" w:rsidRDefault="00206A33" w:rsidP="00206A33">
      <w:pPr>
        <w:autoSpaceDE w:val="0"/>
        <w:autoSpaceDN w:val="0"/>
        <w:spacing w:before="120" w:after="120"/>
        <w:jc w:val="both"/>
      </w:pPr>
      <w:r w:rsidRPr="0099352F">
        <w:rPr>
          <w:rFonts w:eastAsia="SimSun"/>
        </w:rPr>
        <w:t xml:space="preserve">At its latest meeting, TG 6/1 agreed to establish, on a pure informative basis, a Correspondence Group (CG) to conduct the work in the intersessional period between TG 6/1 meetings in order to facilitate the progress to accomplish </w:t>
      </w:r>
      <w:r w:rsidR="00036296" w:rsidRPr="0067757F">
        <w:rPr>
          <w:rFonts w:eastAsia="SimSun" w:hint="eastAsia"/>
        </w:rPr>
        <w:t>the</w:t>
      </w:r>
      <w:r w:rsidR="00036296">
        <w:rPr>
          <w:rFonts w:eastAsia="SimSun"/>
        </w:rPr>
        <w:t xml:space="preserve"> </w:t>
      </w:r>
      <w:r w:rsidRPr="0099352F">
        <w:rPr>
          <w:rFonts w:eastAsia="SimSun"/>
        </w:rPr>
        <w:t xml:space="preserve">development of a summary of studies and of Working document/material on sharing and compatibility studies before the last meeting of TG 6/1 in September 2022 (fifth meeting) (see </w:t>
      </w:r>
      <w:hyperlink r:id="rId14" w:history="1">
        <w:r w:rsidRPr="0099352F">
          <w:rPr>
            <w:rStyle w:val="Hyperlink"/>
            <w:rFonts w:eastAsia="SimSun"/>
          </w:rPr>
          <w:t>Annex 4 to Document 6-1/106</w:t>
        </w:r>
      </w:hyperlink>
      <w:r w:rsidRPr="0099352F">
        <w:rPr>
          <w:rFonts w:eastAsia="SimSun"/>
        </w:rPr>
        <w:t xml:space="preserve"> for terms of reference).</w:t>
      </w:r>
    </w:p>
    <w:p w14:paraId="1DF5E08C" w14:textId="5B469FF4" w:rsidR="00206A33" w:rsidRPr="00E823F4" w:rsidRDefault="00206A33" w:rsidP="0067757F">
      <w:pPr>
        <w:autoSpaceDE w:val="0"/>
        <w:autoSpaceDN w:val="0"/>
        <w:spacing w:after="120"/>
        <w:jc w:val="both"/>
      </w:pPr>
      <w:r w:rsidRPr="00E823F4">
        <w:t xml:space="preserve">With </w:t>
      </w:r>
      <w:r w:rsidRPr="0099352F">
        <w:rPr>
          <w:rFonts w:eastAsia="SimSun"/>
        </w:rPr>
        <w:t>respect</w:t>
      </w:r>
      <w:r w:rsidRPr="00E823F4">
        <w:t xml:space="preserve"> to </w:t>
      </w:r>
      <w:r>
        <w:t xml:space="preserve">draft CPM text </w:t>
      </w:r>
      <w:r w:rsidRPr="00E823F4">
        <w:t xml:space="preserve">Section 4, there were different views on the possible structure of the methods. Two options were proposed for the possible way forward on the structure to draft the methods and the issue will be further discussed at the next meeting. Due to the time limitation, only Methods A </w:t>
      </w:r>
      <w:r>
        <w:t>(</w:t>
      </w:r>
      <w:proofErr w:type="spellStart"/>
      <w:r>
        <w:t>NoC</w:t>
      </w:r>
      <w:proofErr w:type="spellEnd"/>
      <w:r>
        <w:t xml:space="preserve">) </w:t>
      </w:r>
      <w:r w:rsidRPr="00E823F4">
        <w:t>and B were discussed and there was not enough time to introduce Methods C, D, E, F, G and H.</w:t>
      </w:r>
      <w:r>
        <w:t xml:space="preserve"> None of the methods was agreed yet.</w:t>
      </w:r>
    </w:p>
    <w:p w14:paraId="7CB4105B" w14:textId="76DAC9E6" w:rsidR="00206A33" w:rsidRPr="003C331D" w:rsidRDefault="00206A33" w:rsidP="00206A33">
      <w:pPr>
        <w:autoSpaceDE w:val="0"/>
        <w:autoSpaceDN w:val="0"/>
        <w:jc w:val="both"/>
        <w:rPr>
          <w:lang w:eastAsia="nl-NL"/>
        </w:rPr>
      </w:pPr>
      <w:r>
        <w:rPr>
          <w:lang w:eastAsia="nl-NL"/>
        </w:rPr>
        <w:t xml:space="preserve">It was agreed to follow </w:t>
      </w:r>
      <w:r w:rsidR="005C568F">
        <w:rPr>
          <w:rFonts w:hint="eastAsia"/>
          <w:lang w:eastAsia="ko-KR"/>
        </w:rPr>
        <w:t>the</w:t>
      </w:r>
      <w:r w:rsidR="005C568F">
        <w:rPr>
          <w:lang w:eastAsia="nl-NL"/>
        </w:rPr>
        <w:t xml:space="preserve"> </w:t>
      </w:r>
      <w:r>
        <w:rPr>
          <w:lang w:eastAsia="nl-NL"/>
        </w:rPr>
        <w:t>following objectives in the last (fifth) TG 6/1 meeting in September 2022:</w:t>
      </w:r>
    </w:p>
    <w:p w14:paraId="22E4676D" w14:textId="77777777" w:rsidR="00206A33" w:rsidRPr="003C331D" w:rsidRDefault="00206A33" w:rsidP="00B40853">
      <w:pPr>
        <w:pStyle w:val="ListParagraph"/>
        <w:numPr>
          <w:ilvl w:val="1"/>
          <w:numId w:val="29"/>
        </w:numPr>
        <w:tabs>
          <w:tab w:val="left" w:pos="1701"/>
          <w:tab w:val="left" w:pos="1985"/>
          <w:tab w:val="left" w:pos="2552"/>
          <w:tab w:val="left" w:pos="2835"/>
          <w:tab w:val="left" w:pos="3119"/>
          <w:tab w:val="left" w:pos="3402"/>
          <w:tab w:val="left" w:pos="3686"/>
          <w:tab w:val="left" w:pos="3969"/>
        </w:tabs>
        <w:spacing w:before="40"/>
        <w:ind w:left="630"/>
        <w:rPr>
          <w:lang w:eastAsia="nl-NL"/>
        </w:rPr>
      </w:pPr>
      <w:r w:rsidRPr="00B40853">
        <w:rPr>
          <w:bCs/>
        </w:rPr>
        <w:t>Consider</w:t>
      </w:r>
      <w:r w:rsidRPr="003C331D">
        <w:rPr>
          <w:lang w:eastAsia="nl-NL"/>
        </w:rPr>
        <w:t xml:space="preserve"> the received contributions.</w:t>
      </w:r>
    </w:p>
    <w:p w14:paraId="2F607785" w14:textId="77777777" w:rsidR="00206A33" w:rsidRPr="003C331D" w:rsidRDefault="00206A33" w:rsidP="00B40853">
      <w:pPr>
        <w:pStyle w:val="ListParagraph"/>
        <w:numPr>
          <w:ilvl w:val="1"/>
          <w:numId w:val="29"/>
        </w:numPr>
        <w:tabs>
          <w:tab w:val="left" w:pos="1701"/>
          <w:tab w:val="left" w:pos="1985"/>
          <w:tab w:val="left" w:pos="2552"/>
          <w:tab w:val="left" w:pos="2835"/>
          <w:tab w:val="left" w:pos="3119"/>
          <w:tab w:val="left" w:pos="3402"/>
          <w:tab w:val="left" w:pos="3686"/>
          <w:tab w:val="left" w:pos="3969"/>
        </w:tabs>
        <w:spacing w:before="40"/>
        <w:ind w:left="630"/>
        <w:rPr>
          <w:lang w:eastAsia="nl-NL"/>
        </w:rPr>
      </w:pPr>
      <w:r w:rsidRPr="00B40853">
        <w:rPr>
          <w:bCs/>
        </w:rPr>
        <w:t>Update</w:t>
      </w:r>
      <w:r w:rsidRPr="003C331D">
        <w:rPr>
          <w:lang w:eastAsia="nl-NL"/>
        </w:rPr>
        <w:t xml:space="preserve"> all sections of the preliminary draft CPM text based on input contributions.</w:t>
      </w:r>
    </w:p>
    <w:p w14:paraId="22D608A1" w14:textId="77777777" w:rsidR="00206A33" w:rsidRPr="003C331D" w:rsidRDefault="00206A33" w:rsidP="00B40853">
      <w:pPr>
        <w:pStyle w:val="ListParagraph"/>
        <w:numPr>
          <w:ilvl w:val="1"/>
          <w:numId w:val="29"/>
        </w:numPr>
        <w:tabs>
          <w:tab w:val="left" w:pos="1701"/>
          <w:tab w:val="left" w:pos="1985"/>
          <w:tab w:val="left" w:pos="2552"/>
          <w:tab w:val="left" w:pos="2835"/>
          <w:tab w:val="left" w:pos="3119"/>
          <w:tab w:val="left" w:pos="3402"/>
          <w:tab w:val="left" w:pos="3686"/>
          <w:tab w:val="left" w:pos="3969"/>
        </w:tabs>
        <w:spacing w:before="40"/>
        <w:ind w:left="630"/>
        <w:rPr>
          <w:lang w:eastAsia="nl-NL"/>
        </w:rPr>
      </w:pPr>
      <w:r w:rsidRPr="00B40853">
        <w:rPr>
          <w:bCs/>
        </w:rPr>
        <w:t>Finalize</w:t>
      </w:r>
      <w:r w:rsidRPr="003C331D">
        <w:rPr>
          <w:lang w:eastAsia="nl-NL"/>
        </w:rPr>
        <w:t xml:space="preserve"> draft CPM text to be submitted to the CPM23-2.</w:t>
      </w:r>
    </w:p>
    <w:p w14:paraId="0815BDC4" w14:textId="77777777" w:rsidR="00206A33" w:rsidRPr="003C331D" w:rsidRDefault="00206A33" w:rsidP="00B40853">
      <w:pPr>
        <w:pStyle w:val="ListParagraph"/>
        <w:numPr>
          <w:ilvl w:val="1"/>
          <w:numId w:val="29"/>
        </w:numPr>
        <w:tabs>
          <w:tab w:val="left" w:pos="1701"/>
          <w:tab w:val="left" w:pos="1985"/>
          <w:tab w:val="left" w:pos="2552"/>
          <w:tab w:val="left" w:pos="2835"/>
          <w:tab w:val="left" w:pos="3119"/>
          <w:tab w:val="left" w:pos="3402"/>
          <w:tab w:val="left" w:pos="3686"/>
          <w:tab w:val="left" w:pos="3969"/>
        </w:tabs>
        <w:spacing w:before="40"/>
        <w:ind w:left="630"/>
        <w:rPr>
          <w:lang w:eastAsia="nl-NL"/>
        </w:rPr>
      </w:pPr>
      <w:r w:rsidRPr="00B40853">
        <w:rPr>
          <w:bCs/>
        </w:rPr>
        <w:t>Finalize</w:t>
      </w:r>
      <w:r w:rsidRPr="003C331D">
        <w:rPr>
          <w:lang w:eastAsia="nl-NL"/>
        </w:rPr>
        <w:t xml:space="preserve"> studies, if necessary.</w:t>
      </w:r>
    </w:p>
    <w:p w14:paraId="11FCA26E" w14:textId="3F732DA1" w:rsidR="00206A33" w:rsidRDefault="00206A33" w:rsidP="000B0087">
      <w:pPr>
        <w:autoSpaceDE w:val="0"/>
        <w:autoSpaceDN w:val="0"/>
        <w:adjustRightInd w:val="0"/>
        <w:spacing w:before="120"/>
        <w:jc w:val="both"/>
        <w:rPr>
          <w:rFonts w:eastAsia="SimSun"/>
          <w:lang w:eastAsia="zh-CN"/>
        </w:rPr>
      </w:pPr>
      <w:r w:rsidRPr="004B3317">
        <w:t xml:space="preserve">Region 3 already has a primary mobile allocation within the 470 – 694 MHz frequency band. Some Region 3 countries are included in RR No. </w:t>
      </w:r>
      <w:r w:rsidRPr="004B3317">
        <w:rPr>
          <w:b/>
        </w:rPr>
        <w:t>5.296A</w:t>
      </w:r>
      <w:r w:rsidRPr="004B3317">
        <w:t xml:space="preserve"> as having identification to International Mobile Telecommunications (IMT)</w:t>
      </w:r>
      <w:r>
        <w:t xml:space="preserve">. </w:t>
      </w:r>
      <w:r w:rsidRPr="0007176D">
        <w:rPr>
          <w:lang w:val="en-GB" w:eastAsia="zh-CN"/>
        </w:rPr>
        <w:t xml:space="preserve">In addition, </w:t>
      </w:r>
      <w:r>
        <w:rPr>
          <w:lang w:val="en-GB" w:eastAsia="zh-CN"/>
        </w:rPr>
        <w:t>several countries</w:t>
      </w:r>
      <w:r w:rsidRPr="00C6514F">
        <w:rPr>
          <w:lang w:val="en-GB" w:eastAsia="zh-CN"/>
        </w:rPr>
        <w:t xml:space="preserve"> </w:t>
      </w:r>
      <w:r>
        <w:rPr>
          <w:lang w:val="en-GB" w:eastAsia="zh-CN"/>
        </w:rPr>
        <w:t>i</w:t>
      </w:r>
      <w:r w:rsidRPr="006A31AA">
        <w:rPr>
          <w:lang w:val="en-GB" w:eastAsia="zh-CN"/>
        </w:rPr>
        <w:t xml:space="preserve">n </w:t>
      </w:r>
      <w:proofErr w:type="gramStart"/>
      <w:r w:rsidRPr="006A31AA">
        <w:rPr>
          <w:lang w:val="en-GB" w:eastAsia="zh-CN"/>
        </w:rPr>
        <w:t>Region</w:t>
      </w:r>
      <w:proofErr w:type="gramEnd"/>
      <w:r w:rsidRPr="006A31AA">
        <w:rPr>
          <w:lang w:val="en-GB" w:eastAsia="zh-CN"/>
        </w:rPr>
        <w:t xml:space="preserve"> 2</w:t>
      </w:r>
      <w:r>
        <w:rPr>
          <w:lang w:val="en-GB" w:eastAsia="zh-CN"/>
        </w:rPr>
        <w:t xml:space="preserve"> also identified portions of this band for IMT through footnotes</w:t>
      </w:r>
      <w:r w:rsidRPr="006A31AA">
        <w:rPr>
          <w:lang w:val="en-GB" w:eastAsia="zh-CN"/>
        </w:rPr>
        <w:t xml:space="preserve"> </w:t>
      </w:r>
      <w:r w:rsidRPr="006A31AA">
        <w:rPr>
          <w:b/>
          <w:lang w:val="en-GB" w:eastAsia="zh-CN"/>
        </w:rPr>
        <w:t xml:space="preserve">5.295 </w:t>
      </w:r>
      <w:r w:rsidRPr="006A31AA">
        <w:rPr>
          <w:lang w:val="en-GB" w:eastAsia="zh-CN"/>
        </w:rPr>
        <w:t>and</w:t>
      </w:r>
      <w:r w:rsidRPr="00152A11">
        <w:rPr>
          <w:lang w:val="en-GB" w:eastAsia="zh-CN"/>
        </w:rPr>
        <w:t xml:space="preserve"> </w:t>
      </w:r>
      <w:r w:rsidRPr="00152A11">
        <w:rPr>
          <w:b/>
          <w:lang w:val="en-GB" w:eastAsia="zh-CN"/>
        </w:rPr>
        <w:t>5.308A</w:t>
      </w:r>
      <w:r w:rsidRPr="00152A11">
        <w:rPr>
          <w:lang w:val="en-GB" w:eastAsia="zh-CN"/>
        </w:rPr>
        <w:t>.</w:t>
      </w:r>
    </w:p>
    <w:p w14:paraId="23F01713" w14:textId="72E37617" w:rsidR="00206A33" w:rsidRDefault="00206A33" w:rsidP="000B0087">
      <w:pPr>
        <w:autoSpaceDE w:val="0"/>
        <w:autoSpaceDN w:val="0"/>
        <w:adjustRightInd w:val="0"/>
        <w:spacing w:before="120"/>
        <w:jc w:val="both"/>
        <w:rPr>
          <w:rFonts w:eastAsia="SimSun"/>
          <w:lang w:eastAsia="zh-CN"/>
        </w:rPr>
      </w:pPr>
      <w:r>
        <w:rPr>
          <w:rFonts w:eastAsia="SimSun"/>
          <w:lang w:eastAsia="zh-CN"/>
        </w:rPr>
        <w:t>Some Region 3 administrations</w:t>
      </w:r>
      <w:r>
        <w:rPr>
          <w:rFonts w:eastAsia="SimSun" w:hint="eastAsia"/>
          <w:lang w:eastAsia="zh-CN"/>
        </w:rPr>
        <w:t xml:space="preserve"> currently use the frequency band </w:t>
      </w:r>
      <w:r>
        <w:rPr>
          <w:rFonts w:eastAsia="SimSun"/>
          <w:lang w:eastAsia="zh-CN"/>
        </w:rPr>
        <w:t xml:space="preserve">of this agenda item </w:t>
      </w:r>
      <w:r>
        <w:rPr>
          <w:rFonts w:eastAsia="SimSun" w:hint="eastAsia"/>
          <w:lang w:eastAsia="zh-CN"/>
        </w:rPr>
        <w:t xml:space="preserve">for </w:t>
      </w:r>
      <w:r>
        <w:rPr>
          <w:rFonts w:eastAsia="SimSun"/>
          <w:lang w:eastAsia="zh-CN"/>
        </w:rPr>
        <w:t>broadcasting</w:t>
      </w:r>
      <w:r>
        <w:rPr>
          <w:rFonts w:eastAsia="SimSun" w:hint="eastAsia"/>
          <w:lang w:eastAsia="zh-CN"/>
        </w:rPr>
        <w:t xml:space="preserve"> service. It is very important to ensure </w:t>
      </w:r>
      <w:r>
        <w:t>protection of existing services and systems as well as their future use from harmful interference of possible Region 1 primary mobile service</w:t>
      </w:r>
      <w:r>
        <w:rPr>
          <w:rFonts w:eastAsia="SimSun" w:hint="eastAsia"/>
          <w:lang w:eastAsia="zh-CN"/>
        </w:rPr>
        <w:t xml:space="preserve"> when considering that </w:t>
      </w:r>
      <w:r>
        <w:rPr>
          <w:rFonts w:eastAsia="SimSun"/>
          <w:lang w:eastAsia="zh-CN"/>
        </w:rPr>
        <w:t xml:space="preserve">Region </w:t>
      </w:r>
      <w:r w:rsidR="000B0087">
        <w:rPr>
          <w:rFonts w:eastAsia="SimSun"/>
          <w:lang w:eastAsia="zh-CN"/>
        </w:rPr>
        <w:t>3</w:t>
      </w:r>
      <w:r>
        <w:rPr>
          <w:rFonts w:eastAsia="SimSun" w:hint="eastAsia"/>
          <w:lang w:eastAsia="zh-CN"/>
        </w:rPr>
        <w:t xml:space="preserve"> has a long </w:t>
      </w:r>
      <w:r>
        <w:rPr>
          <w:rFonts w:eastAsia="SimSun"/>
          <w:lang w:eastAsia="zh-CN"/>
        </w:rPr>
        <w:t>border</w:t>
      </w:r>
      <w:r>
        <w:rPr>
          <w:rFonts w:eastAsia="SimSun" w:hint="eastAsia"/>
          <w:lang w:eastAsia="zh-CN"/>
        </w:rPr>
        <w:t xml:space="preserve"> with </w:t>
      </w:r>
      <w:r>
        <w:rPr>
          <w:rFonts w:eastAsia="SimSun"/>
          <w:lang w:eastAsia="zh-CN"/>
        </w:rPr>
        <w:t>several</w:t>
      </w:r>
      <w:r>
        <w:rPr>
          <w:rFonts w:eastAsia="SimSun" w:hint="eastAsia"/>
          <w:lang w:eastAsia="zh-CN"/>
        </w:rPr>
        <w:t xml:space="preserve"> Region 1 countries.</w:t>
      </w:r>
    </w:p>
    <w:p w14:paraId="4CB207D2" w14:textId="65C9E9B0" w:rsidR="00206A33" w:rsidRPr="006F7CB6" w:rsidRDefault="00206A33" w:rsidP="00EC0D32">
      <w:pPr>
        <w:autoSpaceDE w:val="0"/>
        <w:autoSpaceDN w:val="0"/>
        <w:adjustRightInd w:val="0"/>
        <w:spacing w:before="120"/>
        <w:jc w:val="both"/>
        <w:rPr>
          <w:rFonts w:eastAsia="SimSun"/>
          <w:lang w:eastAsia="zh-CN"/>
        </w:rPr>
      </w:pPr>
      <w:r>
        <w:rPr>
          <w:rFonts w:eastAsia="SimSun"/>
          <w:lang w:eastAsia="zh-CN"/>
        </w:rPr>
        <w:t xml:space="preserve">AWG has developed and published the </w:t>
      </w:r>
      <w:hyperlink r:id="rId15" w:history="1">
        <w:r w:rsidRPr="00334F39">
          <w:rPr>
            <w:rStyle w:val="Hyperlink"/>
            <w:rFonts w:eastAsia="SimSun"/>
            <w:lang w:eastAsia="zh-CN"/>
          </w:rPr>
          <w:t>APT/AWG/REP-79</w:t>
        </w:r>
      </w:hyperlink>
      <w:r>
        <w:rPr>
          <w:rFonts w:eastAsia="SimSun"/>
          <w:lang w:eastAsia="zh-CN"/>
        </w:rPr>
        <w:t xml:space="preserve"> “</w:t>
      </w:r>
      <w:r w:rsidRPr="00842471">
        <w:rPr>
          <w:rFonts w:eastAsia="SimSun"/>
          <w:lang w:eastAsia="zh-CN"/>
        </w:rPr>
        <w:t>APT Report on Frequency Arrangements for IMT in the Band 470-698 MHz</w:t>
      </w:r>
      <w:r>
        <w:rPr>
          <w:rFonts w:eastAsia="SimSun"/>
          <w:lang w:eastAsia="zh-CN"/>
        </w:rPr>
        <w:t>”</w:t>
      </w:r>
      <w:r w:rsidR="00EC0D32">
        <w:rPr>
          <w:rFonts w:eastAsia="SimSun"/>
          <w:lang w:eastAsia="zh-CN"/>
        </w:rPr>
        <w:t xml:space="preserve"> and </w:t>
      </w:r>
      <w:r w:rsidR="00B93D6A">
        <w:rPr>
          <w:rFonts w:eastAsia="SimSun"/>
          <w:lang w:eastAsia="zh-CN"/>
        </w:rPr>
        <w:t xml:space="preserve">this report </w:t>
      </w:r>
      <w:r w:rsidR="00EC0D32">
        <w:rPr>
          <w:rFonts w:eastAsia="SimSun"/>
          <w:lang w:eastAsia="zh-CN"/>
        </w:rPr>
        <w:t>would be revised and finalized in AWG next meeting in September.</w:t>
      </w:r>
    </w:p>
    <w:p w14:paraId="5A8C1BB3" w14:textId="77777777" w:rsidR="005C568F" w:rsidRDefault="005C568F" w:rsidP="00FD3995">
      <w:pPr>
        <w:spacing w:before="120"/>
        <w:jc w:val="both"/>
        <w:outlineLvl w:val="0"/>
        <w:rPr>
          <w:b/>
          <w:lang w:val="en-NZ" w:eastAsia="ko-KR"/>
        </w:rPr>
      </w:pPr>
    </w:p>
    <w:p w14:paraId="7C513529" w14:textId="3235F1DB" w:rsidR="002A0111" w:rsidRPr="00441526" w:rsidRDefault="002A0111" w:rsidP="00FD3995">
      <w:pPr>
        <w:spacing w:before="120"/>
        <w:jc w:val="both"/>
        <w:outlineLvl w:val="0"/>
        <w:rPr>
          <w:b/>
          <w:lang w:val="en-NZ" w:eastAsia="ko-KR"/>
        </w:rPr>
      </w:pPr>
      <w:r w:rsidRPr="00441526">
        <w:rPr>
          <w:b/>
          <w:lang w:val="en-NZ" w:eastAsia="ko-KR"/>
        </w:rPr>
        <w:t xml:space="preserve">2. </w:t>
      </w:r>
      <w:r w:rsidRPr="00441526">
        <w:rPr>
          <w:b/>
          <w:lang w:val="en-NZ" w:eastAsia="ko-KR"/>
        </w:rPr>
        <w:tab/>
        <w:t>Documents</w:t>
      </w:r>
    </w:p>
    <w:p w14:paraId="6C39E784" w14:textId="77777777" w:rsidR="005A51D3" w:rsidRPr="002D5119" w:rsidRDefault="005A51D3" w:rsidP="005A51D3">
      <w:pPr>
        <w:numPr>
          <w:ilvl w:val="0"/>
          <w:numId w:val="18"/>
        </w:numPr>
        <w:ind w:leftChars="145" w:left="708"/>
        <w:jc w:val="both"/>
        <w:rPr>
          <w:lang w:val="en-NZ"/>
        </w:rPr>
      </w:pPr>
      <w:r w:rsidRPr="00D92077">
        <w:rPr>
          <w:lang w:val="en-NZ"/>
        </w:rPr>
        <w:t xml:space="preserve">Input Documents </w:t>
      </w:r>
      <w:r w:rsidRPr="00D92077">
        <w:t>APG23-2/</w:t>
      </w:r>
      <w:hyperlink r:id="rId16" w:history="1">
        <w:r w:rsidRPr="00D92077">
          <w:rPr>
            <w:rStyle w:val="Hyperlink"/>
            <w:rFonts w:eastAsia="MS Mincho"/>
            <w:lang w:eastAsia="ja-JP"/>
          </w:rPr>
          <w:t>INP-24</w:t>
        </w:r>
      </w:hyperlink>
      <w:r w:rsidRPr="00D92077">
        <w:rPr>
          <w:rFonts w:eastAsia="MS Mincho"/>
          <w:lang w:eastAsia="ja-JP"/>
        </w:rPr>
        <w:t xml:space="preserve"> (AUS), </w:t>
      </w:r>
      <w:hyperlink r:id="rId17" w:history="1">
        <w:r w:rsidRPr="00D92077">
          <w:rPr>
            <w:rStyle w:val="Hyperlink"/>
            <w:rFonts w:eastAsia="MS Mincho"/>
            <w:lang w:eastAsia="ja-JP"/>
          </w:rPr>
          <w:t>INP-50</w:t>
        </w:r>
      </w:hyperlink>
      <w:r w:rsidRPr="00D92077">
        <w:rPr>
          <w:rFonts w:eastAsia="MS Mincho"/>
          <w:lang w:eastAsia="ja-JP"/>
        </w:rPr>
        <w:t xml:space="preserve"> (VTN), </w:t>
      </w:r>
      <w:hyperlink r:id="rId18" w:history="1">
        <w:r w:rsidRPr="00D92077">
          <w:rPr>
            <w:rStyle w:val="Hyperlink"/>
            <w:rFonts w:eastAsia="MS Mincho"/>
            <w:lang w:eastAsia="ja-JP"/>
          </w:rPr>
          <w:t>INP-53</w:t>
        </w:r>
      </w:hyperlink>
      <w:r w:rsidRPr="00D92077">
        <w:rPr>
          <w:rFonts w:eastAsia="MS Mincho"/>
          <w:lang w:eastAsia="ja-JP"/>
        </w:rPr>
        <w:t xml:space="preserve"> (AWG)</w:t>
      </w:r>
    </w:p>
    <w:p w14:paraId="04739976" w14:textId="77777777" w:rsidR="005A51D3" w:rsidRPr="00D92077" w:rsidRDefault="005A51D3" w:rsidP="005A51D3">
      <w:pPr>
        <w:numPr>
          <w:ilvl w:val="0"/>
          <w:numId w:val="18"/>
        </w:numPr>
        <w:ind w:leftChars="145" w:left="708"/>
        <w:rPr>
          <w:lang w:val="en-NZ"/>
        </w:rPr>
      </w:pPr>
      <w:r w:rsidRPr="00D92077">
        <w:rPr>
          <w:lang w:val="en-NZ"/>
        </w:rPr>
        <w:t xml:space="preserve">Input Documents </w:t>
      </w:r>
      <w:r w:rsidRPr="00D92077">
        <w:t>APG23-</w:t>
      </w:r>
      <w:r>
        <w:t>3</w:t>
      </w:r>
      <w:r w:rsidRPr="00D92077">
        <w:t>/</w:t>
      </w:r>
      <w:hyperlink r:id="rId19" w:history="1">
        <w:r w:rsidRPr="00E82E0F">
          <w:rPr>
            <w:rStyle w:val="Hyperlink"/>
            <w:rFonts w:eastAsia="MS Mincho"/>
            <w:lang w:eastAsia="ja-JP"/>
          </w:rPr>
          <w:t>INP-07</w:t>
        </w:r>
      </w:hyperlink>
      <w:r w:rsidRPr="00D92077">
        <w:rPr>
          <w:rFonts w:eastAsia="MS Mincho"/>
          <w:lang w:eastAsia="ja-JP"/>
        </w:rPr>
        <w:t xml:space="preserve"> (AUS), </w:t>
      </w:r>
      <w:hyperlink r:id="rId20" w:history="1">
        <w:r w:rsidRPr="00E87F5A">
          <w:rPr>
            <w:rStyle w:val="Hyperlink"/>
            <w:rFonts w:eastAsia="MS Mincho"/>
            <w:lang w:eastAsia="ja-JP"/>
          </w:rPr>
          <w:t>INP-20</w:t>
        </w:r>
      </w:hyperlink>
      <w:r w:rsidRPr="004971D8">
        <w:rPr>
          <w:rFonts w:eastAsia="MS Mincho"/>
          <w:lang w:eastAsia="ja-JP"/>
        </w:rPr>
        <w:t xml:space="preserve"> (</w:t>
      </w:r>
      <w:r>
        <w:rPr>
          <w:rFonts w:eastAsia="MS Mincho"/>
          <w:lang w:eastAsia="ja-JP"/>
        </w:rPr>
        <w:t>NZL</w:t>
      </w:r>
      <w:r w:rsidRPr="004971D8">
        <w:rPr>
          <w:rFonts w:eastAsia="MS Mincho"/>
          <w:lang w:eastAsia="ja-JP"/>
        </w:rPr>
        <w:t>),</w:t>
      </w:r>
      <w:r>
        <w:rPr>
          <w:rFonts w:eastAsia="MS Mincho"/>
          <w:lang w:eastAsia="ja-JP"/>
        </w:rPr>
        <w:t xml:space="preserve"> </w:t>
      </w:r>
      <w:hyperlink r:id="rId21" w:history="1">
        <w:r w:rsidRPr="008B44A7">
          <w:rPr>
            <w:rStyle w:val="Hyperlink"/>
            <w:rFonts w:eastAsia="MS Mincho"/>
            <w:lang w:eastAsia="ja-JP"/>
          </w:rPr>
          <w:t>INP-40</w:t>
        </w:r>
      </w:hyperlink>
      <w:r>
        <w:rPr>
          <w:rFonts w:eastAsia="MS Mincho"/>
          <w:lang w:eastAsia="ja-JP"/>
        </w:rPr>
        <w:t xml:space="preserve"> (SMO), </w:t>
      </w:r>
      <w:r>
        <w:rPr>
          <w:rFonts w:eastAsia="MS Mincho"/>
          <w:lang w:eastAsia="ja-JP"/>
        </w:rPr>
        <w:br/>
      </w:r>
      <w:hyperlink r:id="rId22" w:history="1">
        <w:r w:rsidRPr="00C00381">
          <w:rPr>
            <w:rStyle w:val="Hyperlink"/>
            <w:rFonts w:eastAsia="MS Mincho"/>
            <w:lang w:eastAsia="ja-JP"/>
          </w:rPr>
          <w:t>INP-46</w:t>
        </w:r>
      </w:hyperlink>
      <w:r>
        <w:rPr>
          <w:rFonts w:eastAsia="MS Mincho"/>
          <w:lang w:eastAsia="ja-JP"/>
        </w:rPr>
        <w:t xml:space="preserve"> (IRN), </w:t>
      </w:r>
      <w:hyperlink r:id="rId23" w:history="1">
        <w:r w:rsidRPr="00F4742D">
          <w:rPr>
            <w:rStyle w:val="Hyperlink"/>
            <w:rFonts w:eastAsia="MS Mincho"/>
            <w:lang w:val="en-GB" w:eastAsia="ja-JP"/>
          </w:rPr>
          <w:t>INP-51</w:t>
        </w:r>
      </w:hyperlink>
      <w:r>
        <w:rPr>
          <w:rFonts w:eastAsia="MS Mincho"/>
          <w:lang w:val="en-GB" w:eastAsia="ja-JP"/>
        </w:rPr>
        <w:t xml:space="preserve"> (VTN)</w:t>
      </w:r>
    </w:p>
    <w:p w14:paraId="59900523" w14:textId="2EB11FDD" w:rsidR="002A0111" w:rsidRPr="00D92077" w:rsidRDefault="002A0111" w:rsidP="002518A8">
      <w:pPr>
        <w:numPr>
          <w:ilvl w:val="0"/>
          <w:numId w:val="18"/>
        </w:numPr>
        <w:ind w:leftChars="145" w:left="708"/>
        <w:rPr>
          <w:lang w:val="en-NZ"/>
        </w:rPr>
      </w:pPr>
      <w:r w:rsidRPr="00D92077">
        <w:rPr>
          <w:lang w:val="en-NZ"/>
        </w:rPr>
        <w:t xml:space="preserve">Input Documents </w:t>
      </w:r>
      <w:r w:rsidR="004644BE" w:rsidRPr="004971D8">
        <w:rPr>
          <w:lang w:val="en-NZ"/>
        </w:rPr>
        <w:t>APG23-</w:t>
      </w:r>
      <w:r w:rsidR="004644BE">
        <w:rPr>
          <w:lang w:val="en-NZ"/>
        </w:rPr>
        <w:t>4</w:t>
      </w:r>
      <w:r w:rsidR="004644BE" w:rsidRPr="004971D8">
        <w:rPr>
          <w:lang w:val="en-NZ"/>
        </w:rPr>
        <w:t>/</w:t>
      </w:r>
      <w:hyperlink r:id="rId24" w:history="1">
        <w:r w:rsidR="004644BE" w:rsidRPr="00D06988">
          <w:rPr>
            <w:rStyle w:val="Hyperlink"/>
            <w:iCs/>
            <w:lang w:val="en-NZ"/>
          </w:rPr>
          <w:t>INP-07</w:t>
        </w:r>
      </w:hyperlink>
      <w:r w:rsidR="004644BE">
        <w:rPr>
          <w:rFonts w:eastAsia="MS Mincho"/>
          <w:lang w:eastAsia="ja-JP"/>
        </w:rPr>
        <w:t xml:space="preserve"> (J), </w:t>
      </w:r>
      <w:hyperlink r:id="rId25" w:history="1">
        <w:r w:rsidR="00852D8A" w:rsidRPr="00DF74FC">
          <w:rPr>
            <w:rStyle w:val="Hyperlink"/>
            <w:lang w:val="en-NZ"/>
          </w:rPr>
          <w:t>INP-</w:t>
        </w:r>
        <w:r w:rsidR="00852D8A" w:rsidRPr="00DF74FC">
          <w:rPr>
            <w:rStyle w:val="Hyperlink"/>
          </w:rPr>
          <w:t>14</w:t>
        </w:r>
      </w:hyperlink>
      <w:r w:rsidR="00852D8A" w:rsidRPr="004971D8">
        <w:rPr>
          <w:lang w:val="en-NZ"/>
        </w:rPr>
        <w:t xml:space="preserve"> (</w:t>
      </w:r>
      <w:r w:rsidR="00852D8A">
        <w:rPr>
          <w:lang w:val="en-NZ"/>
        </w:rPr>
        <w:t>AUS</w:t>
      </w:r>
      <w:r w:rsidR="00852D8A" w:rsidRPr="004971D8">
        <w:rPr>
          <w:lang w:val="en-NZ"/>
        </w:rPr>
        <w:t>),</w:t>
      </w:r>
      <w:r w:rsidR="001050A7" w:rsidRPr="00D92077">
        <w:rPr>
          <w:rFonts w:eastAsia="MS Mincho"/>
          <w:lang w:eastAsia="ja-JP"/>
        </w:rPr>
        <w:t xml:space="preserve"> </w:t>
      </w:r>
      <w:hyperlink r:id="rId26" w:history="1">
        <w:r w:rsidR="003F4BD4" w:rsidRPr="003F4BD4">
          <w:rPr>
            <w:rStyle w:val="Hyperlink"/>
            <w:rFonts w:eastAsia="MS Mincho"/>
            <w:lang w:eastAsia="ja-JP"/>
          </w:rPr>
          <w:t>INP-23</w:t>
        </w:r>
      </w:hyperlink>
      <w:r w:rsidR="003F4BD4">
        <w:rPr>
          <w:rFonts w:eastAsia="MS Mincho"/>
          <w:lang w:eastAsia="ja-JP"/>
        </w:rPr>
        <w:t xml:space="preserve"> (IRN),</w:t>
      </w:r>
      <w:r w:rsidR="008A3E21">
        <w:rPr>
          <w:rFonts w:eastAsia="MS Mincho"/>
          <w:lang w:eastAsia="ja-JP"/>
        </w:rPr>
        <w:t xml:space="preserve"> </w:t>
      </w:r>
      <w:hyperlink r:id="rId27" w:history="1">
        <w:r w:rsidR="008A3E21" w:rsidRPr="004C27B5">
          <w:rPr>
            <w:rStyle w:val="Hyperlink"/>
            <w:rFonts w:eastAsia="MS Mincho"/>
            <w:lang w:eastAsia="ja-JP"/>
          </w:rPr>
          <w:t>INP-40</w:t>
        </w:r>
      </w:hyperlink>
      <w:r w:rsidR="008A3E21">
        <w:rPr>
          <w:rFonts w:eastAsia="MS Mincho"/>
          <w:lang w:eastAsia="ja-JP"/>
        </w:rPr>
        <w:t xml:space="preserve"> (CHN), </w:t>
      </w:r>
      <w:r w:rsidR="003F4BD4">
        <w:rPr>
          <w:rFonts w:eastAsia="MS Mincho"/>
          <w:lang w:eastAsia="ja-JP"/>
        </w:rPr>
        <w:t xml:space="preserve"> </w:t>
      </w:r>
      <w:hyperlink r:id="rId28" w:history="1">
        <w:r w:rsidR="00093CE0" w:rsidRPr="00E87F5A">
          <w:rPr>
            <w:rStyle w:val="Hyperlink"/>
            <w:rFonts w:eastAsia="MS Mincho"/>
            <w:lang w:eastAsia="ja-JP"/>
          </w:rPr>
          <w:t>INP-</w:t>
        </w:r>
      </w:hyperlink>
      <w:r w:rsidR="00FA791D">
        <w:rPr>
          <w:rStyle w:val="Hyperlink"/>
          <w:rFonts w:eastAsia="MS Mincho"/>
          <w:lang w:eastAsia="ja-JP"/>
        </w:rPr>
        <w:t>51</w:t>
      </w:r>
      <w:r w:rsidR="00093CE0" w:rsidRPr="004971D8">
        <w:rPr>
          <w:rFonts w:eastAsia="MS Mincho"/>
          <w:lang w:eastAsia="ja-JP"/>
        </w:rPr>
        <w:t xml:space="preserve"> (</w:t>
      </w:r>
      <w:r w:rsidR="00093CE0">
        <w:rPr>
          <w:rFonts w:eastAsia="MS Mincho"/>
          <w:lang w:eastAsia="ja-JP"/>
        </w:rPr>
        <w:t>NZL</w:t>
      </w:r>
      <w:r w:rsidR="00093CE0" w:rsidRPr="004971D8">
        <w:rPr>
          <w:rFonts w:eastAsia="MS Mincho"/>
          <w:lang w:eastAsia="ja-JP"/>
        </w:rPr>
        <w:t>),</w:t>
      </w:r>
      <w:r w:rsidR="00093CE0">
        <w:rPr>
          <w:rFonts w:eastAsia="MS Mincho"/>
          <w:lang w:eastAsia="ja-JP"/>
        </w:rPr>
        <w:t xml:space="preserve"> </w:t>
      </w:r>
      <w:hyperlink r:id="rId29" w:history="1">
        <w:r w:rsidR="008B44A7" w:rsidRPr="008B44A7">
          <w:rPr>
            <w:rStyle w:val="Hyperlink"/>
            <w:rFonts w:eastAsia="MS Mincho"/>
            <w:lang w:eastAsia="ja-JP"/>
          </w:rPr>
          <w:t>INP-</w:t>
        </w:r>
      </w:hyperlink>
      <w:r w:rsidR="006F4ED8">
        <w:rPr>
          <w:rStyle w:val="Hyperlink"/>
          <w:rFonts w:eastAsia="MS Mincho"/>
          <w:lang w:eastAsia="ja-JP"/>
        </w:rPr>
        <w:t>59</w:t>
      </w:r>
      <w:r w:rsidR="008B44A7">
        <w:rPr>
          <w:rFonts w:eastAsia="MS Mincho"/>
          <w:lang w:eastAsia="ja-JP"/>
        </w:rPr>
        <w:t xml:space="preserve"> (SMO),</w:t>
      </w:r>
      <w:r w:rsidR="00CB011E">
        <w:rPr>
          <w:rFonts w:eastAsia="MS Mincho"/>
          <w:lang w:eastAsia="ja-JP"/>
        </w:rPr>
        <w:t xml:space="preserve"> </w:t>
      </w:r>
      <w:hyperlink r:id="rId30" w:history="1">
        <w:r w:rsidR="00CB011E" w:rsidRPr="00CB011E">
          <w:rPr>
            <w:rStyle w:val="Hyperlink"/>
            <w:rFonts w:eastAsia="MS Mincho"/>
            <w:lang w:eastAsia="ja-JP"/>
          </w:rPr>
          <w:t>INP-61</w:t>
        </w:r>
      </w:hyperlink>
      <w:r w:rsidR="00CB011E">
        <w:rPr>
          <w:rFonts w:eastAsia="MS Mincho"/>
          <w:lang w:eastAsia="ja-JP"/>
        </w:rPr>
        <w:t xml:space="preserve"> (IND),</w:t>
      </w:r>
      <w:r w:rsidR="008B44A7">
        <w:rPr>
          <w:rFonts w:eastAsia="MS Mincho"/>
          <w:lang w:eastAsia="ja-JP"/>
        </w:rPr>
        <w:t xml:space="preserve"> </w:t>
      </w:r>
      <w:hyperlink r:id="rId31" w:history="1">
        <w:r w:rsidR="002518A8" w:rsidRPr="00F4742D">
          <w:rPr>
            <w:rStyle w:val="Hyperlink"/>
            <w:rFonts w:eastAsia="MS Mincho"/>
            <w:lang w:val="en-GB" w:eastAsia="ja-JP"/>
          </w:rPr>
          <w:t>INP-</w:t>
        </w:r>
      </w:hyperlink>
      <w:r w:rsidR="002518A8">
        <w:rPr>
          <w:rStyle w:val="Hyperlink"/>
          <w:rFonts w:eastAsia="MS Mincho"/>
          <w:lang w:val="en-GB" w:eastAsia="ja-JP"/>
        </w:rPr>
        <w:t>74</w:t>
      </w:r>
      <w:r w:rsidR="002518A8">
        <w:rPr>
          <w:rFonts w:eastAsia="MS Mincho"/>
          <w:lang w:val="en-GB" w:eastAsia="ja-JP"/>
        </w:rPr>
        <w:t xml:space="preserve"> (VTN)</w:t>
      </w:r>
    </w:p>
    <w:p w14:paraId="3799484F" w14:textId="6E834BB2" w:rsidR="002D5119" w:rsidRPr="002D5119" w:rsidRDefault="002D5119" w:rsidP="00541998">
      <w:pPr>
        <w:numPr>
          <w:ilvl w:val="0"/>
          <w:numId w:val="18"/>
        </w:numPr>
        <w:ind w:leftChars="145" w:left="708"/>
        <w:rPr>
          <w:lang w:val="en-NZ" w:eastAsia="ko-KR"/>
        </w:rPr>
      </w:pPr>
      <w:r w:rsidRPr="00D92077">
        <w:rPr>
          <w:lang w:val="en-NZ"/>
        </w:rPr>
        <w:lastRenderedPageBreak/>
        <w:t xml:space="preserve">Information Documents </w:t>
      </w:r>
      <w:r w:rsidRPr="00D92077">
        <w:t>APG23-2/</w:t>
      </w:r>
      <w:hyperlink r:id="rId32" w:history="1">
        <w:r w:rsidRPr="00D92077">
          <w:rPr>
            <w:rStyle w:val="Hyperlink"/>
            <w:rFonts w:eastAsia="MS Mincho"/>
            <w:lang w:eastAsia="ja-JP"/>
          </w:rPr>
          <w:t>INF-12</w:t>
        </w:r>
      </w:hyperlink>
      <w:r w:rsidRPr="00D92077">
        <w:rPr>
          <w:rFonts w:eastAsia="MS Mincho"/>
          <w:lang w:eastAsia="ja-JP"/>
        </w:rPr>
        <w:t xml:space="preserve"> (DG Chair), </w:t>
      </w:r>
      <w:hyperlink r:id="rId33" w:history="1">
        <w:r w:rsidRPr="00D92077">
          <w:rPr>
            <w:rStyle w:val="Hyperlink"/>
            <w:rFonts w:eastAsia="MS Mincho"/>
            <w:lang w:eastAsia="ja-JP"/>
          </w:rPr>
          <w:t>INF-25</w:t>
        </w:r>
      </w:hyperlink>
      <w:r w:rsidRPr="00D92077">
        <w:rPr>
          <w:rFonts w:eastAsia="MS Mincho"/>
          <w:lang w:eastAsia="ja-JP"/>
        </w:rPr>
        <w:t xml:space="preserve"> (ASMG), </w:t>
      </w:r>
      <w:r w:rsidR="00541998">
        <w:rPr>
          <w:rFonts w:eastAsia="MS Mincho"/>
          <w:lang w:eastAsia="ja-JP"/>
        </w:rPr>
        <w:br/>
      </w:r>
      <w:hyperlink r:id="rId34" w:history="1">
        <w:r w:rsidRPr="00D92077">
          <w:rPr>
            <w:rStyle w:val="Hyperlink"/>
            <w:lang w:val="en-NZ"/>
          </w:rPr>
          <w:t>INF-30</w:t>
        </w:r>
      </w:hyperlink>
      <w:r w:rsidRPr="00D92077">
        <w:rPr>
          <w:lang w:val="en-NZ"/>
        </w:rPr>
        <w:t xml:space="preserve"> (GSMA), </w:t>
      </w:r>
      <w:hyperlink r:id="rId35" w:history="1">
        <w:r w:rsidRPr="00D92077">
          <w:rPr>
            <w:rStyle w:val="Hyperlink"/>
            <w:rFonts w:eastAsia="MS Mincho"/>
            <w:lang w:eastAsia="ja-JP"/>
          </w:rPr>
          <w:t>INF-34</w:t>
        </w:r>
      </w:hyperlink>
      <w:r w:rsidRPr="00D92077">
        <w:rPr>
          <w:rFonts w:eastAsia="MS Mincho"/>
          <w:lang w:eastAsia="ja-JP"/>
        </w:rPr>
        <w:t xml:space="preserve"> (CITEL), </w:t>
      </w:r>
      <w:hyperlink r:id="rId36" w:history="1">
        <w:r w:rsidRPr="00D92077">
          <w:rPr>
            <w:rStyle w:val="Hyperlink"/>
            <w:rFonts w:eastAsia="MS Mincho"/>
            <w:lang w:eastAsia="ja-JP"/>
          </w:rPr>
          <w:t>INF-36</w:t>
        </w:r>
      </w:hyperlink>
      <w:r w:rsidRPr="00D92077">
        <w:rPr>
          <w:rFonts w:eastAsia="MS Mincho"/>
          <w:lang w:eastAsia="ja-JP"/>
        </w:rPr>
        <w:t xml:space="preserve"> (RCC)</w:t>
      </w:r>
    </w:p>
    <w:p w14:paraId="123FFA9B" w14:textId="7CE74125" w:rsidR="005206E9" w:rsidRPr="00DC3222" w:rsidRDefault="002A0111" w:rsidP="004263DA">
      <w:pPr>
        <w:numPr>
          <w:ilvl w:val="0"/>
          <w:numId w:val="18"/>
        </w:numPr>
        <w:ind w:leftChars="145" w:left="708"/>
        <w:rPr>
          <w:lang w:val="en-NZ" w:eastAsia="ko-KR"/>
        </w:rPr>
      </w:pPr>
      <w:r w:rsidRPr="00D92077">
        <w:rPr>
          <w:lang w:val="en-NZ"/>
        </w:rPr>
        <w:t xml:space="preserve">Information Documents </w:t>
      </w:r>
      <w:r w:rsidR="001050A7" w:rsidRPr="00D92077">
        <w:t>APG23-</w:t>
      </w:r>
      <w:r w:rsidR="00E227A3">
        <w:t>3</w:t>
      </w:r>
      <w:r w:rsidR="001050A7" w:rsidRPr="00D92077">
        <w:t>/</w:t>
      </w:r>
      <w:hyperlink r:id="rId37" w:history="1">
        <w:r w:rsidR="004263DA" w:rsidRPr="00F4742D">
          <w:rPr>
            <w:rStyle w:val="Hyperlink"/>
            <w:rFonts w:eastAsia="MS Mincho" w:hint="eastAsia"/>
            <w:lang w:val="en-GB" w:eastAsia="ja-JP"/>
          </w:rPr>
          <w:t>I</w:t>
        </w:r>
        <w:r w:rsidR="004263DA" w:rsidRPr="00F4742D">
          <w:rPr>
            <w:rStyle w:val="Hyperlink"/>
            <w:rFonts w:eastAsia="MS Mincho"/>
            <w:lang w:val="en-GB" w:eastAsia="ja-JP"/>
          </w:rPr>
          <w:t>NF-01</w:t>
        </w:r>
      </w:hyperlink>
      <w:r w:rsidR="004263DA">
        <w:rPr>
          <w:rFonts w:eastAsia="MS Mincho"/>
          <w:lang w:val="en-GB" w:eastAsia="ja-JP"/>
        </w:rPr>
        <w:t xml:space="preserve"> (WMO), </w:t>
      </w:r>
      <w:hyperlink r:id="rId38" w:history="1">
        <w:r w:rsidR="004263DA" w:rsidRPr="00F4742D">
          <w:rPr>
            <w:rStyle w:val="Hyperlink"/>
            <w:rFonts w:eastAsia="MS Mincho"/>
            <w:lang w:val="en-GB" w:eastAsia="ja-JP"/>
          </w:rPr>
          <w:t>INF-18</w:t>
        </w:r>
      </w:hyperlink>
      <w:r w:rsidR="004263DA">
        <w:rPr>
          <w:rFonts w:eastAsia="MS Mincho"/>
          <w:lang w:val="en-GB" w:eastAsia="ja-JP"/>
        </w:rPr>
        <w:t xml:space="preserve"> (GSMA Hong Kong), </w:t>
      </w:r>
      <w:r w:rsidR="004263DA">
        <w:rPr>
          <w:rFonts w:eastAsia="MS Mincho"/>
          <w:lang w:val="en-GB" w:eastAsia="ja-JP"/>
        </w:rPr>
        <w:br/>
      </w:r>
      <w:hyperlink r:id="rId39" w:history="1">
        <w:r w:rsidR="004263DA" w:rsidRPr="00F4742D">
          <w:rPr>
            <w:rStyle w:val="Hyperlink"/>
            <w:rFonts w:eastAsia="MS Mincho"/>
            <w:lang w:val="en-GB" w:eastAsia="ja-JP"/>
          </w:rPr>
          <w:t>INF-20</w:t>
        </w:r>
      </w:hyperlink>
      <w:r w:rsidR="004263DA">
        <w:rPr>
          <w:rFonts w:eastAsia="MS Mincho"/>
          <w:lang w:val="en-GB" w:eastAsia="ja-JP"/>
        </w:rPr>
        <w:t xml:space="preserve"> (CEPT), </w:t>
      </w:r>
      <w:hyperlink r:id="rId40" w:history="1">
        <w:r w:rsidR="004263DA" w:rsidRPr="00F4742D">
          <w:rPr>
            <w:rStyle w:val="Hyperlink"/>
            <w:rFonts w:eastAsia="MS Mincho"/>
            <w:lang w:val="en-GB" w:eastAsia="ja-JP"/>
          </w:rPr>
          <w:t>INF-22</w:t>
        </w:r>
      </w:hyperlink>
      <w:r w:rsidR="004263DA">
        <w:rPr>
          <w:rFonts w:eastAsia="MS Mincho"/>
          <w:lang w:val="en-GB" w:eastAsia="ja-JP"/>
        </w:rPr>
        <w:t xml:space="preserve"> (DG Chair)</w:t>
      </w:r>
      <w:r w:rsidR="00590324">
        <w:rPr>
          <w:rFonts w:eastAsia="MS Mincho"/>
          <w:lang w:val="en-GB" w:eastAsia="ja-JP"/>
        </w:rPr>
        <w:t xml:space="preserve">, </w:t>
      </w:r>
      <w:hyperlink r:id="rId41" w:history="1">
        <w:r w:rsidR="00590324" w:rsidRPr="00590324">
          <w:rPr>
            <w:rStyle w:val="Hyperlink"/>
            <w:lang w:val="en-NZ"/>
          </w:rPr>
          <w:t>INF-37</w:t>
        </w:r>
      </w:hyperlink>
      <w:r w:rsidR="00590324" w:rsidRPr="00590324">
        <w:rPr>
          <w:lang w:val="en-NZ"/>
        </w:rPr>
        <w:t xml:space="preserve"> (ASMG)</w:t>
      </w:r>
      <w:r w:rsidR="00AE79A6">
        <w:rPr>
          <w:rFonts w:eastAsia="MS Mincho"/>
          <w:lang w:val="en-GB" w:eastAsia="ja-JP"/>
        </w:rPr>
        <w:t xml:space="preserve">, </w:t>
      </w:r>
      <w:hyperlink r:id="rId42" w:history="1">
        <w:r w:rsidR="00AE79A6" w:rsidRPr="005E5079">
          <w:rPr>
            <w:rStyle w:val="Hyperlink"/>
            <w:rFonts w:eastAsia="MS Mincho"/>
            <w:lang w:val="en-GB" w:eastAsia="ja-JP"/>
          </w:rPr>
          <w:t>INF-39</w:t>
        </w:r>
      </w:hyperlink>
      <w:r w:rsidR="00AE79A6">
        <w:rPr>
          <w:rFonts w:eastAsia="MS Mincho"/>
          <w:lang w:val="en-GB" w:eastAsia="ja-JP"/>
        </w:rPr>
        <w:t xml:space="preserve"> (ATU)</w:t>
      </w:r>
    </w:p>
    <w:p w14:paraId="00FF9225" w14:textId="57F592DB" w:rsidR="00DC3222" w:rsidRPr="00D92077" w:rsidRDefault="00DC3222" w:rsidP="00CE57BB">
      <w:pPr>
        <w:numPr>
          <w:ilvl w:val="0"/>
          <w:numId w:val="18"/>
        </w:numPr>
        <w:ind w:leftChars="145" w:left="708"/>
        <w:rPr>
          <w:lang w:val="en-NZ" w:eastAsia="ko-KR"/>
        </w:rPr>
      </w:pPr>
      <w:r w:rsidRPr="00D92077">
        <w:rPr>
          <w:lang w:val="en-NZ"/>
        </w:rPr>
        <w:t xml:space="preserve">Information Documents </w:t>
      </w:r>
      <w:r w:rsidRPr="00D92077">
        <w:t>APG23-</w:t>
      </w:r>
      <w:r>
        <w:t>4</w:t>
      </w:r>
      <w:r w:rsidRPr="00D92077">
        <w:t>/</w:t>
      </w:r>
      <w:hyperlink r:id="rId43" w:history="1">
        <w:r w:rsidR="00A034C0" w:rsidRPr="00A034C0">
          <w:rPr>
            <w:rStyle w:val="Hyperlink"/>
          </w:rPr>
          <w:t>INF-02</w:t>
        </w:r>
      </w:hyperlink>
      <w:r w:rsidR="00A034C0">
        <w:t xml:space="preserve"> (ATU), </w:t>
      </w:r>
      <w:hyperlink r:id="rId44" w:history="1">
        <w:r w:rsidR="00D40AA4" w:rsidRPr="00A357BA">
          <w:rPr>
            <w:rStyle w:val="Hyperlink"/>
            <w:lang w:val="en-NZ"/>
          </w:rPr>
          <w:t>INF-03</w:t>
        </w:r>
      </w:hyperlink>
      <w:r w:rsidR="00D40AA4">
        <w:rPr>
          <w:lang w:val="en-NZ"/>
        </w:rPr>
        <w:t xml:space="preserve"> (WMO), </w:t>
      </w:r>
      <w:hyperlink r:id="rId45" w:history="1">
        <w:r w:rsidR="00801513" w:rsidRPr="00801513">
          <w:rPr>
            <w:rStyle w:val="Hyperlink"/>
            <w:lang w:val="en-NZ"/>
          </w:rPr>
          <w:t>INF-</w:t>
        </w:r>
        <w:r w:rsidR="00055BCB">
          <w:rPr>
            <w:rStyle w:val="Hyperlink"/>
            <w:lang w:val="en-NZ"/>
          </w:rPr>
          <w:t>17</w:t>
        </w:r>
      </w:hyperlink>
      <w:r w:rsidR="00801513">
        <w:rPr>
          <w:lang w:val="en-NZ"/>
        </w:rPr>
        <w:t xml:space="preserve"> (DG Chair), </w:t>
      </w:r>
      <w:hyperlink r:id="rId46" w:history="1">
        <w:r w:rsidR="00ED5BB5" w:rsidRPr="00815454">
          <w:rPr>
            <w:rStyle w:val="Hyperlink"/>
            <w:lang w:val="en-NZ"/>
          </w:rPr>
          <w:t>INF-</w:t>
        </w:r>
        <w:r w:rsidR="00FB0BF5">
          <w:rPr>
            <w:rStyle w:val="Hyperlink"/>
            <w:lang w:val="en-NZ"/>
          </w:rPr>
          <w:t>21</w:t>
        </w:r>
      </w:hyperlink>
      <w:r w:rsidR="00ED5BB5">
        <w:rPr>
          <w:lang w:val="en-NZ"/>
        </w:rPr>
        <w:t xml:space="preserve"> (ASMG),</w:t>
      </w:r>
      <w:r w:rsidR="00C45D4C">
        <w:rPr>
          <w:lang w:val="en-NZ"/>
        </w:rPr>
        <w:t xml:space="preserve"> </w:t>
      </w:r>
      <w:hyperlink r:id="rId47" w:history="1">
        <w:r w:rsidR="00C45D4C" w:rsidRPr="00B87216">
          <w:rPr>
            <w:rStyle w:val="Hyperlink"/>
            <w:lang w:val="en-NZ"/>
          </w:rPr>
          <w:t>INF-28</w:t>
        </w:r>
      </w:hyperlink>
      <w:r w:rsidR="00C45D4C">
        <w:rPr>
          <w:lang w:val="en-NZ"/>
        </w:rPr>
        <w:t xml:space="preserve"> (CITEL),</w:t>
      </w:r>
      <w:r w:rsidR="004104FB">
        <w:rPr>
          <w:lang w:val="en-NZ"/>
        </w:rPr>
        <w:t xml:space="preserve"> </w:t>
      </w:r>
      <w:hyperlink r:id="rId48" w:history="1">
        <w:r w:rsidR="004104FB" w:rsidRPr="00D64CCE">
          <w:rPr>
            <w:rStyle w:val="Hyperlink"/>
            <w:lang w:val="en-NZ"/>
          </w:rPr>
          <w:t>INF-30</w:t>
        </w:r>
      </w:hyperlink>
      <w:r w:rsidR="004104FB">
        <w:rPr>
          <w:lang w:val="en-NZ"/>
        </w:rPr>
        <w:t xml:space="preserve"> (GSA),</w:t>
      </w:r>
      <w:r w:rsidR="000105AA">
        <w:rPr>
          <w:lang w:val="en-NZ"/>
        </w:rPr>
        <w:t xml:space="preserve"> </w:t>
      </w:r>
      <w:hyperlink r:id="rId49" w:history="1">
        <w:r w:rsidR="000105AA" w:rsidRPr="000105AA">
          <w:rPr>
            <w:rStyle w:val="Hyperlink"/>
            <w:lang w:val="en-NZ"/>
          </w:rPr>
          <w:t>INF-3</w:t>
        </w:r>
        <w:r w:rsidR="00266E68">
          <w:rPr>
            <w:rStyle w:val="Hyperlink"/>
            <w:lang w:val="en-NZ"/>
          </w:rPr>
          <w:t>3</w:t>
        </w:r>
      </w:hyperlink>
      <w:r w:rsidR="000105AA">
        <w:rPr>
          <w:lang w:val="en-NZ"/>
        </w:rPr>
        <w:t xml:space="preserve"> (GSMA),</w:t>
      </w:r>
      <w:r w:rsidR="00266E68">
        <w:rPr>
          <w:lang w:val="en-NZ"/>
        </w:rPr>
        <w:t xml:space="preserve"> </w:t>
      </w:r>
      <w:hyperlink r:id="rId50" w:history="1">
        <w:r w:rsidR="001061EE" w:rsidRPr="001061EE">
          <w:rPr>
            <w:rStyle w:val="Hyperlink"/>
            <w:lang w:val="en-NZ"/>
          </w:rPr>
          <w:t>INF-44</w:t>
        </w:r>
      </w:hyperlink>
      <w:r w:rsidR="001061EE">
        <w:rPr>
          <w:lang w:val="en-NZ"/>
        </w:rPr>
        <w:t xml:space="preserve"> (RCC)</w:t>
      </w:r>
      <w:r w:rsidR="00AC2ED5">
        <w:rPr>
          <w:lang w:val="en-NZ"/>
        </w:rPr>
        <w:t xml:space="preserve">, </w:t>
      </w:r>
      <w:hyperlink r:id="rId51" w:history="1">
        <w:r w:rsidR="00AC2ED5" w:rsidRPr="005A5457">
          <w:rPr>
            <w:rStyle w:val="Hyperlink"/>
            <w:lang w:val="en-NZ"/>
          </w:rPr>
          <w:t>INF-</w:t>
        </w:r>
        <w:r w:rsidR="00AC2ED5" w:rsidRPr="005A5457">
          <w:rPr>
            <w:rStyle w:val="Hyperlink"/>
            <w:rFonts w:eastAsia="MS Mincho" w:hint="eastAsia"/>
            <w:lang w:val="en-NZ" w:eastAsia="ja-JP"/>
          </w:rPr>
          <w:t>4</w:t>
        </w:r>
        <w:r w:rsidR="00AC2ED5" w:rsidRPr="005A5457">
          <w:rPr>
            <w:rStyle w:val="Hyperlink"/>
            <w:rFonts w:eastAsia="MS Mincho"/>
            <w:lang w:val="en-NZ" w:eastAsia="ja-JP"/>
          </w:rPr>
          <w:t>8</w:t>
        </w:r>
      </w:hyperlink>
      <w:r w:rsidR="00AC2ED5">
        <w:rPr>
          <w:lang w:val="en-NZ"/>
        </w:rPr>
        <w:t xml:space="preserve"> (CEPT)</w:t>
      </w:r>
    </w:p>
    <w:p w14:paraId="6F1D8465" w14:textId="77777777" w:rsidR="005C568F" w:rsidRDefault="005C568F" w:rsidP="00FC6A43">
      <w:pPr>
        <w:spacing w:before="120" w:after="120"/>
        <w:jc w:val="both"/>
        <w:outlineLvl w:val="0"/>
        <w:rPr>
          <w:b/>
          <w:lang w:val="en-NZ" w:eastAsia="ko-KR"/>
        </w:rPr>
      </w:pPr>
    </w:p>
    <w:p w14:paraId="3B7DC375" w14:textId="324A8001" w:rsidR="002A0111" w:rsidRPr="00441526" w:rsidRDefault="002A0111" w:rsidP="00FC6A43">
      <w:pPr>
        <w:spacing w:before="120" w:after="120"/>
        <w:jc w:val="both"/>
        <w:outlineLvl w:val="0"/>
        <w:rPr>
          <w:b/>
          <w:lang w:val="en-NZ" w:eastAsia="ko-KR"/>
        </w:rPr>
      </w:pPr>
      <w:r w:rsidRPr="00441526">
        <w:rPr>
          <w:b/>
          <w:lang w:val="en-NZ" w:eastAsia="ko-KR"/>
        </w:rPr>
        <w:t xml:space="preserve">3. </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444F027" w14:textId="77777777" w:rsidR="004644BE" w:rsidRPr="006C0050" w:rsidRDefault="002A0111" w:rsidP="004644BE">
      <w:pPr>
        <w:spacing w:before="120"/>
        <w:rPr>
          <w:b/>
          <w:bCs/>
          <w:iCs/>
          <w:lang w:val="en-NZ"/>
        </w:rPr>
      </w:pPr>
      <w:r w:rsidRPr="00441526">
        <w:rPr>
          <w:b/>
          <w:lang w:val="en-NZ" w:eastAsia="ko-KR"/>
        </w:rPr>
        <w:t>3.1.1</w:t>
      </w:r>
      <w:r w:rsidR="00D073C8" w:rsidRPr="00441526">
        <w:rPr>
          <w:b/>
          <w:lang w:val="en-NZ" w:eastAsia="ko-KR"/>
        </w:rPr>
        <w:tab/>
      </w:r>
      <w:r w:rsidR="004644BE" w:rsidRPr="006C0050">
        <w:rPr>
          <w:b/>
          <w:bCs/>
          <w:iCs/>
          <w:lang w:val="en-NZ"/>
        </w:rPr>
        <w:t xml:space="preserve">Japan – </w:t>
      </w:r>
      <w:r w:rsidR="004644BE" w:rsidRPr="00E87F5A">
        <w:rPr>
          <w:b/>
          <w:bCs/>
          <w:lang w:eastAsia="ko-KR"/>
        </w:rPr>
        <w:t>Document</w:t>
      </w:r>
      <w:r w:rsidR="004644BE" w:rsidRPr="006C0050">
        <w:rPr>
          <w:b/>
          <w:bCs/>
          <w:iCs/>
          <w:lang w:val="en-NZ"/>
        </w:rPr>
        <w:t xml:space="preserve"> APG23-</w:t>
      </w:r>
      <w:r w:rsidR="004644BE">
        <w:rPr>
          <w:b/>
          <w:bCs/>
          <w:iCs/>
          <w:lang w:val="en-NZ"/>
        </w:rPr>
        <w:t>4</w:t>
      </w:r>
      <w:r w:rsidR="004644BE" w:rsidRPr="006C0050">
        <w:rPr>
          <w:b/>
          <w:bCs/>
          <w:iCs/>
          <w:lang w:val="en-NZ"/>
        </w:rPr>
        <w:t>/</w:t>
      </w:r>
      <w:hyperlink r:id="rId52" w:history="1">
        <w:r w:rsidR="004644BE" w:rsidRPr="00D06988">
          <w:rPr>
            <w:rStyle w:val="Hyperlink"/>
            <w:b/>
            <w:bCs/>
            <w:iCs/>
            <w:lang w:val="en-NZ"/>
          </w:rPr>
          <w:t>INP-07</w:t>
        </w:r>
      </w:hyperlink>
    </w:p>
    <w:p w14:paraId="70265D4B" w14:textId="77777777" w:rsidR="004644BE" w:rsidRPr="003E3E34" w:rsidRDefault="004644BE" w:rsidP="004644BE">
      <w:pPr>
        <w:spacing w:beforeLines="50" w:before="120"/>
        <w:jc w:val="both"/>
        <w:rPr>
          <w:rFonts w:eastAsia="MS Mincho"/>
          <w:lang w:eastAsia="ja-JP"/>
        </w:rPr>
      </w:pPr>
      <w:r w:rsidRPr="003E3E34">
        <w:rPr>
          <w:rFonts w:eastAsia="MS Mincho" w:hint="eastAsia"/>
          <w:lang w:eastAsia="ja-JP"/>
        </w:rPr>
        <w:t xml:space="preserve">Japan supports </w:t>
      </w:r>
      <w:r w:rsidRPr="003E3E34">
        <w:rPr>
          <w:rFonts w:eastAsia="MS Mincho"/>
          <w:lang w:eastAsia="ja-JP"/>
        </w:rPr>
        <w:t xml:space="preserve">the ITU-R studies on </w:t>
      </w:r>
      <w:r w:rsidRPr="003E3E34">
        <w:t>the spectrum use and spectrum needs of existing services and on sharing and compatibility between the broadcasting and mobile, except aeronautical mobile, services in the frequency band 470-694 MHz in Region 1.</w:t>
      </w:r>
    </w:p>
    <w:p w14:paraId="0AD60687" w14:textId="77777777" w:rsidR="004644BE" w:rsidRPr="003E3E34" w:rsidRDefault="004644BE" w:rsidP="004644BE">
      <w:pPr>
        <w:jc w:val="both"/>
      </w:pPr>
      <w:r w:rsidRPr="003E3E34">
        <w:rPr>
          <w:rFonts w:eastAsia="MS Mincho" w:hint="eastAsia"/>
          <w:lang w:eastAsia="ja-JP"/>
        </w:rPr>
        <w:t>Japan</w:t>
      </w:r>
      <w:r w:rsidRPr="003E3E34">
        <w:t xml:space="preserve"> </w:t>
      </w:r>
      <w:r w:rsidRPr="003E3E34">
        <w:rPr>
          <w:rFonts w:eastAsia="SimSun"/>
          <w:lang w:eastAsia="zh-CN"/>
        </w:rPr>
        <w:t>is of the view that</w:t>
      </w:r>
      <w:r w:rsidRPr="003E3E34">
        <w:t xml:space="preserve"> any changes of procedural or regulatory provisions according to the conclusions to be reached on Agenda Item 1.5 shall in no way adversely affect existing services in </w:t>
      </w:r>
      <w:proofErr w:type="gramStart"/>
      <w:r w:rsidRPr="003E3E34">
        <w:t>Region</w:t>
      </w:r>
      <w:proofErr w:type="gramEnd"/>
      <w:r w:rsidRPr="003E3E34">
        <w:t xml:space="preserve"> 3.</w:t>
      </w:r>
    </w:p>
    <w:p w14:paraId="0CFA2C93" w14:textId="46172D6C" w:rsidR="002A0111" w:rsidRPr="00441526" w:rsidRDefault="00EE04C5" w:rsidP="00EE04C5">
      <w:pPr>
        <w:spacing w:before="120"/>
        <w:rPr>
          <w:b/>
          <w:lang w:val="en-NZ" w:eastAsia="ko-KR"/>
        </w:rPr>
      </w:pPr>
      <w:r w:rsidRPr="0012288F">
        <w:rPr>
          <w:b/>
          <w:bCs/>
          <w:iCs/>
          <w:lang w:val="en-NZ"/>
        </w:rPr>
        <w:t>3</w:t>
      </w:r>
      <w:r>
        <w:rPr>
          <w:b/>
          <w:bCs/>
          <w:iCs/>
          <w:lang w:val="en-NZ"/>
        </w:rPr>
        <w:t>.1.2</w:t>
      </w:r>
      <w:r w:rsidRPr="006C0050">
        <w:rPr>
          <w:b/>
          <w:bCs/>
          <w:iCs/>
          <w:lang w:val="en-NZ"/>
        </w:rPr>
        <w:tab/>
      </w:r>
      <w:r w:rsidR="001050A7" w:rsidRPr="00EE04C5">
        <w:rPr>
          <w:b/>
          <w:bCs/>
          <w:iCs/>
          <w:lang w:val="en-NZ"/>
        </w:rPr>
        <w:t>Australia</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Pr>
          <w:b/>
          <w:lang w:val="en-NZ" w:eastAsia="ko-KR"/>
        </w:rPr>
        <w:t>4</w:t>
      </w:r>
      <w:r w:rsidR="002A0111" w:rsidRPr="00441526">
        <w:rPr>
          <w:b/>
          <w:lang w:val="en-NZ" w:eastAsia="ko-KR"/>
        </w:rPr>
        <w:t>/</w:t>
      </w:r>
      <w:hyperlink r:id="rId53" w:history="1">
        <w:r w:rsidR="00911CF3" w:rsidRPr="00EE04C5">
          <w:rPr>
            <w:rStyle w:val="Hyperlink"/>
            <w:rFonts w:eastAsia="MS Mincho"/>
            <w:b/>
            <w:lang w:eastAsia="ja-JP"/>
          </w:rPr>
          <w:t>INP-</w:t>
        </w:r>
        <w:r w:rsidRPr="00EE04C5">
          <w:rPr>
            <w:rStyle w:val="Hyperlink"/>
            <w:rFonts w:eastAsia="MS Mincho"/>
            <w:b/>
            <w:lang w:eastAsia="ja-JP"/>
          </w:rPr>
          <w:t>14</w:t>
        </w:r>
      </w:hyperlink>
    </w:p>
    <w:p w14:paraId="1EC11E0D" w14:textId="0E16E992" w:rsidR="001D29E9" w:rsidRPr="00772F5D" w:rsidRDefault="001D29E9" w:rsidP="001D29E9">
      <w:pPr>
        <w:spacing w:beforeLines="50" w:before="120"/>
        <w:jc w:val="both"/>
      </w:pPr>
      <w:r w:rsidRPr="00772F5D">
        <w:t xml:space="preserve">Australia notes that this is a Region 1 issue, and possible regulatory actions focus on Region 1. While studies may assist, where these have implications in other regions in the frequency band 470 </w:t>
      </w:r>
      <w:r w:rsidRPr="00772F5D">
        <w:noBreakHyphen/>
        <w:t xml:space="preserve"> 694 MHz, possible regulatory actions in </w:t>
      </w:r>
      <w:proofErr w:type="gramStart"/>
      <w:r w:rsidRPr="00772F5D">
        <w:t>Region</w:t>
      </w:r>
      <w:proofErr w:type="gramEnd"/>
      <w:r w:rsidRPr="00772F5D">
        <w:t xml:space="preserve"> 1 under this agenda item should </w:t>
      </w:r>
      <w:r w:rsidR="00217533" w:rsidRPr="00772F5D">
        <w:t>recognize</w:t>
      </w:r>
      <w:r w:rsidRPr="00772F5D">
        <w:t xml:space="preserve"> existing provisions in Region 3.</w:t>
      </w:r>
    </w:p>
    <w:p w14:paraId="5608496A" w14:textId="77777777" w:rsidR="0078115D" w:rsidRPr="006C0050" w:rsidRDefault="0078115D" w:rsidP="0078115D">
      <w:pPr>
        <w:spacing w:before="120"/>
        <w:rPr>
          <w:b/>
          <w:bCs/>
          <w:iCs/>
          <w:lang w:val="en-NZ"/>
        </w:rPr>
      </w:pPr>
      <w:r w:rsidRPr="00441526">
        <w:rPr>
          <w:b/>
          <w:lang w:val="en-NZ" w:eastAsia="ko-KR"/>
        </w:rPr>
        <w:t>3.1.</w:t>
      </w:r>
      <w:r>
        <w:rPr>
          <w:b/>
          <w:lang w:val="en-NZ" w:eastAsia="ko-KR"/>
        </w:rPr>
        <w:t>3</w:t>
      </w:r>
      <w:r w:rsidRPr="00441526">
        <w:rPr>
          <w:b/>
          <w:lang w:val="en-NZ" w:eastAsia="ko-KR"/>
        </w:rPr>
        <w:tab/>
      </w:r>
      <w:r>
        <w:rPr>
          <w:b/>
          <w:bCs/>
          <w:iCs/>
          <w:lang w:val="en-NZ"/>
        </w:rPr>
        <w:t>Iran (</w:t>
      </w:r>
      <w:r w:rsidRPr="00C00381">
        <w:rPr>
          <w:b/>
          <w:bCs/>
          <w:iCs/>
          <w:lang w:val="en-NZ"/>
        </w:rPr>
        <w:t>Islamic Republic of</w:t>
      </w:r>
      <w:r>
        <w:rPr>
          <w:b/>
          <w:bCs/>
          <w:iCs/>
          <w:lang w:val="en-NZ"/>
        </w:rPr>
        <w:t>)</w:t>
      </w:r>
      <w:r w:rsidRPr="006C0050">
        <w:rPr>
          <w:b/>
          <w:bCs/>
          <w:iCs/>
          <w:lang w:val="en-NZ"/>
        </w:rPr>
        <w:t xml:space="preserve"> – </w:t>
      </w:r>
      <w:r w:rsidRPr="00E87F5A">
        <w:rPr>
          <w:b/>
          <w:bCs/>
          <w:lang w:eastAsia="ko-KR"/>
        </w:rPr>
        <w:t>Document</w:t>
      </w:r>
      <w:r w:rsidRPr="006C0050">
        <w:rPr>
          <w:b/>
          <w:bCs/>
          <w:iCs/>
          <w:lang w:val="en-NZ"/>
        </w:rPr>
        <w:t xml:space="preserve"> APG23-</w:t>
      </w:r>
      <w:r>
        <w:rPr>
          <w:b/>
          <w:bCs/>
          <w:iCs/>
          <w:lang w:val="en-NZ"/>
        </w:rPr>
        <w:t>4</w:t>
      </w:r>
      <w:r w:rsidRPr="006C0050">
        <w:rPr>
          <w:b/>
          <w:bCs/>
          <w:iCs/>
          <w:lang w:val="en-NZ"/>
        </w:rPr>
        <w:t>/</w:t>
      </w:r>
      <w:hyperlink r:id="rId54" w:history="1">
        <w:r w:rsidRPr="003F4BD4">
          <w:rPr>
            <w:rStyle w:val="Hyperlink"/>
            <w:b/>
            <w:bCs/>
            <w:iCs/>
            <w:lang w:val="en-NZ"/>
          </w:rPr>
          <w:t>INP-23</w:t>
        </w:r>
      </w:hyperlink>
    </w:p>
    <w:p w14:paraId="16F55132" w14:textId="77777777" w:rsidR="0078115D" w:rsidRDefault="0078115D" w:rsidP="0078115D">
      <w:pPr>
        <w:spacing w:before="120" w:after="120"/>
        <w:jc w:val="both"/>
        <w:outlineLvl w:val="2"/>
      </w:pPr>
      <w:r w:rsidRPr="00892B40">
        <w:t xml:space="preserve">The </w:t>
      </w:r>
      <w:r w:rsidRPr="00892B40">
        <w:rPr>
          <w:lang w:eastAsia="ko-KR"/>
        </w:rPr>
        <w:t>Islamic</w:t>
      </w:r>
      <w:r w:rsidRPr="00892B40">
        <w:t xml:space="preserve"> Republic of Iran is of the view that the Agenda Item 1.5 does not basically</w:t>
      </w:r>
      <w:r>
        <w:t xml:space="preserve"> address </w:t>
      </w:r>
      <w:r w:rsidRPr="00892B40">
        <w:t xml:space="preserve">the allocation of the band for mobile service nor IMT identification.  Furthermore, the frequency band 470 – 694 MHz has been extensively used for broadcasting services in many countries in </w:t>
      </w:r>
      <w:proofErr w:type="gramStart"/>
      <w:r w:rsidRPr="00892B40">
        <w:t>Region</w:t>
      </w:r>
      <w:proofErr w:type="gramEnd"/>
      <w:r w:rsidRPr="00892B40">
        <w:t xml:space="preserve"> 1 and Iran</w:t>
      </w:r>
      <w:r>
        <w:t xml:space="preserve"> </w:t>
      </w:r>
      <w:r w:rsidRPr="00892B40">
        <w:t xml:space="preserve">(see the result of the survey made by ITU-R SG6 as reflected in the Report BT.2302). </w:t>
      </w:r>
    </w:p>
    <w:p w14:paraId="5C38B9B0" w14:textId="77777777" w:rsidR="0078115D" w:rsidRPr="00892B40" w:rsidRDefault="0078115D" w:rsidP="0078115D">
      <w:r w:rsidRPr="00892B40">
        <w:t>Sharing and compatibility studies show that the two services cannot share the band in the same geographic area and very large separation distance is required. Therefore, this Administration supports No Change method.</w:t>
      </w:r>
    </w:p>
    <w:p w14:paraId="19FC5523" w14:textId="56E56A50" w:rsidR="008A3E21" w:rsidRPr="006C0050" w:rsidRDefault="008A3E21" w:rsidP="008A3E21">
      <w:pPr>
        <w:spacing w:before="120"/>
        <w:rPr>
          <w:b/>
          <w:bCs/>
          <w:iCs/>
          <w:lang w:val="en-NZ"/>
        </w:rPr>
      </w:pPr>
      <w:r w:rsidRPr="0012288F">
        <w:rPr>
          <w:b/>
          <w:bCs/>
          <w:iCs/>
          <w:lang w:val="en-NZ"/>
        </w:rPr>
        <w:t>3</w:t>
      </w:r>
      <w:r>
        <w:rPr>
          <w:b/>
          <w:bCs/>
          <w:iCs/>
          <w:lang w:val="en-NZ"/>
        </w:rPr>
        <w:t>.1.4</w:t>
      </w:r>
      <w:r w:rsidRPr="006C0050">
        <w:rPr>
          <w:b/>
          <w:bCs/>
          <w:iCs/>
          <w:lang w:val="en-NZ"/>
        </w:rPr>
        <w:tab/>
      </w:r>
      <w:r>
        <w:rPr>
          <w:b/>
          <w:bCs/>
          <w:lang w:eastAsia="ko-KR"/>
        </w:rPr>
        <w:t>China</w:t>
      </w:r>
      <w:r w:rsidRPr="006143BD">
        <w:rPr>
          <w:b/>
          <w:bCs/>
          <w:lang w:eastAsia="ko-KR"/>
        </w:rPr>
        <w:t xml:space="preserve"> (People's Republic of)</w:t>
      </w:r>
      <w:r>
        <w:rPr>
          <w:b/>
          <w:bCs/>
          <w:iCs/>
          <w:lang w:val="en-NZ"/>
        </w:rPr>
        <w:t xml:space="preserve"> </w:t>
      </w:r>
      <w:r w:rsidRPr="006C0050">
        <w:rPr>
          <w:b/>
          <w:bCs/>
          <w:iCs/>
          <w:lang w:val="en-NZ"/>
        </w:rPr>
        <w:t>– Document APG23-</w:t>
      </w:r>
      <w:r>
        <w:rPr>
          <w:b/>
          <w:bCs/>
          <w:iCs/>
          <w:lang w:val="en-NZ"/>
        </w:rPr>
        <w:t>4</w:t>
      </w:r>
      <w:r w:rsidRPr="006C0050">
        <w:rPr>
          <w:b/>
          <w:bCs/>
          <w:iCs/>
          <w:lang w:val="en-NZ"/>
        </w:rPr>
        <w:t>/</w:t>
      </w:r>
      <w:hyperlink r:id="rId55" w:history="1">
        <w:r w:rsidRPr="00337226">
          <w:rPr>
            <w:rStyle w:val="Hyperlink"/>
            <w:b/>
            <w:bCs/>
            <w:iCs/>
            <w:lang w:val="en-NZ"/>
          </w:rPr>
          <w:t>INP-</w:t>
        </w:r>
        <w:r>
          <w:rPr>
            <w:rStyle w:val="Hyperlink"/>
            <w:b/>
            <w:bCs/>
            <w:iCs/>
            <w:lang w:val="en-NZ"/>
          </w:rPr>
          <w:t>40</w:t>
        </w:r>
      </w:hyperlink>
    </w:p>
    <w:p w14:paraId="1BB318BB" w14:textId="5FF9B8A5" w:rsidR="008A3E21" w:rsidRDefault="008A3E21" w:rsidP="008A6659">
      <w:pPr>
        <w:spacing w:before="120"/>
        <w:jc w:val="both"/>
        <w:rPr>
          <w:rFonts w:eastAsia="SimSun"/>
          <w:lang w:eastAsia="zh-CN"/>
        </w:rPr>
      </w:pPr>
      <w:r>
        <w:rPr>
          <w:rFonts w:eastAsia="SimSun" w:hint="eastAsia"/>
          <w:lang w:eastAsia="zh-CN"/>
        </w:rPr>
        <w:t>China</w:t>
      </w:r>
      <w:r>
        <w:rPr>
          <w:lang w:eastAsia="ko-KR"/>
        </w:rPr>
        <w:t xml:space="preserve"> is of the view that allocation of the frequency band 470-694 MHz, or portions thereof, to any form of primary mobile service in </w:t>
      </w:r>
      <w:proofErr w:type="gramStart"/>
      <w:r>
        <w:rPr>
          <w:lang w:eastAsia="ko-KR"/>
        </w:rPr>
        <w:t>Region</w:t>
      </w:r>
      <w:proofErr w:type="gramEnd"/>
      <w:r>
        <w:rPr>
          <w:lang w:eastAsia="ko-KR"/>
        </w:rPr>
        <w:t xml:space="preserve"> 1, shall be subject to protection of existing services and systems </w:t>
      </w:r>
      <w:r w:rsidRPr="00807070">
        <w:rPr>
          <w:rFonts w:eastAsia="SimSun"/>
          <w:lang w:eastAsia="zh-CN"/>
        </w:rPr>
        <w:t>as well as their future use</w:t>
      </w:r>
      <w:r>
        <w:rPr>
          <w:lang w:eastAsia="ko-KR"/>
        </w:rPr>
        <w:t xml:space="preserve"> of Region 3 countries neighboring to Region 1</w:t>
      </w:r>
      <w:r>
        <w:rPr>
          <w:rFonts w:eastAsia="SimSun"/>
          <w:lang w:eastAsia="zh-CN"/>
        </w:rPr>
        <w:t>.</w:t>
      </w:r>
    </w:p>
    <w:p w14:paraId="40C87C80" w14:textId="039BE2A7" w:rsidR="008A3E21" w:rsidRDefault="008A3E21" w:rsidP="008A3E21">
      <w:pPr>
        <w:spacing w:before="120"/>
        <w:jc w:val="both"/>
        <w:rPr>
          <w:rFonts w:eastAsia="SimSun"/>
          <w:lang w:eastAsia="zh-CN"/>
        </w:rPr>
      </w:pPr>
      <w:r>
        <w:rPr>
          <w:rFonts w:eastAsia="SimSun" w:hint="eastAsia"/>
          <w:lang w:eastAsia="zh-CN"/>
        </w:rPr>
        <w:t xml:space="preserve">China supports the </w:t>
      </w:r>
      <w:r>
        <w:rPr>
          <w:rFonts w:eastAsia="SimSun" w:hint="eastAsia"/>
          <w:lang w:val="en-NZ" w:eastAsia="ko-KR"/>
        </w:rPr>
        <w:t xml:space="preserve">APT </w:t>
      </w:r>
      <w:r w:rsidR="009B2362">
        <w:rPr>
          <w:rFonts w:eastAsia="SimSun"/>
          <w:lang w:val="en-NZ" w:eastAsia="ko-KR"/>
        </w:rPr>
        <w:t>preliminary</w:t>
      </w:r>
      <w:r>
        <w:rPr>
          <w:rFonts w:eastAsia="SimSun" w:hint="eastAsia"/>
          <w:lang w:val="en-NZ" w:eastAsia="ko-KR"/>
        </w:rPr>
        <w:t xml:space="preserve"> </w:t>
      </w:r>
      <w:r w:rsidR="009B2362">
        <w:rPr>
          <w:rFonts w:eastAsia="SimSun"/>
          <w:lang w:val="en-NZ" w:eastAsia="ko-KR"/>
        </w:rPr>
        <w:t>view</w:t>
      </w:r>
      <w:r>
        <w:rPr>
          <w:rFonts w:eastAsia="SimSun" w:hint="eastAsia"/>
          <w:lang w:eastAsia="zh-CN"/>
        </w:rPr>
        <w:t xml:space="preserve"> on WRC-23 Agenda Item 1.5 formed in the 3rd meeting of the APT conference preparatory group for WRC-23.</w:t>
      </w:r>
    </w:p>
    <w:p w14:paraId="61F21535" w14:textId="1821CFCC" w:rsidR="00FA791D" w:rsidRPr="006C0050" w:rsidRDefault="00FA791D" w:rsidP="006F4ED8">
      <w:pPr>
        <w:spacing w:before="120"/>
        <w:rPr>
          <w:b/>
          <w:bCs/>
          <w:iCs/>
          <w:lang w:val="en-NZ"/>
        </w:rPr>
      </w:pPr>
      <w:r>
        <w:rPr>
          <w:b/>
          <w:bCs/>
          <w:lang w:eastAsia="ko-KR"/>
        </w:rPr>
        <w:t>3.1.6</w:t>
      </w:r>
      <w:r>
        <w:rPr>
          <w:b/>
          <w:bCs/>
          <w:lang w:eastAsia="ko-KR"/>
        </w:rPr>
        <w:tab/>
      </w:r>
      <w:r w:rsidRPr="00E87F5A">
        <w:rPr>
          <w:b/>
          <w:bCs/>
          <w:lang w:eastAsia="ko-KR"/>
        </w:rPr>
        <w:t>New Zealand</w:t>
      </w:r>
      <w:r w:rsidRPr="006C0050">
        <w:rPr>
          <w:b/>
          <w:bCs/>
          <w:iCs/>
          <w:lang w:val="en-NZ"/>
        </w:rPr>
        <w:t xml:space="preserve"> – Document APG23-</w:t>
      </w:r>
      <w:r w:rsidR="006F4ED8">
        <w:rPr>
          <w:b/>
          <w:bCs/>
          <w:iCs/>
          <w:lang w:val="en-NZ"/>
        </w:rPr>
        <w:t>4</w:t>
      </w:r>
      <w:r w:rsidRPr="006C0050">
        <w:rPr>
          <w:b/>
          <w:bCs/>
          <w:iCs/>
          <w:lang w:val="en-NZ"/>
        </w:rPr>
        <w:t>/</w:t>
      </w:r>
      <w:hyperlink r:id="rId56" w:history="1">
        <w:r w:rsidRPr="00B63DC1">
          <w:rPr>
            <w:rStyle w:val="Hyperlink"/>
            <w:b/>
            <w:bCs/>
            <w:iCs/>
            <w:lang w:val="en-NZ"/>
          </w:rPr>
          <w:t>INP-51</w:t>
        </w:r>
      </w:hyperlink>
    </w:p>
    <w:p w14:paraId="6CBA1B08" w14:textId="77777777" w:rsidR="00FA791D" w:rsidRPr="004B3317" w:rsidRDefault="00FA791D" w:rsidP="00FA791D">
      <w:pPr>
        <w:spacing w:before="120" w:after="120"/>
        <w:jc w:val="both"/>
        <w:outlineLvl w:val="2"/>
        <w:rPr>
          <w:rFonts w:cstheme="minorHAnsi"/>
        </w:rPr>
      </w:pPr>
      <w:r w:rsidRPr="004B3317">
        <w:rPr>
          <w:rFonts w:cstheme="minorHAnsi"/>
        </w:rPr>
        <w:t xml:space="preserve">New Zealand notes that this is a Region 1 </w:t>
      </w:r>
      <w:proofErr w:type="gramStart"/>
      <w:r w:rsidRPr="004B3317">
        <w:rPr>
          <w:rFonts w:cstheme="minorHAnsi"/>
        </w:rPr>
        <w:t>issue</w:t>
      </w:r>
      <w:proofErr w:type="gramEnd"/>
      <w:r w:rsidRPr="004B3317">
        <w:rPr>
          <w:rFonts w:cstheme="minorHAnsi"/>
        </w:rPr>
        <w:t xml:space="preserve"> and that Region 3 has an existing primary allocation to the mobile service the 470-694 MHz frequency band. New Zealand notes that several Region 3 countries are included in RR No </w:t>
      </w:r>
      <w:r w:rsidRPr="004B3317">
        <w:rPr>
          <w:b/>
        </w:rPr>
        <w:t xml:space="preserve">5.296A </w:t>
      </w:r>
      <w:r w:rsidRPr="004B3317">
        <w:t>as having an identification to International Mobile Telecommunications (IMT) in portions of the 470 – 694 MHz or 610-698 MHz frequency bands.</w:t>
      </w:r>
    </w:p>
    <w:p w14:paraId="0A7A85DA" w14:textId="0C333B15" w:rsidR="008B44A7" w:rsidRDefault="006F4ED8" w:rsidP="00CB011E">
      <w:pPr>
        <w:spacing w:before="120" w:after="120"/>
        <w:jc w:val="both"/>
        <w:outlineLvl w:val="2"/>
        <w:rPr>
          <w:rStyle w:val="Hyperlink"/>
          <w:rFonts w:eastAsia="MS Mincho"/>
          <w:b/>
          <w:lang w:eastAsia="ja-JP"/>
        </w:rPr>
      </w:pPr>
      <w:r>
        <w:rPr>
          <w:b/>
          <w:bCs/>
        </w:rPr>
        <w:lastRenderedPageBreak/>
        <w:t>3.1.7</w:t>
      </w:r>
      <w:r>
        <w:rPr>
          <w:b/>
          <w:bCs/>
        </w:rPr>
        <w:tab/>
      </w:r>
      <w:r w:rsidR="008B44A7" w:rsidRPr="008B44A7">
        <w:rPr>
          <w:b/>
          <w:bCs/>
        </w:rPr>
        <w:t>Samoa (Independent State of)</w:t>
      </w:r>
      <w:r w:rsidR="008B44A7" w:rsidRPr="009837C5">
        <w:rPr>
          <w:b/>
          <w:lang w:val="en-NZ" w:eastAsia="ko-KR"/>
        </w:rPr>
        <w:t xml:space="preserve"> </w:t>
      </w:r>
      <w:r w:rsidR="008B44A7" w:rsidRPr="00441526">
        <w:t xml:space="preserve">- </w:t>
      </w:r>
      <w:r w:rsidR="008B44A7" w:rsidRPr="00441526">
        <w:rPr>
          <w:b/>
          <w:lang w:val="en-NZ" w:eastAsia="ko-KR"/>
        </w:rPr>
        <w:t>Document APG</w:t>
      </w:r>
      <w:r w:rsidR="008B44A7">
        <w:rPr>
          <w:b/>
          <w:lang w:val="en-NZ" w:eastAsia="ko-KR"/>
        </w:rPr>
        <w:t>23</w:t>
      </w:r>
      <w:r w:rsidR="008B44A7" w:rsidRPr="00441526">
        <w:rPr>
          <w:b/>
          <w:lang w:val="en-NZ" w:eastAsia="ko-KR"/>
        </w:rPr>
        <w:t>-</w:t>
      </w:r>
      <w:r w:rsidR="00CB011E">
        <w:rPr>
          <w:b/>
          <w:lang w:val="en-NZ" w:eastAsia="ko-KR"/>
        </w:rPr>
        <w:t>4</w:t>
      </w:r>
      <w:r w:rsidR="008B44A7" w:rsidRPr="00441526">
        <w:rPr>
          <w:b/>
          <w:lang w:val="en-NZ" w:eastAsia="ko-KR"/>
        </w:rPr>
        <w:t>/</w:t>
      </w:r>
      <w:hyperlink r:id="rId57" w:history="1">
        <w:r w:rsidR="008B44A7">
          <w:rPr>
            <w:rStyle w:val="Hyperlink"/>
            <w:rFonts w:eastAsia="MS Mincho"/>
            <w:b/>
            <w:lang w:eastAsia="ja-JP"/>
          </w:rPr>
          <w:t>INP-</w:t>
        </w:r>
      </w:hyperlink>
      <w:r>
        <w:rPr>
          <w:rStyle w:val="Hyperlink"/>
          <w:rFonts w:eastAsia="MS Mincho"/>
          <w:b/>
          <w:lang w:eastAsia="ja-JP"/>
        </w:rPr>
        <w:t>59</w:t>
      </w:r>
    </w:p>
    <w:p w14:paraId="79265F2A" w14:textId="77777777" w:rsidR="006F4ED8" w:rsidRDefault="006F4ED8" w:rsidP="006F4ED8">
      <w:pPr>
        <w:jc w:val="both"/>
        <w:rPr>
          <w:iCs/>
          <w:lang w:val="en-NZ"/>
        </w:rPr>
      </w:pPr>
      <w:r>
        <w:rPr>
          <w:iCs/>
          <w:lang w:val="en-NZ"/>
        </w:rPr>
        <w:t xml:space="preserve">Given the </w:t>
      </w:r>
      <w:r w:rsidRPr="00895E7A">
        <w:rPr>
          <w:iCs/>
          <w:lang w:val="en-NZ"/>
        </w:rPr>
        <w:t xml:space="preserve">complexity of </w:t>
      </w:r>
      <w:r>
        <w:rPr>
          <w:iCs/>
          <w:lang w:val="en-NZ"/>
        </w:rPr>
        <w:t xml:space="preserve">the issues on this agenda item 1.5, it is expected that TG6/1 tasked with managing the workload may find difficulties given the commitment many developing Island states make to implementing DTT. </w:t>
      </w:r>
    </w:p>
    <w:p w14:paraId="213325E0" w14:textId="77777777" w:rsidR="006F4ED8" w:rsidRDefault="006F4ED8" w:rsidP="006F4ED8">
      <w:pPr>
        <w:spacing w:before="120"/>
        <w:jc w:val="both"/>
      </w:pPr>
      <w:r>
        <w:t xml:space="preserve">WRC-23 decisions should not adversely affect Region 3 frequency allocations and existing and future use of the relevant frequency band </w:t>
      </w:r>
      <w:r w:rsidRPr="003E221B">
        <w:rPr>
          <w:lang w:val="en-NZ"/>
        </w:rPr>
        <w:t>nor subject</w:t>
      </w:r>
      <w:r w:rsidRPr="003E221B">
        <w:rPr>
          <w:bCs/>
          <w:lang w:eastAsia="ko-KR"/>
        </w:rPr>
        <w:t xml:space="preserve"> Region </w:t>
      </w:r>
      <w:r>
        <w:rPr>
          <w:bCs/>
          <w:lang w:eastAsia="ko-KR"/>
        </w:rPr>
        <w:t>3</w:t>
      </w:r>
      <w:r w:rsidRPr="003E221B">
        <w:rPr>
          <w:bCs/>
          <w:lang w:eastAsia="ko-KR"/>
        </w:rPr>
        <w:t xml:space="preserve"> to any </w:t>
      </w:r>
      <w:r w:rsidRPr="00F9503B">
        <w:rPr>
          <w:bCs/>
          <w:lang w:eastAsia="ko-KR"/>
        </w:rPr>
        <w:t>procedural or regulatory provisions changes</w:t>
      </w:r>
      <w:r w:rsidRPr="003E221B">
        <w:rPr>
          <w:bCs/>
          <w:lang w:eastAsia="ko-KR"/>
        </w:rPr>
        <w:t>.</w:t>
      </w:r>
    </w:p>
    <w:p w14:paraId="4C69E5DE" w14:textId="77777777" w:rsidR="006F4ED8" w:rsidRDefault="006F4ED8" w:rsidP="006F4ED8">
      <w:pPr>
        <w:spacing w:before="120"/>
        <w:jc w:val="both"/>
        <w:rPr>
          <w:lang w:val="en-NZ"/>
        </w:rPr>
      </w:pPr>
      <w:r w:rsidRPr="003E221B">
        <w:rPr>
          <w:lang w:val="en-NZ"/>
        </w:rPr>
        <w:t>Th</w:t>
      </w:r>
      <w:r>
        <w:rPr>
          <w:lang w:val="en-NZ"/>
        </w:rPr>
        <w:t xml:space="preserve">is </w:t>
      </w:r>
      <w:r w:rsidRPr="006F4ED8">
        <w:t>Administration</w:t>
      </w:r>
      <w:r>
        <w:rPr>
          <w:lang w:val="en-NZ"/>
        </w:rPr>
        <w:t xml:space="preserve"> does not support any changes to the regulatory conditions for using </w:t>
      </w:r>
      <w:r w:rsidRPr="003E221B">
        <w:rPr>
          <w:lang w:val="en-NZ"/>
        </w:rPr>
        <w:t>the</w:t>
      </w:r>
      <w:r>
        <w:rPr>
          <w:lang w:val="en-NZ"/>
        </w:rPr>
        <w:t xml:space="preserve"> </w:t>
      </w:r>
      <w:r w:rsidRPr="003E221B">
        <w:rPr>
          <w:lang w:val="en-NZ"/>
        </w:rPr>
        <w:t>470</w:t>
      </w:r>
      <w:r>
        <w:rPr>
          <w:lang w:val="en-NZ"/>
        </w:rPr>
        <w:t xml:space="preserve"> </w:t>
      </w:r>
      <w:r w:rsidRPr="003E221B">
        <w:rPr>
          <w:lang w:val="en-NZ"/>
        </w:rPr>
        <w:t>-694</w:t>
      </w:r>
      <w:r>
        <w:rPr>
          <w:lang w:val="en-NZ"/>
        </w:rPr>
        <w:t xml:space="preserve"> </w:t>
      </w:r>
      <w:r w:rsidRPr="003E221B">
        <w:rPr>
          <w:lang w:val="en-NZ"/>
        </w:rPr>
        <w:t>MHz</w:t>
      </w:r>
      <w:r>
        <w:rPr>
          <w:lang w:val="en-NZ"/>
        </w:rPr>
        <w:t xml:space="preserve"> </w:t>
      </w:r>
      <w:r w:rsidRPr="003E221B">
        <w:rPr>
          <w:lang w:val="en-NZ"/>
        </w:rPr>
        <w:t>frequency</w:t>
      </w:r>
      <w:r>
        <w:rPr>
          <w:lang w:val="en-NZ"/>
        </w:rPr>
        <w:t xml:space="preserve"> </w:t>
      </w:r>
      <w:r w:rsidRPr="003E221B">
        <w:rPr>
          <w:lang w:val="en-NZ"/>
        </w:rPr>
        <w:t>band</w:t>
      </w:r>
      <w:r>
        <w:rPr>
          <w:lang w:val="en-NZ"/>
        </w:rPr>
        <w:t xml:space="preserve"> </w:t>
      </w:r>
      <w:r w:rsidRPr="003E221B">
        <w:rPr>
          <w:lang w:val="en-NZ"/>
        </w:rPr>
        <w:t>in</w:t>
      </w:r>
      <w:r>
        <w:rPr>
          <w:lang w:val="en-NZ"/>
        </w:rPr>
        <w:t xml:space="preserve"> </w:t>
      </w:r>
      <w:proofErr w:type="gramStart"/>
      <w:r w:rsidRPr="003E221B">
        <w:rPr>
          <w:lang w:val="en-NZ"/>
        </w:rPr>
        <w:t>Region</w:t>
      </w:r>
      <w:proofErr w:type="gramEnd"/>
      <w:r>
        <w:rPr>
          <w:lang w:val="en-NZ"/>
        </w:rPr>
        <w:t xml:space="preserve"> </w:t>
      </w:r>
      <w:r w:rsidRPr="003E221B">
        <w:rPr>
          <w:lang w:val="en-NZ"/>
        </w:rPr>
        <w:t>1</w:t>
      </w:r>
      <w:r>
        <w:rPr>
          <w:lang w:val="en-NZ"/>
        </w:rPr>
        <w:t xml:space="preserve"> </w:t>
      </w:r>
      <w:r w:rsidRPr="003E221B">
        <w:rPr>
          <w:lang w:val="en-NZ"/>
        </w:rPr>
        <w:t>under</w:t>
      </w:r>
      <w:r>
        <w:rPr>
          <w:lang w:val="en-NZ"/>
        </w:rPr>
        <w:t xml:space="preserve"> </w:t>
      </w:r>
      <w:r w:rsidRPr="003E221B">
        <w:rPr>
          <w:lang w:val="en-NZ"/>
        </w:rPr>
        <w:t>this</w:t>
      </w:r>
      <w:r>
        <w:rPr>
          <w:lang w:val="en-NZ"/>
        </w:rPr>
        <w:t xml:space="preserve"> </w:t>
      </w:r>
      <w:r w:rsidRPr="003E221B">
        <w:rPr>
          <w:lang w:val="en-NZ"/>
        </w:rPr>
        <w:t>WRC-23</w:t>
      </w:r>
      <w:r>
        <w:rPr>
          <w:lang w:val="en-NZ"/>
        </w:rPr>
        <w:t xml:space="preserve"> </w:t>
      </w:r>
      <w:r w:rsidRPr="003E221B">
        <w:rPr>
          <w:lang w:val="en-NZ"/>
        </w:rPr>
        <w:t>agenda</w:t>
      </w:r>
      <w:r>
        <w:rPr>
          <w:lang w:val="en-NZ"/>
        </w:rPr>
        <w:t xml:space="preserve"> </w:t>
      </w:r>
      <w:r w:rsidRPr="003E221B">
        <w:rPr>
          <w:lang w:val="en-NZ"/>
        </w:rPr>
        <w:t>item</w:t>
      </w:r>
      <w:r>
        <w:rPr>
          <w:lang w:val="en-NZ"/>
        </w:rPr>
        <w:t xml:space="preserve"> </w:t>
      </w:r>
      <w:r w:rsidRPr="003E221B">
        <w:rPr>
          <w:lang w:val="en-NZ"/>
        </w:rPr>
        <w:t>due</w:t>
      </w:r>
      <w:r>
        <w:rPr>
          <w:lang w:val="en-NZ"/>
        </w:rPr>
        <w:t xml:space="preserve"> </w:t>
      </w:r>
      <w:r w:rsidRPr="003E221B">
        <w:rPr>
          <w:lang w:val="en-NZ"/>
        </w:rPr>
        <w:t>to</w:t>
      </w:r>
      <w:r>
        <w:rPr>
          <w:lang w:val="en-NZ"/>
        </w:rPr>
        <w:t xml:space="preserve"> </w:t>
      </w:r>
      <w:r w:rsidRPr="003E221B">
        <w:rPr>
          <w:lang w:val="en-NZ"/>
        </w:rPr>
        <w:t>the</w:t>
      </w:r>
      <w:r>
        <w:rPr>
          <w:lang w:val="en-NZ"/>
        </w:rPr>
        <w:t xml:space="preserve"> existing services' current and future intensive use of this frequency band globally by SIDs and Developing countries</w:t>
      </w:r>
      <w:r w:rsidRPr="003E221B">
        <w:rPr>
          <w:lang w:val="en-NZ"/>
        </w:rPr>
        <w:t>.</w:t>
      </w:r>
    </w:p>
    <w:p w14:paraId="5C39DF0F" w14:textId="47FA4664" w:rsidR="00CB011E" w:rsidRDefault="00CB011E" w:rsidP="00FD3D06">
      <w:pPr>
        <w:spacing w:before="120" w:after="120"/>
        <w:jc w:val="both"/>
        <w:outlineLvl w:val="2"/>
        <w:rPr>
          <w:rStyle w:val="Hyperlink"/>
          <w:rFonts w:eastAsia="MS Mincho"/>
          <w:b/>
          <w:lang w:eastAsia="ja-JP"/>
        </w:rPr>
      </w:pPr>
      <w:r>
        <w:rPr>
          <w:b/>
          <w:bCs/>
        </w:rPr>
        <w:t>3.1.8</w:t>
      </w:r>
      <w:r>
        <w:rPr>
          <w:b/>
          <w:bCs/>
        </w:rPr>
        <w:tab/>
      </w:r>
      <w:r w:rsidR="00FD3D06">
        <w:rPr>
          <w:b/>
          <w:bCs/>
        </w:rPr>
        <w:t>India</w:t>
      </w:r>
      <w:r w:rsidR="00FD3D06" w:rsidRPr="00DB5358">
        <w:rPr>
          <w:b/>
          <w:bCs/>
        </w:rPr>
        <w:t xml:space="preserve"> – Document APG23-</w:t>
      </w:r>
      <w:r w:rsidR="00FD3D06">
        <w:rPr>
          <w:b/>
          <w:bCs/>
        </w:rPr>
        <w:t>4</w:t>
      </w:r>
      <w:r w:rsidR="00FD3D06" w:rsidRPr="00DB5358">
        <w:rPr>
          <w:b/>
          <w:bCs/>
        </w:rPr>
        <w:t>/</w:t>
      </w:r>
      <w:hyperlink r:id="rId58" w:history="1">
        <w:r w:rsidR="00FD3D06" w:rsidRPr="00DB5358">
          <w:rPr>
            <w:rStyle w:val="Hyperlink"/>
            <w:b/>
            <w:bCs/>
          </w:rPr>
          <w:t>INP-</w:t>
        </w:r>
        <w:r w:rsidR="00FD3D06">
          <w:rPr>
            <w:rStyle w:val="Hyperlink"/>
            <w:b/>
            <w:bCs/>
          </w:rPr>
          <w:t>61</w:t>
        </w:r>
      </w:hyperlink>
    </w:p>
    <w:p w14:paraId="405D3A2B" w14:textId="77777777" w:rsidR="00E61FC4" w:rsidRDefault="00E61FC4" w:rsidP="00E61FC4">
      <w:pPr>
        <w:jc w:val="both"/>
      </w:pPr>
      <w:r>
        <w:t xml:space="preserve">India is of the preliminary view that any changes made to Radio Regulation for Region 1 shall not impact existing and planned usages in this band in </w:t>
      </w:r>
      <w:proofErr w:type="gramStart"/>
      <w:r>
        <w:t>Region</w:t>
      </w:r>
      <w:proofErr w:type="gramEnd"/>
      <w:r>
        <w:t xml:space="preserve"> 3 and also shall not impose any procedural or regulatory constraints on existing services in Region 3.</w:t>
      </w:r>
    </w:p>
    <w:p w14:paraId="2FE21C88" w14:textId="0590312A" w:rsidR="00386C0A" w:rsidRPr="00DB5358" w:rsidRDefault="00386C0A" w:rsidP="005A51D3">
      <w:pPr>
        <w:spacing w:before="120" w:after="120"/>
        <w:jc w:val="both"/>
        <w:outlineLvl w:val="2"/>
        <w:rPr>
          <w:b/>
          <w:bCs/>
        </w:rPr>
      </w:pPr>
      <w:r w:rsidRPr="00DB5358">
        <w:rPr>
          <w:b/>
          <w:bCs/>
        </w:rPr>
        <w:t>3.1.</w:t>
      </w:r>
      <w:r w:rsidR="002518A8">
        <w:rPr>
          <w:b/>
          <w:bCs/>
        </w:rPr>
        <w:t>9</w:t>
      </w:r>
      <w:r w:rsidRPr="00DB5358">
        <w:rPr>
          <w:b/>
          <w:bCs/>
        </w:rPr>
        <w:tab/>
      </w:r>
      <w:r>
        <w:rPr>
          <w:b/>
          <w:bCs/>
        </w:rPr>
        <w:t>Viet Nam</w:t>
      </w:r>
      <w:r w:rsidRPr="00DB5358">
        <w:rPr>
          <w:b/>
          <w:bCs/>
        </w:rPr>
        <w:t xml:space="preserve"> </w:t>
      </w:r>
      <w:r w:rsidR="00F4551A" w:rsidRPr="00736550">
        <w:rPr>
          <w:b/>
          <w:lang w:val="en-NZ" w:eastAsia="ko-KR"/>
        </w:rPr>
        <w:t>(Socialist Republic of)</w:t>
      </w:r>
      <w:r w:rsidR="00F4551A">
        <w:rPr>
          <w:b/>
          <w:lang w:val="en-NZ" w:eastAsia="ko-KR"/>
        </w:rPr>
        <w:t xml:space="preserve"> </w:t>
      </w:r>
      <w:r w:rsidRPr="00DB5358">
        <w:rPr>
          <w:b/>
          <w:bCs/>
        </w:rPr>
        <w:t>– Document APG23-</w:t>
      </w:r>
      <w:r w:rsidR="005A51D3">
        <w:rPr>
          <w:b/>
          <w:bCs/>
        </w:rPr>
        <w:t>4</w:t>
      </w:r>
      <w:r w:rsidRPr="00DB5358">
        <w:rPr>
          <w:b/>
          <w:bCs/>
        </w:rPr>
        <w:t>/</w:t>
      </w:r>
      <w:hyperlink r:id="rId59" w:history="1">
        <w:r w:rsidRPr="00DB5358">
          <w:rPr>
            <w:rStyle w:val="Hyperlink"/>
            <w:b/>
            <w:bCs/>
          </w:rPr>
          <w:t>INP-</w:t>
        </w:r>
      </w:hyperlink>
      <w:r w:rsidR="002518A8">
        <w:rPr>
          <w:rStyle w:val="Hyperlink"/>
          <w:b/>
          <w:bCs/>
        </w:rPr>
        <w:t>74</w:t>
      </w:r>
    </w:p>
    <w:p w14:paraId="3FA2C6D2" w14:textId="77777777" w:rsidR="002518A8" w:rsidRDefault="002518A8" w:rsidP="002518A8">
      <w:pPr>
        <w:spacing w:before="120"/>
        <w:jc w:val="both"/>
      </w:pPr>
      <w:r>
        <w:t>Viet Nam</w:t>
      </w:r>
      <w:r w:rsidRPr="00E9639C">
        <w:t xml:space="preserve"> supports</w:t>
      </w:r>
      <w:r>
        <w:t xml:space="preserve"> sharing and compatibility studies in ITU-R, as appropriate, in the frequency band 470-694 MHz in Region 1 between the broadcasting and mobile, except aeronautical mobile, services, </w:t>
      </w:r>
      <w:proofErr w:type="gramStart"/>
      <w:r>
        <w:t>taking into account</w:t>
      </w:r>
      <w:proofErr w:type="gramEnd"/>
      <w:r>
        <w:t xml:space="preserve"> relevant ITU-R studies, Recommendations and Reports.</w:t>
      </w:r>
    </w:p>
    <w:p w14:paraId="62B23BA1" w14:textId="77777777" w:rsidR="002518A8" w:rsidRPr="00E20B40" w:rsidRDefault="002518A8" w:rsidP="002518A8">
      <w:pPr>
        <w:spacing w:before="120"/>
        <w:jc w:val="both"/>
        <w:rPr>
          <w:color w:val="201F1E"/>
          <w:shd w:val="clear" w:color="auto" w:fill="FFFFFF"/>
        </w:rPr>
      </w:pPr>
      <w:proofErr w:type="gramStart"/>
      <w:r>
        <w:t>Taking into account</w:t>
      </w:r>
      <w:proofErr w:type="gramEnd"/>
      <w:r>
        <w:t xml:space="preserve"> above studies as well as </w:t>
      </w:r>
      <w:r w:rsidRPr="00E9639C">
        <w:t xml:space="preserve">the interest of global harmonization and economies of scale, </w:t>
      </w:r>
      <w:r>
        <w:t>Viet Nam supports</w:t>
      </w:r>
      <w:r w:rsidRPr="00AF5FCE">
        <w:rPr>
          <w:color w:val="201F1E"/>
          <w:shd w:val="clear" w:color="auto" w:fill="FFFFFF"/>
        </w:rPr>
        <w:t xml:space="preserve"> appropriate action at WRC-23</w:t>
      </w:r>
      <w:r>
        <w:rPr>
          <w:color w:val="201F1E"/>
          <w:shd w:val="clear" w:color="auto" w:fill="FFFFFF"/>
        </w:rPr>
        <w:t xml:space="preserve"> including potential identifications of </w:t>
      </w:r>
      <w:r w:rsidRPr="00205298">
        <w:rPr>
          <w:color w:val="201F1E"/>
          <w:shd w:val="clear" w:color="auto" w:fill="FFFFFF"/>
        </w:rPr>
        <w:t xml:space="preserve">the frequency </w:t>
      </w:r>
      <w:r>
        <w:rPr>
          <w:color w:val="201F1E"/>
          <w:shd w:val="clear" w:color="auto" w:fill="FFFFFF"/>
        </w:rPr>
        <w:t>band 470-694 MHz to IMT in Region 1.</w:t>
      </w:r>
    </w:p>
    <w:p w14:paraId="3BCCEDAA" w14:textId="4BFEB4B1" w:rsidR="002A0111" w:rsidRPr="00895E7A" w:rsidRDefault="002A0111" w:rsidP="00ED52FE">
      <w:pPr>
        <w:pStyle w:val="ListParagraph"/>
        <w:numPr>
          <w:ilvl w:val="1"/>
          <w:numId w:val="32"/>
        </w:numPr>
        <w:spacing w:before="120" w:after="120"/>
        <w:ind w:left="720" w:hanging="720"/>
        <w:jc w:val="both"/>
        <w:outlineLvl w:val="1"/>
        <w:rPr>
          <w:b/>
          <w:lang w:val="en-NZ"/>
        </w:rPr>
      </w:pPr>
      <w:r w:rsidRPr="00895E7A">
        <w:rPr>
          <w:b/>
          <w:lang w:val="en-NZ"/>
        </w:rPr>
        <w:t>S</w:t>
      </w:r>
      <w:r w:rsidRPr="00895E7A">
        <w:rPr>
          <w:b/>
          <w:lang w:val="en-NZ" w:eastAsia="ko-KR"/>
        </w:rPr>
        <w:t>ummary of issues raised du</w:t>
      </w:r>
      <w:r w:rsidRPr="00895E7A">
        <w:rPr>
          <w:b/>
          <w:lang w:val="en-NZ"/>
        </w:rPr>
        <w:t>ring the meeting</w:t>
      </w:r>
    </w:p>
    <w:p w14:paraId="3C8657B5" w14:textId="51731F1E" w:rsidR="006937D3" w:rsidRDefault="006937D3" w:rsidP="000E29C0">
      <w:pPr>
        <w:pStyle w:val="enumlev1"/>
        <w:tabs>
          <w:tab w:val="clear" w:pos="1134"/>
          <w:tab w:val="clear" w:pos="1871"/>
        </w:tabs>
        <w:ind w:left="0" w:firstLine="0"/>
        <w:jc w:val="both"/>
        <w:rPr>
          <w:rFonts w:eastAsiaTheme="minorEastAsia"/>
          <w:lang w:eastAsia="ja-JP"/>
        </w:rPr>
      </w:pPr>
      <w:r>
        <w:rPr>
          <w:rFonts w:eastAsiaTheme="minorEastAsia"/>
          <w:lang w:eastAsia="ja-JP"/>
        </w:rPr>
        <w:t xml:space="preserve">There was discussion on </w:t>
      </w:r>
      <w:r w:rsidRPr="00D01803">
        <w:rPr>
          <w:rFonts w:eastAsiaTheme="minorEastAsia"/>
          <w:lang w:eastAsia="ja-JP"/>
        </w:rPr>
        <w:t>benefits for countries on the global harmonization and economy of scale when consider</w:t>
      </w:r>
      <w:r w:rsidR="000E29C0">
        <w:rPr>
          <w:rFonts w:eastAsiaTheme="minorEastAsia"/>
          <w:lang w:eastAsia="ja-JP"/>
        </w:rPr>
        <w:t>ing</w:t>
      </w:r>
      <w:r w:rsidRPr="00D01803">
        <w:rPr>
          <w:rFonts w:eastAsiaTheme="minorEastAsia"/>
          <w:lang w:eastAsia="ja-JP"/>
        </w:rPr>
        <w:t xml:space="preserve"> the identification of this band for IMT</w:t>
      </w:r>
      <w:r w:rsidR="00BF12AD">
        <w:rPr>
          <w:rFonts w:eastAsiaTheme="minorEastAsia"/>
          <w:lang w:eastAsia="ja-JP"/>
        </w:rPr>
        <w:t xml:space="preserve">, </w:t>
      </w:r>
      <w:proofErr w:type="gramStart"/>
      <w:r w:rsidR="00BF12AD">
        <w:rPr>
          <w:rFonts w:eastAsiaTheme="minorEastAsia"/>
          <w:lang w:eastAsia="ja-JP"/>
        </w:rPr>
        <w:t>taking into account</w:t>
      </w:r>
      <w:proofErr w:type="gramEnd"/>
      <w:r w:rsidR="00BF12AD">
        <w:rPr>
          <w:rFonts w:eastAsiaTheme="minorEastAsia"/>
          <w:lang w:eastAsia="ja-JP"/>
        </w:rPr>
        <w:t xml:space="preserve"> the information that the frequency band 470 – 694 MHz or portion thereof is considered </w:t>
      </w:r>
      <w:r w:rsidR="000E29C0">
        <w:rPr>
          <w:rFonts w:eastAsiaTheme="minorEastAsia"/>
          <w:lang w:eastAsia="ja-JP"/>
        </w:rPr>
        <w:t>for</w:t>
      </w:r>
      <w:r w:rsidR="00BF12AD">
        <w:rPr>
          <w:rFonts w:eastAsiaTheme="minorEastAsia"/>
          <w:lang w:eastAsia="ja-JP"/>
        </w:rPr>
        <w:t xml:space="preserve"> use by IMT systems in many countries</w:t>
      </w:r>
      <w:r w:rsidR="000E29C0">
        <w:rPr>
          <w:rFonts w:eastAsiaTheme="minorEastAsia"/>
          <w:lang w:eastAsia="ja-JP"/>
        </w:rPr>
        <w:t>,</w:t>
      </w:r>
      <w:r w:rsidR="00BF12AD">
        <w:rPr>
          <w:rFonts w:eastAsiaTheme="minorEastAsia"/>
          <w:lang w:eastAsia="ja-JP"/>
        </w:rPr>
        <w:t xml:space="preserve"> including </w:t>
      </w:r>
      <w:r w:rsidR="000E29C0">
        <w:rPr>
          <w:rFonts w:eastAsiaTheme="minorEastAsia"/>
          <w:lang w:eastAsia="ja-JP"/>
        </w:rPr>
        <w:t xml:space="preserve">some </w:t>
      </w:r>
      <w:r w:rsidR="00BF12AD">
        <w:rPr>
          <w:rFonts w:eastAsiaTheme="minorEastAsia"/>
          <w:lang w:eastAsia="ja-JP"/>
        </w:rPr>
        <w:t>Region 3 countries</w:t>
      </w:r>
      <w:r w:rsidRPr="00D01803">
        <w:rPr>
          <w:rFonts w:eastAsiaTheme="minorEastAsia"/>
          <w:lang w:eastAsia="ja-JP"/>
        </w:rPr>
        <w:t>.</w:t>
      </w:r>
      <w:r>
        <w:rPr>
          <w:rFonts w:eastAsiaTheme="minorEastAsia"/>
          <w:lang w:eastAsia="ja-JP"/>
        </w:rPr>
        <w:t xml:space="preserve"> However, there was no decision </w:t>
      </w:r>
      <w:r w:rsidR="000E29C0">
        <w:rPr>
          <w:rFonts w:eastAsiaTheme="minorEastAsia"/>
          <w:lang w:eastAsia="ja-JP"/>
        </w:rPr>
        <w:t>yet</w:t>
      </w:r>
      <w:r>
        <w:rPr>
          <w:rFonts w:eastAsiaTheme="minorEastAsia"/>
          <w:lang w:eastAsia="ja-JP"/>
        </w:rPr>
        <w:t xml:space="preserve"> to consider </w:t>
      </w:r>
      <w:r w:rsidR="00BF12AD">
        <w:rPr>
          <w:rFonts w:eastAsiaTheme="minorEastAsia"/>
          <w:lang w:eastAsia="ja-JP"/>
        </w:rPr>
        <w:t xml:space="preserve">IMT </w:t>
      </w:r>
      <w:r>
        <w:rPr>
          <w:rFonts w:eastAsiaTheme="minorEastAsia"/>
          <w:lang w:eastAsia="ja-JP"/>
        </w:rPr>
        <w:t xml:space="preserve">identification </w:t>
      </w:r>
      <w:r w:rsidR="00BF12AD">
        <w:rPr>
          <w:rFonts w:eastAsiaTheme="minorEastAsia"/>
          <w:lang w:eastAsia="ja-JP"/>
        </w:rPr>
        <w:t>in</w:t>
      </w:r>
      <w:r>
        <w:rPr>
          <w:rFonts w:eastAsiaTheme="minorEastAsia"/>
          <w:lang w:eastAsia="ja-JP"/>
        </w:rPr>
        <w:t xml:space="preserve"> the frequency band 470</w:t>
      </w:r>
      <w:r w:rsidR="00BF12AD">
        <w:rPr>
          <w:rFonts w:eastAsiaTheme="minorEastAsia"/>
          <w:lang w:eastAsia="ja-JP"/>
        </w:rPr>
        <w:t xml:space="preserve"> – </w:t>
      </w:r>
      <w:r>
        <w:rPr>
          <w:rFonts w:eastAsiaTheme="minorEastAsia"/>
          <w:lang w:eastAsia="ja-JP"/>
        </w:rPr>
        <w:t xml:space="preserve">694 MHz in </w:t>
      </w:r>
      <w:r w:rsidR="000E29C0">
        <w:rPr>
          <w:rFonts w:eastAsiaTheme="minorEastAsia"/>
          <w:lang w:eastAsia="ja-JP"/>
        </w:rPr>
        <w:t xml:space="preserve">whole </w:t>
      </w:r>
      <w:r>
        <w:rPr>
          <w:rFonts w:eastAsiaTheme="minorEastAsia"/>
          <w:lang w:eastAsia="ja-JP"/>
        </w:rPr>
        <w:t>Region 3.</w:t>
      </w:r>
    </w:p>
    <w:p w14:paraId="1F14F98A" w14:textId="77777777" w:rsidR="005C568F" w:rsidRDefault="005C568F" w:rsidP="00507266">
      <w:pPr>
        <w:spacing w:before="120" w:after="120"/>
        <w:jc w:val="both"/>
        <w:outlineLvl w:val="0"/>
        <w:rPr>
          <w:b/>
          <w:lang w:val="en-NZ" w:eastAsia="ko-KR"/>
        </w:rPr>
      </w:pPr>
    </w:p>
    <w:p w14:paraId="603E6548" w14:textId="5C540A1E" w:rsidR="002A0111" w:rsidRPr="00441526" w:rsidRDefault="002A0111" w:rsidP="00507266">
      <w:pPr>
        <w:spacing w:before="120" w:after="120"/>
        <w:jc w:val="both"/>
        <w:outlineLvl w:val="0"/>
        <w:rPr>
          <w:b/>
          <w:lang w:val="en-NZ" w:eastAsia="ko-KR"/>
        </w:rPr>
      </w:pPr>
      <w:r w:rsidRPr="00441526">
        <w:rPr>
          <w:b/>
          <w:lang w:val="en-NZ" w:eastAsia="ko-KR"/>
        </w:rPr>
        <w:t xml:space="preserve">4. </w:t>
      </w:r>
      <w:r w:rsidRPr="00441526">
        <w:rPr>
          <w:b/>
          <w:lang w:val="en-NZ" w:eastAsia="ko-KR"/>
        </w:rPr>
        <w:tab/>
        <w:t>APT Preliminary View(s)</w:t>
      </w:r>
    </w:p>
    <w:p w14:paraId="3D88B781" w14:textId="4814D4EE" w:rsidR="00206A33" w:rsidRDefault="00625462" w:rsidP="00625462">
      <w:pPr>
        <w:spacing w:before="120"/>
        <w:jc w:val="both"/>
        <w:rPr>
          <w:iCs/>
          <w:lang w:val="en-NZ"/>
        </w:rPr>
      </w:pPr>
      <w:r w:rsidRPr="00F82FC2">
        <w:t>A</w:t>
      </w:r>
      <w:r>
        <w:t xml:space="preserve">PT Members </w:t>
      </w:r>
      <w:r>
        <w:rPr>
          <w:rFonts w:eastAsia="SimSun"/>
          <w:lang w:eastAsia="zh-CN"/>
        </w:rPr>
        <w:t>are of the view that</w:t>
      </w:r>
      <w:r>
        <w:t xml:space="preserve"> conclusion</w:t>
      </w:r>
      <w:r w:rsidR="00BA1A43">
        <w:t>s</w:t>
      </w:r>
      <w:r>
        <w:t xml:space="preserve"> to be reached on Agenda Item 1.5 </w:t>
      </w:r>
      <w:r w:rsidR="00BA1A43">
        <w:t>are</w:t>
      </w:r>
      <w:r w:rsidR="00BA1A43" w:rsidRPr="00F82FC2">
        <w:t xml:space="preserve"> </w:t>
      </w:r>
      <w:r w:rsidRPr="00F82FC2">
        <w:t>a</w:t>
      </w:r>
      <w:r>
        <w:t xml:space="preserve"> </w:t>
      </w:r>
      <w:r w:rsidRPr="00F82FC2">
        <w:t>Region</w:t>
      </w:r>
      <w:r>
        <w:t> </w:t>
      </w:r>
      <w:r w:rsidRPr="00F82FC2">
        <w:t>1 issue</w:t>
      </w:r>
      <w:r w:rsidR="000A631E">
        <w:rPr>
          <w:rFonts w:hint="eastAsia"/>
          <w:lang w:eastAsia="ko-KR"/>
        </w:rPr>
        <w:t>,</w:t>
      </w:r>
      <w:r w:rsidRPr="00F82FC2">
        <w:t xml:space="preserve"> and </w:t>
      </w:r>
      <w:r>
        <w:t>WRC-23 decisions shall in no way adversely affect Region 3 frequency allocations and existing and future use of the relevant frequency band or</w:t>
      </w:r>
      <w:r w:rsidRPr="006116F6">
        <w:rPr>
          <w:lang w:val="en-NZ"/>
        </w:rPr>
        <w:t xml:space="preserve"> </w:t>
      </w:r>
      <w:r>
        <w:t xml:space="preserve">in no way </w:t>
      </w:r>
      <w:r w:rsidRPr="006116F6">
        <w:rPr>
          <w:lang w:val="en-NZ"/>
        </w:rPr>
        <w:t>subject</w:t>
      </w:r>
      <w:r w:rsidRPr="006116F6">
        <w:rPr>
          <w:bCs/>
          <w:lang w:eastAsia="ko-KR"/>
        </w:rPr>
        <w:t xml:space="preserve"> </w:t>
      </w:r>
      <w:r>
        <w:rPr>
          <w:bCs/>
          <w:lang w:eastAsia="ko-KR"/>
        </w:rPr>
        <w:t xml:space="preserve">Region 3 </w:t>
      </w:r>
      <w:r w:rsidRPr="006116F6">
        <w:rPr>
          <w:bCs/>
          <w:lang w:eastAsia="ko-KR"/>
        </w:rPr>
        <w:t xml:space="preserve">to any </w:t>
      </w:r>
      <w:proofErr w:type="gramStart"/>
      <w:r w:rsidRPr="006116F6">
        <w:rPr>
          <w:bCs/>
          <w:lang w:eastAsia="ko-KR"/>
        </w:rPr>
        <w:t>changes</w:t>
      </w:r>
      <w:proofErr w:type="gramEnd"/>
      <w:r w:rsidRPr="006116F6">
        <w:rPr>
          <w:bCs/>
          <w:lang w:eastAsia="ko-KR"/>
        </w:rPr>
        <w:t xml:space="preserve"> procedural or regulatory </w:t>
      </w:r>
      <w:r w:rsidRPr="006116F6">
        <w:rPr>
          <w:iCs/>
          <w:lang w:val="en-NZ"/>
        </w:rPr>
        <w:t>provisions</w:t>
      </w:r>
      <w:r>
        <w:rPr>
          <w:iCs/>
          <w:lang w:val="en-NZ"/>
        </w:rPr>
        <w:t>.</w:t>
      </w:r>
    </w:p>
    <w:p w14:paraId="3F9429BA" w14:textId="77777777" w:rsidR="005C568F" w:rsidRDefault="005C568F" w:rsidP="0045047C">
      <w:pPr>
        <w:spacing w:before="120" w:after="120"/>
        <w:jc w:val="both"/>
        <w:outlineLvl w:val="0"/>
        <w:rPr>
          <w:b/>
          <w:lang w:val="en-NZ" w:eastAsia="ko-KR"/>
        </w:rPr>
      </w:pPr>
    </w:p>
    <w:p w14:paraId="5D009D7C" w14:textId="17DE2091" w:rsidR="002A0111" w:rsidRPr="00441526" w:rsidRDefault="002A0111" w:rsidP="0045047C">
      <w:pPr>
        <w:spacing w:before="120" w:after="120"/>
        <w:jc w:val="both"/>
        <w:outlineLvl w:val="0"/>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02D994D9" w14:textId="737B654C" w:rsidR="00217D12" w:rsidRDefault="00657073" w:rsidP="00625462">
      <w:pPr>
        <w:pStyle w:val="ListParagraph"/>
        <w:numPr>
          <w:ilvl w:val="0"/>
          <w:numId w:val="38"/>
        </w:numPr>
        <w:spacing w:before="120" w:after="120"/>
        <w:ind w:left="360"/>
        <w:jc w:val="both"/>
        <w:outlineLvl w:val="0"/>
        <w:rPr>
          <w:lang w:eastAsia="ko-KR"/>
        </w:rPr>
      </w:pPr>
      <w:r>
        <w:rPr>
          <w:lang w:eastAsia="ko-KR"/>
        </w:rPr>
        <w:t>W</w:t>
      </w:r>
      <w:r w:rsidRPr="00E22645">
        <w:rPr>
          <w:lang w:eastAsia="ko-KR"/>
        </w:rPr>
        <w:t>ith </w:t>
      </w:r>
      <w:r w:rsidRPr="00E22645">
        <w:t>respect</w:t>
      </w:r>
      <w:r w:rsidRPr="00E22645">
        <w:rPr>
          <w:lang w:eastAsia="ko-KR"/>
        </w:rPr>
        <w:t xml:space="preserve"> to the GE06 regional </w:t>
      </w:r>
      <w:r>
        <w:rPr>
          <w:lang w:eastAsia="ko-KR"/>
        </w:rPr>
        <w:t>a</w:t>
      </w:r>
      <w:r w:rsidRPr="00E22645">
        <w:rPr>
          <w:lang w:eastAsia="ko-KR"/>
        </w:rPr>
        <w:t xml:space="preserve">greement, </w:t>
      </w:r>
      <w:r>
        <w:rPr>
          <w:lang w:eastAsia="ko-KR"/>
        </w:rPr>
        <w:t>one</w:t>
      </w:r>
      <w:r w:rsidR="00C27C2C">
        <w:rPr>
          <w:lang w:eastAsia="ko-KR"/>
        </w:rPr>
        <w:t xml:space="preserve"> APT Member</w:t>
      </w:r>
      <w:r>
        <w:rPr>
          <w:lang w:eastAsia="ko-KR"/>
        </w:rPr>
        <w:t xml:space="preserve">, part of GE06 agreement in </w:t>
      </w:r>
      <w:proofErr w:type="gramStart"/>
      <w:r>
        <w:rPr>
          <w:lang w:eastAsia="ko-KR"/>
        </w:rPr>
        <w:t>Region</w:t>
      </w:r>
      <w:proofErr w:type="gramEnd"/>
      <w:r>
        <w:rPr>
          <w:lang w:eastAsia="ko-KR"/>
        </w:rPr>
        <w:t xml:space="preserve"> 3,</w:t>
      </w:r>
      <w:r w:rsidRPr="00E22645">
        <w:rPr>
          <w:lang w:eastAsia="ko-KR"/>
        </w:rPr>
        <w:t xml:space="preserve"> is of the view that technical, operational</w:t>
      </w:r>
      <w:r w:rsidR="000A631E">
        <w:rPr>
          <w:rFonts w:hint="eastAsia"/>
          <w:lang w:eastAsia="ko-KR"/>
        </w:rPr>
        <w:t>,</w:t>
      </w:r>
      <w:r w:rsidRPr="00E22645">
        <w:rPr>
          <w:lang w:eastAsia="ko-KR"/>
        </w:rPr>
        <w:t xml:space="preserve"> and regulatory conditions resulted from the ITU-R sha</w:t>
      </w:r>
      <w:r w:rsidR="008D0A52">
        <w:rPr>
          <w:lang w:eastAsia="ko-KR"/>
        </w:rPr>
        <w:t xml:space="preserve">ring and compatibility studies </w:t>
      </w:r>
      <w:r w:rsidRPr="00E22645">
        <w:rPr>
          <w:lang w:eastAsia="ko-KR"/>
        </w:rPr>
        <w:t>shal</w:t>
      </w:r>
      <w:r w:rsidR="008D0A52">
        <w:rPr>
          <w:lang w:eastAsia="ko-KR"/>
        </w:rPr>
        <w:t xml:space="preserve">l in no way undermine or reduce protection of and conditions under which this agreement </w:t>
      </w:r>
      <w:r w:rsidRPr="00E22645">
        <w:rPr>
          <w:lang w:eastAsia="ko-KR"/>
        </w:rPr>
        <w:t>made</w:t>
      </w:r>
      <w:r>
        <w:rPr>
          <w:lang w:eastAsia="ko-KR"/>
        </w:rPr>
        <w:t>.</w:t>
      </w:r>
    </w:p>
    <w:p w14:paraId="20A8C460" w14:textId="25840841" w:rsidR="003E55BA" w:rsidRDefault="0092204E" w:rsidP="00C35951">
      <w:pPr>
        <w:pStyle w:val="ListParagraph"/>
        <w:numPr>
          <w:ilvl w:val="0"/>
          <w:numId w:val="38"/>
        </w:numPr>
        <w:spacing w:before="120" w:after="120"/>
        <w:ind w:left="360"/>
        <w:jc w:val="both"/>
        <w:outlineLvl w:val="0"/>
        <w:rPr>
          <w:lang w:eastAsia="ko-KR"/>
        </w:rPr>
      </w:pPr>
      <w:r>
        <w:rPr>
          <w:lang w:eastAsia="ko-KR"/>
        </w:rPr>
        <w:t xml:space="preserve">Some </w:t>
      </w:r>
      <w:r w:rsidR="00DF2DF1">
        <w:rPr>
          <w:lang w:eastAsia="ko-KR"/>
        </w:rPr>
        <w:t xml:space="preserve">APT </w:t>
      </w:r>
      <w:r w:rsidR="00C27C2C">
        <w:rPr>
          <w:lang w:eastAsia="ko-KR"/>
        </w:rPr>
        <w:t>M</w:t>
      </w:r>
      <w:r w:rsidR="00DF2DF1">
        <w:rPr>
          <w:lang w:eastAsia="ko-KR"/>
        </w:rPr>
        <w:t>ember</w:t>
      </w:r>
      <w:r w:rsidR="00C072FC">
        <w:rPr>
          <w:lang w:eastAsia="ko-KR"/>
        </w:rPr>
        <w:t>s</w:t>
      </w:r>
      <w:r w:rsidR="003E55BA">
        <w:rPr>
          <w:lang w:eastAsia="ko-KR"/>
        </w:rPr>
        <w:t xml:space="preserve"> </w:t>
      </w:r>
      <w:r w:rsidR="00C072FC">
        <w:rPr>
          <w:lang w:eastAsia="ko-KR"/>
        </w:rPr>
        <w:t>are</w:t>
      </w:r>
      <w:r w:rsidR="003E55BA">
        <w:rPr>
          <w:lang w:eastAsia="ko-KR"/>
        </w:rPr>
        <w:t xml:space="preserve"> of the view that </w:t>
      </w:r>
      <w:r w:rsidR="008A27A7">
        <w:t xml:space="preserve">the </w:t>
      </w:r>
      <w:r w:rsidR="003E55BA">
        <w:t>CPM Method A (No Change)</w:t>
      </w:r>
      <w:r w:rsidR="00051E6E">
        <w:t xml:space="preserve"> provided </w:t>
      </w:r>
      <w:r w:rsidR="00B75650">
        <w:t xml:space="preserve">in </w:t>
      </w:r>
      <w:r w:rsidR="00C35951">
        <w:t>“</w:t>
      </w:r>
      <w:hyperlink r:id="rId60" w:history="1">
        <w:r w:rsidR="00463588" w:rsidRPr="00C35951">
          <w:rPr>
            <w:rStyle w:val="Hyperlink"/>
            <w:bCs/>
            <w:i/>
            <w:iCs/>
          </w:rPr>
          <w:t>Working document towards a draft CPM text</w:t>
        </w:r>
      </w:hyperlink>
      <w:r w:rsidR="00C35951">
        <w:rPr>
          <w:bCs/>
          <w:i/>
          <w:iCs/>
        </w:rPr>
        <w:t>”</w:t>
      </w:r>
      <w:r w:rsidR="008A27A7">
        <w:t xml:space="preserve"> </w:t>
      </w:r>
      <w:r w:rsidR="003E55BA">
        <w:t xml:space="preserve">is the preferred </w:t>
      </w:r>
      <w:r w:rsidR="003E55BA" w:rsidRPr="00625462">
        <w:rPr>
          <w:color w:val="201F1E"/>
          <w:shd w:val="clear" w:color="auto" w:fill="FFFFFF"/>
        </w:rPr>
        <w:t>method</w:t>
      </w:r>
      <w:r w:rsidR="003E55BA">
        <w:t>.</w:t>
      </w:r>
    </w:p>
    <w:p w14:paraId="6F85CE1D" w14:textId="2F8C6223" w:rsidR="00625462" w:rsidRPr="00625462" w:rsidRDefault="00625462" w:rsidP="00C072FC">
      <w:pPr>
        <w:pStyle w:val="ListParagraph"/>
        <w:numPr>
          <w:ilvl w:val="0"/>
          <w:numId w:val="38"/>
        </w:numPr>
        <w:spacing w:before="120" w:after="120"/>
        <w:ind w:left="360"/>
        <w:jc w:val="both"/>
        <w:outlineLvl w:val="0"/>
        <w:rPr>
          <w:b/>
          <w:lang w:val="en-NZ" w:eastAsia="ko-KR"/>
        </w:rPr>
      </w:pPr>
      <w:r>
        <w:rPr>
          <w:lang w:eastAsia="ko-KR"/>
        </w:rPr>
        <w:lastRenderedPageBreak/>
        <w:t>T</w:t>
      </w:r>
      <w:r w:rsidRPr="00B72F1F">
        <w:t xml:space="preserve">aking into account </w:t>
      </w:r>
      <w:r>
        <w:t>ITU-R</w:t>
      </w:r>
      <w:r w:rsidRPr="00B72F1F">
        <w:t xml:space="preserve"> studies as well as the interest of global harmonization and econom</w:t>
      </w:r>
      <w:r w:rsidR="00C072FC">
        <w:t>y</w:t>
      </w:r>
      <w:r w:rsidRPr="00B72F1F">
        <w:t xml:space="preserve"> of scale,</w:t>
      </w:r>
      <w:r>
        <w:t xml:space="preserve"> </w:t>
      </w:r>
      <w:r w:rsidR="0071594E">
        <w:rPr>
          <w:lang w:eastAsia="ko-KR"/>
        </w:rPr>
        <w:t>s</w:t>
      </w:r>
      <w:r w:rsidR="0092204E">
        <w:rPr>
          <w:lang w:eastAsia="ko-KR"/>
        </w:rPr>
        <w:t xml:space="preserve">ome </w:t>
      </w:r>
      <w:r>
        <w:rPr>
          <w:lang w:eastAsia="ko-KR"/>
        </w:rPr>
        <w:t xml:space="preserve">APT </w:t>
      </w:r>
      <w:r w:rsidR="00C27C2C">
        <w:rPr>
          <w:lang w:eastAsia="ko-KR"/>
        </w:rPr>
        <w:t>M</w:t>
      </w:r>
      <w:r>
        <w:rPr>
          <w:lang w:eastAsia="ko-KR"/>
        </w:rPr>
        <w:t>ember</w:t>
      </w:r>
      <w:r w:rsidR="0092204E">
        <w:rPr>
          <w:lang w:eastAsia="ko-KR"/>
        </w:rPr>
        <w:t>s</w:t>
      </w:r>
      <w:r>
        <w:rPr>
          <w:lang w:eastAsia="ko-KR"/>
        </w:rPr>
        <w:t xml:space="preserve"> </w:t>
      </w:r>
      <w:r w:rsidR="00972DD0">
        <w:rPr>
          <w:lang w:eastAsia="ko-KR"/>
        </w:rPr>
        <w:t xml:space="preserve">are considering </w:t>
      </w:r>
      <w:proofErr w:type="gramStart"/>
      <w:r w:rsidR="00972DD0">
        <w:rPr>
          <w:lang w:eastAsia="ko-KR"/>
        </w:rPr>
        <w:t xml:space="preserve">to </w:t>
      </w:r>
      <w:r w:rsidRPr="00625462">
        <w:rPr>
          <w:lang w:val="en-NZ"/>
        </w:rPr>
        <w:t>support</w:t>
      </w:r>
      <w:proofErr w:type="gramEnd"/>
      <w:r w:rsidRPr="00625462">
        <w:rPr>
          <w:color w:val="201F1E"/>
          <w:shd w:val="clear" w:color="auto" w:fill="FFFFFF"/>
        </w:rPr>
        <w:t xml:space="preserve"> appropriate action at WRC-23</w:t>
      </w:r>
      <w:r w:rsidR="000A631E">
        <w:rPr>
          <w:rFonts w:hint="eastAsia"/>
          <w:color w:val="201F1E"/>
          <w:shd w:val="clear" w:color="auto" w:fill="FFFFFF"/>
          <w:lang w:eastAsia="ko-KR"/>
        </w:rPr>
        <w:t>,</w:t>
      </w:r>
      <w:r w:rsidRPr="00625462">
        <w:rPr>
          <w:color w:val="201F1E"/>
          <w:shd w:val="clear" w:color="auto" w:fill="FFFFFF"/>
        </w:rPr>
        <w:t xml:space="preserve"> including potential identifications of the frequency band 470-694 MHz to IMT in Region 1.</w:t>
      </w:r>
    </w:p>
    <w:p w14:paraId="3D822644" w14:textId="77777777" w:rsidR="0017688D" w:rsidRDefault="0017688D" w:rsidP="00D1772E">
      <w:pPr>
        <w:spacing w:before="120" w:after="120"/>
        <w:jc w:val="both"/>
        <w:outlineLvl w:val="0"/>
        <w:rPr>
          <w:b/>
          <w:lang w:val="en-NZ" w:eastAsia="ko-KR"/>
        </w:rPr>
      </w:pPr>
    </w:p>
    <w:p w14:paraId="647ADB18" w14:textId="49B4F0AE" w:rsidR="002A0111" w:rsidRPr="00441526" w:rsidRDefault="002A0111" w:rsidP="00D1772E">
      <w:pPr>
        <w:spacing w:before="120" w:after="120"/>
        <w:jc w:val="both"/>
        <w:outlineLvl w:val="0"/>
        <w:rPr>
          <w:b/>
          <w:lang w:val="en-NZ" w:eastAsia="ko-KR"/>
        </w:rPr>
      </w:pPr>
      <w:r>
        <w:rPr>
          <w:b/>
          <w:lang w:val="en-NZ" w:eastAsia="ko-KR"/>
        </w:rPr>
        <w:t>6</w:t>
      </w:r>
      <w:r w:rsidR="00ED52FE">
        <w:rPr>
          <w:b/>
          <w:lang w:val="en-NZ" w:eastAsia="ko-KR"/>
        </w:rPr>
        <w:t>.</w:t>
      </w:r>
      <w:r w:rsidRPr="00441526">
        <w:rPr>
          <w:b/>
          <w:lang w:val="en-NZ" w:eastAsia="ko-KR"/>
        </w:rPr>
        <w:tab/>
        <w:t>Issues for Consideration at Next APG Meeting</w:t>
      </w:r>
    </w:p>
    <w:p w14:paraId="0783ACCD" w14:textId="2F664829" w:rsidR="00D92077" w:rsidRPr="0011253E" w:rsidRDefault="00D92077" w:rsidP="00D1772E">
      <w:pPr>
        <w:spacing w:before="120" w:after="120"/>
        <w:jc w:val="both"/>
        <w:rPr>
          <w:rFonts w:eastAsia="SimSun"/>
          <w:lang w:eastAsia="zh-CN"/>
        </w:rPr>
      </w:pPr>
      <w:r w:rsidRPr="00FF4C74">
        <w:rPr>
          <w:rFonts w:eastAsia="SimSun"/>
          <w:lang w:eastAsia="zh-CN"/>
        </w:rPr>
        <w:t>APT Members are encouraged to submit their contributions for further considerations in the next APG23-</w:t>
      </w:r>
      <w:r w:rsidR="00D1772E" w:rsidRPr="00FF4C74">
        <w:rPr>
          <w:rFonts w:eastAsia="SimSun"/>
          <w:lang w:eastAsia="zh-CN"/>
        </w:rPr>
        <w:t>5</w:t>
      </w:r>
      <w:r w:rsidRPr="00FF4C74">
        <w:rPr>
          <w:rFonts w:eastAsia="SimSun"/>
          <w:lang w:eastAsia="zh-CN"/>
        </w:rPr>
        <w:t xml:space="preserve"> meeting, </w:t>
      </w:r>
      <w:proofErr w:type="gramStart"/>
      <w:r w:rsidRPr="00FF4C74">
        <w:rPr>
          <w:rFonts w:eastAsia="SimSun"/>
          <w:lang w:eastAsia="zh-CN"/>
        </w:rPr>
        <w:t>taking into account</w:t>
      </w:r>
      <w:proofErr w:type="gramEnd"/>
      <w:r w:rsidRPr="00FF4C74">
        <w:rPr>
          <w:rFonts w:eastAsia="SimSun"/>
          <w:lang w:eastAsia="zh-CN"/>
        </w:rPr>
        <w:t xml:space="preserve"> progress of ITU-R studies.</w:t>
      </w:r>
    </w:p>
    <w:p w14:paraId="30AF9F0C" w14:textId="77777777" w:rsidR="005C568F" w:rsidRDefault="005C568F" w:rsidP="0045047C">
      <w:pPr>
        <w:spacing w:after="120"/>
        <w:jc w:val="both"/>
        <w:outlineLvl w:val="0"/>
        <w:rPr>
          <w:b/>
          <w:lang w:val="en-NZ" w:eastAsia="ko-KR"/>
        </w:rPr>
      </w:pPr>
    </w:p>
    <w:p w14:paraId="21A0C766" w14:textId="04EA6EF7" w:rsidR="002A0111" w:rsidRPr="006F518F" w:rsidRDefault="002A0111" w:rsidP="0045047C">
      <w:pPr>
        <w:spacing w:after="120"/>
        <w:jc w:val="both"/>
        <w:outlineLvl w:val="0"/>
        <w:rPr>
          <w:lang w:val="en-NZ"/>
        </w:rPr>
      </w:pPr>
      <w:r>
        <w:rPr>
          <w:b/>
          <w:lang w:val="en-NZ" w:eastAsia="ko-KR"/>
        </w:rPr>
        <w:t>7</w:t>
      </w:r>
      <w:r w:rsidRPr="00441526">
        <w:rPr>
          <w:b/>
          <w:lang w:val="en-NZ" w:eastAsia="ko-KR"/>
        </w:rPr>
        <w:t>.</w:t>
      </w:r>
      <w:r w:rsidRPr="00441526">
        <w:rPr>
          <w:b/>
          <w:lang w:val="en-NZ"/>
        </w:rPr>
        <w:tab/>
        <w:t>Views from Other Organisations</w:t>
      </w:r>
    </w:p>
    <w:p w14:paraId="0623E42D" w14:textId="2E4F94D6" w:rsidR="002A0111" w:rsidRPr="000F3C18" w:rsidRDefault="002A0111" w:rsidP="000F3C18">
      <w:pPr>
        <w:pStyle w:val="ListParagraph"/>
        <w:numPr>
          <w:ilvl w:val="1"/>
          <w:numId w:val="36"/>
        </w:numPr>
        <w:spacing w:after="120"/>
        <w:jc w:val="both"/>
        <w:outlineLvl w:val="1"/>
        <w:rPr>
          <w:b/>
          <w:lang w:val="en-NZ" w:eastAsia="ko-KR"/>
        </w:rPr>
      </w:pPr>
      <w:r w:rsidRPr="000F3C18">
        <w:rPr>
          <w:b/>
          <w:lang w:val="en-NZ" w:eastAsia="ko-KR"/>
        </w:rPr>
        <w:t>Regional Groups</w:t>
      </w:r>
    </w:p>
    <w:p w14:paraId="54308F3A" w14:textId="08DAEB5A" w:rsidR="000F3C18" w:rsidRPr="000F3C18" w:rsidRDefault="000F3C18" w:rsidP="004F761F">
      <w:pPr>
        <w:spacing w:before="120" w:after="120"/>
        <w:jc w:val="both"/>
        <w:rPr>
          <w:b/>
          <w:lang w:val="en-NZ" w:eastAsia="ko-KR"/>
        </w:rPr>
      </w:pPr>
      <w:r>
        <w:rPr>
          <w:b/>
          <w:lang w:val="en-NZ" w:eastAsia="ko-KR"/>
        </w:rPr>
        <w:t>7.1.1</w:t>
      </w:r>
      <w:r>
        <w:rPr>
          <w:b/>
          <w:lang w:val="en-NZ" w:eastAsia="ko-KR"/>
        </w:rPr>
        <w:tab/>
      </w:r>
      <w:r w:rsidRPr="000F3C18">
        <w:rPr>
          <w:b/>
          <w:lang w:val="en-NZ" w:eastAsia="ko-KR"/>
        </w:rPr>
        <w:t xml:space="preserve">ATU </w:t>
      </w:r>
      <w:r w:rsidRPr="00441526">
        <w:t xml:space="preserve">- </w:t>
      </w:r>
      <w:r w:rsidRPr="000F3C18">
        <w:rPr>
          <w:b/>
          <w:lang w:val="en-NZ" w:eastAsia="ko-KR"/>
        </w:rPr>
        <w:t>Document APG23-</w:t>
      </w:r>
      <w:r w:rsidR="004F761F">
        <w:rPr>
          <w:b/>
          <w:lang w:val="en-NZ" w:eastAsia="ko-KR"/>
        </w:rPr>
        <w:t>4</w:t>
      </w:r>
      <w:r w:rsidRPr="000F3C18">
        <w:rPr>
          <w:b/>
          <w:lang w:val="en-NZ" w:eastAsia="ko-KR"/>
        </w:rPr>
        <w:t>/</w:t>
      </w:r>
      <w:hyperlink r:id="rId61" w:history="1">
        <w:r w:rsidRPr="000F3C18">
          <w:rPr>
            <w:rStyle w:val="Hyperlink"/>
            <w:b/>
            <w:bCs/>
          </w:rPr>
          <w:t>INF-02</w:t>
        </w:r>
      </w:hyperlink>
    </w:p>
    <w:p w14:paraId="53056ECD" w14:textId="77777777" w:rsidR="004F761F" w:rsidRPr="00B00DCA" w:rsidRDefault="004F761F" w:rsidP="00FB0BF5">
      <w:pPr>
        <w:pStyle w:val="ListParagraph"/>
        <w:numPr>
          <w:ilvl w:val="0"/>
          <w:numId w:val="34"/>
        </w:numPr>
        <w:spacing w:before="60"/>
        <w:ind w:left="446"/>
        <w:jc w:val="both"/>
      </w:pPr>
      <w:r w:rsidRPr="00601AB0">
        <w:rPr>
          <w:rFonts w:cs="Calibri"/>
          <w:b/>
        </w:rPr>
        <w:t>Develop</w:t>
      </w:r>
      <w:r>
        <w:rPr>
          <w:rFonts w:cs="Calibri"/>
        </w:rPr>
        <w:t xml:space="preserve"> a position on this agenda item once studies have sufficiently progressed in accordance with </w:t>
      </w:r>
      <w:r w:rsidRPr="00FB0BF5">
        <w:rPr>
          <w:rFonts w:cs="Calibri"/>
        </w:rPr>
        <w:t>Resolution</w:t>
      </w:r>
      <w:r>
        <w:rPr>
          <w:rFonts w:cs="Calibri"/>
        </w:rPr>
        <w:t xml:space="preserve"> 235 (WRC-15).</w:t>
      </w:r>
    </w:p>
    <w:p w14:paraId="127893EE" w14:textId="77777777" w:rsidR="004F761F" w:rsidRDefault="004F761F" w:rsidP="00FB0BF5">
      <w:pPr>
        <w:pStyle w:val="ListParagraph"/>
        <w:numPr>
          <w:ilvl w:val="0"/>
          <w:numId w:val="34"/>
        </w:numPr>
        <w:spacing w:before="60"/>
        <w:ind w:left="446"/>
        <w:jc w:val="both"/>
        <w:rPr>
          <w:rFonts w:cs="Calibri"/>
        </w:rPr>
      </w:pPr>
      <w:r w:rsidRPr="005E449D">
        <w:rPr>
          <w:rFonts w:cs="Calibri"/>
          <w:b/>
        </w:rPr>
        <w:t xml:space="preserve">Consider </w:t>
      </w:r>
      <w:r>
        <w:rPr>
          <w:rFonts w:cs="Calibri"/>
        </w:rPr>
        <w:t xml:space="preserve">the </w:t>
      </w:r>
      <w:r w:rsidRPr="00B00DCA">
        <w:t>inclusion</w:t>
      </w:r>
      <w:r>
        <w:rPr>
          <w:rFonts w:cs="Calibri"/>
        </w:rPr>
        <w:t xml:space="preserve"> of the information on spectrum </w:t>
      </w:r>
      <w:proofErr w:type="spellStart"/>
      <w:r>
        <w:rPr>
          <w:rFonts w:cs="Calibri"/>
        </w:rPr>
        <w:t>utilisation</w:t>
      </w:r>
      <w:proofErr w:type="spellEnd"/>
      <w:r>
        <w:rPr>
          <w:rFonts w:cs="Calibri"/>
        </w:rPr>
        <w:t xml:space="preserve"> and needs submitted by </w:t>
      </w:r>
      <w:r w:rsidRPr="004F761F">
        <w:t>member</w:t>
      </w:r>
      <w:r>
        <w:rPr>
          <w:rFonts w:cs="Calibri"/>
        </w:rPr>
        <w:t xml:space="preserve"> states in the contribution to be submitted to TG 6/1.</w:t>
      </w:r>
    </w:p>
    <w:p w14:paraId="36CFC2B1" w14:textId="77777777" w:rsidR="004F761F" w:rsidRPr="00D9394E" w:rsidRDefault="004F761F" w:rsidP="00FB0BF5">
      <w:pPr>
        <w:pStyle w:val="ListParagraph"/>
        <w:numPr>
          <w:ilvl w:val="0"/>
          <w:numId w:val="34"/>
        </w:numPr>
        <w:spacing w:before="60" w:after="120"/>
        <w:ind w:left="446"/>
        <w:jc w:val="both"/>
      </w:pPr>
      <w:r w:rsidRPr="005E449D">
        <w:rPr>
          <w:rFonts w:cs="Calibri"/>
          <w:b/>
        </w:rPr>
        <w:t>Contribute</w:t>
      </w:r>
      <w:r>
        <w:rPr>
          <w:rFonts w:cs="Calibri"/>
        </w:rPr>
        <w:t xml:space="preserve"> </w:t>
      </w:r>
      <w:r w:rsidRPr="005E449D">
        <w:rPr>
          <w:rFonts w:cs="Calibri"/>
          <w:b/>
        </w:rPr>
        <w:t>to</w:t>
      </w:r>
      <w:r>
        <w:rPr>
          <w:rFonts w:cs="Calibri"/>
          <w:b/>
        </w:rPr>
        <w:t xml:space="preserve"> and actively participate </w:t>
      </w:r>
      <w:r>
        <w:rPr>
          <w:rFonts w:cs="Calibri"/>
        </w:rPr>
        <w:t xml:space="preserve">in sharing and compatibility studies once the ITU legal advisor </w:t>
      </w:r>
      <w:r w:rsidRPr="004F761F">
        <w:t>has</w:t>
      </w:r>
      <w:r>
        <w:rPr>
          <w:rFonts w:cs="Calibri"/>
        </w:rPr>
        <w:t xml:space="preserve"> provided feedback on the questions submitted by TG 6/1.</w:t>
      </w:r>
    </w:p>
    <w:p w14:paraId="29F53F88" w14:textId="52818B08" w:rsidR="002A0111" w:rsidRPr="00441526" w:rsidRDefault="005206E9" w:rsidP="00FB0BF5">
      <w:pPr>
        <w:spacing w:after="120"/>
        <w:jc w:val="both"/>
        <w:outlineLvl w:val="2"/>
        <w:rPr>
          <w:b/>
          <w:lang w:val="en-NZ" w:eastAsia="ko-KR"/>
        </w:rPr>
      </w:pPr>
      <w:r>
        <w:rPr>
          <w:b/>
          <w:lang w:val="en-NZ" w:eastAsia="ko-KR"/>
        </w:rPr>
        <w:t>7</w:t>
      </w:r>
      <w:r w:rsidR="00ED52FE">
        <w:rPr>
          <w:b/>
          <w:lang w:val="en-NZ" w:eastAsia="ko-KR"/>
        </w:rPr>
        <w:t>.1.1</w:t>
      </w:r>
      <w:r w:rsidR="002A0111" w:rsidRPr="00441526">
        <w:rPr>
          <w:b/>
          <w:lang w:val="en-NZ" w:eastAsia="ko-KR"/>
        </w:rPr>
        <w:tab/>
        <w:t>ASMG</w:t>
      </w:r>
      <w:r w:rsidR="002A0111" w:rsidRPr="00441526">
        <w:t xml:space="preserve"> - </w:t>
      </w:r>
      <w:r w:rsidR="002462DB" w:rsidRPr="00441526">
        <w:rPr>
          <w:b/>
          <w:lang w:val="en-NZ" w:eastAsia="ko-KR"/>
        </w:rPr>
        <w:t>Document APG</w:t>
      </w:r>
      <w:r w:rsidR="002462DB">
        <w:rPr>
          <w:b/>
          <w:lang w:val="en-NZ" w:eastAsia="ko-KR"/>
        </w:rPr>
        <w:t>23</w:t>
      </w:r>
      <w:r w:rsidR="002462DB" w:rsidRPr="00441526">
        <w:rPr>
          <w:b/>
          <w:lang w:val="en-NZ" w:eastAsia="ko-KR"/>
        </w:rPr>
        <w:t>-</w:t>
      </w:r>
      <w:r w:rsidR="00FB0BF5">
        <w:rPr>
          <w:b/>
          <w:lang w:val="en-NZ" w:eastAsia="ko-KR"/>
        </w:rPr>
        <w:t>4</w:t>
      </w:r>
      <w:r w:rsidR="002462DB">
        <w:rPr>
          <w:b/>
          <w:lang w:val="en-NZ" w:eastAsia="ko-KR"/>
        </w:rPr>
        <w:t>/</w:t>
      </w:r>
      <w:hyperlink r:id="rId62" w:history="1">
        <w:r w:rsidR="002B01F7" w:rsidRPr="002B01F7">
          <w:rPr>
            <w:rStyle w:val="Hyperlink"/>
            <w:b/>
            <w:bCs/>
            <w:lang w:val="en-NZ"/>
          </w:rPr>
          <w:t>INF-21</w:t>
        </w:r>
      </w:hyperlink>
    </w:p>
    <w:p w14:paraId="10DFDD79" w14:textId="32B8F376" w:rsidR="00FB0BF5" w:rsidRDefault="00FB0BF5" w:rsidP="00FB0BF5">
      <w:pPr>
        <w:pStyle w:val="ListParagraph"/>
        <w:numPr>
          <w:ilvl w:val="0"/>
          <w:numId w:val="34"/>
        </w:numPr>
        <w:spacing w:before="60"/>
        <w:ind w:left="446"/>
        <w:jc w:val="both"/>
      </w:pPr>
      <w:r w:rsidRPr="00FB0BF5">
        <w:t>To emphasis on the protection of existing services and systems, especially the broadcasting service, and not affecting them, and studying the possibility of allocating the band (470-694 MHz) or part of it (example: 614-694 MHz) for the mobile service and identifying it for applications of International Mobile Telecommunications (IMT) by the interested administrations in order to provide future flexibility in the utilization of the band by all services and to take a decision in this regard at the next World Radiocommunication Conference in 2023.</w:t>
      </w:r>
    </w:p>
    <w:p w14:paraId="06921D7F" w14:textId="6AB99E6D" w:rsidR="00FF7C13" w:rsidRPr="00FF7C13" w:rsidRDefault="00FF7C13" w:rsidP="00FF7C13">
      <w:pPr>
        <w:spacing w:before="120" w:after="120"/>
        <w:jc w:val="both"/>
        <w:outlineLvl w:val="2"/>
        <w:rPr>
          <w:b/>
          <w:lang w:val="en-NZ" w:eastAsia="ko-KR"/>
        </w:rPr>
      </w:pPr>
      <w:r w:rsidRPr="00FF7C13">
        <w:rPr>
          <w:b/>
          <w:lang w:val="en-NZ" w:eastAsia="ko-KR"/>
        </w:rPr>
        <w:t>7.1.</w:t>
      </w:r>
      <w:r w:rsidR="00721235">
        <w:rPr>
          <w:b/>
          <w:lang w:val="en-NZ" w:eastAsia="ko-KR"/>
        </w:rPr>
        <w:t>2</w:t>
      </w:r>
      <w:r w:rsidRPr="00FF7C13">
        <w:rPr>
          <w:b/>
          <w:lang w:val="en-NZ" w:eastAsia="ko-KR"/>
        </w:rPr>
        <w:t xml:space="preserve"> </w:t>
      </w:r>
      <w:r w:rsidRPr="00FF7C13">
        <w:rPr>
          <w:b/>
          <w:lang w:val="en-NZ" w:eastAsia="ko-KR"/>
        </w:rPr>
        <w:tab/>
        <w:t>CITEL</w:t>
      </w:r>
      <w:r>
        <w:rPr>
          <w:b/>
          <w:lang w:val="en-NZ" w:eastAsia="ko-KR"/>
        </w:rPr>
        <w:t xml:space="preserve"> – </w:t>
      </w:r>
      <w:r w:rsidRPr="00441526">
        <w:rPr>
          <w:b/>
          <w:lang w:val="en-NZ" w:eastAsia="ko-KR"/>
        </w:rPr>
        <w:t>Document APG</w:t>
      </w:r>
      <w:r>
        <w:rPr>
          <w:b/>
          <w:lang w:val="en-NZ" w:eastAsia="ko-KR"/>
        </w:rPr>
        <w:t>23-4</w:t>
      </w:r>
      <w:r w:rsidRPr="00441526">
        <w:rPr>
          <w:b/>
          <w:lang w:val="en-NZ" w:eastAsia="ko-KR"/>
        </w:rPr>
        <w:t>/</w:t>
      </w:r>
      <w:hyperlink r:id="rId63" w:history="1">
        <w:r w:rsidRPr="00FF7C13">
          <w:rPr>
            <w:rStyle w:val="Hyperlink"/>
            <w:b/>
            <w:bCs/>
            <w:lang w:val="en-NZ"/>
          </w:rPr>
          <w:t>INF-28</w:t>
        </w:r>
      </w:hyperlink>
    </w:p>
    <w:p w14:paraId="34E02211" w14:textId="0C4B9D40" w:rsidR="00D66B27" w:rsidRPr="00D66B27" w:rsidRDefault="00D66B27" w:rsidP="00D66B27">
      <w:pPr>
        <w:pStyle w:val="ListParagraph"/>
        <w:numPr>
          <w:ilvl w:val="0"/>
          <w:numId w:val="34"/>
        </w:numPr>
        <w:spacing w:before="60"/>
        <w:ind w:left="446"/>
        <w:jc w:val="both"/>
      </w:pPr>
      <w:r w:rsidRPr="00D66B27">
        <w:t xml:space="preserve">Some administrations propose No Change to the radio Regulations. NOC is proposed with respect to any change to Article 5 that could impact Region 2 services in the frequency band 470-698 </w:t>
      </w:r>
      <w:proofErr w:type="spellStart"/>
      <w:r w:rsidRPr="00D66B27">
        <w:t>MHz.</w:t>
      </w:r>
      <w:proofErr w:type="spellEnd"/>
      <w:r w:rsidRPr="00D66B27">
        <w:t xml:space="preserve"> This proposal does not address Regions 1 and 3, so those columns of the Table of Frequency Allocations in Article 5, are thus not reproduced above.</w:t>
      </w:r>
    </w:p>
    <w:p w14:paraId="34FDEEBC" w14:textId="77777777" w:rsidR="00AC1061" w:rsidRDefault="00AC1061" w:rsidP="00AC1061">
      <w:pPr>
        <w:spacing w:before="120" w:after="120"/>
        <w:jc w:val="both"/>
        <w:outlineLvl w:val="2"/>
        <w:rPr>
          <w:b/>
          <w:bCs/>
          <w:lang w:val="en-NZ"/>
        </w:rPr>
      </w:pPr>
      <w:r>
        <w:rPr>
          <w:b/>
          <w:lang w:val="en-NZ" w:eastAsia="ko-KR"/>
        </w:rPr>
        <w:t>7.1.3</w:t>
      </w:r>
      <w:r>
        <w:rPr>
          <w:b/>
          <w:lang w:val="en-NZ" w:eastAsia="ko-KR"/>
        </w:rPr>
        <w:tab/>
        <w:t xml:space="preserve">GSA - </w:t>
      </w:r>
      <w:r w:rsidRPr="00441526">
        <w:rPr>
          <w:b/>
          <w:lang w:val="en-NZ" w:eastAsia="ko-KR"/>
        </w:rPr>
        <w:t>Document APG</w:t>
      </w:r>
      <w:r>
        <w:rPr>
          <w:b/>
          <w:lang w:val="en-NZ" w:eastAsia="ko-KR"/>
        </w:rPr>
        <w:t>23</w:t>
      </w:r>
      <w:r w:rsidRPr="00441526">
        <w:rPr>
          <w:b/>
          <w:lang w:val="en-NZ" w:eastAsia="ko-KR"/>
        </w:rPr>
        <w:t>-</w:t>
      </w:r>
      <w:r>
        <w:rPr>
          <w:b/>
          <w:lang w:val="en-NZ" w:eastAsia="ko-KR"/>
        </w:rPr>
        <w:t>4/</w:t>
      </w:r>
      <w:hyperlink r:id="rId64" w:history="1">
        <w:r w:rsidRPr="004838FF">
          <w:rPr>
            <w:rStyle w:val="Hyperlink"/>
            <w:b/>
            <w:bCs/>
            <w:lang w:val="en-NZ"/>
          </w:rPr>
          <w:t>INF-30</w:t>
        </w:r>
      </w:hyperlink>
    </w:p>
    <w:p w14:paraId="0CBC660A" w14:textId="77777777" w:rsidR="00AC1061" w:rsidRDefault="00AC1061" w:rsidP="00AC1061">
      <w:pPr>
        <w:pStyle w:val="ListParagraph"/>
        <w:numPr>
          <w:ilvl w:val="0"/>
          <w:numId w:val="34"/>
        </w:numPr>
        <w:spacing w:before="60"/>
        <w:ind w:left="446"/>
        <w:jc w:val="both"/>
        <w:rPr>
          <w:b/>
          <w:lang w:val="en-NZ" w:eastAsia="ko-KR"/>
        </w:rPr>
      </w:pPr>
      <w:r w:rsidRPr="00A142F9">
        <w:t xml:space="preserve">For Region 3 countries to take benefits of economies of scale and global harmonized IMT eco-systems, GSA supports the primary allocation of the band 470-694 MHz to the mobile service within </w:t>
      </w:r>
      <w:proofErr w:type="gramStart"/>
      <w:r w:rsidRPr="00A142F9">
        <w:t>Region</w:t>
      </w:r>
      <w:proofErr w:type="gramEnd"/>
      <w:r w:rsidRPr="00A142F9">
        <w:t xml:space="preserve"> 1.</w:t>
      </w:r>
    </w:p>
    <w:p w14:paraId="32A3398B" w14:textId="310C41EF" w:rsidR="00AC1061" w:rsidRDefault="00AC1061" w:rsidP="00AC1061">
      <w:pPr>
        <w:spacing w:before="120" w:after="120"/>
        <w:jc w:val="both"/>
        <w:outlineLvl w:val="2"/>
        <w:rPr>
          <w:b/>
          <w:bCs/>
          <w:lang w:val="en-NZ"/>
        </w:rPr>
      </w:pPr>
      <w:r>
        <w:rPr>
          <w:b/>
          <w:lang w:val="en-NZ" w:eastAsia="ko-KR"/>
        </w:rPr>
        <w:t>7.1.4</w:t>
      </w:r>
      <w:r>
        <w:rPr>
          <w:b/>
          <w:lang w:val="en-NZ" w:eastAsia="ko-KR"/>
        </w:rPr>
        <w:tab/>
        <w:t xml:space="preserve">GSMA - </w:t>
      </w:r>
      <w:r w:rsidRPr="00441526">
        <w:rPr>
          <w:b/>
          <w:lang w:val="en-NZ" w:eastAsia="ko-KR"/>
        </w:rPr>
        <w:t>Document APG</w:t>
      </w:r>
      <w:r>
        <w:rPr>
          <w:b/>
          <w:lang w:val="en-NZ" w:eastAsia="ko-KR"/>
        </w:rPr>
        <w:t>23</w:t>
      </w:r>
      <w:r w:rsidRPr="00441526">
        <w:rPr>
          <w:b/>
          <w:lang w:val="en-NZ" w:eastAsia="ko-KR"/>
        </w:rPr>
        <w:t>-</w:t>
      </w:r>
      <w:r>
        <w:rPr>
          <w:b/>
          <w:lang w:val="en-NZ" w:eastAsia="ko-KR"/>
        </w:rPr>
        <w:t>4/</w:t>
      </w:r>
      <w:hyperlink r:id="rId65" w:history="1">
        <w:r w:rsidRPr="00047773">
          <w:rPr>
            <w:rStyle w:val="Hyperlink"/>
            <w:b/>
            <w:bCs/>
            <w:lang w:val="en-NZ"/>
          </w:rPr>
          <w:t>INF-33</w:t>
        </w:r>
      </w:hyperlink>
    </w:p>
    <w:p w14:paraId="3AE34DE8" w14:textId="6504DE1D" w:rsidR="00AC1061" w:rsidRPr="006748C4" w:rsidRDefault="006748C4" w:rsidP="00AC1061">
      <w:pPr>
        <w:pStyle w:val="ListParagraph"/>
        <w:numPr>
          <w:ilvl w:val="0"/>
          <w:numId w:val="34"/>
        </w:numPr>
        <w:spacing w:before="60"/>
        <w:ind w:left="446"/>
        <w:jc w:val="both"/>
        <w:rPr>
          <w:b/>
          <w:lang w:val="en-NZ" w:eastAsia="ko-KR"/>
        </w:rPr>
      </w:pPr>
      <w:r w:rsidRPr="004B2610">
        <w:rPr>
          <w:rFonts w:eastAsia="SimSun"/>
          <w:lang w:eastAsia="zh-CN"/>
        </w:rPr>
        <w:t xml:space="preserve">The GSMA supports the allocation of this band to mobile and, where appropriate, for the band to be considered for IMT identification. The development of sub 694/8 MHz frequencies for mobile around the world may be of benefit to APT Members at a time when this issue is being discussed in AWG. </w:t>
      </w:r>
      <w:r>
        <w:rPr>
          <w:rFonts w:eastAsia="SimSun"/>
          <w:lang w:eastAsia="zh-CN"/>
        </w:rPr>
        <w:tab/>
      </w:r>
      <w:r>
        <w:rPr>
          <w:rFonts w:eastAsia="SimSun"/>
          <w:lang w:eastAsia="zh-CN"/>
        </w:rPr>
        <w:br/>
      </w:r>
      <w:r w:rsidRPr="004B2610">
        <w:rPr>
          <w:rFonts w:eastAsia="SimSun"/>
          <w:lang w:eastAsia="zh-CN"/>
        </w:rPr>
        <w:t>This will allow for long-term planning of spectrum needs below 1 GHz going into the 2030s.</w:t>
      </w:r>
    </w:p>
    <w:p w14:paraId="06C9DD2C" w14:textId="535D8274" w:rsidR="006748C4" w:rsidRDefault="006748C4" w:rsidP="00AC1061">
      <w:pPr>
        <w:pStyle w:val="ListParagraph"/>
        <w:numPr>
          <w:ilvl w:val="0"/>
          <w:numId w:val="34"/>
        </w:numPr>
        <w:spacing w:before="60"/>
        <w:ind w:left="446"/>
        <w:jc w:val="both"/>
        <w:rPr>
          <w:b/>
          <w:lang w:val="en-NZ" w:eastAsia="ko-KR"/>
        </w:rPr>
      </w:pPr>
      <w:r w:rsidRPr="00A93100">
        <w:rPr>
          <w:rFonts w:eastAsia="SimSun"/>
          <w:lang w:eastAsia="zh-CN"/>
        </w:rPr>
        <w:lastRenderedPageBreak/>
        <w:t xml:space="preserve">The GSMA would also like to highlight that work towards an APT600 band plan is currently ongoing, and the 3GPP is expected to </w:t>
      </w:r>
      <w:proofErr w:type="spellStart"/>
      <w:r w:rsidRPr="00A93100">
        <w:rPr>
          <w:rFonts w:eastAsia="SimSun"/>
          <w:lang w:eastAsia="zh-CN"/>
        </w:rPr>
        <w:t>finalise</w:t>
      </w:r>
      <w:proofErr w:type="spellEnd"/>
      <w:r w:rsidRPr="00A93100">
        <w:rPr>
          <w:rFonts w:eastAsia="SimSun"/>
          <w:lang w:eastAsia="zh-CN"/>
        </w:rPr>
        <w:t xml:space="preserve"> the APT600 NR band specifications</w:t>
      </w:r>
      <w:r>
        <w:rPr>
          <w:rFonts w:eastAsia="SimSun"/>
          <w:lang w:eastAsia="zh-CN"/>
        </w:rPr>
        <w:t xml:space="preserve"> in March 2023</w:t>
      </w:r>
      <w:r w:rsidRPr="00A93100">
        <w:rPr>
          <w:rFonts w:eastAsia="SimSun"/>
          <w:lang w:eastAsia="zh-CN"/>
        </w:rPr>
        <w:t>.</w:t>
      </w:r>
    </w:p>
    <w:p w14:paraId="56668DA5" w14:textId="460A8C69" w:rsidR="00C24B65" w:rsidRDefault="00C24B65" w:rsidP="00C24B65">
      <w:pPr>
        <w:spacing w:before="120" w:after="120"/>
        <w:jc w:val="both"/>
        <w:outlineLvl w:val="2"/>
        <w:rPr>
          <w:b/>
          <w:lang w:val="en-NZ"/>
        </w:rPr>
      </w:pPr>
      <w:r>
        <w:rPr>
          <w:b/>
          <w:lang w:val="en-NZ" w:eastAsia="ko-KR"/>
        </w:rPr>
        <w:t>7</w:t>
      </w:r>
      <w:r w:rsidRPr="00441526">
        <w:rPr>
          <w:b/>
          <w:lang w:val="en-NZ" w:eastAsia="ko-KR"/>
        </w:rPr>
        <w:t>.1.</w:t>
      </w:r>
      <w:r>
        <w:rPr>
          <w:b/>
          <w:lang w:val="en-NZ" w:eastAsia="ko-KR"/>
        </w:rPr>
        <w:t>5</w:t>
      </w:r>
      <w:r w:rsidRPr="00441526">
        <w:rPr>
          <w:b/>
          <w:lang w:val="en-NZ" w:eastAsia="ko-KR"/>
        </w:rPr>
        <w:tab/>
      </w:r>
      <w:r>
        <w:rPr>
          <w:b/>
          <w:lang w:val="en-NZ" w:eastAsia="ko-KR"/>
        </w:rPr>
        <w:t xml:space="preserve">RCC – </w:t>
      </w:r>
      <w:r w:rsidRPr="00441526">
        <w:rPr>
          <w:b/>
          <w:lang w:val="en-NZ" w:eastAsia="ko-KR"/>
        </w:rPr>
        <w:t>Document APG</w:t>
      </w:r>
      <w:r>
        <w:rPr>
          <w:b/>
          <w:lang w:val="en-NZ" w:eastAsia="ko-KR"/>
        </w:rPr>
        <w:t>23-4</w:t>
      </w:r>
      <w:r w:rsidRPr="00C24B65">
        <w:rPr>
          <w:b/>
          <w:lang w:val="en-NZ" w:eastAsia="ko-KR"/>
        </w:rPr>
        <w:t>/</w:t>
      </w:r>
      <w:hyperlink r:id="rId66" w:history="1">
        <w:r w:rsidRPr="00C24B65">
          <w:rPr>
            <w:rStyle w:val="Hyperlink"/>
            <w:b/>
            <w:lang w:val="en-NZ"/>
          </w:rPr>
          <w:t>INF-44</w:t>
        </w:r>
      </w:hyperlink>
    </w:p>
    <w:p w14:paraId="072E9239" w14:textId="338F126C" w:rsidR="006A2A29" w:rsidRPr="006A2A29" w:rsidRDefault="006A2A29" w:rsidP="006A2A29">
      <w:pPr>
        <w:pStyle w:val="ListParagraph"/>
        <w:numPr>
          <w:ilvl w:val="0"/>
          <w:numId w:val="34"/>
        </w:numPr>
        <w:spacing w:before="60"/>
        <w:ind w:left="446"/>
        <w:jc w:val="both"/>
        <w:rPr>
          <w:rFonts w:eastAsia="SimSun"/>
          <w:lang w:eastAsia="zh-CN"/>
        </w:rPr>
      </w:pPr>
      <w:r w:rsidRPr="006A2A29">
        <w:rPr>
          <w:rFonts w:eastAsia="SimSun"/>
          <w:lang w:eastAsia="zh-CN"/>
        </w:rPr>
        <w:t>The RCC Administrations oppose changing the regulatory conditions of using the frequency band 470-694 MHz in Region 1 within this WRC-23 agenda item due to the current and future intensive use of this band by incumbent services.</w:t>
      </w:r>
    </w:p>
    <w:p w14:paraId="5120DDAA" w14:textId="15787180" w:rsidR="006A2A29" w:rsidRPr="006A2A29" w:rsidRDefault="006A2A29" w:rsidP="006A2A29">
      <w:pPr>
        <w:pStyle w:val="ListParagraph"/>
        <w:numPr>
          <w:ilvl w:val="0"/>
          <w:numId w:val="34"/>
        </w:numPr>
        <w:spacing w:before="60"/>
        <w:ind w:left="446"/>
        <w:jc w:val="both"/>
        <w:rPr>
          <w:rFonts w:eastAsia="SimSun"/>
          <w:lang w:eastAsia="zh-CN"/>
        </w:rPr>
      </w:pPr>
      <w:r w:rsidRPr="006A2A29">
        <w:rPr>
          <w:rFonts w:eastAsia="SimSun"/>
          <w:lang w:eastAsia="zh-CN"/>
        </w:rPr>
        <w:t xml:space="preserve">The RCC Administrations believes that no regulatory actions are required in the 694-960 MHz band and no </w:t>
      </w:r>
      <w:proofErr w:type="gramStart"/>
      <w:r w:rsidRPr="006A2A29">
        <w:rPr>
          <w:rFonts w:eastAsia="SimSun"/>
          <w:lang w:eastAsia="zh-CN"/>
        </w:rPr>
        <w:t>particular actions</w:t>
      </w:r>
      <w:proofErr w:type="gramEnd"/>
      <w:r w:rsidRPr="006A2A29">
        <w:rPr>
          <w:rFonts w:eastAsia="SimSun"/>
          <w:lang w:eastAsia="zh-CN"/>
        </w:rPr>
        <w:t xml:space="preserve"> for study are defined by Resolution </w:t>
      </w:r>
      <w:r w:rsidRPr="006A2A29">
        <w:rPr>
          <w:rFonts w:eastAsia="SimSun"/>
          <w:b/>
          <w:bCs/>
          <w:lang w:eastAsia="zh-CN"/>
        </w:rPr>
        <w:t>235 (WRC-15)</w:t>
      </w:r>
      <w:r w:rsidRPr="006A2A29">
        <w:rPr>
          <w:rFonts w:eastAsia="SimSun"/>
          <w:lang w:eastAsia="zh-CN"/>
        </w:rPr>
        <w:t>.</w:t>
      </w:r>
    </w:p>
    <w:p w14:paraId="019BFB1C" w14:textId="4FA02D94" w:rsidR="006A2A29" w:rsidRPr="006A2A29" w:rsidRDefault="006A2A29" w:rsidP="006A2A29">
      <w:pPr>
        <w:pStyle w:val="ListParagraph"/>
        <w:numPr>
          <w:ilvl w:val="0"/>
          <w:numId w:val="34"/>
        </w:numPr>
        <w:spacing w:before="60"/>
        <w:ind w:left="446"/>
        <w:jc w:val="both"/>
        <w:rPr>
          <w:rFonts w:eastAsia="SimSun"/>
          <w:lang w:eastAsia="zh-CN"/>
        </w:rPr>
      </w:pPr>
      <w:r w:rsidRPr="006A2A29">
        <w:rPr>
          <w:rFonts w:eastAsia="SimSun"/>
          <w:lang w:eastAsia="zh-CN"/>
        </w:rPr>
        <w:t xml:space="preserve">The RCC Administrations believes that when studying compatibility in the 470-694 MHz range, allocations of this frequency band to services on both a primary and secondary basis should be </w:t>
      </w:r>
      <w:proofErr w:type="gramStart"/>
      <w:r w:rsidRPr="006A2A29">
        <w:rPr>
          <w:rFonts w:eastAsia="SimSun"/>
          <w:lang w:eastAsia="zh-CN"/>
        </w:rPr>
        <w:t>taken into account</w:t>
      </w:r>
      <w:proofErr w:type="gramEnd"/>
      <w:r w:rsidRPr="006A2A29">
        <w:rPr>
          <w:rFonts w:eastAsia="SimSun"/>
          <w:lang w:eastAsia="zh-CN"/>
        </w:rPr>
        <w:t>.</w:t>
      </w:r>
    </w:p>
    <w:p w14:paraId="0EF6472D" w14:textId="17F9C3A7" w:rsidR="002A0111" w:rsidRDefault="00C24B65" w:rsidP="00AC2ED5">
      <w:pPr>
        <w:spacing w:before="120" w:after="120"/>
        <w:jc w:val="both"/>
        <w:outlineLvl w:val="2"/>
        <w:rPr>
          <w:rStyle w:val="Hyperlink"/>
          <w:b/>
          <w:bCs/>
          <w:lang w:val="en-NZ"/>
        </w:rPr>
      </w:pPr>
      <w:r>
        <w:rPr>
          <w:b/>
          <w:lang w:val="en-NZ" w:eastAsia="ko-KR"/>
        </w:rPr>
        <w:t>7</w:t>
      </w:r>
      <w:r w:rsidRPr="00441526">
        <w:rPr>
          <w:b/>
          <w:lang w:val="en-NZ" w:eastAsia="ko-KR"/>
        </w:rPr>
        <w:t>.1.</w:t>
      </w:r>
      <w:r w:rsidR="00FD1BD9">
        <w:rPr>
          <w:b/>
          <w:lang w:val="en-NZ" w:eastAsia="ko-KR"/>
        </w:rPr>
        <w:t>6</w:t>
      </w:r>
      <w:r w:rsidRPr="00441526">
        <w:rPr>
          <w:b/>
          <w:lang w:val="en-NZ" w:eastAsia="ko-KR"/>
        </w:rPr>
        <w:tab/>
        <w:t>CEPT</w:t>
      </w:r>
      <w:r>
        <w:rPr>
          <w:b/>
          <w:lang w:val="en-NZ" w:eastAsia="ko-KR"/>
        </w:rPr>
        <w:t xml:space="preserve">- </w:t>
      </w:r>
      <w:r w:rsidRPr="00441526">
        <w:rPr>
          <w:b/>
          <w:lang w:val="en-NZ" w:eastAsia="ko-KR"/>
        </w:rPr>
        <w:t xml:space="preserve">Document </w:t>
      </w:r>
      <w:r w:rsidR="00AC2ED5" w:rsidRPr="00441526">
        <w:rPr>
          <w:b/>
          <w:lang w:val="en-NZ" w:eastAsia="ko-KR"/>
        </w:rPr>
        <w:t>APG</w:t>
      </w:r>
      <w:r w:rsidR="00AC2ED5">
        <w:rPr>
          <w:b/>
          <w:lang w:val="en-NZ" w:eastAsia="ko-KR"/>
        </w:rPr>
        <w:t>23</w:t>
      </w:r>
      <w:r w:rsidR="00AC2ED5" w:rsidRPr="00441526">
        <w:rPr>
          <w:b/>
          <w:lang w:val="en-NZ" w:eastAsia="ko-KR"/>
        </w:rPr>
        <w:t>-</w:t>
      </w:r>
      <w:r w:rsidR="00AC2ED5">
        <w:rPr>
          <w:b/>
          <w:lang w:val="en-NZ" w:eastAsia="ko-KR"/>
        </w:rPr>
        <w:t>4/</w:t>
      </w:r>
      <w:hyperlink r:id="rId67" w:history="1">
        <w:r w:rsidR="00AC2ED5" w:rsidRPr="005A5457">
          <w:rPr>
            <w:rStyle w:val="Hyperlink"/>
            <w:b/>
            <w:bCs/>
            <w:lang w:val="en-NZ"/>
          </w:rPr>
          <w:t>INF-</w:t>
        </w:r>
        <w:r w:rsidR="00AC2ED5" w:rsidRPr="005A5457">
          <w:rPr>
            <w:rStyle w:val="Hyperlink"/>
            <w:rFonts w:eastAsia="MS Mincho" w:hint="eastAsia"/>
            <w:b/>
            <w:bCs/>
            <w:lang w:val="en-NZ" w:eastAsia="ja-JP"/>
          </w:rPr>
          <w:t>4</w:t>
        </w:r>
        <w:r w:rsidR="00AC2ED5" w:rsidRPr="005A5457">
          <w:rPr>
            <w:rStyle w:val="Hyperlink"/>
            <w:rFonts w:eastAsia="MS Mincho"/>
            <w:b/>
            <w:bCs/>
            <w:lang w:val="en-NZ" w:eastAsia="ja-JP"/>
          </w:rPr>
          <w:t>8</w:t>
        </w:r>
      </w:hyperlink>
    </w:p>
    <w:p w14:paraId="073FBF85"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 xml:space="preserve">CEPT supports a complete and comprehensive overview of the existing usage and evaluation of spectrum needs of the existing services within the frequency band 470–960 MHz in Region 1 as a basis for further work on </w:t>
      </w:r>
      <w:r>
        <w:rPr>
          <w:lang w:val="en-NZ"/>
        </w:rPr>
        <w:t>A</w:t>
      </w:r>
      <w:r w:rsidRPr="00593D53">
        <w:rPr>
          <w:lang w:val="en-NZ"/>
        </w:rPr>
        <w:t xml:space="preserve">genda </w:t>
      </w:r>
      <w:r>
        <w:rPr>
          <w:lang w:val="en-NZ"/>
        </w:rPr>
        <w:t>I</w:t>
      </w:r>
      <w:r w:rsidRPr="00593D53">
        <w:rPr>
          <w:lang w:val="en-NZ"/>
        </w:rPr>
        <w:t>tem 1.5.</w:t>
      </w:r>
    </w:p>
    <w:p w14:paraId="1206D9E2"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CEPT is of the view that any consideration of possible regulatory action(s) in the band 470‐694 MHz requires a full account of the results and impact of sharing studies including a thorough analysis.</w:t>
      </w:r>
    </w:p>
    <w:p w14:paraId="03ACF079"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 xml:space="preserve">In line with Resolution </w:t>
      </w:r>
      <w:r w:rsidRPr="00593D53">
        <w:rPr>
          <w:b/>
          <w:bCs/>
          <w:lang w:val="en-NZ"/>
        </w:rPr>
        <w:t>235 (WRC‐15)</w:t>
      </w:r>
      <w:r w:rsidRPr="00593D53">
        <w:rPr>
          <w:lang w:val="en-NZ"/>
        </w:rPr>
        <w:t xml:space="preserve">, CEPT acknowledges and supports that no regulatory action is required in the band 694‐960 </w:t>
      </w:r>
      <w:proofErr w:type="spellStart"/>
      <w:r w:rsidRPr="00593D53">
        <w:rPr>
          <w:lang w:val="en-NZ"/>
        </w:rPr>
        <w:t>MHz.</w:t>
      </w:r>
      <w:proofErr w:type="spellEnd"/>
    </w:p>
    <w:p w14:paraId="287A09EA"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 xml:space="preserve">CEPT is of the view that the primary allocation of the 470‐862 MHz band to the broadcasting service in </w:t>
      </w:r>
      <w:proofErr w:type="gramStart"/>
      <w:r w:rsidRPr="00593D53">
        <w:rPr>
          <w:lang w:val="en-NZ"/>
        </w:rPr>
        <w:t>Region</w:t>
      </w:r>
      <w:proofErr w:type="gramEnd"/>
      <w:r w:rsidRPr="00593D53">
        <w:rPr>
          <w:lang w:val="en-NZ"/>
        </w:rPr>
        <w:t xml:space="preserve"> 1 shall remain, in order to enable the protection and development of incumbent usage of the broadcasting service.</w:t>
      </w:r>
    </w:p>
    <w:p w14:paraId="2A6F2711"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 xml:space="preserve">CEPT is of the view that any possible regulatory action by WRC‐23 in the band 470 – 694 MHz shall not </w:t>
      </w:r>
      <w:proofErr w:type="gramStart"/>
      <w:r w:rsidRPr="00593D53">
        <w:rPr>
          <w:lang w:val="en-NZ"/>
        </w:rPr>
        <w:t>be in conflict with</w:t>
      </w:r>
      <w:proofErr w:type="gramEnd"/>
      <w:r w:rsidRPr="00593D53">
        <w:rPr>
          <w:lang w:val="en-NZ"/>
        </w:rPr>
        <w:t xml:space="preserve"> any provision of the GE‐06 Agreement.</w:t>
      </w:r>
    </w:p>
    <w:p w14:paraId="2DD25210"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CEPT is of the view that this agenda item seeks the long‐term balance between meeting various national requirements and the challenges of effective cross‐border coordination between the existing services and various services/applications wishing to access spectrum, including applications of the mobile service.</w:t>
      </w:r>
    </w:p>
    <w:p w14:paraId="225CD5D7"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 xml:space="preserve">CEPT supports the continuation and development of the incumbent usage by PMSE (SAP/SAB) (in accordance with existing RR No. </w:t>
      </w:r>
      <w:r w:rsidRPr="00593D53">
        <w:rPr>
          <w:b/>
          <w:bCs/>
          <w:lang w:val="en-NZ"/>
        </w:rPr>
        <w:t>5.296</w:t>
      </w:r>
      <w:r w:rsidRPr="00593D53">
        <w:rPr>
          <w:lang w:val="en-NZ"/>
        </w:rPr>
        <w:t>).</w:t>
      </w:r>
    </w:p>
    <w:p w14:paraId="67222C70" w14:textId="77777777" w:rsidR="00AC2ED5" w:rsidRPr="008A7632" w:rsidRDefault="00AC2ED5" w:rsidP="00AC2ED5">
      <w:pPr>
        <w:pStyle w:val="ListParagraph"/>
        <w:numPr>
          <w:ilvl w:val="0"/>
          <w:numId w:val="34"/>
        </w:numPr>
        <w:spacing w:before="60"/>
        <w:ind w:left="446"/>
        <w:jc w:val="both"/>
        <w:rPr>
          <w:lang w:val="en-NZ"/>
        </w:rPr>
      </w:pPr>
      <w:r w:rsidRPr="008A7632">
        <w:rPr>
          <w:lang w:val="en-NZ"/>
        </w:rPr>
        <w:t>CEPT supports the protection of the radioastronomy service within the frequency band 606‐614 MHz</w:t>
      </w:r>
      <w:r>
        <w:rPr>
          <w:lang w:val="en-NZ"/>
        </w:rPr>
        <w:t>, where required,</w:t>
      </w:r>
      <w:r w:rsidRPr="008A7632">
        <w:rPr>
          <w:lang w:val="en-NZ"/>
        </w:rPr>
        <w:t xml:space="preserve"> to ensure its</w:t>
      </w:r>
      <w:r w:rsidRPr="008A7632">
        <w:rPr>
          <w:rFonts w:hint="cs"/>
          <w:rtl/>
          <w:lang w:val="en-NZ"/>
        </w:rPr>
        <w:t xml:space="preserve"> </w:t>
      </w:r>
      <w:r w:rsidRPr="008A7632">
        <w:rPr>
          <w:lang w:val="en-NZ"/>
        </w:rPr>
        <w:t>continued operation. CEPT is of the view that any decision on regulatory action(s) in the band 470‐694 MHz at the</w:t>
      </w:r>
      <w:r w:rsidRPr="008A7632">
        <w:rPr>
          <w:rFonts w:hint="cs"/>
          <w:rtl/>
          <w:lang w:val="en-NZ"/>
        </w:rPr>
        <w:t xml:space="preserve"> </w:t>
      </w:r>
      <w:r w:rsidRPr="008A7632">
        <w:rPr>
          <w:lang w:val="en-NZ"/>
        </w:rPr>
        <w:t xml:space="preserve">WRC‐23 shall consider regulatory action to protect RAS, </w:t>
      </w:r>
      <w:proofErr w:type="gramStart"/>
      <w:r w:rsidRPr="008A7632">
        <w:rPr>
          <w:lang w:val="en-NZ"/>
        </w:rPr>
        <w:t>taking into account</w:t>
      </w:r>
      <w:proofErr w:type="gramEnd"/>
      <w:r w:rsidRPr="008A7632">
        <w:rPr>
          <w:lang w:val="en-NZ"/>
        </w:rPr>
        <w:t xml:space="preserve"> RR </w:t>
      </w:r>
      <w:r w:rsidRPr="008A7632">
        <w:rPr>
          <w:b/>
          <w:bCs/>
          <w:lang w:val="en-NZ"/>
        </w:rPr>
        <w:t>5.149</w:t>
      </w:r>
      <w:r w:rsidRPr="008A7632">
        <w:rPr>
          <w:lang w:val="en-NZ"/>
        </w:rPr>
        <w:t>.</w:t>
      </w:r>
    </w:p>
    <w:p w14:paraId="75D3CEB9" w14:textId="12D466C5" w:rsidR="00AC2ED5" w:rsidRPr="004A6B22" w:rsidRDefault="00AC2ED5" w:rsidP="004A6B22">
      <w:pPr>
        <w:pStyle w:val="ListParagraph"/>
        <w:numPr>
          <w:ilvl w:val="0"/>
          <w:numId w:val="34"/>
        </w:numPr>
        <w:spacing w:before="60"/>
        <w:ind w:left="446"/>
        <w:jc w:val="both"/>
        <w:rPr>
          <w:lang w:val="en-NZ"/>
        </w:rPr>
      </w:pPr>
      <w:r w:rsidRPr="008A7632">
        <w:rPr>
          <w:lang w:val="en-NZ"/>
        </w:rPr>
        <w:t xml:space="preserve">CEPT is currently of the view that no changes are necessary concerning RR No. </w:t>
      </w:r>
      <w:r w:rsidRPr="008A7632">
        <w:rPr>
          <w:b/>
          <w:bCs/>
          <w:lang w:val="en-NZ"/>
        </w:rPr>
        <w:t>5.291A</w:t>
      </w:r>
      <w:r w:rsidRPr="008A7632">
        <w:rPr>
          <w:lang w:val="en-NZ"/>
        </w:rPr>
        <w:t xml:space="preserve"> addressing the operation of</w:t>
      </w:r>
      <w:r w:rsidRPr="008A7632">
        <w:rPr>
          <w:rFonts w:hint="cs"/>
          <w:rtl/>
          <w:lang w:val="en-NZ"/>
        </w:rPr>
        <w:t xml:space="preserve"> </w:t>
      </w:r>
      <w:r w:rsidRPr="008A7632">
        <w:rPr>
          <w:lang w:val="en-NZ"/>
        </w:rPr>
        <w:t>wind profiler radars.</w:t>
      </w:r>
    </w:p>
    <w:p w14:paraId="6D6A33B3" w14:textId="77777777" w:rsidR="002A0111" w:rsidRPr="00441526" w:rsidRDefault="005206E9" w:rsidP="00795F61">
      <w:pPr>
        <w:spacing w:before="120" w:after="120"/>
        <w:jc w:val="both"/>
        <w:outlineLvl w:val="1"/>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4F5FDE9D" w14:textId="19E33D99" w:rsidR="002A7390" w:rsidRDefault="002A7390" w:rsidP="004A5C99">
      <w:pPr>
        <w:spacing w:after="120"/>
        <w:jc w:val="both"/>
        <w:rPr>
          <w:b/>
          <w:lang w:val="en-NZ" w:eastAsia="ko-KR"/>
        </w:rPr>
      </w:pPr>
      <w:r>
        <w:rPr>
          <w:b/>
          <w:lang w:val="en-NZ" w:eastAsia="ko-KR"/>
        </w:rPr>
        <w:t xml:space="preserve">7.2.1 </w:t>
      </w:r>
      <w:r>
        <w:rPr>
          <w:b/>
          <w:lang w:val="en-NZ" w:eastAsia="ko-KR"/>
        </w:rPr>
        <w:tab/>
        <w:t>WMO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4A5C99">
        <w:rPr>
          <w:b/>
          <w:lang w:val="en-NZ" w:eastAsia="ko-KR"/>
        </w:rPr>
        <w:t>4</w:t>
      </w:r>
      <w:r>
        <w:rPr>
          <w:b/>
          <w:lang w:val="en-NZ" w:eastAsia="ko-KR"/>
        </w:rPr>
        <w:t>/</w:t>
      </w:r>
      <w:hyperlink r:id="rId68" w:history="1">
        <w:r w:rsidR="004A5C99" w:rsidRPr="004A5C99">
          <w:rPr>
            <w:rStyle w:val="Hyperlink"/>
            <w:b/>
            <w:bCs/>
            <w:lang w:val="en-NZ"/>
          </w:rPr>
          <w:t>INF-03</w:t>
        </w:r>
      </w:hyperlink>
    </w:p>
    <w:p w14:paraId="2BEC0980" w14:textId="01969532" w:rsidR="002A7390" w:rsidRDefault="002A7390" w:rsidP="002A7390">
      <w:pPr>
        <w:spacing w:after="120"/>
        <w:jc w:val="both"/>
        <w:rPr>
          <w:b/>
          <w:lang w:val="en-NZ" w:eastAsia="ko-KR"/>
        </w:rPr>
      </w:pPr>
      <w:r w:rsidRPr="00D953D9">
        <w:rPr>
          <w:lang w:val="en-GB"/>
        </w:rPr>
        <w:t xml:space="preserve">WMO </w:t>
      </w:r>
      <w:r w:rsidRPr="00D953D9">
        <w:t>would appreciate the development of a solution to ensure the effective operation of the wind profiler radars in the 470-494 MHz frequency band.</w:t>
      </w:r>
    </w:p>
    <w:p w14:paraId="1E7AFAA2" w14:textId="33252539" w:rsidR="002A7390" w:rsidRPr="00441526" w:rsidRDefault="002A7390" w:rsidP="002A6D53">
      <w:pPr>
        <w:spacing w:before="120"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ICAO</w:t>
      </w:r>
    </w:p>
    <w:p w14:paraId="6EEDCF19" w14:textId="0007A35D" w:rsidR="002A7390" w:rsidRPr="00441526" w:rsidRDefault="00690834" w:rsidP="002A6D53">
      <w:pPr>
        <w:spacing w:after="120"/>
        <w:jc w:val="both"/>
        <w:rPr>
          <w:rtl/>
          <w:lang w:val="en-NZ" w:bidi="fa-IR"/>
        </w:rPr>
      </w:pPr>
      <w:r>
        <w:rPr>
          <w:rFonts w:eastAsia="SimSun"/>
          <w:lang w:val="en-GB"/>
        </w:rPr>
        <w:lastRenderedPageBreak/>
        <w:t>ICAO has not submitted information document to APG23-4</w:t>
      </w:r>
      <w:r w:rsidR="002A6D53">
        <w:rPr>
          <w:rFonts w:eastAsia="SimSun"/>
          <w:lang w:val="en-GB"/>
        </w:rPr>
        <w:t xml:space="preserve">. See also </w:t>
      </w:r>
      <w:r w:rsidR="002A6D53" w:rsidRPr="002A6D53">
        <w:rPr>
          <w:bCs/>
          <w:lang w:val="en-NZ" w:eastAsia="ko-KR"/>
        </w:rPr>
        <w:t>Document</w:t>
      </w:r>
      <w:r w:rsidR="002A6D53" w:rsidRPr="00441526">
        <w:rPr>
          <w:b/>
          <w:lang w:val="en-NZ" w:eastAsia="ko-KR"/>
        </w:rPr>
        <w:t xml:space="preserve"> </w:t>
      </w:r>
      <w:hyperlink r:id="rId69" w:history="1">
        <w:r w:rsidR="002A6D53" w:rsidRPr="003C0925">
          <w:rPr>
            <w:rStyle w:val="Hyperlink"/>
            <w:lang w:val="en-NZ" w:eastAsia="ko-KR"/>
          </w:rPr>
          <w:t>INF-15</w:t>
        </w:r>
      </w:hyperlink>
      <w:r w:rsidR="002A6D53">
        <w:rPr>
          <w:rFonts w:eastAsia="SimSun"/>
          <w:lang w:val="en-GB"/>
        </w:rPr>
        <w:t xml:space="preserve"> for no position status of ICAO at APG23-3.</w:t>
      </w:r>
    </w:p>
    <w:p w14:paraId="3F98A477" w14:textId="5D8A9BFD" w:rsidR="002A7390" w:rsidRPr="00441526" w:rsidRDefault="002A7390" w:rsidP="002A6D53">
      <w:pPr>
        <w:spacing w:after="120"/>
        <w:jc w:val="both"/>
        <w:rPr>
          <w:b/>
          <w:lang w:val="en-NZ" w:eastAsia="ko-KR"/>
        </w:rPr>
      </w:pPr>
      <w:r>
        <w:rPr>
          <w:b/>
          <w:lang w:val="en-NZ" w:eastAsia="ko-KR"/>
        </w:rPr>
        <w:t>7.2.3</w:t>
      </w:r>
      <w:r>
        <w:rPr>
          <w:b/>
          <w:lang w:val="en-NZ" w:eastAsia="ko-KR"/>
        </w:rPr>
        <w:tab/>
        <w:t>IARU</w:t>
      </w:r>
    </w:p>
    <w:p w14:paraId="767F3E2D" w14:textId="79774DEF" w:rsidR="00AF1F61" w:rsidRDefault="003C0925" w:rsidP="004A6B22">
      <w:pPr>
        <w:spacing w:before="120"/>
        <w:rPr>
          <w:lang w:val="en-NZ"/>
        </w:rPr>
      </w:pPr>
      <w:r>
        <w:rPr>
          <w:lang w:val="en-NZ"/>
        </w:rPr>
        <w:t>No position has been stated by IARU under WRC-23 agenda item 1.</w:t>
      </w:r>
      <w:r w:rsidR="00997B99">
        <w:rPr>
          <w:lang w:val="en-NZ"/>
        </w:rPr>
        <w:t>5</w:t>
      </w:r>
      <w:r>
        <w:rPr>
          <w:lang w:val="en-NZ"/>
        </w:rPr>
        <w:t xml:space="preserve"> </w:t>
      </w:r>
      <w:r w:rsidR="00997B99">
        <w:rPr>
          <w:lang w:val="en-NZ"/>
        </w:rPr>
        <w:t>in</w:t>
      </w:r>
      <w:r>
        <w:rPr>
          <w:lang w:val="en-NZ"/>
        </w:rPr>
        <w:t xml:space="preserve"> APG23-4.</w:t>
      </w:r>
    </w:p>
    <w:p w14:paraId="09EEDFA8" w14:textId="77777777" w:rsidR="002A0111" w:rsidRPr="00710333" w:rsidRDefault="002A0111" w:rsidP="00795F61">
      <w:pPr>
        <w:jc w:val="center"/>
        <w:rPr>
          <w:snapToGrid w:val="0"/>
          <w:lang w:val="en-NZ"/>
        </w:rPr>
      </w:pPr>
      <w:r w:rsidRPr="00441526">
        <w:rPr>
          <w:lang w:val="en-NZ"/>
        </w:rPr>
        <w:t>____________</w:t>
      </w:r>
    </w:p>
    <w:sectPr w:rsidR="002A0111" w:rsidRPr="00710333" w:rsidSect="00C516C7">
      <w:headerReference w:type="even" r:id="rId70"/>
      <w:headerReference w:type="default" r:id="rId71"/>
      <w:footerReference w:type="even" r:id="rId72"/>
      <w:footerReference w:type="default" r:id="rId73"/>
      <w:headerReference w:type="first" r:id="rId74"/>
      <w:footerReference w:type="first" r:id="rId7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5FF2" w14:textId="77777777" w:rsidR="00AE06B2" w:rsidRDefault="00AE06B2">
      <w:r>
        <w:separator/>
      </w:r>
    </w:p>
  </w:endnote>
  <w:endnote w:type="continuationSeparator" w:id="0">
    <w:p w14:paraId="1AB811B0" w14:textId="77777777" w:rsidR="00AE06B2" w:rsidRDefault="00AE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3965342F" w:rsidR="0097693B" w:rsidRDefault="0092727B" w:rsidP="003C123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3C123B">
      <w:rPr>
        <w:lang w:eastAsia="ko-KR"/>
      </w:rPr>
      <w:t>4</w:t>
    </w:r>
    <w:r w:rsidR="002A0111">
      <w:rPr>
        <w:lang w:eastAsia="ko-KR"/>
      </w:rPr>
      <w:t>/</w:t>
    </w:r>
    <w:r w:rsidR="00516631">
      <w:rPr>
        <w:lang w:eastAsia="ko-KR"/>
      </w:rPr>
      <w:t>OUT</w:t>
    </w:r>
    <w:r>
      <w:rPr>
        <w:lang w:eastAsia="ko-KR"/>
      </w:rPr>
      <w:t>-</w:t>
    </w:r>
    <w:r w:rsidR="00516631">
      <w:rPr>
        <w:lang w:eastAsia="ko-KR"/>
      </w:rPr>
      <w:t>09</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67757F">
      <w:rPr>
        <w:rStyle w:val="PageNumber"/>
        <w:noProof/>
      </w:rPr>
      <w:t>7</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67757F">
      <w:rPr>
        <w:rStyle w:val="PageNumber"/>
        <w:noProof/>
      </w:rPr>
      <w:t>7</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5C614AEA" w14:textId="77777777" w:rsidTr="00BB0EA4">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195AE9CC" w14:textId="715D0C55" w:rsidR="004661CC" w:rsidRPr="002A0111" w:rsidRDefault="004661CC" w:rsidP="004661CC">
          <w:pPr>
            <w:pStyle w:val="Footer"/>
            <w:tabs>
              <w:tab w:val="clear" w:pos="4320"/>
              <w:tab w:val="clear" w:pos="8640"/>
            </w:tabs>
          </w:pPr>
        </w:p>
        <w:p w14:paraId="4FC7F141" w14:textId="43C5B88E" w:rsidR="002A0111" w:rsidRPr="002A0111" w:rsidRDefault="002A0111" w:rsidP="006E6E31">
          <w:pPr>
            <w:pStyle w:val="Footer"/>
            <w:tabs>
              <w:tab w:val="clear" w:pos="4320"/>
              <w:tab w:val="clear" w:pos="8640"/>
            </w:tabs>
          </w:pPr>
        </w:p>
      </w:tc>
      <w:tc>
        <w:tcPr>
          <w:tcW w:w="2880" w:type="dxa"/>
          <w:tcBorders>
            <w:top w:val="single" w:sz="8" w:space="0" w:color="auto"/>
            <w:left w:val="nil"/>
            <w:bottom w:val="nil"/>
          </w:tcBorders>
        </w:tcPr>
        <w:p w14:paraId="447F22A7" w14:textId="19AF176F" w:rsidR="0092727B" w:rsidRPr="0092727B" w:rsidRDefault="0092727B" w:rsidP="0092727B">
          <w:pPr>
            <w:pStyle w:val="Footer"/>
            <w:tabs>
              <w:tab w:val="clear" w:pos="4320"/>
              <w:tab w:val="clear" w:pos="8640"/>
            </w:tabs>
          </w:pPr>
          <w:r w:rsidRPr="00F5286E">
            <w:rPr>
              <w:b/>
              <w:bCs/>
            </w:rPr>
            <w:t>Email:</w:t>
          </w:r>
          <w:r w:rsidR="006E6E31">
            <w:t xml:space="preserve"> </w:t>
          </w:r>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A479" w14:textId="77777777" w:rsidR="00AE06B2" w:rsidRDefault="00AE06B2">
      <w:r>
        <w:separator/>
      </w:r>
    </w:p>
  </w:footnote>
  <w:footnote w:type="continuationSeparator" w:id="0">
    <w:p w14:paraId="3B787097" w14:textId="77777777" w:rsidR="00AE06B2" w:rsidRDefault="00AE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399" w14:textId="77777777" w:rsidR="004661CC" w:rsidRDefault="00466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F696B"/>
    <w:multiLevelType w:val="hybridMultilevel"/>
    <w:tmpl w:val="89CCDB72"/>
    <w:lvl w:ilvl="0" w:tplc="DB42042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EC67294"/>
    <w:multiLevelType w:val="hybridMultilevel"/>
    <w:tmpl w:val="21542028"/>
    <w:lvl w:ilvl="0" w:tplc="7118040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611D6D"/>
    <w:multiLevelType w:val="hybridMultilevel"/>
    <w:tmpl w:val="A322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9801948"/>
    <w:multiLevelType w:val="hybridMultilevel"/>
    <w:tmpl w:val="1C1E2BEC"/>
    <w:lvl w:ilvl="0" w:tplc="B0426F7E">
      <w:start w:val="1"/>
      <w:numFmt w:val="bullet"/>
      <w:lvlText w:val="-"/>
      <w:lvlJc w:val="left"/>
      <w:pPr>
        <w:ind w:left="1120" w:hanging="360"/>
      </w:pPr>
      <w:rPr>
        <w:rFonts w:ascii="Calibri" w:eastAsiaTheme="minorEastAsia" w:hAnsi="Calibri" w:cs="Calibri" w:hint="default"/>
      </w:rPr>
    </w:lvl>
    <w:lvl w:ilvl="1" w:tplc="04090001">
      <w:start w:val="1"/>
      <w:numFmt w:val="bullet"/>
      <w:lvlText w:val=""/>
      <w:lvlJc w:val="left"/>
      <w:pPr>
        <w:ind w:left="1560" w:hanging="400"/>
      </w:pPr>
      <w:rPr>
        <w:rFonts w:ascii="Symbol" w:hAnsi="Symbol"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3AE23C30"/>
    <w:multiLevelType w:val="hybridMultilevel"/>
    <w:tmpl w:val="776AB710"/>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9" w15:restartNumberingAfterBreak="0">
    <w:nsid w:val="3E0D2E9F"/>
    <w:multiLevelType w:val="multilevel"/>
    <w:tmpl w:val="7F241F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431C17"/>
    <w:multiLevelType w:val="hybridMultilevel"/>
    <w:tmpl w:val="A2E8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75DE5"/>
    <w:multiLevelType w:val="hybridMultilevel"/>
    <w:tmpl w:val="D1043BC4"/>
    <w:lvl w:ilvl="0" w:tplc="81F6568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7441"/>
    <w:multiLevelType w:val="hybridMultilevel"/>
    <w:tmpl w:val="718C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055315"/>
    <w:multiLevelType w:val="hybridMultilevel"/>
    <w:tmpl w:val="3F6ECB6A"/>
    <w:lvl w:ilvl="0" w:tplc="368863C6">
      <w:start w:val="1"/>
      <w:numFmt w:val="bullet"/>
      <w:lvlText w:val="•"/>
      <w:lvlJc w:val="left"/>
      <w:pPr>
        <w:tabs>
          <w:tab w:val="num" w:pos="720"/>
        </w:tabs>
        <w:ind w:left="720" w:hanging="360"/>
      </w:pPr>
      <w:rPr>
        <w:rFonts w:ascii="Arial" w:hAnsi="Arial" w:hint="default"/>
      </w:rPr>
    </w:lvl>
    <w:lvl w:ilvl="1" w:tplc="10F4C77E" w:tentative="1">
      <w:start w:val="1"/>
      <w:numFmt w:val="bullet"/>
      <w:lvlText w:val="•"/>
      <w:lvlJc w:val="left"/>
      <w:pPr>
        <w:tabs>
          <w:tab w:val="num" w:pos="1440"/>
        </w:tabs>
        <w:ind w:left="1440" w:hanging="360"/>
      </w:pPr>
      <w:rPr>
        <w:rFonts w:ascii="Arial" w:hAnsi="Arial" w:hint="default"/>
      </w:rPr>
    </w:lvl>
    <w:lvl w:ilvl="2" w:tplc="DCFAE7F4" w:tentative="1">
      <w:start w:val="1"/>
      <w:numFmt w:val="bullet"/>
      <w:lvlText w:val="•"/>
      <w:lvlJc w:val="left"/>
      <w:pPr>
        <w:tabs>
          <w:tab w:val="num" w:pos="2160"/>
        </w:tabs>
        <w:ind w:left="2160" w:hanging="360"/>
      </w:pPr>
      <w:rPr>
        <w:rFonts w:ascii="Arial" w:hAnsi="Arial" w:hint="default"/>
      </w:rPr>
    </w:lvl>
    <w:lvl w:ilvl="3" w:tplc="3850B4C8" w:tentative="1">
      <w:start w:val="1"/>
      <w:numFmt w:val="bullet"/>
      <w:lvlText w:val="•"/>
      <w:lvlJc w:val="left"/>
      <w:pPr>
        <w:tabs>
          <w:tab w:val="num" w:pos="2880"/>
        </w:tabs>
        <w:ind w:left="2880" w:hanging="360"/>
      </w:pPr>
      <w:rPr>
        <w:rFonts w:ascii="Arial" w:hAnsi="Arial" w:hint="default"/>
      </w:rPr>
    </w:lvl>
    <w:lvl w:ilvl="4" w:tplc="FEBC0CA6" w:tentative="1">
      <w:start w:val="1"/>
      <w:numFmt w:val="bullet"/>
      <w:lvlText w:val="•"/>
      <w:lvlJc w:val="left"/>
      <w:pPr>
        <w:tabs>
          <w:tab w:val="num" w:pos="3600"/>
        </w:tabs>
        <w:ind w:left="3600" w:hanging="360"/>
      </w:pPr>
      <w:rPr>
        <w:rFonts w:ascii="Arial" w:hAnsi="Arial" w:hint="default"/>
      </w:rPr>
    </w:lvl>
    <w:lvl w:ilvl="5" w:tplc="98DE0176" w:tentative="1">
      <w:start w:val="1"/>
      <w:numFmt w:val="bullet"/>
      <w:lvlText w:val="•"/>
      <w:lvlJc w:val="left"/>
      <w:pPr>
        <w:tabs>
          <w:tab w:val="num" w:pos="4320"/>
        </w:tabs>
        <w:ind w:left="4320" w:hanging="360"/>
      </w:pPr>
      <w:rPr>
        <w:rFonts w:ascii="Arial" w:hAnsi="Arial" w:hint="default"/>
      </w:rPr>
    </w:lvl>
    <w:lvl w:ilvl="6" w:tplc="69A67086" w:tentative="1">
      <w:start w:val="1"/>
      <w:numFmt w:val="bullet"/>
      <w:lvlText w:val="•"/>
      <w:lvlJc w:val="left"/>
      <w:pPr>
        <w:tabs>
          <w:tab w:val="num" w:pos="5040"/>
        </w:tabs>
        <w:ind w:left="5040" w:hanging="360"/>
      </w:pPr>
      <w:rPr>
        <w:rFonts w:ascii="Arial" w:hAnsi="Arial" w:hint="default"/>
      </w:rPr>
    </w:lvl>
    <w:lvl w:ilvl="7" w:tplc="27DEDD78" w:tentative="1">
      <w:start w:val="1"/>
      <w:numFmt w:val="bullet"/>
      <w:lvlText w:val="•"/>
      <w:lvlJc w:val="left"/>
      <w:pPr>
        <w:tabs>
          <w:tab w:val="num" w:pos="5760"/>
        </w:tabs>
        <w:ind w:left="5760" w:hanging="360"/>
      </w:pPr>
      <w:rPr>
        <w:rFonts w:ascii="Arial" w:hAnsi="Arial" w:hint="default"/>
      </w:rPr>
    </w:lvl>
    <w:lvl w:ilvl="8" w:tplc="D6FC0D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5272E"/>
    <w:multiLevelType w:val="multilevel"/>
    <w:tmpl w:val="832A6A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D000F4"/>
    <w:multiLevelType w:val="multilevel"/>
    <w:tmpl w:val="78B8BD9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C03B9E"/>
    <w:multiLevelType w:val="hybridMultilevel"/>
    <w:tmpl w:val="BAC215CC"/>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15:restartNumberingAfterBreak="0">
    <w:nsid w:val="7245117F"/>
    <w:multiLevelType w:val="hybridMultilevel"/>
    <w:tmpl w:val="EF94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5"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547881398">
    <w:abstractNumId w:val="14"/>
  </w:num>
  <w:num w:numId="2" w16cid:durableId="1182742974">
    <w:abstractNumId w:val="9"/>
  </w:num>
  <w:num w:numId="3" w16cid:durableId="1908226964">
    <w:abstractNumId w:val="7"/>
  </w:num>
  <w:num w:numId="4" w16cid:durableId="322856279">
    <w:abstractNumId w:val="30"/>
  </w:num>
  <w:num w:numId="5" w16cid:durableId="688025265">
    <w:abstractNumId w:val="13"/>
  </w:num>
  <w:num w:numId="6" w16cid:durableId="1766343371">
    <w:abstractNumId w:val="15"/>
  </w:num>
  <w:num w:numId="7" w16cid:durableId="918175549">
    <w:abstractNumId w:val="5"/>
  </w:num>
  <w:num w:numId="8" w16cid:durableId="736316795">
    <w:abstractNumId w:val="2"/>
  </w:num>
  <w:num w:numId="9" w16cid:durableId="2125924583">
    <w:abstractNumId w:val="34"/>
  </w:num>
  <w:num w:numId="10" w16cid:durableId="1316646435">
    <w:abstractNumId w:val="26"/>
  </w:num>
  <w:num w:numId="11" w16cid:durableId="82649454">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0809545">
    <w:abstractNumId w:val="23"/>
  </w:num>
  <w:num w:numId="13" w16cid:durableId="568537020">
    <w:abstractNumId w:val="0"/>
  </w:num>
  <w:num w:numId="14" w16cid:durableId="19234882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6454304">
    <w:abstractNumId w:val="10"/>
  </w:num>
  <w:num w:numId="16" w16cid:durableId="722796796">
    <w:abstractNumId w:val="35"/>
  </w:num>
  <w:num w:numId="17" w16cid:durableId="1041394568">
    <w:abstractNumId w:val="25"/>
  </w:num>
  <w:num w:numId="18" w16cid:durableId="1257983236">
    <w:abstractNumId w:val="18"/>
  </w:num>
  <w:num w:numId="19" w16cid:durableId="1419249024">
    <w:abstractNumId w:val="33"/>
  </w:num>
  <w:num w:numId="20" w16cid:durableId="1386755011">
    <w:abstractNumId w:val="12"/>
  </w:num>
  <w:num w:numId="21" w16cid:durableId="1447189246">
    <w:abstractNumId w:val="32"/>
  </w:num>
  <w:num w:numId="22" w16cid:durableId="729840897">
    <w:abstractNumId w:val="36"/>
  </w:num>
  <w:num w:numId="23" w16cid:durableId="613487088">
    <w:abstractNumId w:val="1"/>
  </w:num>
  <w:num w:numId="24" w16cid:durableId="1569656160">
    <w:abstractNumId w:val="4"/>
  </w:num>
  <w:num w:numId="25" w16cid:durableId="1894151025">
    <w:abstractNumId w:val="11"/>
  </w:num>
  <w:num w:numId="26" w16cid:durableId="1884710416">
    <w:abstractNumId w:val="17"/>
  </w:num>
  <w:num w:numId="27" w16cid:durableId="1088650090">
    <w:abstractNumId w:val="3"/>
  </w:num>
  <w:num w:numId="28" w16cid:durableId="1915118548">
    <w:abstractNumId w:val="24"/>
  </w:num>
  <w:num w:numId="29" w16cid:durableId="868026892">
    <w:abstractNumId w:val="21"/>
  </w:num>
  <w:num w:numId="30" w16cid:durableId="916475247">
    <w:abstractNumId w:val="28"/>
  </w:num>
  <w:num w:numId="31" w16cid:durableId="1687827333">
    <w:abstractNumId w:val="29"/>
  </w:num>
  <w:num w:numId="32" w16cid:durableId="762072907">
    <w:abstractNumId w:val="27"/>
  </w:num>
  <w:num w:numId="33" w16cid:durableId="555162173">
    <w:abstractNumId w:val="31"/>
  </w:num>
  <w:num w:numId="34" w16cid:durableId="470024587">
    <w:abstractNumId w:val="20"/>
  </w:num>
  <w:num w:numId="35" w16cid:durableId="856191494">
    <w:abstractNumId w:val="22"/>
  </w:num>
  <w:num w:numId="36" w16cid:durableId="1168520060">
    <w:abstractNumId w:val="19"/>
  </w:num>
  <w:num w:numId="37" w16cid:durableId="299579051">
    <w:abstractNumId w:val="16"/>
  </w:num>
  <w:num w:numId="38" w16cid:durableId="764426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5AA"/>
    <w:rsid w:val="00010C8E"/>
    <w:rsid w:val="000214D1"/>
    <w:rsid w:val="0002474B"/>
    <w:rsid w:val="00026813"/>
    <w:rsid w:val="0003595B"/>
    <w:rsid w:val="00036296"/>
    <w:rsid w:val="00036517"/>
    <w:rsid w:val="00036CC9"/>
    <w:rsid w:val="00040149"/>
    <w:rsid w:val="00051E6E"/>
    <w:rsid w:val="00055BCB"/>
    <w:rsid w:val="00066C02"/>
    <w:rsid w:val="00070642"/>
    <w:rsid w:val="00071127"/>
    <w:rsid w:val="000713CF"/>
    <w:rsid w:val="00075C14"/>
    <w:rsid w:val="00080EEC"/>
    <w:rsid w:val="000822B5"/>
    <w:rsid w:val="0008503D"/>
    <w:rsid w:val="000920FD"/>
    <w:rsid w:val="00093CE0"/>
    <w:rsid w:val="00094B87"/>
    <w:rsid w:val="000A012B"/>
    <w:rsid w:val="000A5418"/>
    <w:rsid w:val="000A631E"/>
    <w:rsid w:val="000A699B"/>
    <w:rsid w:val="000B0087"/>
    <w:rsid w:val="000C2440"/>
    <w:rsid w:val="000D47FB"/>
    <w:rsid w:val="000D597D"/>
    <w:rsid w:val="000D5BFE"/>
    <w:rsid w:val="000E29C0"/>
    <w:rsid w:val="000E6541"/>
    <w:rsid w:val="000F345F"/>
    <w:rsid w:val="000F3C18"/>
    <w:rsid w:val="000F517C"/>
    <w:rsid w:val="000F5540"/>
    <w:rsid w:val="000F6FF6"/>
    <w:rsid w:val="000F7CFD"/>
    <w:rsid w:val="00104B54"/>
    <w:rsid w:val="001050A7"/>
    <w:rsid w:val="00105F1A"/>
    <w:rsid w:val="001061EE"/>
    <w:rsid w:val="00114B13"/>
    <w:rsid w:val="0012288F"/>
    <w:rsid w:val="00125FBD"/>
    <w:rsid w:val="00127BBD"/>
    <w:rsid w:val="001409B2"/>
    <w:rsid w:val="00152636"/>
    <w:rsid w:val="001539DD"/>
    <w:rsid w:val="00156782"/>
    <w:rsid w:val="00165DD6"/>
    <w:rsid w:val="00165F01"/>
    <w:rsid w:val="001731F4"/>
    <w:rsid w:val="0017688D"/>
    <w:rsid w:val="001916F2"/>
    <w:rsid w:val="00192526"/>
    <w:rsid w:val="001930A7"/>
    <w:rsid w:val="00196568"/>
    <w:rsid w:val="00197C18"/>
    <w:rsid w:val="001A2F16"/>
    <w:rsid w:val="001B1414"/>
    <w:rsid w:val="001B1804"/>
    <w:rsid w:val="001B18C2"/>
    <w:rsid w:val="001B29C0"/>
    <w:rsid w:val="001C443F"/>
    <w:rsid w:val="001C61A5"/>
    <w:rsid w:val="001C6707"/>
    <w:rsid w:val="001D14FC"/>
    <w:rsid w:val="001D29E9"/>
    <w:rsid w:val="001D5D7E"/>
    <w:rsid w:val="001E5FA7"/>
    <w:rsid w:val="001F5947"/>
    <w:rsid w:val="001F6C07"/>
    <w:rsid w:val="00202410"/>
    <w:rsid w:val="00203A05"/>
    <w:rsid w:val="00205777"/>
    <w:rsid w:val="00206A33"/>
    <w:rsid w:val="00214A0C"/>
    <w:rsid w:val="0021588B"/>
    <w:rsid w:val="00215DF3"/>
    <w:rsid w:val="002161B6"/>
    <w:rsid w:val="00217533"/>
    <w:rsid w:val="00217D12"/>
    <w:rsid w:val="002216AC"/>
    <w:rsid w:val="002259E9"/>
    <w:rsid w:val="0023212E"/>
    <w:rsid w:val="002462DB"/>
    <w:rsid w:val="002475E2"/>
    <w:rsid w:val="002506D2"/>
    <w:rsid w:val="00250DE2"/>
    <w:rsid w:val="002518A8"/>
    <w:rsid w:val="00254A1B"/>
    <w:rsid w:val="0026064A"/>
    <w:rsid w:val="00264566"/>
    <w:rsid w:val="00266E68"/>
    <w:rsid w:val="00271D69"/>
    <w:rsid w:val="0028454D"/>
    <w:rsid w:val="002879B7"/>
    <w:rsid w:val="00290B2E"/>
    <w:rsid w:val="00291C9E"/>
    <w:rsid w:val="0029235F"/>
    <w:rsid w:val="002926D4"/>
    <w:rsid w:val="0029734E"/>
    <w:rsid w:val="002A0111"/>
    <w:rsid w:val="002A3CF5"/>
    <w:rsid w:val="002A42A6"/>
    <w:rsid w:val="002A6D53"/>
    <w:rsid w:val="002A7390"/>
    <w:rsid w:val="002B01F7"/>
    <w:rsid w:val="002B06A3"/>
    <w:rsid w:val="002B435C"/>
    <w:rsid w:val="002B447F"/>
    <w:rsid w:val="002C07DA"/>
    <w:rsid w:val="002C2A49"/>
    <w:rsid w:val="002C4C8D"/>
    <w:rsid w:val="002C7EA9"/>
    <w:rsid w:val="002D5119"/>
    <w:rsid w:val="002E39C9"/>
    <w:rsid w:val="002F29A6"/>
    <w:rsid w:val="002F575D"/>
    <w:rsid w:val="00304274"/>
    <w:rsid w:val="003113D7"/>
    <w:rsid w:val="00311E8A"/>
    <w:rsid w:val="00313DAD"/>
    <w:rsid w:val="00330258"/>
    <w:rsid w:val="00340B6D"/>
    <w:rsid w:val="00342069"/>
    <w:rsid w:val="00342F20"/>
    <w:rsid w:val="003546CA"/>
    <w:rsid w:val="00360377"/>
    <w:rsid w:val="00366548"/>
    <w:rsid w:val="00371F4F"/>
    <w:rsid w:val="0038005B"/>
    <w:rsid w:val="003800C3"/>
    <w:rsid w:val="003809C7"/>
    <w:rsid w:val="0038236C"/>
    <w:rsid w:val="00386C0A"/>
    <w:rsid w:val="00393DCD"/>
    <w:rsid w:val="00395B40"/>
    <w:rsid w:val="003A2006"/>
    <w:rsid w:val="003A6568"/>
    <w:rsid w:val="003A7E84"/>
    <w:rsid w:val="003B38AE"/>
    <w:rsid w:val="003B4FD1"/>
    <w:rsid w:val="003B545B"/>
    <w:rsid w:val="003B6263"/>
    <w:rsid w:val="003B67CF"/>
    <w:rsid w:val="003C0925"/>
    <w:rsid w:val="003C123B"/>
    <w:rsid w:val="003C29E6"/>
    <w:rsid w:val="003C64A7"/>
    <w:rsid w:val="003D1128"/>
    <w:rsid w:val="003D1671"/>
    <w:rsid w:val="003D1F89"/>
    <w:rsid w:val="003D3D47"/>
    <w:rsid w:val="003D3FDA"/>
    <w:rsid w:val="003D6D00"/>
    <w:rsid w:val="003E166F"/>
    <w:rsid w:val="003E221B"/>
    <w:rsid w:val="003E55BA"/>
    <w:rsid w:val="003F307E"/>
    <w:rsid w:val="003F4BD4"/>
    <w:rsid w:val="004001E5"/>
    <w:rsid w:val="00404970"/>
    <w:rsid w:val="004104FB"/>
    <w:rsid w:val="0041313C"/>
    <w:rsid w:val="00415473"/>
    <w:rsid w:val="00420822"/>
    <w:rsid w:val="00420C74"/>
    <w:rsid w:val="004263DA"/>
    <w:rsid w:val="00441526"/>
    <w:rsid w:val="004465AA"/>
    <w:rsid w:val="00446A5E"/>
    <w:rsid w:val="0045047C"/>
    <w:rsid w:val="0045458F"/>
    <w:rsid w:val="004633B4"/>
    <w:rsid w:val="00463588"/>
    <w:rsid w:val="004644BE"/>
    <w:rsid w:val="004661CC"/>
    <w:rsid w:val="0047051A"/>
    <w:rsid w:val="004721B8"/>
    <w:rsid w:val="00476CA2"/>
    <w:rsid w:val="00481CD2"/>
    <w:rsid w:val="00490042"/>
    <w:rsid w:val="00495CED"/>
    <w:rsid w:val="00496A14"/>
    <w:rsid w:val="004A2F96"/>
    <w:rsid w:val="004A4BDF"/>
    <w:rsid w:val="004A5C99"/>
    <w:rsid w:val="004A6B22"/>
    <w:rsid w:val="004B3553"/>
    <w:rsid w:val="004B3F4B"/>
    <w:rsid w:val="004C1D72"/>
    <w:rsid w:val="004C27B5"/>
    <w:rsid w:val="004C34AF"/>
    <w:rsid w:val="004D07D8"/>
    <w:rsid w:val="004D4530"/>
    <w:rsid w:val="004D4989"/>
    <w:rsid w:val="004E1FCA"/>
    <w:rsid w:val="004E47D6"/>
    <w:rsid w:val="004F761F"/>
    <w:rsid w:val="00503189"/>
    <w:rsid w:val="00507266"/>
    <w:rsid w:val="00512008"/>
    <w:rsid w:val="00516631"/>
    <w:rsid w:val="00516BD1"/>
    <w:rsid w:val="005206E9"/>
    <w:rsid w:val="00525B20"/>
    <w:rsid w:val="00526D01"/>
    <w:rsid w:val="00530E8C"/>
    <w:rsid w:val="00535D34"/>
    <w:rsid w:val="005365F2"/>
    <w:rsid w:val="00541998"/>
    <w:rsid w:val="00543697"/>
    <w:rsid w:val="00545933"/>
    <w:rsid w:val="005459A3"/>
    <w:rsid w:val="005511D7"/>
    <w:rsid w:val="00552105"/>
    <w:rsid w:val="00552366"/>
    <w:rsid w:val="00552C85"/>
    <w:rsid w:val="005562F2"/>
    <w:rsid w:val="00557544"/>
    <w:rsid w:val="0056391C"/>
    <w:rsid w:val="0056447B"/>
    <w:rsid w:val="00565BBB"/>
    <w:rsid w:val="00571B26"/>
    <w:rsid w:val="00574666"/>
    <w:rsid w:val="00585F3C"/>
    <w:rsid w:val="00586CA0"/>
    <w:rsid w:val="00587875"/>
    <w:rsid w:val="00590324"/>
    <w:rsid w:val="00593D53"/>
    <w:rsid w:val="0059673A"/>
    <w:rsid w:val="005A51D3"/>
    <w:rsid w:val="005A63EB"/>
    <w:rsid w:val="005A65BC"/>
    <w:rsid w:val="005B0876"/>
    <w:rsid w:val="005C33B6"/>
    <w:rsid w:val="005C4F2A"/>
    <w:rsid w:val="005C568F"/>
    <w:rsid w:val="005C714E"/>
    <w:rsid w:val="005D39ED"/>
    <w:rsid w:val="005D6202"/>
    <w:rsid w:val="005D6E98"/>
    <w:rsid w:val="005F0066"/>
    <w:rsid w:val="00605413"/>
    <w:rsid w:val="00607E2B"/>
    <w:rsid w:val="006125A1"/>
    <w:rsid w:val="006139D6"/>
    <w:rsid w:val="0061623E"/>
    <w:rsid w:val="00616D1B"/>
    <w:rsid w:val="006231A3"/>
    <w:rsid w:val="00623CE1"/>
    <w:rsid w:val="00625462"/>
    <w:rsid w:val="006260EB"/>
    <w:rsid w:val="00626D07"/>
    <w:rsid w:val="00627880"/>
    <w:rsid w:val="0063062B"/>
    <w:rsid w:val="00634A82"/>
    <w:rsid w:val="00635B1B"/>
    <w:rsid w:val="00637351"/>
    <w:rsid w:val="006446D6"/>
    <w:rsid w:val="00646166"/>
    <w:rsid w:val="00646573"/>
    <w:rsid w:val="00652BDD"/>
    <w:rsid w:val="00654896"/>
    <w:rsid w:val="006564FF"/>
    <w:rsid w:val="00656605"/>
    <w:rsid w:val="00657073"/>
    <w:rsid w:val="00657DB9"/>
    <w:rsid w:val="006621F0"/>
    <w:rsid w:val="006647BA"/>
    <w:rsid w:val="00665A28"/>
    <w:rsid w:val="00667229"/>
    <w:rsid w:val="0067211E"/>
    <w:rsid w:val="006748C4"/>
    <w:rsid w:val="0067757F"/>
    <w:rsid w:val="00682BE5"/>
    <w:rsid w:val="00683846"/>
    <w:rsid w:val="00690834"/>
    <w:rsid w:val="00690FED"/>
    <w:rsid w:val="006921DE"/>
    <w:rsid w:val="006937D3"/>
    <w:rsid w:val="006939A5"/>
    <w:rsid w:val="00697C27"/>
    <w:rsid w:val="006A2A29"/>
    <w:rsid w:val="006A5B92"/>
    <w:rsid w:val="006B09DB"/>
    <w:rsid w:val="006B68DE"/>
    <w:rsid w:val="006C5616"/>
    <w:rsid w:val="006D3C2B"/>
    <w:rsid w:val="006D5223"/>
    <w:rsid w:val="006D5970"/>
    <w:rsid w:val="006D60D6"/>
    <w:rsid w:val="006E12FC"/>
    <w:rsid w:val="006E581A"/>
    <w:rsid w:val="006E6E31"/>
    <w:rsid w:val="006F0F24"/>
    <w:rsid w:val="006F2B2E"/>
    <w:rsid w:val="006F4ED8"/>
    <w:rsid w:val="006F6A5C"/>
    <w:rsid w:val="006F72DB"/>
    <w:rsid w:val="00703F6F"/>
    <w:rsid w:val="007052B3"/>
    <w:rsid w:val="00705962"/>
    <w:rsid w:val="00707C21"/>
    <w:rsid w:val="00711BAD"/>
    <w:rsid w:val="00712451"/>
    <w:rsid w:val="00712A16"/>
    <w:rsid w:val="0071594E"/>
    <w:rsid w:val="00717DE9"/>
    <w:rsid w:val="00721235"/>
    <w:rsid w:val="0072518B"/>
    <w:rsid w:val="00731041"/>
    <w:rsid w:val="007329E4"/>
    <w:rsid w:val="00732F08"/>
    <w:rsid w:val="007342F0"/>
    <w:rsid w:val="00735749"/>
    <w:rsid w:val="00736550"/>
    <w:rsid w:val="0074190C"/>
    <w:rsid w:val="00746DF2"/>
    <w:rsid w:val="0075012F"/>
    <w:rsid w:val="00752386"/>
    <w:rsid w:val="0075493D"/>
    <w:rsid w:val="00762576"/>
    <w:rsid w:val="007673CA"/>
    <w:rsid w:val="0078115D"/>
    <w:rsid w:val="00791060"/>
    <w:rsid w:val="007926EA"/>
    <w:rsid w:val="00795F61"/>
    <w:rsid w:val="007A6D2F"/>
    <w:rsid w:val="007B4C37"/>
    <w:rsid w:val="007B5626"/>
    <w:rsid w:val="007B6124"/>
    <w:rsid w:val="007C38BB"/>
    <w:rsid w:val="007D3C53"/>
    <w:rsid w:val="007D56DE"/>
    <w:rsid w:val="007E3A0F"/>
    <w:rsid w:val="007E64E6"/>
    <w:rsid w:val="007F0AE6"/>
    <w:rsid w:val="007F2628"/>
    <w:rsid w:val="007F2FBA"/>
    <w:rsid w:val="007F66CC"/>
    <w:rsid w:val="00800C3A"/>
    <w:rsid w:val="008014CF"/>
    <w:rsid w:val="00801513"/>
    <w:rsid w:val="0080570B"/>
    <w:rsid w:val="008148E1"/>
    <w:rsid w:val="008204E5"/>
    <w:rsid w:val="00822B33"/>
    <w:rsid w:val="00823BAE"/>
    <w:rsid w:val="00825CA3"/>
    <w:rsid w:val="008319BF"/>
    <w:rsid w:val="008415F0"/>
    <w:rsid w:val="008433C2"/>
    <w:rsid w:val="00844457"/>
    <w:rsid w:val="008454C8"/>
    <w:rsid w:val="0084657C"/>
    <w:rsid w:val="00851D78"/>
    <w:rsid w:val="00852D8A"/>
    <w:rsid w:val="0087122A"/>
    <w:rsid w:val="00883383"/>
    <w:rsid w:val="00895E7A"/>
    <w:rsid w:val="008A016F"/>
    <w:rsid w:val="008A1A0D"/>
    <w:rsid w:val="008A27A7"/>
    <w:rsid w:val="008A3E21"/>
    <w:rsid w:val="008A4EE2"/>
    <w:rsid w:val="008A6659"/>
    <w:rsid w:val="008A72E1"/>
    <w:rsid w:val="008A7632"/>
    <w:rsid w:val="008A76ED"/>
    <w:rsid w:val="008B3C72"/>
    <w:rsid w:val="008B3E43"/>
    <w:rsid w:val="008B44A7"/>
    <w:rsid w:val="008C06F2"/>
    <w:rsid w:val="008C5A78"/>
    <w:rsid w:val="008C5FED"/>
    <w:rsid w:val="008D0A52"/>
    <w:rsid w:val="008D0E09"/>
    <w:rsid w:val="008D17D8"/>
    <w:rsid w:val="008F12CC"/>
    <w:rsid w:val="008F29F6"/>
    <w:rsid w:val="00903007"/>
    <w:rsid w:val="00911CF3"/>
    <w:rsid w:val="0092204E"/>
    <w:rsid w:val="00923816"/>
    <w:rsid w:val="00925197"/>
    <w:rsid w:val="0092727B"/>
    <w:rsid w:val="009279A8"/>
    <w:rsid w:val="0093074B"/>
    <w:rsid w:val="00930E64"/>
    <w:rsid w:val="009422C5"/>
    <w:rsid w:val="00943CF9"/>
    <w:rsid w:val="00956F8C"/>
    <w:rsid w:val="00961D57"/>
    <w:rsid w:val="00971B25"/>
    <w:rsid w:val="00972DD0"/>
    <w:rsid w:val="0097603F"/>
    <w:rsid w:val="00976716"/>
    <w:rsid w:val="0097693B"/>
    <w:rsid w:val="0098072F"/>
    <w:rsid w:val="009837C5"/>
    <w:rsid w:val="00986696"/>
    <w:rsid w:val="00986B5A"/>
    <w:rsid w:val="00993355"/>
    <w:rsid w:val="009963F7"/>
    <w:rsid w:val="00997B99"/>
    <w:rsid w:val="009A11CB"/>
    <w:rsid w:val="009A4A6D"/>
    <w:rsid w:val="009B2362"/>
    <w:rsid w:val="009B44DD"/>
    <w:rsid w:val="009B7E42"/>
    <w:rsid w:val="009C7235"/>
    <w:rsid w:val="009D46CE"/>
    <w:rsid w:val="009D4ADA"/>
    <w:rsid w:val="009E13DD"/>
    <w:rsid w:val="009E6945"/>
    <w:rsid w:val="009F3F91"/>
    <w:rsid w:val="009F547A"/>
    <w:rsid w:val="00A00FFB"/>
    <w:rsid w:val="00A034C0"/>
    <w:rsid w:val="00A03D78"/>
    <w:rsid w:val="00A0503B"/>
    <w:rsid w:val="00A059CD"/>
    <w:rsid w:val="00A13265"/>
    <w:rsid w:val="00A14900"/>
    <w:rsid w:val="00A2159F"/>
    <w:rsid w:val="00A23C16"/>
    <w:rsid w:val="00A324FF"/>
    <w:rsid w:val="00A359BA"/>
    <w:rsid w:val="00A529BC"/>
    <w:rsid w:val="00A5346C"/>
    <w:rsid w:val="00A53F51"/>
    <w:rsid w:val="00A540B3"/>
    <w:rsid w:val="00A562F0"/>
    <w:rsid w:val="00A564FB"/>
    <w:rsid w:val="00A614C1"/>
    <w:rsid w:val="00A61EA6"/>
    <w:rsid w:val="00A657BF"/>
    <w:rsid w:val="00A66DE9"/>
    <w:rsid w:val="00A71136"/>
    <w:rsid w:val="00A7677A"/>
    <w:rsid w:val="00A81E23"/>
    <w:rsid w:val="00A92578"/>
    <w:rsid w:val="00AA323E"/>
    <w:rsid w:val="00AA474C"/>
    <w:rsid w:val="00AA4EA2"/>
    <w:rsid w:val="00AC1061"/>
    <w:rsid w:val="00AC2ED5"/>
    <w:rsid w:val="00AC35EF"/>
    <w:rsid w:val="00AC4D5B"/>
    <w:rsid w:val="00AD1DDB"/>
    <w:rsid w:val="00AD2697"/>
    <w:rsid w:val="00AD2DF5"/>
    <w:rsid w:val="00AD7E5F"/>
    <w:rsid w:val="00AE06B2"/>
    <w:rsid w:val="00AE3066"/>
    <w:rsid w:val="00AE79A6"/>
    <w:rsid w:val="00AF1F61"/>
    <w:rsid w:val="00AF45C3"/>
    <w:rsid w:val="00AF4F69"/>
    <w:rsid w:val="00AF68E4"/>
    <w:rsid w:val="00B00A87"/>
    <w:rsid w:val="00B01684"/>
    <w:rsid w:val="00B01AA1"/>
    <w:rsid w:val="00B06025"/>
    <w:rsid w:val="00B1065A"/>
    <w:rsid w:val="00B23CE5"/>
    <w:rsid w:val="00B30C81"/>
    <w:rsid w:val="00B30DA1"/>
    <w:rsid w:val="00B37C22"/>
    <w:rsid w:val="00B40853"/>
    <w:rsid w:val="00B42BC6"/>
    <w:rsid w:val="00B47127"/>
    <w:rsid w:val="00B4793B"/>
    <w:rsid w:val="00B56099"/>
    <w:rsid w:val="00B64A60"/>
    <w:rsid w:val="00B661AC"/>
    <w:rsid w:val="00B7406E"/>
    <w:rsid w:val="00B75650"/>
    <w:rsid w:val="00B75A1E"/>
    <w:rsid w:val="00B80ED3"/>
    <w:rsid w:val="00B81B4F"/>
    <w:rsid w:val="00B822AF"/>
    <w:rsid w:val="00B8468D"/>
    <w:rsid w:val="00B8680E"/>
    <w:rsid w:val="00B937D7"/>
    <w:rsid w:val="00B93D6A"/>
    <w:rsid w:val="00B9540E"/>
    <w:rsid w:val="00B96B67"/>
    <w:rsid w:val="00BA1A43"/>
    <w:rsid w:val="00BB0EA4"/>
    <w:rsid w:val="00BB40B9"/>
    <w:rsid w:val="00BB55F3"/>
    <w:rsid w:val="00BC57EF"/>
    <w:rsid w:val="00BC5ACC"/>
    <w:rsid w:val="00BC5C9C"/>
    <w:rsid w:val="00BC69DB"/>
    <w:rsid w:val="00BC75A8"/>
    <w:rsid w:val="00BE19CC"/>
    <w:rsid w:val="00BE6B6B"/>
    <w:rsid w:val="00BF1229"/>
    <w:rsid w:val="00BF12AD"/>
    <w:rsid w:val="00BF25F9"/>
    <w:rsid w:val="00BF55A5"/>
    <w:rsid w:val="00C00B04"/>
    <w:rsid w:val="00C072FC"/>
    <w:rsid w:val="00C079FA"/>
    <w:rsid w:val="00C13FD5"/>
    <w:rsid w:val="00C15633"/>
    <w:rsid w:val="00C15799"/>
    <w:rsid w:val="00C1725D"/>
    <w:rsid w:val="00C24B65"/>
    <w:rsid w:val="00C26530"/>
    <w:rsid w:val="00C27C2C"/>
    <w:rsid w:val="00C32E84"/>
    <w:rsid w:val="00C35415"/>
    <w:rsid w:val="00C357AD"/>
    <w:rsid w:val="00C35951"/>
    <w:rsid w:val="00C40CA5"/>
    <w:rsid w:val="00C459FA"/>
    <w:rsid w:val="00C45D4C"/>
    <w:rsid w:val="00C46F24"/>
    <w:rsid w:val="00C516C7"/>
    <w:rsid w:val="00C51C5F"/>
    <w:rsid w:val="00C5271A"/>
    <w:rsid w:val="00C554CC"/>
    <w:rsid w:val="00C55D4C"/>
    <w:rsid w:val="00C5688F"/>
    <w:rsid w:val="00C6069C"/>
    <w:rsid w:val="00C67253"/>
    <w:rsid w:val="00C70477"/>
    <w:rsid w:val="00C72AD4"/>
    <w:rsid w:val="00C73E31"/>
    <w:rsid w:val="00C74745"/>
    <w:rsid w:val="00C81E04"/>
    <w:rsid w:val="00C85119"/>
    <w:rsid w:val="00C95C48"/>
    <w:rsid w:val="00CA41E7"/>
    <w:rsid w:val="00CA7B98"/>
    <w:rsid w:val="00CB011E"/>
    <w:rsid w:val="00CB77BB"/>
    <w:rsid w:val="00CD170C"/>
    <w:rsid w:val="00CD320B"/>
    <w:rsid w:val="00CD3F37"/>
    <w:rsid w:val="00CD5431"/>
    <w:rsid w:val="00CE16EA"/>
    <w:rsid w:val="00CE3CA9"/>
    <w:rsid w:val="00CE4B93"/>
    <w:rsid w:val="00CE57BB"/>
    <w:rsid w:val="00CE7827"/>
    <w:rsid w:val="00CF2491"/>
    <w:rsid w:val="00CF3963"/>
    <w:rsid w:val="00D01304"/>
    <w:rsid w:val="00D01AAF"/>
    <w:rsid w:val="00D073C8"/>
    <w:rsid w:val="00D1252E"/>
    <w:rsid w:val="00D137DC"/>
    <w:rsid w:val="00D13D83"/>
    <w:rsid w:val="00D13D9D"/>
    <w:rsid w:val="00D14AFE"/>
    <w:rsid w:val="00D1772E"/>
    <w:rsid w:val="00D304CC"/>
    <w:rsid w:val="00D32941"/>
    <w:rsid w:val="00D34FF8"/>
    <w:rsid w:val="00D3742A"/>
    <w:rsid w:val="00D40AA4"/>
    <w:rsid w:val="00D40C54"/>
    <w:rsid w:val="00D416A3"/>
    <w:rsid w:val="00D43F83"/>
    <w:rsid w:val="00D459A2"/>
    <w:rsid w:val="00D45E54"/>
    <w:rsid w:val="00D530FF"/>
    <w:rsid w:val="00D53688"/>
    <w:rsid w:val="00D5407A"/>
    <w:rsid w:val="00D57772"/>
    <w:rsid w:val="00D66B27"/>
    <w:rsid w:val="00D72AE3"/>
    <w:rsid w:val="00D737F5"/>
    <w:rsid w:val="00D75A4D"/>
    <w:rsid w:val="00D8478B"/>
    <w:rsid w:val="00D86151"/>
    <w:rsid w:val="00D9172D"/>
    <w:rsid w:val="00D91C33"/>
    <w:rsid w:val="00D92077"/>
    <w:rsid w:val="00D92F9E"/>
    <w:rsid w:val="00D97E84"/>
    <w:rsid w:val="00DA21DC"/>
    <w:rsid w:val="00DA5641"/>
    <w:rsid w:val="00DA7595"/>
    <w:rsid w:val="00DB0A68"/>
    <w:rsid w:val="00DC3222"/>
    <w:rsid w:val="00DC43A3"/>
    <w:rsid w:val="00DC4CF3"/>
    <w:rsid w:val="00DC5C01"/>
    <w:rsid w:val="00DC7785"/>
    <w:rsid w:val="00DD7C09"/>
    <w:rsid w:val="00DE56D9"/>
    <w:rsid w:val="00DF0EB4"/>
    <w:rsid w:val="00DF111E"/>
    <w:rsid w:val="00DF2DF1"/>
    <w:rsid w:val="00DF5995"/>
    <w:rsid w:val="00E0124F"/>
    <w:rsid w:val="00E137F1"/>
    <w:rsid w:val="00E14026"/>
    <w:rsid w:val="00E227A3"/>
    <w:rsid w:val="00E26B16"/>
    <w:rsid w:val="00E35076"/>
    <w:rsid w:val="00E3663E"/>
    <w:rsid w:val="00E40D09"/>
    <w:rsid w:val="00E43561"/>
    <w:rsid w:val="00E55BFF"/>
    <w:rsid w:val="00E5762A"/>
    <w:rsid w:val="00E61FC4"/>
    <w:rsid w:val="00E65E4B"/>
    <w:rsid w:val="00E674D3"/>
    <w:rsid w:val="00E70FD0"/>
    <w:rsid w:val="00E72B2C"/>
    <w:rsid w:val="00E7309D"/>
    <w:rsid w:val="00E77C4B"/>
    <w:rsid w:val="00E8010C"/>
    <w:rsid w:val="00E82E0F"/>
    <w:rsid w:val="00E83D02"/>
    <w:rsid w:val="00E87B3D"/>
    <w:rsid w:val="00E87FE7"/>
    <w:rsid w:val="00E9301F"/>
    <w:rsid w:val="00E931B5"/>
    <w:rsid w:val="00E9690A"/>
    <w:rsid w:val="00E97DC7"/>
    <w:rsid w:val="00EB0A96"/>
    <w:rsid w:val="00EB53ED"/>
    <w:rsid w:val="00EC0D32"/>
    <w:rsid w:val="00EC0DF5"/>
    <w:rsid w:val="00ED52FE"/>
    <w:rsid w:val="00ED5BB5"/>
    <w:rsid w:val="00EE04C5"/>
    <w:rsid w:val="00EE5BB7"/>
    <w:rsid w:val="00EE72CC"/>
    <w:rsid w:val="00EF1C5A"/>
    <w:rsid w:val="00F000EF"/>
    <w:rsid w:val="00F146BB"/>
    <w:rsid w:val="00F171F5"/>
    <w:rsid w:val="00F23729"/>
    <w:rsid w:val="00F23CD1"/>
    <w:rsid w:val="00F2504E"/>
    <w:rsid w:val="00F2585B"/>
    <w:rsid w:val="00F4053F"/>
    <w:rsid w:val="00F4551A"/>
    <w:rsid w:val="00F461F2"/>
    <w:rsid w:val="00F50181"/>
    <w:rsid w:val="00F516E7"/>
    <w:rsid w:val="00F5286E"/>
    <w:rsid w:val="00F55CE8"/>
    <w:rsid w:val="00F57BF7"/>
    <w:rsid w:val="00F6263E"/>
    <w:rsid w:val="00F627C2"/>
    <w:rsid w:val="00F63A3A"/>
    <w:rsid w:val="00F70C0C"/>
    <w:rsid w:val="00F736FD"/>
    <w:rsid w:val="00F809E3"/>
    <w:rsid w:val="00F84067"/>
    <w:rsid w:val="00F846B7"/>
    <w:rsid w:val="00F956E5"/>
    <w:rsid w:val="00F96FE9"/>
    <w:rsid w:val="00FA23AA"/>
    <w:rsid w:val="00FA425C"/>
    <w:rsid w:val="00FA50B4"/>
    <w:rsid w:val="00FA791D"/>
    <w:rsid w:val="00FB0BF5"/>
    <w:rsid w:val="00FB6E83"/>
    <w:rsid w:val="00FC156A"/>
    <w:rsid w:val="00FC40AA"/>
    <w:rsid w:val="00FC6A43"/>
    <w:rsid w:val="00FD1BD9"/>
    <w:rsid w:val="00FD3995"/>
    <w:rsid w:val="00FD3D06"/>
    <w:rsid w:val="00FD6235"/>
    <w:rsid w:val="00FE13D1"/>
    <w:rsid w:val="00FE3DE5"/>
    <w:rsid w:val="00FE5B8C"/>
    <w:rsid w:val="00FF4C74"/>
    <w:rsid w:val="00FF7C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11E"/>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UnresolvedMention1">
    <w:name w:val="Unresolved Mention1"/>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locked/>
    <w:rsid w:val="003B38AE"/>
    <w:rPr>
      <w:rFonts w:eastAsia="BatangChe"/>
      <w:sz w:val="24"/>
      <w:szCs w:val="24"/>
    </w:rPr>
  </w:style>
  <w:style w:type="paragraph" w:customStyle="1" w:styleId="Tabletext">
    <w:name w:val="Table_text"/>
    <w:basedOn w:val="Normal"/>
    <w:link w:val="TabletextChar"/>
    <w:rsid w:val="001050A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Batang" w:hAnsi="Calibri" w:cs="Calibri"/>
      <w:sz w:val="20"/>
      <w:szCs w:val="22"/>
      <w:lang w:eastAsia="nl-NL"/>
    </w:rPr>
  </w:style>
  <w:style w:type="character" w:customStyle="1" w:styleId="TabletextChar">
    <w:name w:val="Table_text Char"/>
    <w:basedOn w:val="DefaultParagraphFont"/>
    <w:link w:val="Tabletext"/>
    <w:locked/>
    <w:rsid w:val="001050A7"/>
    <w:rPr>
      <w:rFonts w:ascii="Calibri" w:hAnsi="Calibri" w:cs="Calibri"/>
      <w:szCs w:val="22"/>
      <w:lang w:eastAsia="nl-NL"/>
    </w:rPr>
  </w:style>
  <w:style w:type="paragraph" w:customStyle="1" w:styleId="enumlev1">
    <w:name w:val="enumlev1"/>
    <w:basedOn w:val="Normal"/>
    <w:link w:val="enumlev1Char"/>
    <w:qFormat/>
    <w:rsid w:val="006564F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6564FF"/>
    <w:rPr>
      <w:rFonts w:eastAsia="MS Mincho"/>
      <w:sz w:val="24"/>
      <w:lang w:val="en-GB"/>
    </w:rPr>
  </w:style>
  <w:style w:type="character" w:styleId="FollowedHyperlink">
    <w:name w:val="FollowedHyperlink"/>
    <w:basedOn w:val="DefaultParagraphFont"/>
    <w:semiHidden/>
    <w:unhideWhenUsed/>
    <w:rsid w:val="00E87B3D"/>
    <w:rPr>
      <w:color w:val="800080" w:themeColor="followedHyperlink"/>
      <w:u w:val="single"/>
    </w:rPr>
  </w:style>
  <w:style w:type="paragraph" w:styleId="NormalWeb">
    <w:name w:val="Normal (Web)"/>
    <w:basedOn w:val="Normal"/>
    <w:uiPriority w:val="99"/>
    <w:unhideWhenUsed/>
    <w:rsid w:val="006E581A"/>
    <w:pPr>
      <w:spacing w:before="100" w:beforeAutospacing="1" w:after="100" w:afterAutospacing="1"/>
    </w:pPr>
    <w:rPr>
      <w:rFonts w:eastAsia="Times New Roman"/>
    </w:rPr>
  </w:style>
  <w:style w:type="character" w:customStyle="1" w:styleId="Heading8Char">
    <w:name w:val="Heading 8 Char"/>
    <w:basedOn w:val="DefaultParagraphFont"/>
    <w:link w:val="Heading8"/>
    <w:rsid w:val="00D737F5"/>
    <w:rPr>
      <w:rFonts w:eastAsia="BatangChe"/>
      <w:b/>
      <w:bCs/>
      <w:kern w:val="2"/>
      <w:lang w:eastAsia="ko-KR"/>
    </w:rPr>
  </w:style>
  <w:style w:type="character" w:customStyle="1" w:styleId="UnresolvedMention2">
    <w:name w:val="Unresolved Mention2"/>
    <w:basedOn w:val="DefaultParagraphFont"/>
    <w:uiPriority w:val="99"/>
    <w:semiHidden/>
    <w:unhideWhenUsed/>
    <w:rsid w:val="00F5286E"/>
    <w:rPr>
      <w:color w:val="605E5C"/>
      <w:shd w:val="clear" w:color="auto" w:fill="E1DFDD"/>
    </w:rPr>
  </w:style>
  <w:style w:type="paragraph" w:styleId="Revision">
    <w:name w:val="Revision"/>
    <w:hidden/>
    <w:uiPriority w:val="99"/>
    <w:semiHidden/>
    <w:rsid w:val="00F55CE8"/>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7076">
      <w:bodyDiv w:val="1"/>
      <w:marLeft w:val="0"/>
      <w:marRight w:val="0"/>
      <w:marTop w:val="0"/>
      <w:marBottom w:val="0"/>
      <w:divBdr>
        <w:top w:val="none" w:sz="0" w:space="0" w:color="auto"/>
        <w:left w:val="none" w:sz="0" w:space="0" w:color="auto"/>
        <w:bottom w:val="none" w:sz="0" w:space="0" w:color="auto"/>
        <w:right w:val="none" w:sz="0" w:space="0" w:color="auto"/>
      </w:divBdr>
      <w:divsChild>
        <w:div w:id="158233182">
          <w:marLeft w:val="446"/>
          <w:marRight w:val="0"/>
          <w:marTop w:val="0"/>
          <w:marBottom w:val="0"/>
          <w:divBdr>
            <w:top w:val="none" w:sz="0" w:space="0" w:color="auto"/>
            <w:left w:val="none" w:sz="0" w:space="0" w:color="auto"/>
            <w:bottom w:val="none" w:sz="0" w:space="0" w:color="auto"/>
            <w:right w:val="none" w:sz="0" w:space="0" w:color="auto"/>
          </w:divBdr>
        </w:div>
        <w:div w:id="7055705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t.int/sites/default/files/2022/08/APG23-4-INP-23_IRN_WP1_Preliminary_Views_on_WRC-23_Agenda_Items_1.1_1.2_1.3_1.4_1.5_and_9.1Topic_c.docx" TargetMode="External"/><Relationship Id="rId21" Type="http://schemas.openxmlformats.org/officeDocument/2006/relationships/hyperlink" Target="https://www.apt.int/sites/default/files/2021/11/APG23-3-INP-40_Samoa_-_WRC-23_Agenda_Item_1.5.docx" TargetMode="External"/><Relationship Id="rId42" Type="http://schemas.openxmlformats.org/officeDocument/2006/relationships/hyperlink" Target="https://www.apt.int/sites/default/files/2021/11/APG23-3-INF-39_Report_of_APM23-2.docx" TargetMode="External"/><Relationship Id="rId47" Type="http://schemas.openxmlformats.org/officeDocument/2006/relationships/hyperlink" Target="https://www.apt.int/sites/default/files/2022/08/APG23-4-INF-28_CITEL_Preparation_for_WRC-23.pdf" TargetMode="External"/><Relationship Id="rId63" Type="http://schemas.openxmlformats.org/officeDocument/2006/relationships/hyperlink" Target="https://www.apt.int/sites/default/files/2022/08/APG23-4-INF-28_CITEL_Preparation_for_WRC-23.pdf" TargetMode="External"/><Relationship Id="rId68" Type="http://schemas.openxmlformats.org/officeDocument/2006/relationships/hyperlink" Target="https://www.apt.int/sites/default/files/2022/07/APG23-4-INF-03_WMO_Positions.docx" TargetMode="External"/><Relationship Id="rId16" Type="http://schemas.openxmlformats.org/officeDocument/2006/relationships/hyperlink" Target="https://www.apt.int/sites/default/files/2021/04/APG23-2-INP-24_AUS_contribution_for_WP1_Preliminary_Views_on_WRC-23_Agenda_Items_1.1_1.2_1.3_1.4_1.5_9.1Topic_c_and_No._21.5.docx" TargetMode="External"/><Relationship Id="rId11" Type="http://schemas.openxmlformats.org/officeDocument/2006/relationships/hyperlink" Target="https://www.itu.int/dms_ties/itu-r/md/19/tg6.1/c/R19-TG6.1-C-0106!N2!MSW-E.docx" TargetMode="External"/><Relationship Id="rId24" Type="http://schemas.openxmlformats.org/officeDocument/2006/relationships/hyperlink" Target="https://www.apt.int/sites/default/files/2022/08/APG23-4-INP-07_J-1_WP1_Preliminary_Views_on_WRC-23_Agenda_Items_1.1_1.2_1.3_1.4_1.5_9.1.C_and_RR_No.21.5.docx" TargetMode="External"/><Relationship Id="rId32" Type="http://schemas.openxmlformats.org/officeDocument/2006/relationships/hyperlink" Target="https://www.apt.int/sites/default/files/2021/03/APG23-2-INF-12_Briefing_on_AI1.5.docx" TargetMode="External"/><Relationship Id="rId37" Type="http://schemas.openxmlformats.org/officeDocument/2006/relationships/hyperlink" Target="https://www.apt.int/sites/default/files/2021/10/APG23-3-INF-01_Preliminary_WMO_Position_on_WRC-23_Agenda.docx" TargetMode="External"/><Relationship Id="rId40" Type="http://schemas.openxmlformats.org/officeDocument/2006/relationships/hyperlink" Target="https://www.apt.int/sites/default/files/2021/11/APG23-3-INF-22_Briefing_on_AI1.5-clean.docx" TargetMode="External"/><Relationship Id="rId45" Type="http://schemas.openxmlformats.org/officeDocument/2006/relationships/hyperlink" Target="https://www.apt.int/sites/default/files/2022/08/APG23-4-INF-17_Brief_on_AI1.5.docx" TargetMode="External"/><Relationship Id="rId53" Type="http://schemas.openxmlformats.org/officeDocument/2006/relationships/hyperlink" Target="https://www.apt.int/sites/default/files/2022/08/APG23-4-INP-14_AUS_WP1_Preliminary_Views_on_WRC-23_Agenda_Items_1.1_1.2_1.3_1.4_1.5_9.1Topic_c_and_No21.5.docx" TargetMode="External"/><Relationship Id="rId58" Type="http://schemas.openxmlformats.org/officeDocument/2006/relationships/hyperlink" Target="https://www.apt.int/sites/default/files/2022/08/APG23-4-INP-61_India_WP1_Preliminary_Views_on_WRC-23_Agenda_Items_1.2_1.3_1.4_1.5_9.1Topic_c_and_No.21.5.docx" TargetMode="External"/><Relationship Id="rId66" Type="http://schemas.openxmlformats.org/officeDocument/2006/relationships/hyperlink" Target="https://www.apt.int/sites/default/files/2022/08/APG23-4-INF-44_Status_of_RCC_preparation_to_the_World_Radio_Conference_and_Radio_Assembly_2023.pdf"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apt.int/sites/default/files/2022/07/APG23-4-INF-02_ATU_preparation.docx" TargetMode="External"/><Relationship Id="rId19" Type="http://schemas.openxmlformats.org/officeDocument/2006/relationships/hyperlink" Target="https://www.apt.int/sites/default/files/2021/10/APG23-3-INP-07_AUS_contribution_for_WP1_Preliminary_Views_on_WRC-23_Agenda_Items_1.1_1.2_1.3_1.4_1.5_9.1Topic_c_and_No._21.5_v2.docx" TargetMode="External"/><Relationship Id="rId14" Type="http://schemas.openxmlformats.org/officeDocument/2006/relationships/hyperlink" Target="https://www.itu.int/dms_ties/itu-r/md/19/tg6.1/c/R19-TG6.1-C-0106!N4!MSW-E.docx" TargetMode="External"/><Relationship Id="rId22" Type="http://schemas.openxmlformats.org/officeDocument/2006/relationships/hyperlink" Target="https://www.apt.int/sites/default/files/2021/11/APG23-3-INP-46_Iran-AI1.2_1.3_1.4_1.5_9.1c.docx" TargetMode="External"/><Relationship Id="rId27" Type="http://schemas.openxmlformats.org/officeDocument/2006/relationships/hyperlink" Target="https://www.apt.int/sites/default/files/2022/08/APG23-4-INP-40_China_WP1_Preliminary_Views_on_WRC-23_Agenda_Items_1.1_1.2_1.3_1.4_1.5_9.1Topic_c_and_No.21.5.docx" TargetMode="External"/><Relationship Id="rId30" Type="http://schemas.openxmlformats.org/officeDocument/2006/relationships/hyperlink" Target="https://www.apt.int/sites/default/files/2022/08/APG23-4-INP-61_India_WP1_Preliminary_Views_on_WRC-23_Agenda_Items_1.2_1.3_1.4_1.5_9.1Topic_c_and_No.21.5.docx" TargetMode="External"/><Relationship Id="rId35" Type="http://schemas.openxmlformats.org/officeDocument/2006/relationships/hyperlink" Target="https://www.apt.int/sites/default/files/2021/04/APG23-2-INF-34_CITEL_Preparation_for_WRC23_april_2021_revfinal.docx" TargetMode="External"/><Relationship Id="rId43" Type="http://schemas.openxmlformats.org/officeDocument/2006/relationships/hyperlink" Target="https://www.apt.int/sites/default/files/2022/07/APG23-4-INF-02_ATU_preparation.docx" TargetMode="External"/><Relationship Id="rId48" Type="http://schemas.openxmlformats.org/officeDocument/2006/relationships/hyperlink" Target="https://www.apt.int/sites/default/files/2022/08/APG23-4-INF-30_Preliminary_Views_on_WRC-23_Agenda_Items_1.1_1.2_1.3_and_1.5.docx" TargetMode="External"/><Relationship Id="rId56" Type="http://schemas.openxmlformats.org/officeDocument/2006/relationships/hyperlink" Target="https://www.apt.int/sites/default/files/2022/08/APG23-4-INP-51_NZL_WP1_Preliminary_Views_on_WRC-23_Agenda_Items_1.1_1.2_1.3_1.5_9.1_Topic_c_and_No.21.5.docx" TargetMode="External"/><Relationship Id="rId64" Type="http://schemas.openxmlformats.org/officeDocument/2006/relationships/hyperlink" Target="https://www.apt.int/sites/default/files/2022/08/APG23-4-INF-30_Preliminary_Views_on_WRC-23_Agenda_Items_1.1_1.2_1.3_and_1.5.docx" TargetMode="External"/><Relationship Id="rId69" Type="http://schemas.openxmlformats.org/officeDocument/2006/relationships/hyperlink" Target="https://www.apt.int/sites/default/files/2021/10/APG23-3-INF-15_ICAO-Position_for_ITU_WRC-23.docx"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apt.int/sites/default/files/2022/08/APG23-4-INF-48_Status_of_CEPT_preparation_for_WRC-23_and_RA-23.pd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dms_ties/itu-r/md/19/tg6.1/c/R19-TG6.1-C-0106!N3!MSW-E.docx" TargetMode="External"/><Relationship Id="rId17" Type="http://schemas.openxmlformats.org/officeDocument/2006/relationships/hyperlink" Target="https://www.apt.int/sites/default/files/2021/04/APG23-2-INP-50_VTN_WP1_PV_1.1_1.2_1.3_1.4_1.5.docx" TargetMode="External"/><Relationship Id="rId25" Type="http://schemas.openxmlformats.org/officeDocument/2006/relationships/hyperlink" Target="https://www.apt.int/sites/default/files/2022/08/APG23-4-INP-14_AUS_WP1_Preliminary_Views_on_WRC-23_Agenda_Items_1.1_1.2_1.3_1.4_1.5_9.1Topic_c_and_No21.5.docx" TargetMode="External"/><Relationship Id="rId33" Type="http://schemas.openxmlformats.org/officeDocument/2006/relationships/hyperlink" Target="https://www.apt.int/sites/default/files/2021/04/APG23-2-INF-25_ASMG.docx" TargetMode="External"/><Relationship Id="rId38" Type="http://schemas.openxmlformats.org/officeDocument/2006/relationships/hyperlink" Target="https://www.apt.int/sites/default/files/2021/11/APG23-3-INF-18_GSMA_Views.docx" TargetMode="External"/><Relationship Id="rId46" Type="http://schemas.openxmlformats.org/officeDocument/2006/relationships/hyperlink" Target="https://www.apt.int/sites/default/files/2022/08/APG23-4-INF-21_ASMG_Preparation_for_WRC-23.pdf" TargetMode="External"/><Relationship Id="rId59" Type="http://schemas.openxmlformats.org/officeDocument/2006/relationships/hyperlink" Target="https://www.apt.int/sites/default/files/2022/08/APG23-4-INP-74_VTN_WP1_Preliminary_Views_on_WRC-23_Agenda_Items_1.1_1.2_1.3_1.4_and_1.5.docx" TargetMode="External"/><Relationship Id="rId67" Type="http://schemas.openxmlformats.org/officeDocument/2006/relationships/hyperlink" Target="https://www.apt.int/sites/default/files/2022/08/APG23-4-INF-48_Status_of_CEPT_preparation_for_WRC-23_and_RA-23.pdf" TargetMode="External"/><Relationship Id="rId20" Type="http://schemas.openxmlformats.org/officeDocument/2006/relationships/hyperlink" Target="https://www.apt.int/sites/default/files/2021/11/APG23-3-INP-20_New_Zealand_input_to_WP1_AIs_1.1_1.2_1.3_1.5_9.1_Topic_C_Art._No_21.5.docx" TargetMode="External"/><Relationship Id="rId41" Type="http://schemas.openxmlformats.org/officeDocument/2006/relationships/hyperlink" Target="https://www.apt.int/sites/default/files/2021/11/APG23-3-INF-37_ASMG_Preparation_for_WRC-23.pdf" TargetMode="External"/><Relationship Id="rId54" Type="http://schemas.openxmlformats.org/officeDocument/2006/relationships/hyperlink" Target="https://www.apt.int/sites/default/files/2022/08/APG23-4-INP-23_IRN_WP1_Preliminary_Views_on_WRC-23_Agenda_Items_1.1_1.2_1.3_1.4_1.5_and_9.1Topic_c.docx" TargetMode="External"/><Relationship Id="rId62" Type="http://schemas.openxmlformats.org/officeDocument/2006/relationships/hyperlink" Target="https://www.apt.int/sites/default/files/2022/08/APG23-4-INF-21_ASMG_Preparation_for_WRC-23.pdf"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Upload-files/AWG/APT-AWG-REP-79_APT_Report_Arrangement_470-698_MHz.docx" TargetMode="External"/><Relationship Id="rId23" Type="http://schemas.openxmlformats.org/officeDocument/2006/relationships/hyperlink" Target="https://www.apt.int/sites/default/files/2021/11/APG23-3-INP-51_VTN_WP1_PV_1.1_1.2_1.3_1.4_1.5.docx" TargetMode="External"/><Relationship Id="rId28" Type="http://schemas.openxmlformats.org/officeDocument/2006/relationships/hyperlink" Target="https://www.apt.int/sites/default/files/2022/08/APG23-4-INP-51_NZL_WP1_Preliminary_Views_on_WRC-23_Agenda_Items_1.1_1.2_1.3_1.5_9.1_Topic_c_and_No.21.5.docx" TargetMode="External"/><Relationship Id="rId36" Type="http://schemas.openxmlformats.org/officeDocument/2006/relationships/hyperlink" Target="https://www.apt.int/sites/default/files/2021/04/APG23-2-INF-36_RCC_Preparation_to_the_World_Radio_Conference_and_Radio_Assembly_2023.docx" TargetMode="External"/><Relationship Id="rId49" Type="http://schemas.openxmlformats.org/officeDocument/2006/relationships/hyperlink" Target="https://www.apt.int/sites/default/files/2022/08/APG23-4-INF-33_GSMA_views_on_WRC-23_Agenda_Items.docx" TargetMode="External"/><Relationship Id="rId57" Type="http://schemas.openxmlformats.org/officeDocument/2006/relationships/hyperlink" Target="https://www.apt.int/sites/default/files/2022/08/APG23-4-INP-59_Samoa_WP1_Preliminary_Views_on_WRC-23_Agenda_Items_1.2_1.5_and_9.1Topic_c.docx" TargetMode="External"/><Relationship Id="rId10" Type="http://schemas.openxmlformats.org/officeDocument/2006/relationships/hyperlink" Target="https://www.itu.int/dms_ties/itu-r/md/19/tg6.1/c/R19-TG6.1-C-0106!N1!MSW-E.docx" TargetMode="External"/><Relationship Id="rId31" Type="http://schemas.openxmlformats.org/officeDocument/2006/relationships/hyperlink" Target="https://www.apt.int/sites/default/files/2022/08/APG23-4-INP-74_VTN_WP1_Preliminary_Views_on_WRC-23_Agenda_Items_1.1_1.2_1.3_1.4_and_1.5.docx" TargetMode="External"/><Relationship Id="rId44" Type="http://schemas.openxmlformats.org/officeDocument/2006/relationships/hyperlink" Target="https://www.apt.int/sites/default/files/2022/07/APG23-4-INF-03_WMO_Positions.docx" TargetMode="External"/><Relationship Id="rId52" Type="http://schemas.openxmlformats.org/officeDocument/2006/relationships/hyperlink" Target="https://www.apt.int/sites/default/files/2022/08/APG23-4-INP-07_J-1_WP1_Preliminary_Views_on_WRC-23_Agenda_Items_1.1_1.2_1.3_1.4_1.5_9.1.C_and_RR_No.21.5.docx" TargetMode="External"/><Relationship Id="rId60" Type="http://schemas.openxmlformats.org/officeDocument/2006/relationships/hyperlink" Target="https://www.itu.int/dms_ties/itu-r/md/19/tg6.1/c/R19-TG6.1-C-0106!N5!MSW-E.docx" TargetMode="External"/><Relationship Id="rId65" Type="http://schemas.openxmlformats.org/officeDocument/2006/relationships/hyperlink" Target="https://www.apt.int/sites/default/files/2022/08/APG23-4-INF-33_GSMA_views_on_WRC-23_Agenda_Items.docx"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dms_pub/itu-r/md/00/ca/cir/R00-CA-CIR-0251!!MSW-E.docx" TargetMode="External"/><Relationship Id="rId13" Type="http://schemas.openxmlformats.org/officeDocument/2006/relationships/hyperlink" Target="https://www.itu.int/dms_ties/itu-r/md/19/tg6.1/c/R19-TG6.1-C-0106!N5!MSW-E.docx" TargetMode="External"/><Relationship Id="rId18" Type="http://schemas.openxmlformats.org/officeDocument/2006/relationships/hyperlink" Target="https://www.apt.int/sites/default/files/2021/04/APG23-2-INP-53_LS_from_AWG.docx" TargetMode="External"/><Relationship Id="rId39" Type="http://schemas.openxmlformats.org/officeDocument/2006/relationships/hyperlink" Target="https://www.apt.int/sites/default/files/2021/11/APG23-3-INF-20_Status_of_CEPT_Preparation_for_WRC-23_and_RA-23.pdf" TargetMode="External"/><Relationship Id="rId34" Type="http://schemas.openxmlformats.org/officeDocument/2006/relationships/hyperlink" Target="https://www.apt.int/sites/default/files/2021/04/APG23-2-INF-30_GSMA_contribution_APG23-2_final.docx" TargetMode="External"/><Relationship Id="rId50" Type="http://schemas.openxmlformats.org/officeDocument/2006/relationships/hyperlink" Target="https://www.apt.int/sites/default/files/2022/08/APG23-4-INF-44_Status_of_RCC_preparation_to_the_World_Radio_Conference_and_Radio_Assembly_2023.pdf" TargetMode="External"/><Relationship Id="rId55" Type="http://schemas.openxmlformats.org/officeDocument/2006/relationships/hyperlink" Target="https://www.apt.int/sites/default/files/2022/08/APG23-4-INP-40_China_WP1_Preliminary_Views_on_WRC-23_Agenda_Items_1.1_1.2_1.3_1.4_1.5_9.1Topic_c_and_No.21.5.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www.apt.int/sites/default/files/2022/08/APG23-4-INP-59_Samoa_WP1_Preliminary_Views_on_WRC-23_Agenda_Items_1.2_1.5_and_9.1Topic_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1D23-2887-48C8-AC4D-D7EFB720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3885</Words>
  <Characters>22146</Characters>
  <Application>Microsoft Office Word</Application>
  <DocSecurity>0</DocSecurity>
  <Lines>184</Lines>
  <Paragraphs>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2022-08-29T05:42:00Z</dcterms:created>
  <dcterms:modified xsi:type="dcterms:W3CDTF">2022-08-29T05:42:00Z</dcterms:modified>
</cp:coreProperties>
</file>