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4F5818" w:rsidRPr="00AB76C8" w14:paraId="35F2ABE2" w14:textId="77777777" w:rsidTr="00DF4143">
        <w:trPr>
          <w:cantSplit/>
          <w:trHeight w:val="288"/>
        </w:trPr>
        <w:tc>
          <w:tcPr>
            <w:tcW w:w="1399" w:type="dxa"/>
            <w:vMerge w:val="restart"/>
          </w:tcPr>
          <w:p w14:paraId="5F6514C9" w14:textId="77777777" w:rsidR="004F5818" w:rsidRPr="00AB76C8" w:rsidRDefault="004F5818" w:rsidP="00DF4143">
            <w:pPr>
              <w:widowControl w:val="0"/>
              <w:wordWrap w:val="0"/>
              <w:jc w:val="both"/>
              <w:rPr>
                <w:kern w:val="2"/>
                <w:lang w:eastAsia="ko-KR"/>
              </w:rPr>
            </w:pPr>
            <w:r w:rsidRPr="00AB76C8">
              <w:rPr>
                <w:noProof/>
                <w:kern w:val="2"/>
              </w:rPr>
              <w:drawing>
                <wp:inline distT="0" distB="0" distL="0" distR="0" wp14:anchorId="38E76F39" wp14:editId="21A2B454">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43DB4EB2" w14:textId="77777777" w:rsidR="004F5818" w:rsidRPr="00AB76C8" w:rsidRDefault="004F5818" w:rsidP="00DF4143">
            <w:pPr>
              <w:spacing w:before="40"/>
              <w:rPr>
                <w:sz w:val="22"/>
                <w:szCs w:val="22"/>
              </w:rPr>
            </w:pPr>
            <w:r w:rsidRPr="00AB76C8">
              <w:rPr>
                <w:sz w:val="22"/>
                <w:szCs w:val="22"/>
              </w:rPr>
              <w:t>ASIA-PACIFIC TELECOMMUNITY</w:t>
            </w:r>
          </w:p>
        </w:tc>
        <w:tc>
          <w:tcPr>
            <w:tcW w:w="2160" w:type="dxa"/>
          </w:tcPr>
          <w:p w14:paraId="4F66CDD1" w14:textId="77777777" w:rsidR="004F5818" w:rsidRPr="00AB76C8" w:rsidRDefault="004F5818" w:rsidP="00DF4143">
            <w:pPr>
              <w:keepNext/>
              <w:widowControl w:val="0"/>
              <w:wordWrap w:val="0"/>
              <w:spacing w:before="40"/>
              <w:jc w:val="both"/>
              <w:outlineLvl w:val="7"/>
              <w:rPr>
                <w:b/>
                <w:bCs/>
                <w:kern w:val="2"/>
                <w:lang w:eastAsia="ko-KR"/>
              </w:rPr>
            </w:pPr>
            <w:r w:rsidRPr="00AB76C8">
              <w:rPr>
                <w:b/>
                <w:bCs/>
                <w:kern w:val="2"/>
                <w:lang w:eastAsia="ko-KR"/>
              </w:rPr>
              <w:t>Document No:</w:t>
            </w:r>
          </w:p>
        </w:tc>
      </w:tr>
      <w:tr w:rsidR="004F5818" w:rsidRPr="00AB76C8" w14:paraId="0CEBAE10" w14:textId="77777777" w:rsidTr="00DF4143">
        <w:trPr>
          <w:cantSplit/>
          <w:trHeight w:val="504"/>
        </w:trPr>
        <w:tc>
          <w:tcPr>
            <w:tcW w:w="1399" w:type="dxa"/>
            <w:vMerge/>
          </w:tcPr>
          <w:p w14:paraId="39B8D897" w14:textId="77777777" w:rsidR="004F5818" w:rsidRPr="00AB76C8" w:rsidRDefault="004F5818" w:rsidP="00DF4143"/>
        </w:tc>
        <w:tc>
          <w:tcPr>
            <w:tcW w:w="5760" w:type="dxa"/>
            <w:vAlign w:val="center"/>
          </w:tcPr>
          <w:p w14:paraId="0359EA62" w14:textId="77777777" w:rsidR="004F5818" w:rsidRPr="00AB76C8" w:rsidRDefault="004F5818" w:rsidP="00DF4143">
            <w:pPr>
              <w:spacing w:line="0" w:lineRule="atLeast"/>
              <w:rPr>
                <w:b/>
              </w:rPr>
            </w:pPr>
            <w:r w:rsidRPr="00AB76C8">
              <w:rPr>
                <w:b/>
              </w:rPr>
              <w:t>The 4th Meeting of the APT Conference Preparatory</w:t>
            </w:r>
          </w:p>
          <w:p w14:paraId="2B8156B1" w14:textId="77777777" w:rsidR="004F5818" w:rsidRPr="00AB76C8" w:rsidRDefault="004F5818" w:rsidP="00DF4143">
            <w:pPr>
              <w:spacing w:before="40"/>
            </w:pPr>
            <w:r w:rsidRPr="00AB76C8">
              <w:rPr>
                <w:b/>
              </w:rPr>
              <w:t>Group for WRC-23 (APG23-4)</w:t>
            </w:r>
          </w:p>
        </w:tc>
        <w:tc>
          <w:tcPr>
            <w:tcW w:w="2160" w:type="dxa"/>
          </w:tcPr>
          <w:p w14:paraId="1BE79AC5" w14:textId="01B45121" w:rsidR="004F5818" w:rsidRPr="00155EF4" w:rsidRDefault="004F5818" w:rsidP="00DF4143">
            <w:pPr>
              <w:spacing w:before="40"/>
              <w:rPr>
                <w:rFonts w:cs="Angsana New"/>
                <w:b/>
                <w:bCs/>
                <w:szCs w:val="30"/>
                <w:lang w:bidi="th-TH"/>
              </w:rPr>
            </w:pPr>
            <w:r w:rsidRPr="00AB76C8">
              <w:rPr>
                <w:b/>
                <w:bCs/>
                <w:lang w:val="fr-FR"/>
              </w:rPr>
              <w:t>APG23-4/</w:t>
            </w:r>
            <w:r>
              <w:rPr>
                <w:b/>
                <w:bCs/>
                <w:lang w:val="fr-FR"/>
              </w:rPr>
              <w:t>OUT</w:t>
            </w:r>
            <w:r w:rsidRPr="00AB76C8">
              <w:rPr>
                <w:b/>
                <w:bCs/>
                <w:lang w:val="fr-FR"/>
              </w:rPr>
              <w:t>-</w:t>
            </w:r>
            <w:r>
              <w:rPr>
                <w:b/>
                <w:bCs/>
                <w:lang w:val="fr-FR"/>
              </w:rPr>
              <w:t>30</w:t>
            </w:r>
          </w:p>
          <w:p w14:paraId="1F294292" w14:textId="77777777" w:rsidR="004F5818" w:rsidRPr="00AB76C8" w:rsidRDefault="004F5818" w:rsidP="00DF4143">
            <w:pPr>
              <w:rPr>
                <w:b/>
                <w:bCs/>
                <w:lang w:val="en-GB"/>
              </w:rPr>
            </w:pPr>
          </w:p>
        </w:tc>
      </w:tr>
      <w:tr w:rsidR="004F5818" w:rsidRPr="00AB76C8" w14:paraId="4BFCF2CF" w14:textId="77777777" w:rsidTr="00DF4143">
        <w:trPr>
          <w:cantSplit/>
          <w:trHeight w:val="288"/>
        </w:trPr>
        <w:tc>
          <w:tcPr>
            <w:tcW w:w="1399" w:type="dxa"/>
            <w:vMerge/>
          </w:tcPr>
          <w:p w14:paraId="4881592E" w14:textId="77777777" w:rsidR="004F5818" w:rsidRPr="00AB76C8" w:rsidRDefault="004F5818" w:rsidP="00DF4143">
            <w:pPr>
              <w:rPr>
                <w:lang w:val="en-GB"/>
              </w:rPr>
            </w:pPr>
          </w:p>
        </w:tc>
        <w:tc>
          <w:tcPr>
            <w:tcW w:w="5760" w:type="dxa"/>
            <w:vAlign w:val="bottom"/>
          </w:tcPr>
          <w:p w14:paraId="25470A7C" w14:textId="77777777" w:rsidR="004F5818" w:rsidRPr="00AB76C8" w:rsidRDefault="004F5818" w:rsidP="00DF4143">
            <w:pPr>
              <w:spacing w:before="40"/>
              <w:rPr>
                <w:b/>
              </w:rPr>
            </w:pPr>
            <w:r w:rsidRPr="00AB76C8">
              <w:t>15 – 20 August 2022, Bangkok, Thailand</w:t>
            </w:r>
          </w:p>
        </w:tc>
        <w:tc>
          <w:tcPr>
            <w:tcW w:w="2160" w:type="dxa"/>
            <w:vAlign w:val="bottom"/>
          </w:tcPr>
          <w:p w14:paraId="316A098B" w14:textId="77777777" w:rsidR="004F5818" w:rsidRPr="00AB76C8" w:rsidRDefault="004F5818" w:rsidP="00DF4143">
            <w:pPr>
              <w:spacing w:before="40"/>
              <w:rPr>
                <w:bCs/>
              </w:rPr>
            </w:pPr>
            <w:r>
              <w:rPr>
                <w:bCs/>
              </w:rPr>
              <w:t>20 August</w:t>
            </w:r>
            <w:r w:rsidRPr="00AB76C8">
              <w:rPr>
                <w:bCs/>
              </w:rPr>
              <w:t xml:space="preserve"> 2022</w:t>
            </w:r>
          </w:p>
        </w:tc>
      </w:tr>
    </w:tbl>
    <w:p w14:paraId="41FBDCD2" w14:textId="77777777" w:rsidR="004F5818" w:rsidRPr="00E75BCE" w:rsidRDefault="004F5818" w:rsidP="004F5818">
      <w:pPr>
        <w:rPr>
          <w:rFonts w:cstheme="minorBidi"/>
          <w:color w:val="000000" w:themeColor="text1"/>
          <w:szCs w:val="30"/>
          <w:lang w:bidi="th-TH"/>
        </w:rPr>
      </w:pPr>
    </w:p>
    <w:p w14:paraId="76533429" w14:textId="77777777" w:rsidR="004F5818" w:rsidRPr="00C45955" w:rsidRDefault="004F5818" w:rsidP="004F5818">
      <w:pPr>
        <w:jc w:val="center"/>
        <w:rPr>
          <w:color w:val="000000" w:themeColor="text1"/>
          <w:lang w:val="en-NZ" w:eastAsia="ko-KR"/>
        </w:rPr>
      </w:pPr>
      <w:r>
        <w:rPr>
          <w:color w:val="000000" w:themeColor="text1"/>
          <w:lang w:val="en-NZ" w:eastAsia="ko-KR"/>
        </w:rPr>
        <w:t>Working Party 4</w:t>
      </w:r>
    </w:p>
    <w:p w14:paraId="7104FADC" w14:textId="77777777" w:rsidR="004F5818" w:rsidRPr="00C45955" w:rsidRDefault="004F5818" w:rsidP="004F5818">
      <w:pPr>
        <w:jc w:val="center"/>
        <w:rPr>
          <w:bCs/>
          <w:caps/>
          <w:color w:val="000000" w:themeColor="text1"/>
          <w:lang w:val="en-NZ"/>
        </w:rPr>
      </w:pPr>
    </w:p>
    <w:p w14:paraId="0636BE48" w14:textId="6718AE66" w:rsidR="00B64A60" w:rsidRPr="00441526" w:rsidRDefault="004F5818" w:rsidP="004F5818">
      <w:pPr>
        <w:jc w:val="center"/>
        <w:rPr>
          <w:b/>
          <w:bCs/>
          <w:caps/>
          <w:lang w:val="en-NZ"/>
        </w:rPr>
      </w:pPr>
      <w:r w:rsidRPr="00C45955">
        <w:rPr>
          <w:b/>
          <w:bCs/>
          <w:caps/>
          <w:color w:val="000000" w:themeColor="text1"/>
          <w:lang w:val="en-NZ"/>
        </w:rPr>
        <w:t xml:space="preserve">PRELIMINARY </w:t>
      </w:r>
      <w:r w:rsidR="00B64A60" w:rsidRPr="00441526">
        <w:rPr>
          <w:b/>
          <w:bCs/>
          <w:caps/>
          <w:lang w:val="en-NZ"/>
        </w:rPr>
        <w:t>VIEWs on WRC-</w:t>
      </w:r>
      <w:r w:rsidR="007F0AE6">
        <w:rPr>
          <w:b/>
          <w:bCs/>
          <w:caps/>
          <w:lang w:val="en-NZ"/>
        </w:rPr>
        <w:t>23</w:t>
      </w:r>
      <w:r w:rsidR="00B64A60" w:rsidRPr="00441526">
        <w:rPr>
          <w:b/>
          <w:bCs/>
          <w:caps/>
          <w:lang w:val="en-NZ"/>
        </w:rPr>
        <w:t xml:space="preserve"> agenda item 1.</w:t>
      </w:r>
      <w:r w:rsidR="00AD3E75">
        <w:rPr>
          <w:b/>
          <w:bCs/>
          <w:caps/>
          <w:lang w:val="en-NZ"/>
        </w:rPr>
        <w:t>17</w:t>
      </w:r>
    </w:p>
    <w:p w14:paraId="7D2E8B32" w14:textId="77777777" w:rsidR="00B64A60" w:rsidRPr="00441526" w:rsidRDefault="00B64A60" w:rsidP="00264566">
      <w:pPr>
        <w:spacing w:after="120"/>
        <w:rPr>
          <w:lang w:val="en-NZ"/>
        </w:rPr>
      </w:pPr>
    </w:p>
    <w:p w14:paraId="7D9F0275" w14:textId="77777777" w:rsidR="002A0111" w:rsidRPr="00441526" w:rsidRDefault="00AD3E75" w:rsidP="002A0111">
      <w:pPr>
        <w:spacing w:after="120"/>
        <w:jc w:val="both"/>
        <w:rPr>
          <w:lang w:val="en-NZ"/>
        </w:rPr>
      </w:pPr>
      <w:r>
        <w:rPr>
          <w:b/>
          <w:lang w:val="en-NZ"/>
        </w:rPr>
        <w:t>Agenda Item 1.17</w:t>
      </w:r>
      <w:r w:rsidR="002A0111" w:rsidRPr="00441526">
        <w:rPr>
          <w:b/>
          <w:lang w:val="en-NZ"/>
        </w:rPr>
        <w:t xml:space="preserve">: </w:t>
      </w:r>
    </w:p>
    <w:p w14:paraId="582E481A" w14:textId="13C1E592" w:rsidR="00AD3E75" w:rsidRPr="002271F0" w:rsidRDefault="00AD3E75" w:rsidP="00AD3E75">
      <w:pPr>
        <w:spacing w:after="120"/>
        <w:jc w:val="both"/>
        <w:rPr>
          <w:i/>
          <w:lang w:val="en-NZ"/>
        </w:rPr>
      </w:pPr>
      <w:r w:rsidRPr="002271F0">
        <w:rPr>
          <w:i/>
          <w:lang w:val="en-NZ"/>
        </w:rPr>
        <w:t xml:space="preserve">to determine and carry out, </w:t>
      </w:r>
      <w:proofErr w:type="gramStart"/>
      <w:r w:rsidRPr="002271F0">
        <w:rPr>
          <w:i/>
          <w:lang w:val="en-NZ"/>
        </w:rPr>
        <w:t>on the basis of</w:t>
      </w:r>
      <w:proofErr w:type="gramEnd"/>
      <w:r w:rsidRPr="002271F0">
        <w:rPr>
          <w:i/>
          <w:lang w:val="en-NZ"/>
        </w:rPr>
        <w:t xml:space="preserve"> the ITU-R studies in accordance with Resolution 773 (WRC 19), the appropriate regulatory actions for the provision of inter-satellite links in specific frequency bands, or portions thereof, by adding an inter-satellite service allocation where appropriate</w:t>
      </w:r>
    </w:p>
    <w:p w14:paraId="0290E231" w14:textId="77777777" w:rsidR="002A0111" w:rsidRPr="00441526" w:rsidRDefault="002A0111" w:rsidP="002A0111">
      <w:pPr>
        <w:jc w:val="both"/>
        <w:rPr>
          <w:lang w:val="en-NZ"/>
        </w:rPr>
      </w:pPr>
    </w:p>
    <w:p w14:paraId="0B4235FD" w14:textId="77777777" w:rsidR="002E327B" w:rsidRDefault="002A0111" w:rsidP="002E327B">
      <w:pPr>
        <w:rPr>
          <w:b/>
          <w:lang w:val="en-NZ" w:eastAsia="ko-KR"/>
        </w:rPr>
      </w:pPr>
      <w:r w:rsidRPr="00441526">
        <w:rPr>
          <w:b/>
          <w:lang w:val="en-NZ" w:eastAsia="ko-KR"/>
        </w:rPr>
        <w:t xml:space="preserve">1. </w:t>
      </w:r>
      <w:r w:rsidRPr="00441526">
        <w:rPr>
          <w:b/>
          <w:lang w:val="en-NZ" w:eastAsia="ko-KR"/>
        </w:rPr>
        <w:tab/>
        <w:t>Background</w:t>
      </w:r>
      <w:r w:rsidR="002E327B">
        <w:rPr>
          <w:b/>
          <w:lang w:val="en-NZ" w:eastAsia="ko-KR"/>
        </w:rPr>
        <w:t xml:space="preserve"> </w:t>
      </w:r>
    </w:p>
    <w:p w14:paraId="061DE9A2" w14:textId="77777777" w:rsidR="002E327B" w:rsidRPr="002E327B" w:rsidRDefault="002E327B" w:rsidP="002E327B">
      <w:pPr>
        <w:rPr>
          <w:rFonts w:eastAsia="MS Mincho"/>
          <w:iCs/>
          <w:sz w:val="22"/>
          <w:szCs w:val="22"/>
          <w:lang w:val="en-NZ" w:eastAsia="ja-JP"/>
        </w:rPr>
      </w:pPr>
    </w:p>
    <w:p w14:paraId="4498913B" w14:textId="77777777" w:rsidR="00D70C93" w:rsidRDefault="00D70C93" w:rsidP="00D70C93">
      <w:pPr>
        <w:jc w:val="both"/>
        <w:rPr>
          <w:lang w:val="en-GB" w:eastAsia="ko-KR"/>
        </w:rPr>
      </w:pPr>
      <w:r w:rsidRPr="006E2EC3">
        <w:rPr>
          <w:lang w:val="en-GB" w:eastAsia="ko-KR"/>
        </w:rPr>
        <w:t xml:space="preserve">Under this agenda item, Resolution </w:t>
      </w:r>
      <w:r w:rsidRPr="006E2EC3">
        <w:rPr>
          <w:b/>
          <w:lang w:val="en-GB" w:eastAsia="ko-KR"/>
        </w:rPr>
        <w:t>773 (WRC-19)</w:t>
      </w:r>
      <w:r w:rsidRPr="006E2EC3">
        <w:rPr>
          <w:lang w:val="en-GB" w:eastAsia="ko-KR"/>
        </w:rPr>
        <w:t xml:space="preserve"> invites the ITU-R</w:t>
      </w:r>
      <w:r>
        <w:rPr>
          <w:lang w:val="en-GB" w:eastAsia="ko-KR"/>
        </w:rPr>
        <w:t>:</w:t>
      </w:r>
      <w:r w:rsidRPr="006E2EC3">
        <w:rPr>
          <w:lang w:val="en-GB" w:eastAsia="ko-KR"/>
        </w:rPr>
        <w:t xml:space="preserve"> </w:t>
      </w:r>
    </w:p>
    <w:p w14:paraId="2C086785" w14:textId="77777777" w:rsidR="00D70C93" w:rsidRPr="000518AD" w:rsidRDefault="00D70C93" w:rsidP="00D70C93">
      <w:pPr>
        <w:pStyle w:val="ListParagraph"/>
        <w:numPr>
          <w:ilvl w:val="0"/>
          <w:numId w:val="23"/>
        </w:numPr>
        <w:ind w:left="806" w:hanging="403"/>
        <w:jc w:val="both"/>
        <w:rPr>
          <w:lang w:val="en-GB" w:eastAsia="ko-KR"/>
        </w:rPr>
      </w:pPr>
      <w:r w:rsidRPr="000518AD">
        <w:rPr>
          <w:lang w:val="en-GB" w:eastAsia="ko-KR"/>
        </w:rPr>
        <w:t xml:space="preserve">to develop the technical and operational characteristics of different types of space stations that plan satellite-to-satellite transmissions in the frequency bands 11.7-12.7 GHz, 18.1-18.6 GHz, 18.8-20.2 GHz and 27.5-30 </w:t>
      </w:r>
      <w:proofErr w:type="gramStart"/>
      <w:r w:rsidRPr="000518AD">
        <w:rPr>
          <w:lang w:val="en-GB" w:eastAsia="ko-KR"/>
        </w:rPr>
        <w:t>GHz;</w:t>
      </w:r>
      <w:proofErr w:type="gramEnd"/>
    </w:p>
    <w:p w14:paraId="59781927" w14:textId="77777777" w:rsidR="00D70C93" w:rsidRPr="000518AD" w:rsidRDefault="00D70C93" w:rsidP="00D70C93">
      <w:pPr>
        <w:pStyle w:val="ListParagraph"/>
        <w:numPr>
          <w:ilvl w:val="0"/>
          <w:numId w:val="23"/>
        </w:numPr>
        <w:spacing w:before="100" w:beforeAutospacing="1" w:after="100" w:afterAutospacing="1"/>
        <w:jc w:val="both"/>
        <w:rPr>
          <w:lang w:val="en-GB" w:eastAsia="ko-KR"/>
        </w:rPr>
      </w:pPr>
      <w:r w:rsidRPr="000518AD">
        <w:rPr>
          <w:lang w:val="en-GB" w:eastAsia="ko-KR"/>
        </w:rPr>
        <w:t xml:space="preserve">to study the technical and operational characteristics, including spectrum requirements, off-axis equivalent </w:t>
      </w:r>
      <w:proofErr w:type="spellStart"/>
      <w:r w:rsidRPr="000518AD">
        <w:rPr>
          <w:lang w:val="en-GB" w:eastAsia="ko-KR"/>
        </w:rPr>
        <w:t>isotropically</w:t>
      </w:r>
      <w:proofErr w:type="spellEnd"/>
      <w:r w:rsidRPr="000518AD">
        <w:rPr>
          <w:lang w:val="en-GB" w:eastAsia="ko-KR"/>
        </w:rPr>
        <w:t xml:space="preserve"> radiated power (</w:t>
      </w:r>
      <w:proofErr w:type="spellStart"/>
      <w:r w:rsidRPr="000518AD">
        <w:rPr>
          <w:lang w:val="en-GB" w:eastAsia="ko-KR"/>
        </w:rPr>
        <w:t>e.i.r.p</w:t>
      </w:r>
      <w:proofErr w:type="spellEnd"/>
      <w:r w:rsidRPr="000518AD">
        <w:rPr>
          <w:lang w:val="en-GB" w:eastAsia="ko-KR"/>
        </w:rPr>
        <w:t>.) values and out-of-band emission limits, for transmissions between space stations in the frequency bands 11.7-12.7 GHz, 18.1-18.6 GHz, 18.8</w:t>
      </w:r>
      <w:r>
        <w:rPr>
          <w:lang w:val="en-GB" w:eastAsia="ko-KR"/>
        </w:rPr>
        <w:t>-</w:t>
      </w:r>
      <w:r w:rsidRPr="000518AD">
        <w:rPr>
          <w:lang w:val="en-GB" w:eastAsia="ko-KR"/>
        </w:rPr>
        <w:t xml:space="preserve">20.2 GHz and 27.5-30 </w:t>
      </w:r>
      <w:proofErr w:type="gramStart"/>
      <w:r w:rsidRPr="000518AD">
        <w:rPr>
          <w:lang w:val="en-GB" w:eastAsia="ko-KR"/>
        </w:rPr>
        <w:t>GHz;</w:t>
      </w:r>
      <w:proofErr w:type="gramEnd"/>
    </w:p>
    <w:p w14:paraId="6F69E414" w14:textId="77777777" w:rsidR="00D70C93" w:rsidRPr="000518AD" w:rsidRDefault="00D70C93" w:rsidP="00D70C93">
      <w:pPr>
        <w:pStyle w:val="ListParagraph"/>
        <w:numPr>
          <w:ilvl w:val="0"/>
          <w:numId w:val="23"/>
        </w:numPr>
        <w:spacing w:before="100" w:beforeAutospacing="1" w:after="100" w:afterAutospacing="1"/>
        <w:jc w:val="both"/>
        <w:rPr>
          <w:lang w:val="en-GB" w:eastAsia="ko-KR"/>
        </w:rPr>
      </w:pPr>
      <w:r w:rsidRPr="000518AD">
        <w:rPr>
          <w:lang w:val="en-GB" w:eastAsia="ko-KR"/>
        </w:rPr>
        <w:t xml:space="preserve">to study sharing and compatibility between satellite-to-satellite links intending to operate between space stations in the frequency bands 11.7-12.7 GHz, 18.1-18.6 GHz, 18.8-20.2 GHz and 27.5-30 GHz and current and planned stations </w:t>
      </w:r>
      <w:r>
        <w:rPr>
          <w:lang w:val="en-GB" w:eastAsia="ko-KR"/>
        </w:rPr>
        <w:t>in</w:t>
      </w:r>
      <w:r w:rsidRPr="000518AD">
        <w:rPr>
          <w:lang w:val="en-GB" w:eastAsia="ko-KR"/>
        </w:rPr>
        <w:t xml:space="preserve"> the FSS and other existing services allocated in </w:t>
      </w:r>
      <w:r>
        <w:rPr>
          <w:lang w:val="en-GB" w:eastAsia="ko-KR"/>
        </w:rPr>
        <w:t xml:space="preserve">the </w:t>
      </w:r>
      <w:r w:rsidRPr="000518AD">
        <w:rPr>
          <w:lang w:val="en-GB" w:eastAsia="ko-KR"/>
        </w:rPr>
        <w:t>same frequency bands and adjacent frequency bands, including passive services, with a view to ensuring protection of the primary services</w:t>
      </w:r>
      <w:r>
        <w:rPr>
          <w:lang w:val="en-GB" w:eastAsia="ko-KR"/>
        </w:rPr>
        <w:t xml:space="preserve"> </w:t>
      </w:r>
      <w:r w:rsidRPr="006E30B8">
        <w:rPr>
          <w:lang w:val="en-GB" w:eastAsia="ko-KR"/>
        </w:rPr>
        <w:t>referred to</w:t>
      </w:r>
      <w:r>
        <w:rPr>
          <w:lang w:val="en-GB" w:eastAsia="ko-KR"/>
        </w:rPr>
        <w:t xml:space="preserve"> </w:t>
      </w:r>
      <w:proofErr w:type="gramStart"/>
      <w:r>
        <w:rPr>
          <w:lang w:val="en-GB" w:eastAsia="ko-KR"/>
        </w:rPr>
        <w:t>above</w:t>
      </w:r>
      <w:r w:rsidRPr="000518AD">
        <w:rPr>
          <w:lang w:val="en-GB" w:eastAsia="ko-KR"/>
        </w:rPr>
        <w:t>;</w:t>
      </w:r>
      <w:proofErr w:type="gramEnd"/>
    </w:p>
    <w:p w14:paraId="4C5FB738" w14:textId="77777777" w:rsidR="00D70C93" w:rsidRDefault="00D70C93" w:rsidP="00D70C93">
      <w:pPr>
        <w:pStyle w:val="ListParagraph"/>
        <w:numPr>
          <w:ilvl w:val="0"/>
          <w:numId w:val="23"/>
        </w:numPr>
        <w:spacing w:before="100" w:beforeAutospacing="1" w:after="100" w:afterAutospacing="1"/>
        <w:jc w:val="both"/>
        <w:rPr>
          <w:lang w:val="en-GB" w:eastAsia="ko-KR"/>
        </w:rPr>
      </w:pPr>
      <w:r w:rsidRPr="00225BDB">
        <w:rPr>
          <w:lang w:val="en-GB" w:eastAsia="ko-KR"/>
        </w:rPr>
        <w:t xml:space="preserve">to develop, for different types of space stations, the technical </w:t>
      </w:r>
      <w:proofErr w:type="gramStart"/>
      <w:r w:rsidRPr="00225BDB">
        <w:rPr>
          <w:lang w:val="en-GB" w:eastAsia="ko-KR"/>
        </w:rPr>
        <w:t>conditions</w:t>
      </w:r>
      <w:proofErr w:type="gramEnd"/>
      <w:r w:rsidRPr="00225BDB">
        <w:rPr>
          <w:lang w:val="en-GB" w:eastAsia="ko-KR"/>
        </w:rPr>
        <w:t xml:space="preserve"> and regulatory provisions for satellite-to-satellite operations in the frequency bands 11.7-12.7 GHz, 18.1-18.6 GHz, 18.8-20.2 GHz and 27.5-30 GHz, or portions thereof, including new ISS allocations, as appropriate, taking into account the results of the studies above,</w:t>
      </w:r>
    </w:p>
    <w:p w14:paraId="1C59D095" w14:textId="5ED918A1" w:rsidR="00D72B6B" w:rsidRPr="001B1EB4" w:rsidRDefault="009553D6" w:rsidP="00E02017">
      <w:r>
        <w:rPr>
          <w:rFonts w:eastAsia="MS Mincho"/>
          <w:lang w:eastAsia="ja-JP"/>
        </w:rPr>
        <w:t xml:space="preserve">In accordance with the results of </w:t>
      </w:r>
      <w:r>
        <w:rPr>
          <w:rFonts w:eastAsia="MS Mincho" w:hint="eastAsia"/>
          <w:lang w:eastAsia="ja-JP"/>
        </w:rPr>
        <w:t>C</w:t>
      </w:r>
      <w:r>
        <w:rPr>
          <w:rFonts w:eastAsia="MS Mincho"/>
          <w:lang w:eastAsia="ja-JP"/>
        </w:rPr>
        <w:t xml:space="preserve">PM23-1, the above studies are being conducted by ITU-R Working Party 4A (WP 4A) </w:t>
      </w:r>
      <w:r w:rsidR="00D72B6B">
        <w:t>h</w:t>
      </w:r>
      <w:r w:rsidR="00D72B6B" w:rsidRPr="005D6F38">
        <w:t xml:space="preserve">ybrid </w:t>
      </w:r>
      <w:r w:rsidR="00BC0E02">
        <w:t>m</w:t>
      </w:r>
      <w:r w:rsidR="00D72B6B" w:rsidRPr="001B1EB4">
        <w:t xml:space="preserve">eeting </w:t>
      </w:r>
      <w:r w:rsidR="00D72B6B">
        <w:t>i</w:t>
      </w:r>
      <w:r w:rsidR="00D72B6B" w:rsidRPr="005D6F38">
        <w:t xml:space="preserve">n-person with remote participation </w:t>
      </w:r>
      <w:r w:rsidR="00D72B6B" w:rsidRPr="001B1EB4">
        <w:t xml:space="preserve">from </w:t>
      </w:r>
      <w:r w:rsidR="00D72B6B">
        <w:t>11</w:t>
      </w:r>
      <w:r w:rsidR="00D72B6B" w:rsidRPr="001B1EB4">
        <w:t xml:space="preserve"> to </w:t>
      </w:r>
      <w:r w:rsidR="00D72B6B">
        <w:t>20</w:t>
      </w:r>
      <w:r w:rsidR="00D72B6B" w:rsidRPr="001B1EB4">
        <w:t xml:space="preserve"> </w:t>
      </w:r>
      <w:r w:rsidR="00D72B6B">
        <w:t>May</w:t>
      </w:r>
      <w:r w:rsidR="00D72B6B" w:rsidRPr="001B1EB4">
        <w:t xml:space="preserve"> 202</w:t>
      </w:r>
      <w:r w:rsidR="00D72B6B">
        <w:t xml:space="preserve">2 </w:t>
      </w:r>
      <w:r w:rsidR="00AD3E75" w:rsidRPr="00CA2948">
        <w:rPr>
          <w:lang w:val="en-GB"/>
        </w:rPr>
        <w:t>which</w:t>
      </w:r>
      <w:r w:rsidR="00AD3E75" w:rsidRPr="00CA2948">
        <w:rPr>
          <w:lang w:val="en-GB" w:eastAsia="zh-CN"/>
        </w:rPr>
        <w:t xml:space="preserve"> the detailed activities are in the Chairman’s Report </w:t>
      </w:r>
      <w:r w:rsidR="00F54136" w:rsidRPr="00CA2948">
        <w:rPr>
          <w:lang w:val="en-GB" w:eastAsia="zh-CN"/>
        </w:rPr>
        <w:t xml:space="preserve">of </w:t>
      </w:r>
      <w:r w:rsidR="00F54136">
        <w:rPr>
          <w:lang w:val="en-GB" w:eastAsia="zh-CN"/>
        </w:rPr>
        <w:t>ITU</w:t>
      </w:r>
      <w:r w:rsidR="00AD3E75" w:rsidRPr="00CA2948">
        <w:rPr>
          <w:lang w:val="en-GB" w:eastAsia="zh-CN"/>
        </w:rPr>
        <w:t xml:space="preserve">-R Working Party 4A </w:t>
      </w:r>
      <w:r w:rsidR="00AD3E75" w:rsidRPr="00446530">
        <w:rPr>
          <w:lang w:val="en-GB" w:eastAsia="zh-CN"/>
        </w:rPr>
        <w:t>(Document 4A/</w:t>
      </w:r>
      <w:r w:rsidR="00D72B6B">
        <w:rPr>
          <w:lang w:val="en-GB" w:eastAsia="zh-CN"/>
        </w:rPr>
        <w:t>691</w:t>
      </w:r>
      <w:r w:rsidR="00AD3E75" w:rsidRPr="00446530">
        <w:rPr>
          <w:lang w:val="en-GB" w:eastAsia="zh-CN"/>
        </w:rPr>
        <w:t>)</w:t>
      </w:r>
      <w:r w:rsidR="00F70A3E">
        <w:rPr>
          <w:lang w:val="en-GB" w:eastAsia="zh-CN"/>
        </w:rPr>
        <w:t>.</w:t>
      </w:r>
    </w:p>
    <w:p w14:paraId="3CA3A17F" w14:textId="77777777" w:rsidR="00D72B6B" w:rsidRPr="001B1EB4" w:rsidRDefault="00D72B6B" w:rsidP="00D72B6B">
      <w:pPr>
        <w:pStyle w:val="ListParagraph"/>
        <w:numPr>
          <w:ilvl w:val="0"/>
          <w:numId w:val="24"/>
        </w:numPr>
        <w:ind w:left="714" w:hanging="357"/>
        <w:rPr>
          <w:lang w:eastAsia="ja-JP"/>
        </w:rPr>
      </w:pPr>
      <w:r w:rsidRPr="001B1EB4">
        <w:rPr>
          <w:lang w:eastAsia="ja-JP"/>
        </w:rPr>
        <w:t>Working document on WRC-23 agenda item 1.17</w:t>
      </w:r>
      <w:r w:rsidRPr="001B1EB4">
        <w:t xml:space="preserve"> (</w:t>
      </w:r>
      <w:bookmarkStart w:id="0" w:name="_Hlk87001728"/>
      <w:r>
        <w:fldChar w:fldCharType="begin"/>
      </w:r>
      <w:r>
        <w:instrText xml:space="preserve"> HYPERLINK "https://www.itu.int/dms_ties/itu-r/md/19/wp4a/c/R19-WP4A-C-0691!N20!MSW-E.docx" </w:instrText>
      </w:r>
      <w:r>
        <w:fldChar w:fldCharType="separate"/>
      </w:r>
      <w:r w:rsidRPr="0046205E">
        <w:rPr>
          <w:rStyle w:val="Hyperlink"/>
        </w:rPr>
        <w:t>Document 4A/691/Ann</w:t>
      </w:r>
      <w:bookmarkEnd w:id="0"/>
      <w:r w:rsidRPr="0046205E">
        <w:rPr>
          <w:rStyle w:val="Hyperlink"/>
        </w:rPr>
        <w:t>ex 20</w:t>
      </w:r>
      <w:r>
        <w:fldChar w:fldCharType="end"/>
      </w:r>
      <w:r w:rsidRPr="001B1EB4">
        <w:t>)</w:t>
      </w:r>
    </w:p>
    <w:p w14:paraId="6C7755E8" w14:textId="77777777" w:rsidR="00D72B6B" w:rsidRPr="001B1EB4" w:rsidRDefault="00D72B6B" w:rsidP="00D72B6B">
      <w:pPr>
        <w:pStyle w:val="ListParagraph"/>
        <w:numPr>
          <w:ilvl w:val="0"/>
          <w:numId w:val="24"/>
        </w:numPr>
        <w:ind w:left="1797" w:hanging="357"/>
        <w:jc w:val="both"/>
        <w:rPr>
          <w:rFonts w:eastAsia="MS Mincho"/>
          <w:lang w:eastAsia="ja-JP"/>
        </w:rPr>
      </w:pPr>
      <w:r w:rsidRPr="001B1EB4">
        <w:rPr>
          <w:rFonts w:eastAsia="MS Mincho"/>
          <w:lang w:eastAsia="ja-JP"/>
        </w:rPr>
        <w:t>Annex 1 to Working document on WRC-23 agenda item 1.17</w:t>
      </w:r>
      <w:hyperlink r:id="rId9" w:history="1">
        <w:r w:rsidRPr="001B1EB4">
          <w:rPr>
            <w:rStyle w:val="Hyperlink"/>
          </w:rPr>
          <w:t>(</w:t>
        </w:r>
        <w:hyperlink r:id="rId10" w:history="1">
          <w:r w:rsidRPr="0046205E">
            <w:rPr>
              <w:rStyle w:val="Hyperlink"/>
            </w:rPr>
            <w:t>Document 4A/691/Annex 2</w:t>
          </w:r>
          <w:r>
            <w:rPr>
              <w:rStyle w:val="Hyperlink"/>
            </w:rPr>
            <w:t>1</w:t>
          </w:r>
        </w:hyperlink>
      </w:hyperlink>
      <w:r w:rsidRPr="001B1EB4">
        <w:t>)</w:t>
      </w:r>
    </w:p>
    <w:p w14:paraId="39279E24" w14:textId="77777777" w:rsidR="00D72B6B" w:rsidRPr="001B1EB4" w:rsidRDefault="00D72B6B" w:rsidP="00D72B6B">
      <w:pPr>
        <w:pStyle w:val="ListParagraph"/>
        <w:numPr>
          <w:ilvl w:val="0"/>
          <w:numId w:val="24"/>
        </w:numPr>
        <w:ind w:left="1797" w:hanging="357"/>
        <w:jc w:val="both"/>
        <w:rPr>
          <w:rFonts w:eastAsia="MS Mincho"/>
          <w:lang w:eastAsia="ja-JP"/>
        </w:rPr>
      </w:pPr>
      <w:r w:rsidRPr="001B1EB4">
        <w:t>Annex 2 to Working document on WRC-23 agenda item 1.17</w:t>
      </w:r>
      <w:hyperlink r:id="rId11" w:history="1">
        <w:r w:rsidRPr="0046205E">
          <w:rPr>
            <w:rStyle w:val="Hyperlink"/>
          </w:rPr>
          <w:t>(</w:t>
        </w:r>
        <w:hyperlink r:id="rId12" w:history="1">
          <w:r w:rsidRPr="0046205E">
            <w:rPr>
              <w:rStyle w:val="Hyperlink"/>
            </w:rPr>
            <w:t>Document 4A/691/Annex 22</w:t>
          </w:r>
        </w:hyperlink>
        <w:r w:rsidRPr="0046205E">
          <w:rPr>
            <w:rStyle w:val="Hyperlink"/>
          </w:rPr>
          <w:t>)</w:t>
        </w:r>
      </w:hyperlink>
    </w:p>
    <w:p w14:paraId="3FEAA478" w14:textId="77777777" w:rsidR="00D72B6B" w:rsidRPr="001B1EB4" w:rsidRDefault="00D72B6B" w:rsidP="00D72B6B">
      <w:pPr>
        <w:pStyle w:val="ListParagraph"/>
        <w:numPr>
          <w:ilvl w:val="0"/>
          <w:numId w:val="24"/>
        </w:numPr>
        <w:ind w:left="1797" w:hanging="357"/>
        <w:jc w:val="both"/>
        <w:rPr>
          <w:rFonts w:eastAsia="MS Mincho"/>
          <w:lang w:eastAsia="ja-JP"/>
        </w:rPr>
      </w:pPr>
      <w:r w:rsidRPr="0046205E">
        <w:rPr>
          <w:rFonts w:eastAsia="MS Mincho"/>
          <w:lang w:eastAsia="ja-JP"/>
        </w:rPr>
        <w:t>Annex 3 to Working document on WRC-23 agenda item 1.17</w:t>
      </w:r>
      <w:hyperlink r:id="rId13" w:history="1">
        <w:r w:rsidRPr="0046205E">
          <w:rPr>
            <w:rStyle w:val="Hyperlink"/>
          </w:rPr>
          <w:t>(</w:t>
        </w:r>
        <w:hyperlink r:id="rId14" w:history="1">
          <w:r w:rsidRPr="0046205E">
            <w:rPr>
              <w:rStyle w:val="Hyperlink"/>
            </w:rPr>
            <w:t>Document 4A/691/Annex 23</w:t>
          </w:r>
        </w:hyperlink>
        <w:r w:rsidRPr="0046205E">
          <w:rPr>
            <w:rStyle w:val="Hyperlink"/>
          </w:rPr>
          <w:t>)</w:t>
        </w:r>
      </w:hyperlink>
    </w:p>
    <w:p w14:paraId="27B45DD2" w14:textId="77777777" w:rsidR="00D72B6B" w:rsidRPr="0046205E" w:rsidRDefault="00D72B6B" w:rsidP="00D72B6B">
      <w:pPr>
        <w:pStyle w:val="ListParagraph"/>
        <w:numPr>
          <w:ilvl w:val="0"/>
          <w:numId w:val="24"/>
        </w:numPr>
        <w:ind w:left="714" w:hanging="357"/>
        <w:rPr>
          <w:lang w:eastAsia="ja-JP"/>
        </w:rPr>
      </w:pPr>
      <w:r w:rsidRPr="0046205E">
        <w:rPr>
          <w:lang w:eastAsia="ja-JP"/>
        </w:rPr>
        <w:t xml:space="preserve">Preliminary draft CPM text for WRC-23 agenda item 1.17 </w:t>
      </w:r>
      <w:hyperlink r:id="rId15" w:history="1">
        <w:r w:rsidRPr="0046205E">
          <w:rPr>
            <w:rStyle w:val="Hyperlink"/>
            <w:lang w:eastAsia="ja-JP"/>
          </w:rPr>
          <w:t>(</w:t>
        </w:r>
        <w:hyperlink r:id="rId16" w:history="1">
          <w:r w:rsidRPr="0046205E">
            <w:rPr>
              <w:rStyle w:val="Hyperlink"/>
              <w:lang w:eastAsia="ja-JP"/>
            </w:rPr>
            <w:t>Document 4A/691/Annex 30</w:t>
          </w:r>
        </w:hyperlink>
        <w:r w:rsidRPr="0046205E">
          <w:rPr>
            <w:rStyle w:val="Hyperlink"/>
            <w:lang w:eastAsia="ja-JP"/>
          </w:rPr>
          <w:t>)</w:t>
        </w:r>
      </w:hyperlink>
    </w:p>
    <w:p w14:paraId="4D800D0B" w14:textId="77777777" w:rsidR="00D72B6B" w:rsidRPr="00C72BA5" w:rsidRDefault="00D72B6B" w:rsidP="00D72B6B">
      <w:pPr>
        <w:pStyle w:val="ListParagraph"/>
        <w:numPr>
          <w:ilvl w:val="0"/>
          <w:numId w:val="24"/>
        </w:numPr>
        <w:ind w:left="714" w:hanging="357"/>
        <w:rPr>
          <w:lang w:eastAsia="ja-JP"/>
        </w:rPr>
      </w:pPr>
      <w:r w:rsidRPr="00C72BA5">
        <w:rPr>
          <w:lang w:eastAsia="ja-JP"/>
        </w:rPr>
        <w:lastRenderedPageBreak/>
        <w:t>Work plan for WRC-23 agenda item 1.17</w:t>
      </w:r>
      <w:hyperlink r:id="rId17" w:history="1">
        <w:r w:rsidRPr="0046205E">
          <w:rPr>
            <w:rStyle w:val="Hyperlink"/>
            <w:lang w:eastAsia="ja-JP"/>
          </w:rPr>
          <w:t>(</w:t>
        </w:r>
        <w:hyperlink r:id="rId18" w:history="1">
          <w:r w:rsidRPr="0046205E">
            <w:rPr>
              <w:rStyle w:val="Hyperlink"/>
              <w:lang w:eastAsia="ja-JP"/>
            </w:rPr>
            <w:t xml:space="preserve">Document 4A/691/Annex </w:t>
          </w:r>
          <w:r>
            <w:rPr>
              <w:rStyle w:val="Hyperlink"/>
              <w:lang w:eastAsia="ja-JP"/>
            </w:rPr>
            <w:t>4</w:t>
          </w:r>
          <w:r w:rsidRPr="0046205E">
            <w:rPr>
              <w:rStyle w:val="Hyperlink"/>
              <w:lang w:eastAsia="ja-JP"/>
            </w:rPr>
            <w:t>0</w:t>
          </w:r>
        </w:hyperlink>
        <w:r w:rsidRPr="0046205E">
          <w:rPr>
            <w:rStyle w:val="Hyperlink"/>
            <w:lang w:eastAsia="ja-JP"/>
          </w:rPr>
          <w:t>)</w:t>
        </w:r>
      </w:hyperlink>
    </w:p>
    <w:p w14:paraId="44812AF9" w14:textId="77777777" w:rsidR="00D72B6B" w:rsidRPr="001B1EB4" w:rsidRDefault="00D72B6B" w:rsidP="00D72B6B">
      <w:pPr>
        <w:pStyle w:val="ListParagraph"/>
        <w:numPr>
          <w:ilvl w:val="0"/>
          <w:numId w:val="24"/>
        </w:numPr>
        <w:ind w:left="714" w:hanging="357"/>
        <w:rPr>
          <w:rFonts w:eastAsia="MS Mincho"/>
          <w:lang w:eastAsia="ja-JP"/>
        </w:rPr>
      </w:pPr>
      <w:r w:rsidRPr="001B1EB4">
        <w:rPr>
          <w:rFonts w:eastAsia="MS Mincho"/>
          <w:lang w:eastAsia="ja-JP"/>
        </w:rPr>
        <w:t>Ongoing discussion in ITU-R WP 4A meetings:</w:t>
      </w:r>
    </w:p>
    <w:p w14:paraId="2A5A7357" w14:textId="77777777" w:rsidR="00D72B6B" w:rsidRPr="00C72BA5" w:rsidRDefault="00D72B6B" w:rsidP="00D72B6B">
      <w:pPr>
        <w:pStyle w:val="ListParagraph"/>
        <w:numPr>
          <w:ilvl w:val="0"/>
          <w:numId w:val="24"/>
        </w:numPr>
        <w:ind w:left="1800"/>
        <w:jc w:val="both"/>
        <w:rPr>
          <w:rFonts w:eastAsia="MS Mincho"/>
          <w:lang w:eastAsia="ja-JP"/>
        </w:rPr>
      </w:pPr>
      <w:r>
        <w:rPr>
          <w:rFonts w:eastAsia="MS Mincho"/>
          <w:lang w:eastAsia="ja-JP"/>
        </w:rPr>
        <w:t>T</w:t>
      </w:r>
      <w:r w:rsidRPr="00C72BA5">
        <w:rPr>
          <w:rFonts w:eastAsia="MS Mincho"/>
          <w:lang w:eastAsia="ja-JP"/>
        </w:rPr>
        <w:t>he studies on the spectrum requirements, concept of operations, compatibility and sharing studies for each of the concept of operations.</w:t>
      </w:r>
    </w:p>
    <w:p w14:paraId="6B07A51F" w14:textId="77777777" w:rsidR="00D72B6B" w:rsidRPr="00C72BA5" w:rsidRDefault="00D72B6B" w:rsidP="00D72B6B">
      <w:pPr>
        <w:pStyle w:val="ListParagraph"/>
        <w:numPr>
          <w:ilvl w:val="0"/>
          <w:numId w:val="24"/>
        </w:numPr>
        <w:ind w:left="1779"/>
        <w:rPr>
          <w:rFonts w:eastAsia="MS Mincho"/>
          <w:lang w:eastAsia="ja-JP"/>
        </w:rPr>
      </w:pPr>
      <w:r>
        <w:rPr>
          <w:rFonts w:eastAsia="MS Mincho"/>
          <w:lang w:eastAsia="ja-JP"/>
        </w:rPr>
        <w:t>I</w:t>
      </w:r>
      <w:r w:rsidRPr="00C72BA5">
        <w:rPr>
          <w:rFonts w:eastAsia="MS Mincho"/>
          <w:lang w:eastAsia="ja-JP"/>
        </w:rPr>
        <w:t xml:space="preserve">dentification of operational and regulatory measures (coordination procedure, hard limits) for the use of the Ku and Ka-bands for inter-satellite links under a proper new allocation (FSS (space-to-space) or ISS). </w:t>
      </w:r>
    </w:p>
    <w:p w14:paraId="1F569245" w14:textId="77777777" w:rsidR="00D72B6B" w:rsidRPr="001B1EB4" w:rsidRDefault="00D72B6B" w:rsidP="00D72B6B">
      <w:pPr>
        <w:pStyle w:val="ListParagraph"/>
        <w:numPr>
          <w:ilvl w:val="0"/>
          <w:numId w:val="24"/>
        </w:numPr>
        <w:ind w:left="1800"/>
        <w:jc w:val="both"/>
        <w:rPr>
          <w:rFonts w:eastAsia="MS Mincho"/>
          <w:lang w:eastAsia="ja-JP"/>
        </w:rPr>
      </w:pPr>
      <w:r>
        <w:rPr>
          <w:rFonts w:eastAsia="MS Mincho"/>
          <w:lang w:eastAsia="ja-JP"/>
        </w:rPr>
        <w:t>Update</w:t>
      </w:r>
      <w:r w:rsidRPr="00C72BA5">
        <w:rPr>
          <w:rFonts w:eastAsia="MS Mincho"/>
          <w:lang w:eastAsia="ja-JP"/>
        </w:rPr>
        <w:t xml:space="preserve"> the draft CPM text, in particular the sections dealing with the regulatory and procedural matters</w:t>
      </w:r>
      <w:r>
        <w:rPr>
          <w:rFonts w:eastAsia="MS Mincho"/>
          <w:lang w:eastAsia="ja-JP"/>
        </w:rPr>
        <w:t>.</w:t>
      </w:r>
    </w:p>
    <w:p w14:paraId="57362C38" w14:textId="77777777" w:rsidR="00D72B6B" w:rsidRPr="001B1EB4" w:rsidRDefault="00D72B6B" w:rsidP="00D72B6B">
      <w:pPr>
        <w:pStyle w:val="ListParagraph"/>
        <w:numPr>
          <w:ilvl w:val="0"/>
          <w:numId w:val="24"/>
        </w:numPr>
        <w:ind w:left="1800"/>
        <w:jc w:val="both"/>
        <w:rPr>
          <w:rFonts w:eastAsia="MS Mincho"/>
          <w:lang w:eastAsia="ja-JP"/>
        </w:rPr>
      </w:pPr>
      <w:r w:rsidRPr="001B1EB4">
        <w:rPr>
          <w:rFonts w:eastAsia="MS Mincho"/>
          <w:lang w:eastAsia="ja-JP"/>
        </w:rPr>
        <w:t>Liaise statement to relevant Working Parties</w:t>
      </w:r>
      <w:r>
        <w:rPr>
          <w:rFonts w:eastAsia="MS Mincho"/>
          <w:lang w:eastAsia="ja-JP"/>
        </w:rPr>
        <w:t>.</w:t>
      </w:r>
    </w:p>
    <w:p w14:paraId="544B414D" w14:textId="77777777" w:rsidR="00D72B6B" w:rsidRDefault="00D72B6B" w:rsidP="00D72B6B">
      <w:pPr>
        <w:pStyle w:val="ListParagraph"/>
        <w:ind w:left="1800"/>
        <w:jc w:val="both"/>
        <w:rPr>
          <w:rFonts w:eastAsia="MS Mincho"/>
          <w:lang w:eastAsia="ja-JP"/>
        </w:rPr>
      </w:pPr>
      <w:r w:rsidRPr="00C72BA5">
        <w:rPr>
          <w:rFonts w:eastAsia="MS Mincho"/>
          <w:lang w:eastAsia="ja-JP"/>
        </w:rPr>
        <w:t>etc.</w:t>
      </w:r>
    </w:p>
    <w:p w14:paraId="3760B1F6" w14:textId="77777777" w:rsidR="009553D6" w:rsidRDefault="009553D6" w:rsidP="002A0111">
      <w:pPr>
        <w:jc w:val="both"/>
        <w:rPr>
          <w:lang w:val="en-NZ"/>
        </w:rPr>
      </w:pPr>
    </w:p>
    <w:p w14:paraId="1398021C" w14:textId="77777777"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59DCC062" w14:textId="603D4E7C" w:rsidR="00F322BB" w:rsidRPr="00F322BB" w:rsidRDefault="00F322BB" w:rsidP="00F322BB">
      <w:pPr>
        <w:pStyle w:val="ListParagraph"/>
        <w:numPr>
          <w:ilvl w:val="0"/>
          <w:numId w:val="18"/>
        </w:numPr>
        <w:ind w:leftChars="145" w:left="708"/>
        <w:jc w:val="both"/>
        <w:rPr>
          <w:rFonts w:eastAsiaTheme="minorEastAsia"/>
          <w:lang w:eastAsia="zh-CN"/>
        </w:rPr>
      </w:pPr>
      <w:r w:rsidRPr="00F322BB">
        <w:rPr>
          <w:rFonts w:eastAsiaTheme="minorEastAsia"/>
          <w:lang w:val="en-NZ" w:eastAsia="zh-CN"/>
        </w:rPr>
        <w:t xml:space="preserve">Input Documents </w:t>
      </w:r>
      <w:r>
        <w:rPr>
          <w:rFonts w:eastAsiaTheme="minorEastAsia"/>
          <w:lang w:val="en-NZ" w:eastAsia="zh-CN"/>
        </w:rPr>
        <w:t>APG23-4/</w:t>
      </w:r>
      <w:hyperlink r:id="rId19" w:history="1">
        <w:r w:rsidRPr="00F322BB">
          <w:rPr>
            <w:rStyle w:val="Hyperlink"/>
            <w:rFonts w:eastAsiaTheme="minorEastAsia"/>
            <w:lang w:eastAsia="zh-CN"/>
          </w:rPr>
          <w:t>INP-10</w:t>
        </w:r>
      </w:hyperlink>
      <w:r w:rsidRPr="00F322BB">
        <w:rPr>
          <w:rFonts w:eastAsiaTheme="minorEastAsia"/>
          <w:lang w:eastAsia="zh-CN"/>
        </w:rPr>
        <w:t>(J),</w:t>
      </w:r>
      <w:hyperlink r:id="rId20" w:history="1">
        <w:r w:rsidRPr="00F322BB">
          <w:rPr>
            <w:rStyle w:val="Hyperlink"/>
            <w:rFonts w:eastAsiaTheme="minorEastAsia"/>
            <w:lang w:eastAsia="zh-CN"/>
          </w:rPr>
          <w:t>INP-17</w:t>
        </w:r>
      </w:hyperlink>
      <w:r w:rsidRPr="00F322BB">
        <w:rPr>
          <w:rFonts w:eastAsiaTheme="minorEastAsia"/>
          <w:lang w:eastAsia="zh-CN"/>
        </w:rPr>
        <w:t xml:space="preserve">(AUS), </w:t>
      </w:r>
      <w:hyperlink r:id="rId21" w:history="1">
        <w:r w:rsidRPr="00F322BB">
          <w:rPr>
            <w:rStyle w:val="Hyperlink"/>
            <w:rFonts w:eastAsiaTheme="minorEastAsia"/>
            <w:lang w:eastAsia="zh-CN"/>
          </w:rPr>
          <w:t>INP-26</w:t>
        </w:r>
      </w:hyperlink>
      <w:r w:rsidRPr="00F322BB">
        <w:rPr>
          <w:rFonts w:eastAsiaTheme="minorEastAsia"/>
          <w:lang w:eastAsia="zh-CN"/>
        </w:rPr>
        <w:t xml:space="preserve">(IRN), </w:t>
      </w:r>
      <w:hyperlink r:id="rId22" w:history="1">
        <w:r w:rsidRPr="00F322BB">
          <w:rPr>
            <w:rStyle w:val="Hyperlink"/>
            <w:rFonts w:eastAsiaTheme="minorEastAsia"/>
            <w:lang w:eastAsia="zh-CN"/>
          </w:rPr>
          <w:t>INP-37</w:t>
        </w:r>
      </w:hyperlink>
      <w:r w:rsidRPr="00F322BB">
        <w:rPr>
          <w:rFonts w:eastAsiaTheme="minorEastAsia"/>
          <w:lang w:eastAsia="zh-CN"/>
        </w:rPr>
        <w:t>(KOR)</w:t>
      </w:r>
      <w:r w:rsidRPr="00F322BB">
        <w:rPr>
          <w:rFonts w:eastAsiaTheme="minorEastAsia" w:hint="eastAsia"/>
          <w:lang w:eastAsia="zh-CN"/>
        </w:rPr>
        <w:t>,</w:t>
      </w:r>
      <w:hyperlink r:id="rId23" w:history="1">
        <w:r w:rsidRPr="00F322BB">
          <w:rPr>
            <w:rStyle w:val="Hyperlink"/>
            <w:rFonts w:eastAsiaTheme="minorEastAsia"/>
            <w:lang w:eastAsia="zh-CN"/>
          </w:rPr>
          <w:t>INP-43</w:t>
        </w:r>
      </w:hyperlink>
      <w:r w:rsidRPr="00F322BB">
        <w:rPr>
          <w:rFonts w:eastAsiaTheme="minorEastAsia"/>
          <w:lang w:eastAsia="zh-CN"/>
        </w:rPr>
        <w:t xml:space="preserve">(CHN), </w:t>
      </w:r>
      <w:hyperlink r:id="rId24" w:history="1">
        <w:r w:rsidRPr="00F322BB">
          <w:rPr>
            <w:rStyle w:val="Hyperlink"/>
            <w:rFonts w:eastAsiaTheme="minorEastAsia"/>
            <w:lang w:eastAsia="zh-CN"/>
          </w:rPr>
          <w:t>INP-48</w:t>
        </w:r>
      </w:hyperlink>
      <w:r w:rsidRPr="00F322BB">
        <w:rPr>
          <w:rFonts w:eastAsiaTheme="minorEastAsia"/>
          <w:lang w:eastAsia="zh-CN"/>
        </w:rPr>
        <w:t xml:space="preserve">(THA), </w:t>
      </w:r>
      <w:hyperlink r:id="rId25" w:history="1">
        <w:r w:rsidRPr="00F322BB">
          <w:rPr>
            <w:rStyle w:val="Hyperlink"/>
            <w:rFonts w:eastAsiaTheme="minorEastAsia"/>
            <w:lang w:eastAsia="zh-CN"/>
          </w:rPr>
          <w:t>INP-57</w:t>
        </w:r>
      </w:hyperlink>
      <w:r w:rsidRPr="00F322BB">
        <w:rPr>
          <w:rFonts w:eastAsiaTheme="minorEastAsia"/>
          <w:lang w:eastAsia="zh-CN"/>
        </w:rPr>
        <w:t xml:space="preserve">(SNG), </w:t>
      </w:r>
      <w:hyperlink r:id="rId26" w:history="1">
        <w:r w:rsidRPr="00F322BB">
          <w:rPr>
            <w:rStyle w:val="Hyperlink"/>
            <w:rFonts w:eastAsiaTheme="minorEastAsia"/>
            <w:lang w:eastAsia="zh-CN"/>
          </w:rPr>
          <w:t>INP-64</w:t>
        </w:r>
      </w:hyperlink>
      <w:r w:rsidRPr="00F322BB">
        <w:rPr>
          <w:rFonts w:eastAsiaTheme="minorEastAsia"/>
          <w:lang w:eastAsia="zh-CN"/>
        </w:rPr>
        <w:t xml:space="preserve">(IND), </w:t>
      </w:r>
      <w:hyperlink r:id="rId27" w:history="1">
        <w:r w:rsidRPr="00F322BB">
          <w:rPr>
            <w:rStyle w:val="Hyperlink"/>
            <w:rFonts w:eastAsiaTheme="minorEastAsia"/>
            <w:lang w:eastAsia="zh-CN"/>
          </w:rPr>
          <w:t>INP-8</w:t>
        </w:r>
      </w:hyperlink>
      <w:r w:rsidRPr="00F322BB">
        <w:rPr>
          <w:rFonts w:eastAsiaTheme="minorEastAsia"/>
          <w:u w:val="single"/>
          <w:lang w:eastAsia="zh-CN"/>
        </w:rPr>
        <w:t>2</w:t>
      </w:r>
      <w:r w:rsidRPr="00F322BB">
        <w:rPr>
          <w:rFonts w:eastAsiaTheme="minorEastAsia"/>
          <w:lang w:eastAsia="zh-CN"/>
        </w:rPr>
        <w:t>(INS)</w:t>
      </w:r>
    </w:p>
    <w:p w14:paraId="53B3CE34" w14:textId="77777777" w:rsidR="00F322BB" w:rsidRPr="00F322BB" w:rsidRDefault="002A0111" w:rsidP="00F322BB">
      <w:pPr>
        <w:pStyle w:val="ListParagraph"/>
        <w:numPr>
          <w:ilvl w:val="0"/>
          <w:numId w:val="18"/>
        </w:numPr>
        <w:ind w:leftChars="145" w:left="708"/>
        <w:jc w:val="both"/>
      </w:pPr>
      <w:bookmarkStart w:id="1" w:name="_Hlk87375187"/>
      <w:r w:rsidRPr="005179F4">
        <w:rPr>
          <w:lang w:val="en-NZ"/>
        </w:rPr>
        <w:t xml:space="preserve">Information Documents </w:t>
      </w:r>
      <w:r w:rsidR="00234E96" w:rsidRPr="005179F4">
        <w:rPr>
          <w:lang w:val="en-NZ"/>
        </w:rPr>
        <w:t>APG23-</w:t>
      </w:r>
      <w:r w:rsidR="00F322BB">
        <w:rPr>
          <w:rFonts w:eastAsiaTheme="minorEastAsia"/>
          <w:lang w:val="en-NZ" w:eastAsia="zh-CN"/>
        </w:rPr>
        <w:t>4</w:t>
      </w:r>
      <w:r w:rsidR="00234E96" w:rsidRPr="005179F4">
        <w:rPr>
          <w:lang w:val="en-NZ"/>
        </w:rPr>
        <w:t>/</w:t>
      </w:r>
      <w:bookmarkEnd w:id="1"/>
      <w:r w:rsidR="00F322BB" w:rsidRPr="00F322BB">
        <w:fldChar w:fldCharType="begin"/>
      </w:r>
      <w:r w:rsidR="00F322BB" w:rsidRPr="00F322BB">
        <w:instrText xml:space="preserve"> HYPERLINK "https://www.apt.int/sites/default/files/2022/07/APG23-4-INF-02_ATU_preparation.docx" </w:instrText>
      </w:r>
      <w:r w:rsidR="00F322BB" w:rsidRPr="00F322BB">
        <w:fldChar w:fldCharType="separate"/>
      </w:r>
      <w:r w:rsidR="00F322BB" w:rsidRPr="00F322BB">
        <w:rPr>
          <w:rStyle w:val="Hyperlink"/>
        </w:rPr>
        <w:t>INF-02</w:t>
      </w:r>
      <w:r w:rsidR="00F322BB" w:rsidRPr="00F322BB">
        <w:rPr>
          <w:lang w:val="en-NZ"/>
        </w:rPr>
        <w:fldChar w:fldCharType="end"/>
      </w:r>
      <w:r w:rsidR="00F322BB" w:rsidRPr="00F322BB">
        <w:t>(ATU),</w:t>
      </w:r>
      <w:hyperlink r:id="rId28" w:history="1">
        <w:r w:rsidR="00F322BB" w:rsidRPr="00F322BB">
          <w:rPr>
            <w:rStyle w:val="Hyperlink"/>
          </w:rPr>
          <w:t>INF-03</w:t>
        </w:r>
      </w:hyperlink>
      <w:r w:rsidR="00F322BB" w:rsidRPr="00F322BB">
        <w:t>(WMO),</w:t>
      </w:r>
      <w:hyperlink r:id="rId29" w:history="1">
        <w:r w:rsidR="00F322BB" w:rsidRPr="00F322BB">
          <w:rPr>
            <w:rStyle w:val="Hyperlink"/>
          </w:rPr>
          <w:t>INF-21</w:t>
        </w:r>
      </w:hyperlink>
      <w:r w:rsidR="00F322BB" w:rsidRPr="00F322BB">
        <w:t>(ASMG),</w:t>
      </w:r>
      <w:hyperlink r:id="rId30" w:history="1">
        <w:r w:rsidR="00F322BB" w:rsidRPr="00F322BB">
          <w:rPr>
            <w:rStyle w:val="Hyperlink"/>
          </w:rPr>
          <w:t>INF-28</w:t>
        </w:r>
      </w:hyperlink>
      <w:r w:rsidR="00F322BB" w:rsidRPr="00F322BB">
        <w:t>(CITEL),</w:t>
      </w:r>
      <w:hyperlink r:id="rId31" w:history="1">
        <w:r w:rsidR="00F322BB" w:rsidRPr="00F322BB">
          <w:rPr>
            <w:rStyle w:val="Hyperlink"/>
          </w:rPr>
          <w:t>INF-37</w:t>
        </w:r>
      </w:hyperlink>
      <w:r w:rsidR="00F322BB" w:rsidRPr="00F322BB">
        <w:t>(Chairman, DG AI1.17),</w:t>
      </w:r>
      <w:hyperlink r:id="rId32" w:history="1">
        <w:r w:rsidR="00F322BB" w:rsidRPr="00F322BB">
          <w:rPr>
            <w:rStyle w:val="Hyperlink"/>
          </w:rPr>
          <w:t>INF-44</w:t>
        </w:r>
      </w:hyperlink>
      <w:r w:rsidR="00F322BB" w:rsidRPr="00F322BB">
        <w:t xml:space="preserve">(RCC), </w:t>
      </w:r>
      <w:hyperlink r:id="rId33" w:history="1">
        <w:r w:rsidR="00F322BB" w:rsidRPr="00F322BB">
          <w:rPr>
            <w:rStyle w:val="Hyperlink"/>
          </w:rPr>
          <w:t>INF-48</w:t>
        </w:r>
      </w:hyperlink>
      <w:r w:rsidR="00F322BB" w:rsidRPr="00F322BB">
        <w:t>(CEPT)</w:t>
      </w:r>
    </w:p>
    <w:p w14:paraId="4D9D120F" w14:textId="77777777" w:rsidR="005179F4" w:rsidRPr="00367979" w:rsidRDefault="005179F4" w:rsidP="005179F4">
      <w:pPr>
        <w:jc w:val="both"/>
        <w:rPr>
          <w:b/>
          <w:lang w:eastAsia="ko-KR"/>
        </w:rPr>
      </w:pPr>
    </w:p>
    <w:p w14:paraId="12C4F2F6" w14:textId="7DCD64A7" w:rsidR="002A0111" w:rsidRPr="005179F4" w:rsidRDefault="002A0111" w:rsidP="005179F4">
      <w:pPr>
        <w:jc w:val="both"/>
        <w:rPr>
          <w:b/>
          <w:lang w:val="en-NZ" w:eastAsia="ko-KR"/>
        </w:rPr>
      </w:pPr>
      <w:r w:rsidRPr="005179F4">
        <w:rPr>
          <w:b/>
          <w:lang w:val="en-NZ" w:eastAsia="ko-KR"/>
        </w:rPr>
        <w:t xml:space="preserve">3. </w:t>
      </w:r>
      <w:r w:rsidRPr="005179F4">
        <w:rPr>
          <w:b/>
          <w:lang w:val="en-NZ" w:eastAsia="ko-KR"/>
        </w:rPr>
        <w:tab/>
        <w:t>Summary of discussions</w:t>
      </w:r>
    </w:p>
    <w:p w14:paraId="28A982A3" w14:textId="77777777" w:rsidR="001B14E5" w:rsidRPr="00441526" w:rsidRDefault="001B14E5" w:rsidP="002A0111">
      <w:pPr>
        <w:rPr>
          <w:b/>
          <w:lang w:val="en-NZ" w:eastAsia="ko-KR"/>
        </w:rPr>
      </w:pPr>
    </w:p>
    <w:p w14:paraId="0A0574B2" w14:textId="77777777" w:rsidR="002A0111" w:rsidRPr="00441526" w:rsidRDefault="002A0111" w:rsidP="002A0111">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2FB425C9" w14:textId="62AB448C" w:rsidR="00446530" w:rsidRDefault="002A0111" w:rsidP="003D3D47">
      <w:pPr>
        <w:spacing w:after="120"/>
        <w:jc w:val="both"/>
        <w:rPr>
          <w:b/>
          <w:lang w:val="en-NZ" w:eastAsia="ko-KR"/>
        </w:rPr>
      </w:pPr>
      <w:r w:rsidRPr="00441526">
        <w:rPr>
          <w:b/>
          <w:lang w:val="en-NZ" w:eastAsia="ko-KR"/>
        </w:rPr>
        <w:t xml:space="preserve">3.1.1 </w:t>
      </w:r>
      <w:r w:rsidRPr="00441526">
        <w:rPr>
          <w:b/>
          <w:lang w:val="en-NZ" w:eastAsia="ko-KR"/>
        </w:rPr>
        <w:tab/>
      </w:r>
      <w:r w:rsidR="00F8764F" w:rsidRPr="00F8764F">
        <w:rPr>
          <w:b/>
          <w:lang w:val="en-NZ" w:eastAsia="ko-KR"/>
        </w:rPr>
        <w:t>Japan</w:t>
      </w:r>
      <w:r w:rsidR="00F8764F">
        <w:rPr>
          <w:b/>
          <w:lang w:val="en-NZ" w:eastAsia="ko-KR"/>
        </w:rPr>
        <w:t xml:space="preserve"> </w:t>
      </w:r>
      <w:r w:rsidR="00446530" w:rsidRPr="00441526">
        <w:t xml:space="preserve">- </w:t>
      </w:r>
      <w:r w:rsidR="00446530" w:rsidRPr="00441526">
        <w:rPr>
          <w:b/>
          <w:lang w:val="en-NZ" w:eastAsia="ko-KR"/>
        </w:rPr>
        <w:t xml:space="preserve">Document </w:t>
      </w:r>
      <w:r w:rsidR="00446530" w:rsidRPr="00446530">
        <w:rPr>
          <w:b/>
          <w:lang w:val="en-NZ" w:eastAsia="ko-KR"/>
        </w:rPr>
        <w:t>APG23-</w:t>
      </w:r>
      <w:r w:rsidR="00F8764F">
        <w:rPr>
          <w:b/>
          <w:lang w:val="en-NZ" w:eastAsia="ko-KR"/>
        </w:rPr>
        <w:t>4</w:t>
      </w:r>
      <w:r w:rsidR="00446530" w:rsidRPr="00446530">
        <w:rPr>
          <w:b/>
          <w:lang w:val="en-NZ" w:eastAsia="ko-KR"/>
        </w:rPr>
        <w:t>/INP-10</w:t>
      </w:r>
    </w:p>
    <w:p w14:paraId="0872E4F9" w14:textId="4AEC23F2" w:rsidR="00F8764F" w:rsidRDefault="00F8764F" w:rsidP="00F8764F">
      <w:pPr>
        <w:ind w:left="709"/>
        <w:jc w:val="thaiDistribute"/>
      </w:pPr>
      <w:r w:rsidRPr="00F8764F">
        <w:t xml:space="preserve">In order to protect the BSS in the band 11.7 - 12.2 GHz in Region 3 and not to impose any additional constraints on future development of the BSS in the band 11.7 - 12.2 GHz in Region 3, Japan supports NOC for the allocation in the band 11.7 - 12.2 GHz in Region 3. </w:t>
      </w:r>
    </w:p>
    <w:p w14:paraId="602BCBAF" w14:textId="77777777" w:rsidR="00F8764F" w:rsidRPr="00F8764F" w:rsidRDefault="00F8764F" w:rsidP="00F8764F">
      <w:pPr>
        <w:ind w:left="709"/>
        <w:jc w:val="thaiDistribute"/>
      </w:pPr>
    </w:p>
    <w:p w14:paraId="70B07327" w14:textId="0BF8CBF5" w:rsidR="00446530" w:rsidRDefault="00F8764F" w:rsidP="00F8764F">
      <w:pPr>
        <w:ind w:left="709"/>
        <w:jc w:val="thaiDistribute"/>
      </w:pPr>
      <w:r w:rsidRPr="00F8764F">
        <w:t>Japan supports ITU-R studies on the sharing and compatibility as well as to develop technical conditions and regulatory provisions for the use of satellite-to-satellite operations in the 11.7-12.7 GHz, 18.1-18.6 GHz, 18.8-20.2 GHz and 27.5-30 GHz frequency bands in accordance with Resolution 773 (WRC-19), and such the use shall ensure protection of primary services allocated in the bands and in the adjacent bands.</w:t>
      </w:r>
    </w:p>
    <w:p w14:paraId="62B520DC" w14:textId="77777777" w:rsidR="00F8764F" w:rsidRPr="00F8764F" w:rsidRDefault="00F8764F" w:rsidP="00F8764F">
      <w:pPr>
        <w:ind w:left="709"/>
        <w:jc w:val="thaiDistribute"/>
      </w:pPr>
    </w:p>
    <w:p w14:paraId="0E5A7D1A" w14:textId="2085AEF6" w:rsidR="002A0111" w:rsidRPr="00441526" w:rsidRDefault="00446530" w:rsidP="003D3D47">
      <w:pPr>
        <w:spacing w:after="120"/>
        <w:jc w:val="both"/>
        <w:rPr>
          <w:b/>
          <w:lang w:val="en-NZ" w:eastAsia="ko-KR"/>
        </w:rPr>
      </w:pPr>
      <w:r>
        <w:rPr>
          <w:b/>
          <w:lang w:val="en-NZ" w:eastAsia="ko-KR"/>
        </w:rPr>
        <w:t>3.1.2</w:t>
      </w:r>
      <w:r w:rsidRPr="00441526">
        <w:rPr>
          <w:b/>
          <w:lang w:val="en-NZ" w:eastAsia="ko-KR"/>
        </w:rPr>
        <w:t xml:space="preserve"> </w:t>
      </w:r>
      <w:r w:rsidRPr="00441526">
        <w:rPr>
          <w:b/>
          <w:lang w:val="en-NZ" w:eastAsia="ko-KR"/>
        </w:rPr>
        <w:tab/>
      </w:r>
      <w:r w:rsidR="00F8764F" w:rsidRPr="00F8764F">
        <w:rPr>
          <w:b/>
          <w:lang w:val="en-NZ" w:eastAsia="ko-KR"/>
        </w:rPr>
        <w:t>Australia</w:t>
      </w:r>
      <w:r w:rsidR="002A0111" w:rsidRPr="00441526">
        <w:rPr>
          <w:b/>
          <w:lang w:val="en-NZ" w:eastAsia="ko-KR"/>
        </w:rPr>
        <w:t xml:space="preserve"> </w:t>
      </w:r>
      <w:r w:rsidR="002A0111" w:rsidRPr="00F8764F">
        <w:rPr>
          <w:b/>
          <w:lang w:val="en-NZ" w:eastAsia="ko-KR"/>
        </w:rPr>
        <w:t xml:space="preserve">- </w:t>
      </w:r>
      <w:r w:rsidR="002A0111" w:rsidRPr="00441526">
        <w:rPr>
          <w:b/>
          <w:lang w:val="en-NZ" w:eastAsia="ko-KR"/>
        </w:rPr>
        <w:t>Document APG</w:t>
      </w:r>
      <w:r w:rsidR="00822B33">
        <w:rPr>
          <w:b/>
          <w:lang w:val="en-NZ" w:eastAsia="ko-KR"/>
        </w:rPr>
        <w:t>23</w:t>
      </w:r>
      <w:r w:rsidR="002A0111" w:rsidRPr="00441526">
        <w:rPr>
          <w:b/>
          <w:lang w:val="en-NZ" w:eastAsia="ko-KR"/>
        </w:rPr>
        <w:t>-</w:t>
      </w:r>
      <w:r w:rsidR="00F8764F">
        <w:rPr>
          <w:b/>
          <w:lang w:val="en-NZ" w:eastAsia="ko-KR"/>
        </w:rPr>
        <w:t>4</w:t>
      </w:r>
      <w:r w:rsidR="00B725A6">
        <w:rPr>
          <w:b/>
          <w:lang w:val="en-NZ" w:eastAsia="ko-KR"/>
        </w:rPr>
        <w:t>/INP-1</w:t>
      </w:r>
      <w:r w:rsidR="00F8764F">
        <w:rPr>
          <w:b/>
          <w:lang w:val="en-NZ" w:eastAsia="ko-KR"/>
        </w:rPr>
        <w:t>7</w:t>
      </w:r>
    </w:p>
    <w:p w14:paraId="520C308A" w14:textId="682A4DE6" w:rsidR="00F8764F" w:rsidRDefault="00F8764F" w:rsidP="00DF39A7">
      <w:pPr>
        <w:ind w:left="709"/>
        <w:jc w:val="both"/>
      </w:pPr>
      <w:r w:rsidRPr="00CD7B6C">
        <w:t xml:space="preserve">Australia supports ITU-R studies to develop technical conditions and regulatory provisions that establish a </w:t>
      </w:r>
      <w:proofErr w:type="spellStart"/>
      <w:r w:rsidRPr="00CD7B6C">
        <w:t>harmonised</w:t>
      </w:r>
      <w:proofErr w:type="spellEnd"/>
      <w:r w:rsidRPr="00CD7B6C">
        <w:t xml:space="preserve"> framework which facilitates the use of satellite-to-satellite operations in the 11.7 </w:t>
      </w:r>
      <w:r w:rsidRPr="00CD7B6C">
        <w:noBreakHyphen/>
        <w:t xml:space="preserve"> 12.7 GHz, 18.1 </w:t>
      </w:r>
      <w:r w:rsidRPr="00CD7B6C">
        <w:noBreakHyphen/>
        <w:t xml:space="preserve"> 18.6 GHz, 18.8 </w:t>
      </w:r>
      <w:r w:rsidRPr="00CD7B6C">
        <w:noBreakHyphen/>
        <w:t xml:space="preserve"> 20.2 GHz and 27.5 </w:t>
      </w:r>
      <w:r w:rsidRPr="00CD7B6C">
        <w:noBreakHyphen/>
        <w:t xml:space="preserve"> 30 GHz frequency bands. Such use shall protect and impose no additional regulatory or technical constraints on services to which the frequency band is currently allocated on a primary basis in accordance with Resolution </w:t>
      </w:r>
      <w:r w:rsidRPr="00CD7B6C">
        <w:rPr>
          <w:b/>
        </w:rPr>
        <w:t>773 (WRC-19)</w:t>
      </w:r>
      <w:r w:rsidRPr="00CD7B6C">
        <w:t xml:space="preserve">. </w:t>
      </w:r>
    </w:p>
    <w:p w14:paraId="39FB6DB0" w14:textId="77777777" w:rsidR="00F8764F" w:rsidRPr="00CD7B6C" w:rsidRDefault="00F8764F" w:rsidP="00DF39A7">
      <w:pPr>
        <w:ind w:left="709"/>
        <w:jc w:val="both"/>
      </w:pPr>
    </w:p>
    <w:p w14:paraId="38AEEF95" w14:textId="77777777" w:rsidR="00F8764F" w:rsidRPr="00CD7B6C" w:rsidRDefault="00F8764F" w:rsidP="00DF39A7">
      <w:pPr>
        <w:ind w:left="709"/>
        <w:jc w:val="both"/>
      </w:pPr>
      <w:r w:rsidRPr="00CD7B6C">
        <w:t xml:space="preserve">Regulatory recognition of satellite-to-satellite operations under this agenda item should be conditional on these operations being contained within the cone of coverage towards earth of the FSS GSO/non-GSO service provider space station and further restricted to ensure that in the FSS (E-s) allocated portions of the band transmissions from a user space station to a service provider space station only occurs when the users apogee is lower than the service providers minimum operational altitude, and that for the FSS (s-E) portions of the band transmissions from a service provider space station to a user space </w:t>
      </w:r>
      <w:r w:rsidRPr="00CD7B6C">
        <w:lastRenderedPageBreak/>
        <w:t>station only occurs when the user space station apogee is lower than the service providers station minimum operational altitude.</w:t>
      </w:r>
    </w:p>
    <w:p w14:paraId="2A29EB9D" w14:textId="77777777" w:rsidR="00F8764F" w:rsidRPr="00CD7B6C" w:rsidRDefault="00F8764F" w:rsidP="00DF39A7">
      <w:pPr>
        <w:ind w:left="709"/>
        <w:jc w:val="both"/>
      </w:pPr>
    </w:p>
    <w:p w14:paraId="2540C0A0" w14:textId="77777777" w:rsidR="00F8764F" w:rsidRPr="00CD7B6C" w:rsidRDefault="00F8764F" w:rsidP="00DF39A7">
      <w:pPr>
        <w:ind w:left="709"/>
        <w:jc w:val="both"/>
      </w:pPr>
      <w:r w:rsidRPr="00CD7B6C">
        <w:t>Australia supports the work undertaken by WP 4A to date in defining the concepts of “within the cone of coverage” (inside the cone) and “expanded-cone” (a collective of both inside and outside the cone).</w:t>
      </w:r>
    </w:p>
    <w:p w14:paraId="402A84C1" w14:textId="77777777" w:rsidR="00F8764F" w:rsidRPr="00CD7B6C" w:rsidRDefault="00F8764F" w:rsidP="00DF39A7">
      <w:pPr>
        <w:ind w:left="709"/>
        <w:jc w:val="both"/>
      </w:pPr>
    </w:p>
    <w:p w14:paraId="3A33B6A8" w14:textId="77777777" w:rsidR="00F8764F" w:rsidRPr="00CD7B6C" w:rsidRDefault="00F8764F" w:rsidP="00DF39A7">
      <w:pPr>
        <w:ind w:left="709"/>
        <w:jc w:val="both"/>
      </w:pPr>
      <w:r w:rsidRPr="00CD7B6C">
        <w:t>Australia can consider but is yet to form a view on possible new inter-satellite service (ISS) allocations in the frequency bands subject to this agenda item.</w:t>
      </w:r>
    </w:p>
    <w:p w14:paraId="6CF31D00" w14:textId="77777777" w:rsidR="00F8764F" w:rsidRPr="00CD7B6C" w:rsidRDefault="00F8764F" w:rsidP="00DF39A7">
      <w:pPr>
        <w:ind w:left="709"/>
        <w:jc w:val="both"/>
      </w:pPr>
    </w:p>
    <w:p w14:paraId="45AC7E43" w14:textId="77777777" w:rsidR="00F8764F" w:rsidRPr="00CD7B6C" w:rsidRDefault="00F8764F" w:rsidP="00DF39A7">
      <w:pPr>
        <w:ind w:left="709"/>
        <w:jc w:val="both"/>
      </w:pPr>
      <w:r w:rsidRPr="00CD7B6C">
        <w:t xml:space="preserve">In relation to the regulatory consideration of proposing changes to the Table of Frequency Allocations to accommodate or </w:t>
      </w:r>
      <w:proofErr w:type="spellStart"/>
      <w:r w:rsidRPr="00CD7B6C">
        <w:t>recognise</w:t>
      </w:r>
      <w:proofErr w:type="spellEnd"/>
      <w:r w:rsidRPr="00CD7B6C">
        <w:t xml:space="preserve"> a new space-to-space application, Australia’s position is yet to be </w:t>
      </w:r>
      <w:proofErr w:type="spellStart"/>
      <w:r w:rsidRPr="00CD7B6C">
        <w:t>finalised</w:t>
      </w:r>
      <w:proofErr w:type="spellEnd"/>
      <w:r w:rsidRPr="00CD7B6C">
        <w:t xml:space="preserve">. Australia is of the view that such changes, if required, should be consistent with the service definitions in Article </w:t>
      </w:r>
      <w:r w:rsidRPr="00CD7B6C">
        <w:rPr>
          <w:b/>
        </w:rPr>
        <w:t>1</w:t>
      </w:r>
      <w:r w:rsidRPr="00CD7B6C">
        <w:t xml:space="preserve"> of the Radio Regulations.</w:t>
      </w:r>
    </w:p>
    <w:p w14:paraId="7DF67F87" w14:textId="77777777" w:rsidR="00446530" w:rsidRDefault="00446530" w:rsidP="00762BE7">
      <w:pPr>
        <w:ind w:left="708"/>
        <w:jc w:val="both"/>
        <w:rPr>
          <w:lang w:val="en-NZ"/>
        </w:rPr>
      </w:pPr>
    </w:p>
    <w:p w14:paraId="38D47D3E" w14:textId="7DB915BD" w:rsidR="002A0111" w:rsidRPr="00441526" w:rsidRDefault="00B725A6" w:rsidP="003D3D47">
      <w:pPr>
        <w:spacing w:after="120"/>
        <w:jc w:val="both"/>
        <w:rPr>
          <w:b/>
          <w:lang w:val="en-NZ" w:eastAsia="ko-KR"/>
        </w:rPr>
      </w:pPr>
      <w:r>
        <w:rPr>
          <w:b/>
          <w:lang w:val="en-NZ" w:eastAsia="ko-KR"/>
        </w:rPr>
        <w:t>3.1.</w:t>
      </w:r>
      <w:r w:rsidR="00FC783B" w:rsidRPr="00FC783B">
        <w:rPr>
          <w:rFonts w:hint="eastAsia"/>
          <w:b/>
          <w:lang w:val="en-NZ" w:eastAsia="ko-KR"/>
        </w:rPr>
        <w:t>3</w:t>
      </w:r>
      <w:r>
        <w:rPr>
          <w:b/>
          <w:lang w:val="en-NZ" w:eastAsia="ko-KR"/>
        </w:rPr>
        <w:t xml:space="preserve"> </w:t>
      </w:r>
      <w:r>
        <w:rPr>
          <w:b/>
          <w:lang w:val="en-NZ" w:eastAsia="ko-KR"/>
        </w:rPr>
        <w:tab/>
      </w:r>
      <w:r w:rsidR="009C1F51" w:rsidRPr="009C1F51">
        <w:rPr>
          <w:b/>
          <w:lang w:val="en-NZ" w:eastAsia="ko-KR"/>
        </w:rPr>
        <w:t>Iran (Islamic Republic of)</w:t>
      </w:r>
      <w:r w:rsidR="002A0111" w:rsidRPr="00441526">
        <w:rPr>
          <w:b/>
          <w:lang w:val="en-NZ" w:eastAsia="ko-KR"/>
        </w:rPr>
        <w:t xml:space="preserve"> </w:t>
      </w:r>
      <w:r w:rsidR="002A0111" w:rsidRPr="00441526">
        <w:t xml:space="preserve">- </w:t>
      </w:r>
      <w:r w:rsidR="002A0111" w:rsidRPr="00441526">
        <w:rPr>
          <w:b/>
          <w:lang w:val="en-NZ" w:eastAsia="ko-KR"/>
        </w:rPr>
        <w:t>Document APG</w:t>
      </w:r>
      <w:r w:rsidR="00822B33">
        <w:rPr>
          <w:b/>
          <w:lang w:val="en-NZ" w:eastAsia="ko-KR"/>
        </w:rPr>
        <w:t>23</w:t>
      </w:r>
      <w:r w:rsidR="002A0111" w:rsidRPr="00441526">
        <w:rPr>
          <w:b/>
          <w:lang w:val="en-NZ" w:eastAsia="ko-KR"/>
        </w:rPr>
        <w:t>-</w:t>
      </w:r>
      <w:r w:rsidR="009C1F51">
        <w:rPr>
          <w:b/>
          <w:lang w:val="en-NZ" w:eastAsia="ko-KR"/>
        </w:rPr>
        <w:t>4</w:t>
      </w:r>
      <w:r>
        <w:rPr>
          <w:b/>
          <w:lang w:val="en-NZ" w:eastAsia="ko-KR"/>
        </w:rPr>
        <w:t>/INP-</w:t>
      </w:r>
      <w:r w:rsidR="009C1F51">
        <w:rPr>
          <w:b/>
          <w:lang w:val="en-NZ" w:eastAsia="ko-KR"/>
        </w:rPr>
        <w:t>26</w:t>
      </w:r>
    </w:p>
    <w:p w14:paraId="54BED95E" w14:textId="712A5C70" w:rsidR="00DF39A7" w:rsidRDefault="00DF39A7" w:rsidP="00DF39A7">
      <w:pPr>
        <w:ind w:left="709"/>
        <w:jc w:val="both"/>
      </w:pPr>
      <w:r>
        <w:t xml:space="preserve">This Administration </w:t>
      </w:r>
      <w:r w:rsidRPr="008A2CD3">
        <w:t>support</w:t>
      </w:r>
      <w:r>
        <w:t>s</w:t>
      </w:r>
      <w:r w:rsidRPr="008A2CD3">
        <w:t xml:space="preserve"> NOC </w:t>
      </w:r>
      <w:r>
        <w:t xml:space="preserve">for new allocation to inter-satellite system </w:t>
      </w:r>
      <w:r w:rsidRPr="008A2CD3">
        <w:t>in the band</w:t>
      </w:r>
      <w:r>
        <w:t>s</w:t>
      </w:r>
      <w:r w:rsidRPr="008A2CD3">
        <w:t xml:space="preserve"> </w:t>
      </w:r>
      <w:r>
        <w:t xml:space="preserve">subject to this agenda item, which are shared with FSS which are the core bands for infrastructure of the telecommunication / ICT. </w:t>
      </w:r>
    </w:p>
    <w:p w14:paraId="01291CB1" w14:textId="77777777" w:rsidR="00DF39A7" w:rsidRDefault="00DF39A7" w:rsidP="00DF39A7">
      <w:pPr>
        <w:ind w:left="709"/>
        <w:jc w:val="both"/>
      </w:pPr>
    </w:p>
    <w:p w14:paraId="38A5D40C" w14:textId="213E6A46" w:rsidR="00DF39A7" w:rsidRDefault="00DF39A7" w:rsidP="00DF39A7">
      <w:pPr>
        <w:ind w:left="709"/>
        <w:jc w:val="both"/>
      </w:pPr>
      <w:r>
        <w:t xml:space="preserve">Moreover, this Administration also does not support inter- satellite system in the band </w:t>
      </w:r>
      <w:r w:rsidRPr="008A2CD3">
        <w:t xml:space="preserve">11.7 - 12.2 GHz </w:t>
      </w:r>
      <w:r>
        <w:t xml:space="preserve">in order to </w:t>
      </w:r>
      <w:r w:rsidRPr="00F54BE6">
        <w:t>protect the geostationary-satellite networks in the BSS Plan and List in the band 11.7</w:t>
      </w:r>
      <w:r>
        <w:t>-</w:t>
      </w:r>
      <w:r w:rsidRPr="00F54BE6">
        <w:t xml:space="preserve">12.2 GHz in Region 3 and not to impose any additional constraints on </w:t>
      </w:r>
      <w:r>
        <w:t xml:space="preserve">the </w:t>
      </w:r>
      <w:r w:rsidRPr="00F54BE6">
        <w:t>future development of the geostationary-satellite networks in the BSS</w:t>
      </w:r>
      <w:r>
        <w:t>.</w:t>
      </w:r>
    </w:p>
    <w:p w14:paraId="727FCD34" w14:textId="77777777" w:rsidR="00DF39A7" w:rsidRDefault="00DF39A7" w:rsidP="00DF39A7">
      <w:pPr>
        <w:ind w:left="709"/>
        <w:jc w:val="both"/>
      </w:pPr>
    </w:p>
    <w:p w14:paraId="4CC4B596" w14:textId="2BF03E10" w:rsidR="00DF39A7" w:rsidRDefault="00DF39A7" w:rsidP="00DF39A7">
      <w:pPr>
        <w:ind w:left="709"/>
        <w:jc w:val="both"/>
      </w:pPr>
      <w:r>
        <w:t>Moreover, this Administration has no objection to develop necessary regulatory provision for use by extended Zone if the shortcoming of that zone as raised in ITU-R study group is properly addressed and in addition the GSO and NGSO services to which the band is currently allocated are not adversely affected in any way.</w:t>
      </w:r>
    </w:p>
    <w:p w14:paraId="3A89B8EA" w14:textId="77777777" w:rsidR="00DF39A7" w:rsidRDefault="00DF39A7" w:rsidP="00DF39A7">
      <w:pPr>
        <w:ind w:left="709"/>
        <w:jc w:val="both"/>
      </w:pPr>
    </w:p>
    <w:p w14:paraId="3177248B" w14:textId="77777777" w:rsidR="00DF39A7" w:rsidRDefault="00DF39A7" w:rsidP="00DF39A7">
      <w:pPr>
        <w:ind w:left="709"/>
        <w:jc w:val="both"/>
      </w:pPr>
      <w:proofErr w:type="gramStart"/>
      <w:r>
        <w:t>Unfortunately</w:t>
      </w:r>
      <w:proofErr w:type="gramEnd"/>
      <w:r>
        <w:t xml:space="preserve"> there are no Method is yet agreed and the draft Resolution for the agenda item is in a very preliminary stage.</w:t>
      </w:r>
    </w:p>
    <w:p w14:paraId="7F1E2920" w14:textId="77777777" w:rsidR="003A1E4C" w:rsidRPr="00441526" w:rsidRDefault="003A1E4C" w:rsidP="003A1E4C">
      <w:pPr>
        <w:ind w:left="708"/>
        <w:jc w:val="both"/>
        <w:rPr>
          <w:lang w:val="en-NZ"/>
        </w:rPr>
      </w:pPr>
    </w:p>
    <w:p w14:paraId="431CA13E" w14:textId="53960A9B" w:rsidR="002A0111" w:rsidRPr="00441526" w:rsidRDefault="00B725A6" w:rsidP="00FC783B">
      <w:pPr>
        <w:spacing w:after="120"/>
        <w:jc w:val="both"/>
        <w:rPr>
          <w:b/>
          <w:lang w:val="en-NZ" w:eastAsia="ko-KR"/>
        </w:rPr>
      </w:pPr>
      <w:r w:rsidRPr="00FC783B">
        <w:rPr>
          <w:b/>
          <w:lang w:val="en-NZ" w:eastAsia="ko-KR"/>
        </w:rPr>
        <w:t>3.1.</w:t>
      </w:r>
      <w:r w:rsidR="00FC783B" w:rsidRPr="00FC783B">
        <w:rPr>
          <w:rFonts w:eastAsiaTheme="minorEastAsia"/>
          <w:b/>
          <w:lang w:val="en-NZ" w:eastAsia="zh-CN"/>
        </w:rPr>
        <w:t>4</w:t>
      </w:r>
      <w:r>
        <w:rPr>
          <w:b/>
          <w:lang w:val="en-NZ" w:eastAsia="ko-KR"/>
        </w:rPr>
        <w:tab/>
      </w:r>
      <w:r w:rsidR="00165B9E">
        <w:rPr>
          <w:b/>
          <w:lang w:val="en-NZ" w:eastAsia="ko-KR"/>
        </w:rPr>
        <w:t xml:space="preserve">Korea </w:t>
      </w:r>
      <w:r w:rsidR="00165B9E" w:rsidRPr="00165B9E">
        <w:rPr>
          <w:b/>
          <w:lang w:val="en-NZ" w:eastAsia="ko-KR"/>
        </w:rPr>
        <w:t>(Republic of)</w:t>
      </w:r>
      <w:r w:rsidR="002A0111" w:rsidRPr="00441526">
        <w:rPr>
          <w:b/>
          <w:lang w:val="en-NZ" w:eastAsia="ko-KR"/>
        </w:rPr>
        <w:t xml:space="preserve"> </w:t>
      </w:r>
      <w:r w:rsidR="002A0111" w:rsidRPr="00441526">
        <w:t xml:space="preserve">- </w:t>
      </w:r>
      <w:r w:rsidR="002A0111" w:rsidRPr="00441526">
        <w:rPr>
          <w:b/>
          <w:lang w:val="en-NZ" w:eastAsia="ko-KR"/>
        </w:rPr>
        <w:t xml:space="preserve">Document </w:t>
      </w:r>
      <w:r w:rsidR="00FC783B" w:rsidRPr="00FC783B">
        <w:rPr>
          <w:b/>
          <w:lang w:val="en-NZ" w:eastAsia="ko-KR"/>
        </w:rPr>
        <w:t>APG23-</w:t>
      </w:r>
      <w:r w:rsidR="00DF39A7">
        <w:rPr>
          <w:b/>
          <w:lang w:val="en-NZ" w:eastAsia="ko-KR"/>
        </w:rPr>
        <w:t>4</w:t>
      </w:r>
      <w:r w:rsidR="00FC783B" w:rsidRPr="00FC783B">
        <w:rPr>
          <w:b/>
          <w:lang w:val="en-NZ" w:eastAsia="ko-KR"/>
        </w:rPr>
        <w:t>/INP-</w:t>
      </w:r>
      <w:r w:rsidR="00DF39A7">
        <w:rPr>
          <w:b/>
          <w:lang w:val="en-NZ" w:eastAsia="ko-KR"/>
        </w:rPr>
        <w:t>3</w:t>
      </w:r>
      <w:r w:rsidR="00FC783B" w:rsidRPr="00FC783B">
        <w:rPr>
          <w:b/>
          <w:lang w:val="en-NZ" w:eastAsia="ko-KR"/>
        </w:rPr>
        <w:t>7</w:t>
      </w:r>
    </w:p>
    <w:p w14:paraId="6515CD7C" w14:textId="5DA00F6B" w:rsidR="00DF39A7" w:rsidRDefault="00DF39A7" w:rsidP="00DF39A7">
      <w:pPr>
        <w:ind w:left="709"/>
        <w:jc w:val="both"/>
      </w:pPr>
      <w:r>
        <w:rPr>
          <w:rFonts w:hint="eastAsia"/>
        </w:rPr>
        <w:t xml:space="preserve">The Republic of Korea </w:t>
      </w:r>
      <w:r w:rsidRPr="00D52112">
        <w:t>support</w:t>
      </w:r>
      <w:r>
        <w:t>s</w:t>
      </w:r>
      <w:r w:rsidRPr="00D52112">
        <w:t xml:space="preserve"> </w:t>
      </w:r>
      <w:r>
        <w:t xml:space="preserve">on-going </w:t>
      </w:r>
      <w:r w:rsidRPr="00D52112">
        <w:t xml:space="preserve">ITU-R studies on the sharing and compatibility </w:t>
      </w:r>
      <w:r>
        <w:t xml:space="preserve">in the bands 11.7-12.7 GHz, 18.1-18.6 GHz, 18.8-20.2 GHz and 27.5-30 GHz, or portions thereof in the fixed-satellite service (FSS), while ensuring the </w:t>
      </w:r>
      <w:r w:rsidRPr="00DF39A7">
        <w:t xml:space="preserve">protection of, and not adversely affecting </w:t>
      </w:r>
      <w:r>
        <w:t>other FSS</w:t>
      </w:r>
      <w:r w:rsidRPr="00DF39A7">
        <w:t xml:space="preserve"> and BSS </w:t>
      </w:r>
      <w:r>
        <w:t xml:space="preserve">networks or systems and other </w:t>
      </w:r>
      <w:r w:rsidRPr="00D52112">
        <w:t xml:space="preserve">services allocated in the </w:t>
      </w:r>
      <w:r>
        <w:t xml:space="preserve">same </w:t>
      </w:r>
      <w:r w:rsidRPr="00D52112">
        <w:t>bands and adjacent bands.</w:t>
      </w:r>
      <w:r>
        <w:t xml:space="preserve"> </w:t>
      </w:r>
    </w:p>
    <w:p w14:paraId="607C62F9" w14:textId="77777777" w:rsidR="00DF39A7" w:rsidRDefault="00DF39A7" w:rsidP="00DF39A7">
      <w:pPr>
        <w:ind w:left="709"/>
        <w:jc w:val="both"/>
      </w:pPr>
    </w:p>
    <w:p w14:paraId="1078FFA4" w14:textId="77777777" w:rsidR="00DF39A7" w:rsidRDefault="00DF39A7" w:rsidP="00DF39A7">
      <w:pPr>
        <w:ind w:left="709"/>
        <w:jc w:val="both"/>
      </w:pPr>
      <w:r>
        <w:rPr>
          <w:rFonts w:hint="eastAsia"/>
        </w:rPr>
        <w:t xml:space="preserve">The Republic of Korea </w:t>
      </w:r>
      <w:r w:rsidRPr="00DF39A7">
        <w:t xml:space="preserve">would consider </w:t>
      </w:r>
      <w:r>
        <w:rPr>
          <w:rFonts w:hint="eastAsia"/>
        </w:rPr>
        <w:t xml:space="preserve">the technical conditions and regulatory provisions </w:t>
      </w:r>
      <w:r w:rsidRPr="00D52112">
        <w:t xml:space="preserve">for </w:t>
      </w:r>
      <w:r>
        <w:t>inter-satellite links</w:t>
      </w:r>
      <w:r w:rsidRPr="00D52112">
        <w:t xml:space="preserve"> in the</w:t>
      </w:r>
      <w:r>
        <w:t>se</w:t>
      </w:r>
      <w:r w:rsidRPr="00D52112">
        <w:t xml:space="preserve"> </w:t>
      </w:r>
      <w:r>
        <w:t xml:space="preserve">bands </w:t>
      </w:r>
      <w:r w:rsidRPr="00D52112">
        <w:t>or portions thereof</w:t>
      </w:r>
      <w:r>
        <w:t xml:space="preserve"> within the FSS allocations with an additional indicator “space-to-space” limited to the links operating in the same direction of transmission as provided in the current FSS allocations for “within the cone of coverage” concept of operation, based on the ITU-R studies above.</w:t>
      </w:r>
    </w:p>
    <w:p w14:paraId="2EE0BDF1" w14:textId="77777777" w:rsidR="002A0111" w:rsidRPr="00762BE7" w:rsidRDefault="002A0111" w:rsidP="003D3D47">
      <w:pPr>
        <w:jc w:val="both"/>
        <w:rPr>
          <w:lang w:val="en-NZ"/>
        </w:rPr>
      </w:pPr>
    </w:p>
    <w:p w14:paraId="7EE38F74" w14:textId="78617A2F" w:rsidR="00B725A6" w:rsidRPr="00441526" w:rsidRDefault="00FC783B" w:rsidP="00B725A6">
      <w:pPr>
        <w:spacing w:after="120"/>
        <w:jc w:val="both"/>
        <w:rPr>
          <w:b/>
          <w:lang w:val="en-NZ" w:eastAsia="ko-KR"/>
        </w:rPr>
      </w:pPr>
      <w:r>
        <w:rPr>
          <w:b/>
          <w:lang w:val="en-NZ" w:eastAsia="ko-KR"/>
        </w:rPr>
        <w:t>3.1.5</w:t>
      </w:r>
      <w:r w:rsidR="00B725A6">
        <w:rPr>
          <w:b/>
          <w:lang w:val="en-NZ" w:eastAsia="ko-KR"/>
        </w:rPr>
        <w:tab/>
      </w:r>
      <w:r w:rsidR="00DF39A7" w:rsidRPr="00DF39A7">
        <w:rPr>
          <w:b/>
          <w:lang w:val="en-NZ" w:eastAsia="ko-KR"/>
        </w:rPr>
        <w:t>China (People's Republic of)</w:t>
      </w:r>
      <w:r>
        <w:rPr>
          <w:b/>
          <w:lang w:val="en-NZ" w:eastAsia="ko-KR"/>
        </w:rPr>
        <w:t xml:space="preserve"> </w:t>
      </w:r>
      <w:r w:rsidR="003A1E4C" w:rsidRPr="00165B9E">
        <w:rPr>
          <w:b/>
          <w:lang w:val="en-NZ" w:eastAsia="ko-KR"/>
        </w:rPr>
        <w:t>-</w:t>
      </w:r>
      <w:r w:rsidR="00B725A6" w:rsidRPr="00FC783B">
        <w:rPr>
          <w:b/>
          <w:lang w:val="en-NZ" w:eastAsia="ko-KR"/>
        </w:rPr>
        <w:t xml:space="preserve"> </w:t>
      </w:r>
      <w:r w:rsidR="00B725A6" w:rsidRPr="00441526">
        <w:rPr>
          <w:b/>
          <w:lang w:val="en-NZ" w:eastAsia="ko-KR"/>
        </w:rPr>
        <w:t xml:space="preserve">Document </w:t>
      </w:r>
      <w:r w:rsidRPr="00FC783B">
        <w:rPr>
          <w:b/>
          <w:lang w:val="en-NZ" w:eastAsia="ko-KR"/>
        </w:rPr>
        <w:t>APG23-</w:t>
      </w:r>
      <w:r w:rsidR="00DF39A7">
        <w:rPr>
          <w:b/>
          <w:lang w:val="en-NZ" w:eastAsia="ko-KR"/>
        </w:rPr>
        <w:t>4</w:t>
      </w:r>
      <w:r w:rsidRPr="00FC783B">
        <w:rPr>
          <w:b/>
          <w:lang w:val="en-NZ" w:eastAsia="ko-KR"/>
        </w:rPr>
        <w:t>/INP-</w:t>
      </w:r>
      <w:r w:rsidR="00DF39A7">
        <w:rPr>
          <w:b/>
          <w:lang w:val="en-NZ" w:eastAsia="ko-KR"/>
        </w:rPr>
        <w:t>43</w:t>
      </w:r>
    </w:p>
    <w:p w14:paraId="46A5AF37" w14:textId="38F13664" w:rsidR="00DF39A7" w:rsidRDefault="00DF39A7" w:rsidP="00DF39A7">
      <w:pPr>
        <w:ind w:left="709"/>
        <w:jc w:val="both"/>
      </w:pPr>
      <w:r w:rsidRPr="00DF39A7">
        <w:t xml:space="preserve">China supports studying sharing and compatibility between satellite-to-satellite links intending to operate in the 11.7-12.7 GHz, 18.1-18.6 GHz, 18.8-20.2 GHz and 27.5-30 </w:t>
      </w:r>
      <w:r w:rsidRPr="00DF39A7">
        <w:lastRenderedPageBreak/>
        <w:t>GHz bands, or parts thereof and the existing primary services allocated in same frequency bands as well as EESS (passive) allocated in the adjacent frequency bands.</w:t>
      </w:r>
    </w:p>
    <w:p w14:paraId="18C07EF6" w14:textId="77777777" w:rsidR="00DF39A7" w:rsidRPr="00DF39A7" w:rsidRDefault="00DF39A7" w:rsidP="00DF39A7">
      <w:pPr>
        <w:ind w:left="709"/>
        <w:jc w:val="both"/>
      </w:pPr>
    </w:p>
    <w:p w14:paraId="5D3FB921" w14:textId="2BD354AC" w:rsidR="00DF39A7" w:rsidRDefault="00DF39A7" w:rsidP="00DF39A7">
      <w:pPr>
        <w:ind w:left="709"/>
        <w:jc w:val="both"/>
      </w:pPr>
      <w:r w:rsidRPr="00DF39A7">
        <w:t>China also supports the development of a regulatory framework to enable the operation of satellite</w:t>
      </w:r>
      <w:r w:rsidRPr="00DF39A7">
        <w:rPr>
          <w:rFonts w:hint="eastAsia"/>
        </w:rPr>
        <w:t>-</w:t>
      </w:r>
      <w:r w:rsidRPr="00DF39A7">
        <w:t>to</w:t>
      </w:r>
      <w:r w:rsidRPr="00DF39A7">
        <w:rPr>
          <w:rFonts w:hint="eastAsia"/>
        </w:rPr>
        <w:t>-</w:t>
      </w:r>
      <w:r w:rsidRPr="00DF39A7">
        <w:t>satellite links within the fixed</w:t>
      </w:r>
      <w:r w:rsidRPr="00DF39A7">
        <w:rPr>
          <w:rFonts w:hint="eastAsia"/>
        </w:rPr>
        <w:t>-</w:t>
      </w:r>
      <w:r w:rsidRPr="00DF39A7">
        <w:t>satellite service (FSS) allocation in the 11.7</w:t>
      </w:r>
      <w:r w:rsidRPr="00DF39A7">
        <w:rPr>
          <w:rFonts w:hint="eastAsia"/>
        </w:rPr>
        <w:t>-</w:t>
      </w:r>
      <w:r w:rsidRPr="00DF39A7">
        <w:t>12.7 GHz, 18.1</w:t>
      </w:r>
      <w:r w:rsidRPr="00DF39A7">
        <w:rPr>
          <w:rFonts w:hint="eastAsia"/>
        </w:rPr>
        <w:t>-</w:t>
      </w:r>
      <w:r w:rsidRPr="00DF39A7">
        <w:t>18.6 GHz, 18.8</w:t>
      </w:r>
      <w:r w:rsidRPr="00DF39A7">
        <w:rPr>
          <w:rFonts w:hint="eastAsia"/>
        </w:rPr>
        <w:t>-</w:t>
      </w:r>
      <w:r w:rsidRPr="00DF39A7">
        <w:t>20.2 GHz and 27.5</w:t>
      </w:r>
      <w:r w:rsidRPr="00DF39A7">
        <w:rPr>
          <w:rFonts w:hint="eastAsia"/>
        </w:rPr>
        <w:t>-</w:t>
      </w:r>
      <w:r w:rsidRPr="00DF39A7">
        <w:t>30 GHz bands, or parts thereof, while ensuring protection of existing primary services in the same frequency bands and adjacent bands.</w:t>
      </w:r>
    </w:p>
    <w:p w14:paraId="656411E4" w14:textId="77777777" w:rsidR="00DF39A7" w:rsidRPr="00DF39A7" w:rsidRDefault="00DF39A7" w:rsidP="00DF39A7">
      <w:pPr>
        <w:ind w:left="709"/>
        <w:jc w:val="both"/>
      </w:pPr>
    </w:p>
    <w:p w14:paraId="4869D419" w14:textId="209068BA" w:rsidR="003A1E4C" w:rsidRDefault="00DF39A7" w:rsidP="001B0EE9">
      <w:pPr>
        <w:ind w:left="709"/>
        <w:jc w:val="both"/>
        <w:rPr>
          <w:lang w:val="en-NZ"/>
        </w:rPr>
      </w:pPr>
      <w:r w:rsidRPr="00DF39A7">
        <w:rPr>
          <w:rFonts w:hint="eastAsia"/>
        </w:rPr>
        <w:t>C</w:t>
      </w:r>
      <w:r w:rsidRPr="00DF39A7">
        <w:t>hin</w:t>
      </w:r>
      <w:r w:rsidRPr="00DF39A7">
        <w:rPr>
          <w:rFonts w:hint="eastAsia"/>
        </w:rPr>
        <w:t>a</w:t>
      </w:r>
      <w:r w:rsidRPr="00DF39A7">
        <w:t xml:space="preserve"> is of the view that satellite-to-satellite link transmissions should comply with the same directionality indicators as in the existing FSS allocations (Earth-to-space from user space station to service provider space station, space-to-Earth from service provider space station to user space station).</w:t>
      </w:r>
    </w:p>
    <w:p w14:paraId="5FA41FB3" w14:textId="77777777" w:rsidR="00FC783B" w:rsidRPr="00441526" w:rsidRDefault="00FC783B" w:rsidP="00B725A6">
      <w:pPr>
        <w:ind w:left="708"/>
        <w:jc w:val="both"/>
        <w:rPr>
          <w:lang w:val="en-NZ"/>
        </w:rPr>
      </w:pPr>
    </w:p>
    <w:p w14:paraId="1EFAAFCE" w14:textId="3CC32B8C" w:rsidR="00B725A6" w:rsidRPr="00441526" w:rsidRDefault="00B725A6" w:rsidP="00B725A6">
      <w:pPr>
        <w:spacing w:after="120"/>
        <w:jc w:val="both"/>
        <w:rPr>
          <w:b/>
          <w:lang w:val="en-NZ" w:eastAsia="ko-KR"/>
        </w:rPr>
      </w:pPr>
      <w:r>
        <w:rPr>
          <w:b/>
          <w:lang w:val="en-NZ" w:eastAsia="ko-KR"/>
        </w:rPr>
        <w:t>3.1.</w:t>
      </w:r>
      <w:r w:rsidR="00FC783B">
        <w:rPr>
          <w:b/>
          <w:lang w:val="en-NZ" w:eastAsia="ko-KR"/>
        </w:rPr>
        <w:t>6</w:t>
      </w:r>
      <w:r>
        <w:rPr>
          <w:b/>
          <w:lang w:val="en-NZ" w:eastAsia="ko-KR"/>
        </w:rPr>
        <w:tab/>
      </w:r>
      <w:r w:rsidR="001B0EE9" w:rsidRPr="001B0EE9">
        <w:rPr>
          <w:b/>
          <w:lang w:val="en-NZ" w:eastAsia="ko-KR"/>
        </w:rPr>
        <w:t>Thailand (Kingdom of)</w:t>
      </w:r>
      <w:r w:rsidR="001B0EE9">
        <w:rPr>
          <w:b/>
          <w:lang w:val="en-NZ" w:eastAsia="ko-KR"/>
        </w:rPr>
        <w:t xml:space="preserve"> </w:t>
      </w:r>
      <w:r w:rsidR="003A1E4C" w:rsidRPr="00165B9E">
        <w:rPr>
          <w:b/>
          <w:lang w:val="en-NZ" w:eastAsia="ko-KR"/>
        </w:rPr>
        <w:t>-</w:t>
      </w:r>
      <w:r w:rsidRPr="00441526">
        <w:t xml:space="preserve"> </w:t>
      </w:r>
      <w:r w:rsidRPr="00441526">
        <w:rPr>
          <w:b/>
          <w:lang w:val="en-NZ" w:eastAsia="ko-KR"/>
        </w:rPr>
        <w:t xml:space="preserve">Document </w:t>
      </w:r>
      <w:r w:rsidR="00FC783B" w:rsidRPr="00FC783B">
        <w:rPr>
          <w:b/>
          <w:lang w:val="en-NZ" w:eastAsia="ko-KR"/>
        </w:rPr>
        <w:t>APG23-</w:t>
      </w:r>
      <w:r w:rsidR="001B0EE9">
        <w:rPr>
          <w:b/>
          <w:lang w:val="en-NZ" w:eastAsia="ko-KR"/>
        </w:rPr>
        <w:t>4</w:t>
      </w:r>
      <w:r w:rsidR="00FC783B" w:rsidRPr="00FC783B">
        <w:rPr>
          <w:b/>
          <w:lang w:val="en-NZ" w:eastAsia="ko-KR"/>
        </w:rPr>
        <w:t>/INP-</w:t>
      </w:r>
      <w:r w:rsidR="001B0EE9">
        <w:rPr>
          <w:b/>
          <w:lang w:val="en-NZ" w:eastAsia="ko-KR"/>
        </w:rPr>
        <w:t>4</w:t>
      </w:r>
      <w:r w:rsidR="00FC783B" w:rsidRPr="00FC783B">
        <w:rPr>
          <w:b/>
          <w:lang w:val="en-NZ" w:eastAsia="ko-KR"/>
        </w:rPr>
        <w:t>8</w:t>
      </w:r>
    </w:p>
    <w:p w14:paraId="69986313" w14:textId="71D602C8" w:rsidR="001B0EE9" w:rsidRDefault="001B0EE9" w:rsidP="001B0EE9">
      <w:pPr>
        <w:ind w:left="709"/>
        <w:jc w:val="both"/>
      </w:pPr>
      <w:r>
        <w:t xml:space="preserve">Thailand supports ITU-R studies currently carried out in accordance with Resolution </w:t>
      </w:r>
      <w:r w:rsidRPr="00A8261E">
        <w:rPr>
          <w:b/>
          <w:bCs/>
        </w:rPr>
        <w:t>773 (WRC-19)</w:t>
      </w:r>
      <w:r>
        <w:t>. The development of technical conditions and regulatory provisions for the use of satellite-to-satellite operations in the frequency bands 11.7-12.7 GHz, 18.1-18.6 GHz, 18.8-20.2 GHz and 27.5-30 GHz shall ensure the protection of existing primary services as well as their future developments in the same frequency bands and in adjacent frequency bands.</w:t>
      </w:r>
    </w:p>
    <w:p w14:paraId="3A35ADEA" w14:textId="77777777" w:rsidR="001B0EE9" w:rsidRDefault="001B0EE9" w:rsidP="001B0EE9">
      <w:pPr>
        <w:ind w:left="709"/>
        <w:jc w:val="both"/>
      </w:pPr>
    </w:p>
    <w:p w14:paraId="161DB549" w14:textId="77777777" w:rsidR="001B0EE9" w:rsidRPr="002754F1" w:rsidRDefault="001B0EE9" w:rsidP="001B0EE9">
      <w:pPr>
        <w:ind w:left="709"/>
        <w:jc w:val="both"/>
      </w:pPr>
      <w:r w:rsidRPr="002754F1">
        <w:t>Thailand is of the view that</w:t>
      </w:r>
      <w:r>
        <w:t>:</w:t>
      </w:r>
      <w:r w:rsidRPr="002754F1">
        <w:t xml:space="preserve"> </w:t>
      </w:r>
    </w:p>
    <w:p w14:paraId="0CC05BC8" w14:textId="77777777" w:rsidR="001B0EE9" w:rsidRPr="002754F1" w:rsidRDefault="001B0EE9" w:rsidP="001B0EE9">
      <w:pPr>
        <w:numPr>
          <w:ilvl w:val="0"/>
          <w:numId w:val="28"/>
        </w:numPr>
        <w:ind w:left="709" w:hanging="270"/>
        <w:contextualSpacing/>
        <w:jc w:val="both"/>
        <w:rPr>
          <w:rFonts w:cs="Angsana New"/>
          <w:szCs w:val="30"/>
          <w:lang w:val="en-NZ"/>
        </w:rPr>
      </w:pPr>
      <w:r w:rsidRPr="002754F1">
        <w:t xml:space="preserve">any allocation for satellite-to-satellite </w:t>
      </w:r>
      <w:r w:rsidRPr="002754F1">
        <w:rPr>
          <w:rFonts w:cs="Angsana New"/>
          <w:szCs w:val="30"/>
          <w:lang w:val="en-NZ"/>
        </w:rPr>
        <w:t>transmissions</w:t>
      </w:r>
      <w:r w:rsidRPr="002754F1">
        <w:t xml:space="preserve"> in these frequency bands, or portions thereof, should be within the existing </w:t>
      </w:r>
      <w:r w:rsidRPr="002754F1">
        <w:rPr>
          <w:rFonts w:cs="Angsana New"/>
          <w:szCs w:val="30"/>
          <w:lang w:val="en-NZ"/>
        </w:rPr>
        <w:t xml:space="preserve">fixed-satellite service (FSS); and </w:t>
      </w:r>
    </w:p>
    <w:p w14:paraId="4A8DCC37" w14:textId="77777777" w:rsidR="001B0EE9" w:rsidRPr="00A462FD" w:rsidRDefault="001B0EE9" w:rsidP="001B0EE9">
      <w:pPr>
        <w:numPr>
          <w:ilvl w:val="0"/>
          <w:numId w:val="28"/>
        </w:numPr>
        <w:ind w:left="709" w:hanging="270"/>
        <w:contextualSpacing/>
        <w:jc w:val="both"/>
        <w:rPr>
          <w:rFonts w:cs="Angsana New"/>
          <w:szCs w:val="30"/>
          <w:lang w:val="en-NZ"/>
        </w:rPr>
      </w:pPr>
      <w:r>
        <w:rPr>
          <w:rFonts w:cs="Angsana New"/>
          <w:szCs w:val="30"/>
          <w:lang w:val="en-NZ"/>
        </w:rPr>
        <w:t>t</w:t>
      </w:r>
      <w:r w:rsidRPr="00A462FD">
        <w:rPr>
          <w:rFonts w:cs="Angsana New"/>
          <w:szCs w:val="30"/>
          <w:lang w:val="en-NZ"/>
        </w:rPr>
        <w:t xml:space="preserve">he </w:t>
      </w:r>
      <w:proofErr w:type="spellStart"/>
      <w:r w:rsidRPr="00A462FD">
        <w:rPr>
          <w:rFonts w:cs="Angsana New"/>
          <w:szCs w:val="30"/>
          <w:lang w:val="en-NZ"/>
        </w:rPr>
        <w:t>epfd</w:t>
      </w:r>
      <w:proofErr w:type="spellEnd"/>
      <w:r w:rsidRPr="00A462FD">
        <w:rPr>
          <w:rFonts w:cs="Angsana New"/>
          <w:szCs w:val="30"/>
          <w:lang w:val="en-NZ"/>
        </w:rPr>
        <w:t xml:space="preserve"> produced </w:t>
      </w:r>
      <w:r w:rsidRPr="00175864">
        <w:rPr>
          <w:rFonts w:cs="Angsana New"/>
          <w:szCs w:val="30"/>
          <w:lang w:val="en-NZ"/>
        </w:rPr>
        <w:t xml:space="preserve">at the geostationary orbit </w:t>
      </w:r>
      <w:r w:rsidRPr="00A462FD">
        <w:rPr>
          <w:rFonts w:cs="Angsana New"/>
          <w:szCs w:val="30"/>
          <w:lang w:val="en-NZ"/>
        </w:rPr>
        <w:t xml:space="preserve">from all combined operations of space-to-space and typical Earth station transmissions of </w:t>
      </w:r>
      <w:r>
        <w:rPr>
          <w:rFonts w:cs="Angsana New"/>
          <w:szCs w:val="30"/>
          <w:lang w:val="en-NZ"/>
        </w:rPr>
        <w:t xml:space="preserve">co-frequency </w:t>
      </w:r>
      <w:r w:rsidRPr="00A462FD">
        <w:rPr>
          <w:rFonts w:cs="Angsana New"/>
          <w:szCs w:val="30"/>
          <w:lang w:val="en-NZ"/>
        </w:rPr>
        <w:t>non-GSO FSS systems should compl</w:t>
      </w:r>
      <w:r>
        <w:rPr>
          <w:rFonts w:cs="Angsana New"/>
          <w:szCs w:val="30"/>
          <w:lang w:val="en-NZ"/>
        </w:rPr>
        <w:t>y</w:t>
      </w:r>
      <w:r w:rsidRPr="00A462FD">
        <w:rPr>
          <w:rFonts w:cs="Angsana New"/>
          <w:szCs w:val="30"/>
          <w:lang w:val="en-NZ"/>
        </w:rPr>
        <w:t xml:space="preserve"> with the applicable limits contained in </w:t>
      </w:r>
      <w:r>
        <w:rPr>
          <w:rFonts w:cs="Angsana New"/>
          <w:szCs w:val="30"/>
          <w:lang w:val="en-NZ"/>
        </w:rPr>
        <w:t xml:space="preserve">the </w:t>
      </w:r>
      <w:r w:rsidRPr="00A462FD">
        <w:rPr>
          <w:rFonts w:cs="Angsana New"/>
          <w:szCs w:val="30"/>
          <w:lang w:val="en-NZ"/>
        </w:rPr>
        <w:t xml:space="preserve">Article </w:t>
      </w:r>
      <w:r w:rsidRPr="00A462FD">
        <w:rPr>
          <w:rFonts w:cs="Angsana New"/>
          <w:b/>
          <w:bCs/>
          <w:szCs w:val="30"/>
          <w:lang w:val="en-NZ"/>
        </w:rPr>
        <w:t>22</w:t>
      </w:r>
      <w:r w:rsidRPr="00A462FD">
        <w:rPr>
          <w:rFonts w:cs="Angsana New"/>
          <w:szCs w:val="30"/>
          <w:lang w:val="en-NZ"/>
        </w:rPr>
        <w:t xml:space="preserve"> of the Radio Regulations</w:t>
      </w:r>
      <w:r>
        <w:rPr>
          <w:rFonts w:cs="Angsana New"/>
          <w:szCs w:val="30"/>
          <w:lang w:val="en-NZ"/>
        </w:rPr>
        <w:t>.</w:t>
      </w:r>
    </w:p>
    <w:p w14:paraId="6BD83A9E" w14:textId="77777777" w:rsidR="00B725A6" w:rsidRPr="001B0EE9" w:rsidRDefault="00B725A6" w:rsidP="00B725A6">
      <w:pPr>
        <w:ind w:left="708"/>
        <w:jc w:val="both"/>
        <w:rPr>
          <w:lang w:val="en-NZ"/>
        </w:rPr>
      </w:pPr>
    </w:p>
    <w:p w14:paraId="614D9F4E" w14:textId="6866A9BA" w:rsidR="00B725A6" w:rsidRPr="00441526" w:rsidRDefault="00B725A6" w:rsidP="00B725A6">
      <w:pPr>
        <w:spacing w:after="120"/>
        <w:jc w:val="both"/>
        <w:rPr>
          <w:b/>
          <w:lang w:val="en-NZ" w:eastAsia="ko-KR"/>
        </w:rPr>
      </w:pPr>
      <w:r>
        <w:rPr>
          <w:b/>
          <w:lang w:val="en-NZ" w:eastAsia="ko-KR"/>
        </w:rPr>
        <w:t>3.1.</w:t>
      </w:r>
      <w:r w:rsidR="00FD615A">
        <w:rPr>
          <w:b/>
          <w:lang w:val="en-NZ" w:eastAsia="ko-KR"/>
        </w:rPr>
        <w:t>7</w:t>
      </w:r>
      <w:r>
        <w:rPr>
          <w:b/>
          <w:lang w:val="en-NZ" w:eastAsia="ko-KR"/>
        </w:rPr>
        <w:tab/>
      </w:r>
      <w:r w:rsidR="00944188" w:rsidRPr="00944188">
        <w:rPr>
          <w:b/>
          <w:lang w:val="en-NZ" w:eastAsia="ko-KR"/>
        </w:rPr>
        <w:t>Singapore (Republic of)</w:t>
      </w:r>
      <w:r w:rsidR="00165B9E">
        <w:rPr>
          <w:b/>
          <w:lang w:val="en-NZ" w:eastAsia="ko-KR"/>
        </w:rPr>
        <w:t xml:space="preserve"> </w:t>
      </w:r>
      <w:r w:rsidRPr="00441526">
        <w:t xml:space="preserve">- </w:t>
      </w:r>
      <w:r w:rsidRPr="00441526">
        <w:rPr>
          <w:b/>
          <w:lang w:val="en-NZ" w:eastAsia="ko-KR"/>
        </w:rPr>
        <w:t xml:space="preserve">Document </w:t>
      </w:r>
      <w:r w:rsidR="00FC783B" w:rsidRPr="00FC783B">
        <w:rPr>
          <w:b/>
          <w:lang w:val="en-NZ" w:eastAsia="ko-KR"/>
        </w:rPr>
        <w:t>APG23-</w:t>
      </w:r>
      <w:r w:rsidR="00944188">
        <w:rPr>
          <w:b/>
          <w:lang w:val="en-NZ" w:eastAsia="ko-KR"/>
        </w:rPr>
        <w:t>4</w:t>
      </w:r>
      <w:r w:rsidR="00FC783B" w:rsidRPr="00FC783B">
        <w:rPr>
          <w:b/>
          <w:lang w:val="en-NZ" w:eastAsia="ko-KR"/>
        </w:rPr>
        <w:t>/INP-</w:t>
      </w:r>
      <w:r w:rsidR="00944188">
        <w:rPr>
          <w:b/>
          <w:lang w:val="en-NZ" w:eastAsia="ko-KR"/>
        </w:rPr>
        <w:t>57</w:t>
      </w:r>
    </w:p>
    <w:p w14:paraId="27C95888" w14:textId="77777777" w:rsidR="00944188" w:rsidRPr="00944188" w:rsidRDefault="00944188" w:rsidP="00944188">
      <w:pPr>
        <w:ind w:left="709"/>
        <w:jc w:val="both"/>
      </w:pPr>
      <w:r>
        <w:t>Singapore supports recognition of satellite-to-satellite transmissions within current FSS allocations according to the FSS directionality indicators (</w:t>
      </w:r>
      <w:proofErr w:type="gramStart"/>
      <w:r>
        <w:t>i.e.</w:t>
      </w:r>
      <w:proofErr w:type="gramEnd"/>
      <w:r>
        <w:t xml:space="preserve"> Earth-to-space or space-to-Earth) and “within the cone of coverage” concept of operations. </w:t>
      </w:r>
    </w:p>
    <w:p w14:paraId="72563305" w14:textId="77777777" w:rsidR="00944188" w:rsidRDefault="00944188" w:rsidP="00944188">
      <w:pPr>
        <w:ind w:left="709"/>
        <w:jc w:val="both"/>
      </w:pPr>
    </w:p>
    <w:p w14:paraId="6FF029F2" w14:textId="58754B23" w:rsidR="00944188" w:rsidRDefault="00944188" w:rsidP="00944188">
      <w:pPr>
        <w:ind w:left="709"/>
        <w:jc w:val="both"/>
      </w:pPr>
      <w:r>
        <w:t>Singapore also supports to ensure the same level of protection to incumbent services, as currently provided in the Radio Regulations in the relevant frequency bands and in the adjacent frequency bands, and not impose new constraints on incumbent services to protect satellite-to-satellite links from interference.</w:t>
      </w:r>
    </w:p>
    <w:p w14:paraId="26D06AAA" w14:textId="77777777" w:rsidR="00944188" w:rsidRDefault="00944188" w:rsidP="00944188">
      <w:pPr>
        <w:ind w:left="709"/>
        <w:jc w:val="both"/>
      </w:pPr>
    </w:p>
    <w:p w14:paraId="2498B348" w14:textId="68C69923" w:rsidR="00944188" w:rsidRPr="00441526" w:rsidRDefault="00944188" w:rsidP="00944188">
      <w:pPr>
        <w:spacing w:after="120"/>
        <w:jc w:val="both"/>
        <w:rPr>
          <w:b/>
          <w:lang w:val="en-NZ" w:eastAsia="ko-KR"/>
        </w:rPr>
      </w:pPr>
      <w:r>
        <w:rPr>
          <w:b/>
          <w:lang w:val="en-NZ" w:eastAsia="ko-KR"/>
        </w:rPr>
        <w:t>3.1.8</w:t>
      </w:r>
      <w:r>
        <w:rPr>
          <w:b/>
          <w:lang w:val="en-NZ" w:eastAsia="ko-KR"/>
        </w:rPr>
        <w:tab/>
      </w:r>
      <w:r w:rsidRPr="00944188">
        <w:rPr>
          <w:b/>
          <w:lang w:val="en-NZ" w:eastAsia="ko-KR"/>
        </w:rPr>
        <w:t>India (Republic of)</w:t>
      </w:r>
      <w:r>
        <w:rPr>
          <w:b/>
          <w:lang w:val="en-NZ" w:eastAsia="ko-KR"/>
        </w:rPr>
        <w:t xml:space="preserve"> </w:t>
      </w:r>
      <w:r w:rsidRPr="00441526">
        <w:t xml:space="preserve">- </w:t>
      </w:r>
      <w:r w:rsidRPr="00441526">
        <w:rPr>
          <w:b/>
          <w:lang w:val="en-NZ" w:eastAsia="ko-KR"/>
        </w:rPr>
        <w:t xml:space="preserve">Document </w:t>
      </w:r>
      <w:r w:rsidRPr="00FC783B">
        <w:rPr>
          <w:b/>
          <w:lang w:val="en-NZ" w:eastAsia="ko-KR"/>
        </w:rPr>
        <w:t>APG23-</w:t>
      </w:r>
      <w:r>
        <w:rPr>
          <w:b/>
          <w:lang w:val="en-NZ" w:eastAsia="ko-KR"/>
        </w:rPr>
        <w:t>4</w:t>
      </w:r>
      <w:r w:rsidRPr="00FC783B">
        <w:rPr>
          <w:b/>
          <w:lang w:val="en-NZ" w:eastAsia="ko-KR"/>
        </w:rPr>
        <w:t>/INP-</w:t>
      </w:r>
      <w:r>
        <w:rPr>
          <w:b/>
          <w:lang w:val="en-NZ" w:eastAsia="ko-KR"/>
        </w:rPr>
        <w:t>64</w:t>
      </w:r>
    </w:p>
    <w:p w14:paraId="469C72B9" w14:textId="33DF3293" w:rsidR="00944188" w:rsidRDefault="00944188" w:rsidP="00944188">
      <w:pPr>
        <w:ind w:left="709"/>
        <w:jc w:val="both"/>
      </w:pPr>
      <w:r w:rsidRPr="00944188">
        <w:t>India supports the development of appropriate regulatory framework to enable the operation of satellite-to-satellite links within the FSS in the frequency bands 11.7-12.7 GHz, 18.1-18.6 GHz, 18.8-20.2 GHz and 27.5-30 GHz, while ensuring protection of existing services, their current and future applications and expansions in the same and adjacent frequency bands</w:t>
      </w:r>
      <w:r>
        <w:t>.</w:t>
      </w:r>
    </w:p>
    <w:p w14:paraId="1FD17A5A" w14:textId="7AE9F0C1" w:rsidR="00944188" w:rsidRDefault="00944188" w:rsidP="00944188">
      <w:pPr>
        <w:ind w:left="709"/>
        <w:jc w:val="both"/>
      </w:pPr>
    </w:p>
    <w:p w14:paraId="7BF08DFD" w14:textId="64BDECF8" w:rsidR="00944188" w:rsidRPr="00441526" w:rsidRDefault="00944188" w:rsidP="00944188">
      <w:pPr>
        <w:spacing w:after="120"/>
        <w:jc w:val="both"/>
        <w:rPr>
          <w:b/>
          <w:lang w:val="en-NZ" w:eastAsia="ko-KR"/>
        </w:rPr>
      </w:pPr>
      <w:r>
        <w:rPr>
          <w:b/>
          <w:lang w:val="en-NZ" w:eastAsia="ko-KR"/>
        </w:rPr>
        <w:t>3.1.9</w:t>
      </w:r>
      <w:r>
        <w:rPr>
          <w:b/>
          <w:lang w:val="en-NZ" w:eastAsia="ko-KR"/>
        </w:rPr>
        <w:tab/>
      </w:r>
      <w:r w:rsidRPr="00944188">
        <w:rPr>
          <w:b/>
          <w:lang w:val="en-NZ" w:eastAsia="ko-KR"/>
        </w:rPr>
        <w:t>Indonesia (Republic of)</w:t>
      </w:r>
      <w:r>
        <w:rPr>
          <w:b/>
          <w:lang w:val="en-NZ" w:eastAsia="ko-KR"/>
        </w:rPr>
        <w:t xml:space="preserve"> </w:t>
      </w:r>
      <w:r w:rsidRPr="00441526">
        <w:t xml:space="preserve">- </w:t>
      </w:r>
      <w:r w:rsidRPr="00441526">
        <w:rPr>
          <w:b/>
          <w:lang w:val="en-NZ" w:eastAsia="ko-KR"/>
        </w:rPr>
        <w:t xml:space="preserve">Document </w:t>
      </w:r>
      <w:r w:rsidRPr="00FC783B">
        <w:rPr>
          <w:b/>
          <w:lang w:val="en-NZ" w:eastAsia="ko-KR"/>
        </w:rPr>
        <w:t>APG23-</w:t>
      </w:r>
      <w:r>
        <w:rPr>
          <w:b/>
          <w:lang w:val="en-NZ" w:eastAsia="ko-KR"/>
        </w:rPr>
        <w:t>4</w:t>
      </w:r>
      <w:r w:rsidRPr="00FC783B">
        <w:rPr>
          <w:b/>
          <w:lang w:val="en-NZ" w:eastAsia="ko-KR"/>
        </w:rPr>
        <w:t>/INP-</w:t>
      </w:r>
      <w:r>
        <w:rPr>
          <w:b/>
          <w:lang w:val="en-NZ" w:eastAsia="ko-KR"/>
        </w:rPr>
        <w:t>82</w:t>
      </w:r>
    </w:p>
    <w:p w14:paraId="7BC61C3D" w14:textId="4471611A" w:rsidR="00944188" w:rsidRDefault="00944188" w:rsidP="00944188">
      <w:pPr>
        <w:ind w:left="709"/>
        <w:jc w:val="both"/>
      </w:pPr>
      <w:r w:rsidRPr="00944188">
        <w:lastRenderedPageBreak/>
        <w:t>Indonesia is of the view that the protection of current and planned stations of primary services allocated in the frequency band 11.7-12.7 GHz, 18.1-18.6 GHz, and 18.8-20.2 GHz and 27.5-30 GHz, or parts thereof, and current and planned stations of the FSS and other existing services allocated in same frequency bands as well as in adjacent frequency bands, including passive services, should be fully ensured during sharing and compatibility studies under Agenda Item 1.17.</w:t>
      </w:r>
    </w:p>
    <w:p w14:paraId="4CA6FAC9" w14:textId="77777777" w:rsidR="00944188" w:rsidRPr="00944188" w:rsidRDefault="00944188" w:rsidP="00944188">
      <w:pPr>
        <w:ind w:left="709"/>
        <w:jc w:val="both"/>
        <w:rPr>
          <w:b/>
          <w:bCs/>
        </w:rPr>
      </w:pPr>
    </w:p>
    <w:p w14:paraId="10D5425E" w14:textId="77777777" w:rsidR="002A0111" w:rsidRPr="00441526" w:rsidRDefault="002A0111" w:rsidP="002A0111">
      <w:pPr>
        <w:spacing w:after="120"/>
        <w:jc w:val="both"/>
        <w:rPr>
          <w:b/>
          <w:lang w:val="en-NZ"/>
        </w:rPr>
      </w:pPr>
      <w:r w:rsidRPr="008028EA">
        <w:rPr>
          <w:b/>
          <w:lang w:val="en-NZ"/>
        </w:rPr>
        <w:t xml:space="preserve">3.2 </w:t>
      </w:r>
      <w:r w:rsidRPr="008028EA">
        <w:rPr>
          <w:b/>
          <w:lang w:val="en-NZ"/>
        </w:rPr>
        <w:tab/>
        <w:t>S</w:t>
      </w:r>
      <w:r w:rsidRPr="008028EA">
        <w:rPr>
          <w:b/>
          <w:lang w:val="en-NZ" w:eastAsia="ko-KR"/>
        </w:rPr>
        <w:t>ummary of issues raised du</w:t>
      </w:r>
      <w:r w:rsidRPr="008028EA">
        <w:rPr>
          <w:b/>
          <w:lang w:val="en-NZ"/>
        </w:rPr>
        <w:t>ring the meeting</w:t>
      </w:r>
    </w:p>
    <w:p w14:paraId="06282825" w14:textId="487A070E" w:rsidR="003214FD" w:rsidRDefault="00355B30" w:rsidP="00751389">
      <w:pPr>
        <w:spacing w:afterLines="50" w:after="120"/>
        <w:ind w:left="709"/>
        <w:jc w:val="both"/>
        <w:rPr>
          <w:bCs/>
          <w:lang w:val="en-NZ" w:eastAsia="ko-KR"/>
        </w:rPr>
      </w:pPr>
      <w:r w:rsidRPr="00751389">
        <w:rPr>
          <w:bCs/>
          <w:lang w:val="en-NZ" w:eastAsia="ko-KR"/>
        </w:rPr>
        <w:t xml:space="preserve">APT </w:t>
      </w:r>
      <w:r w:rsidR="00341A74">
        <w:rPr>
          <w:bCs/>
          <w:lang w:val="en-NZ" w:eastAsia="ko-KR"/>
        </w:rPr>
        <w:t>M</w:t>
      </w:r>
      <w:r w:rsidRPr="00751389">
        <w:rPr>
          <w:bCs/>
          <w:lang w:val="en-NZ" w:eastAsia="ko-KR"/>
        </w:rPr>
        <w:t xml:space="preserve">embers express the concerns on </w:t>
      </w:r>
      <w:r w:rsidR="004D7199" w:rsidRPr="00751389">
        <w:rPr>
          <w:bCs/>
          <w:lang w:val="en-NZ" w:eastAsia="ko-KR"/>
        </w:rPr>
        <w:t xml:space="preserve">the using the satellite-to-satellite link transmissions and </w:t>
      </w:r>
      <w:r w:rsidRPr="00751389">
        <w:rPr>
          <w:bCs/>
          <w:lang w:val="en-NZ" w:eastAsia="ko-KR"/>
        </w:rPr>
        <w:t>potential intended impact on primary services allocated in the bands and in the adjacent bands</w:t>
      </w:r>
      <w:r w:rsidR="004D7199" w:rsidRPr="00751389">
        <w:rPr>
          <w:bCs/>
          <w:lang w:val="en-NZ" w:eastAsia="ko-KR"/>
        </w:rPr>
        <w:t xml:space="preserve">, </w:t>
      </w:r>
      <w:proofErr w:type="gramStart"/>
      <w:r w:rsidR="004D7199" w:rsidRPr="00751389">
        <w:rPr>
          <w:bCs/>
          <w:lang w:val="en-NZ" w:eastAsia="ko-KR"/>
        </w:rPr>
        <w:t>taking into account</w:t>
      </w:r>
      <w:proofErr w:type="gramEnd"/>
      <w:r w:rsidR="004D7199" w:rsidRPr="00751389">
        <w:rPr>
          <w:bCs/>
          <w:lang w:val="en-NZ" w:eastAsia="ko-KR"/>
        </w:rPr>
        <w:t xml:space="preserve"> the part of these frequency band ha</w:t>
      </w:r>
      <w:r w:rsidR="009218F6" w:rsidRPr="00751389">
        <w:rPr>
          <w:bCs/>
          <w:lang w:val="en-NZ" w:eastAsia="ko-KR"/>
        </w:rPr>
        <w:t>s</w:t>
      </w:r>
      <w:r w:rsidR="004D7199" w:rsidRPr="00751389">
        <w:rPr>
          <w:bCs/>
          <w:lang w:val="en-NZ" w:eastAsia="ko-KR"/>
        </w:rPr>
        <w:t xml:space="preserve"> been used for the FSS in many countries.</w:t>
      </w:r>
    </w:p>
    <w:p w14:paraId="3AD907ED" w14:textId="60F4AE37" w:rsidR="003214FD" w:rsidRDefault="008E1212" w:rsidP="00751389">
      <w:pPr>
        <w:spacing w:afterLines="50" w:after="120"/>
        <w:ind w:left="709"/>
        <w:jc w:val="both"/>
        <w:rPr>
          <w:bCs/>
          <w:lang w:val="en-NZ" w:eastAsia="ko-KR"/>
        </w:rPr>
      </w:pPr>
      <w:r w:rsidRPr="00642103">
        <w:rPr>
          <w:bCs/>
          <w:lang w:val="en-NZ" w:eastAsia="ko-KR"/>
        </w:rPr>
        <w:t xml:space="preserve">APT </w:t>
      </w:r>
      <w:r w:rsidR="00341A74">
        <w:rPr>
          <w:bCs/>
          <w:lang w:val="en-NZ" w:eastAsia="ko-KR"/>
        </w:rPr>
        <w:t>M</w:t>
      </w:r>
      <w:r w:rsidRPr="00642103">
        <w:rPr>
          <w:bCs/>
          <w:lang w:val="en-NZ" w:eastAsia="ko-KR"/>
        </w:rPr>
        <w:t>embers are still considering the method</w:t>
      </w:r>
      <w:r w:rsidR="008C5723" w:rsidRPr="00642103">
        <w:rPr>
          <w:bCs/>
          <w:lang w:val="en-NZ" w:eastAsia="ko-KR"/>
        </w:rPr>
        <w:t>s</w:t>
      </w:r>
      <w:r w:rsidRPr="00642103">
        <w:rPr>
          <w:bCs/>
          <w:lang w:val="en-NZ" w:eastAsia="ko-KR"/>
        </w:rPr>
        <w:t xml:space="preserve"> to address </w:t>
      </w:r>
      <w:r w:rsidR="008C5723" w:rsidRPr="00642103">
        <w:rPr>
          <w:bCs/>
          <w:lang w:val="en-NZ" w:eastAsia="ko-KR"/>
        </w:rPr>
        <w:t>those issues</w:t>
      </w:r>
      <w:r w:rsidRPr="00642103">
        <w:rPr>
          <w:bCs/>
          <w:lang w:val="en-NZ" w:eastAsia="ko-KR"/>
        </w:rPr>
        <w:t xml:space="preserve"> of ISS/FSS allocation</w:t>
      </w:r>
      <w:r w:rsidR="008C5723" w:rsidRPr="00642103">
        <w:rPr>
          <w:bCs/>
          <w:lang w:val="en-NZ" w:eastAsia="ko-KR"/>
        </w:rPr>
        <w:t xml:space="preserve"> to the use of satellite-to-satellite links</w:t>
      </w:r>
      <w:r w:rsidRPr="00642103">
        <w:rPr>
          <w:bCs/>
          <w:lang w:val="en-NZ" w:eastAsia="ko-KR"/>
        </w:rPr>
        <w:t xml:space="preserve">, in accordance with Resolution </w:t>
      </w:r>
      <w:r w:rsidRPr="00747B27">
        <w:rPr>
          <w:b/>
          <w:lang w:val="en-NZ" w:eastAsia="ko-KR"/>
        </w:rPr>
        <w:t>773 (WRC-19)</w:t>
      </w:r>
      <w:r w:rsidR="008C5723" w:rsidRPr="00642103">
        <w:rPr>
          <w:bCs/>
          <w:lang w:val="en-NZ" w:eastAsia="ko-KR"/>
        </w:rPr>
        <w:t>.</w:t>
      </w:r>
    </w:p>
    <w:p w14:paraId="58096602" w14:textId="77777777" w:rsidR="001B14E5" w:rsidRPr="001B14E5" w:rsidRDefault="001B14E5" w:rsidP="00747B27">
      <w:pPr>
        <w:spacing w:afterLines="50" w:after="120"/>
        <w:ind w:left="709"/>
        <w:jc w:val="both"/>
        <w:rPr>
          <w:b/>
          <w:lang w:val="en-NZ" w:eastAsia="ko-KR"/>
        </w:rPr>
      </w:pPr>
    </w:p>
    <w:p w14:paraId="7B9B481E" w14:textId="39652013" w:rsidR="002A0111" w:rsidRDefault="002A0111" w:rsidP="001B14E5">
      <w:pPr>
        <w:spacing w:after="120"/>
        <w:jc w:val="both"/>
        <w:rPr>
          <w:b/>
          <w:lang w:val="en-NZ" w:eastAsia="ko-KR"/>
        </w:rPr>
      </w:pPr>
      <w:r w:rsidRPr="008028EA">
        <w:rPr>
          <w:b/>
          <w:lang w:val="en-NZ" w:eastAsia="ko-KR"/>
        </w:rPr>
        <w:t xml:space="preserve">4. </w:t>
      </w:r>
      <w:r w:rsidRPr="008028EA">
        <w:rPr>
          <w:b/>
          <w:lang w:val="en-NZ" w:eastAsia="ko-KR"/>
        </w:rPr>
        <w:tab/>
        <w:t>APT Preliminary View(s)</w:t>
      </w:r>
    </w:p>
    <w:p w14:paraId="7B861348" w14:textId="2B30F32F" w:rsidR="00777983" w:rsidRDefault="00FD615A" w:rsidP="00037F5D">
      <w:pPr>
        <w:spacing w:afterLines="50" w:after="120"/>
        <w:ind w:left="709"/>
        <w:jc w:val="both"/>
      </w:pPr>
      <w:bookmarkStart w:id="2" w:name="_Hlk87267629"/>
      <w:r w:rsidRPr="00D52112">
        <w:t xml:space="preserve">APT </w:t>
      </w:r>
      <w:r w:rsidR="00341A74">
        <w:t>M</w:t>
      </w:r>
      <w:r w:rsidRPr="00D52112">
        <w:t xml:space="preserve">embers support ITU-R studies on the sharing and compatibility as well as to develop technical conditions and regulatory provisions for the use of </w:t>
      </w:r>
      <w:bookmarkStart w:id="3" w:name="_Hlk87448092"/>
      <w:bookmarkStart w:id="4" w:name="_Hlk87452179"/>
      <w:r w:rsidRPr="00D52112">
        <w:t xml:space="preserve">satellite-to-satellite </w:t>
      </w:r>
      <w:bookmarkEnd w:id="3"/>
      <w:r w:rsidRPr="00D52112">
        <w:t>operations in the 11.7-12.7 GHz, 18.1-18.6 GHz, 18.8-20.2 GHz and 27.5-30 GHz frequency bands or portions thereof</w:t>
      </w:r>
      <w:bookmarkEnd w:id="4"/>
      <w:r w:rsidRPr="00D52112">
        <w:t xml:space="preserve">, in accordance with Resolution </w:t>
      </w:r>
      <w:r w:rsidRPr="00944188">
        <w:rPr>
          <w:b/>
          <w:bCs/>
        </w:rPr>
        <w:t>773 (WRC-19)</w:t>
      </w:r>
      <w:r w:rsidRPr="00D52112">
        <w:t xml:space="preserve">, as such the use shall ensure protection of </w:t>
      </w:r>
      <w:r w:rsidR="00FD79A6">
        <w:t xml:space="preserve">the FSS and other </w:t>
      </w:r>
      <w:r w:rsidRPr="00D52112">
        <w:t xml:space="preserve">services </w:t>
      </w:r>
      <w:r w:rsidR="00273B50">
        <w:t xml:space="preserve">to which the frequency bands are </w:t>
      </w:r>
      <w:r w:rsidRPr="00D52112">
        <w:t xml:space="preserve">allocated </w:t>
      </w:r>
      <w:r w:rsidR="00273B50">
        <w:t xml:space="preserve">as well as those services </w:t>
      </w:r>
      <w:r w:rsidRPr="00D52112">
        <w:t>in the adjacent bands</w:t>
      </w:r>
      <w:r w:rsidR="00273B50">
        <w:t xml:space="preserve"> to the above services </w:t>
      </w:r>
      <w:r w:rsidR="001030F4">
        <w:t>, including passive services</w:t>
      </w:r>
      <w:r w:rsidRPr="00D52112">
        <w:t>.</w:t>
      </w:r>
    </w:p>
    <w:p w14:paraId="35544FBA" w14:textId="3E6B0971" w:rsidR="00777983" w:rsidRPr="00253F4E" w:rsidRDefault="00D52112" w:rsidP="00037F5D">
      <w:pPr>
        <w:spacing w:afterLines="50" w:after="120"/>
        <w:ind w:left="709"/>
        <w:jc w:val="both"/>
      </w:pPr>
      <w:r>
        <w:t xml:space="preserve">APT </w:t>
      </w:r>
      <w:r w:rsidR="00341A74">
        <w:t>M</w:t>
      </w:r>
      <w:r>
        <w:t xml:space="preserve">embers </w:t>
      </w:r>
      <w:r w:rsidR="00D7066B">
        <w:t xml:space="preserve">are of the view that </w:t>
      </w:r>
      <w:r w:rsidR="00D7066B" w:rsidRPr="00C83D08">
        <w:t>the use of these bands for</w:t>
      </w:r>
      <w:r w:rsidR="00777983">
        <w:t xml:space="preserve"> </w:t>
      </w:r>
      <w:r w:rsidR="00777983" w:rsidRPr="00253F4E">
        <w:t>satellite-to-satellite</w:t>
      </w:r>
      <w:r w:rsidR="00777983" w:rsidRPr="00253F4E" w:rsidDel="00777983">
        <w:t xml:space="preserve"> </w:t>
      </w:r>
      <w:r w:rsidR="00747B27" w:rsidRPr="00747B27">
        <w:t xml:space="preserve">links </w:t>
      </w:r>
      <w:r w:rsidR="00747B27" w:rsidRPr="00253F4E">
        <w:t>needs</w:t>
      </w:r>
      <w:r w:rsidR="00D7066B" w:rsidRPr="00253F4E">
        <w:t xml:space="preserve"> to protect the FSS in these bands, </w:t>
      </w:r>
      <w:proofErr w:type="gramStart"/>
      <w:r w:rsidRPr="00253F4E">
        <w:t>t</w:t>
      </w:r>
      <w:r w:rsidR="00007BA8" w:rsidRPr="00253F4E">
        <w:t>ak</w:t>
      </w:r>
      <w:r w:rsidRPr="00253F4E">
        <w:t>ing</w:t>
      </w:r>
      <w:r w:rsidR="00007BA8" w:rsidRPr="00253F4E">
        <w:t xml:space="preserve"> into account</w:t>
      </w:r>
      <w:proofErr w:type="gramEnd"/>
      <w:r w:rsidR="00007BA8" w:rsidRPr="00253F4E">
        <w:t xml:space="preserve"> </w:t>
      </w:r>
      <w:r w:rsidR="00D7066B" w:rsidRPr="00253F4E">
        <w:t xml:space="preserve">that </w:t>
      </w:r>
      <w:r w:rsidR="00574EFC" w:rsidRPr="0025007E">
        <w:t>th</w:t>
      </w:r>
      <w:r w:rsidR="00574EFC" w:rsidRPr="00595112">
        <w:t>e</w:t>
      </w:r>
      <w:r w:rsidR="00574EFC">
        <w:t xml:space="preserve"> </w:t>
      </w:r>
      <w:r w:rsidR="00007BA8" w:rsidRPr="00253F4E">
        <w:t>part</w:t>
      </w:r>
      <w:r w:rsidR="00574EFC" w:rsidRPr="00595112">
        <w:t>s</w:t>
      </w:r>
      <w:r w:rsidR="00007BA8" w:rsidRPr="00253F4E">
        <w:t xml:space="preserve"> of these frequency bands studied </w:t>
      </w:r>
      <w:r w:rsidRPr="00253F4E">
        <w:t>under</w:t>
      </w:r>
      <w:r w:rsidR="00007BA8" w:rsidRPr="00253F4E">
        <w:t xml:space="preserve"> the agenda item </w:t>
      </w:r>
      <w:r w:rsidR="00777983" w:rsidRPr="00253F4E">
        <w:t xml:space="preserve">are </w:t>
      </w:r>
      <w:r w:rsidRPr="00253F4E">
        <w:t xml:space="preserve">the </w:t>
      </w:r>
      <w:r w:rsidR="00007BA8" w:rsidRPr="00253F4E">
        <w:t>core FSS bands</w:t>
      </w:r>
      <w:r w:rsidR="00007BA8" w:rsidRPr="008028EA">
        <w:t xml:space="preserve"> which </w:t>
      </w:r>
      <w:r w:rsidR="00237403" w:rsidRPr="00D52112">
        <w:t>are</w:t>
      </w:r>
      <w:r w:rsidR="00007BA8" w:rsidRPr="008028EA">
        <w:t xml:space="preserve"> used for </w:t>
      </w:r>
      <w:r w:rsidR="00237403" w:rsidRPr="00253F4E">
        <w:t xml:space="preserve">telecommunication </w:t>
      </w:r>
      <w:r w:rsidR="00007BA8" w:rsidRPr="00253F4E">
        <w:t>infrastructure</w:t>
      </w:r>
      <w:r w:rsidR="00D7066B" w:rsidRPr="00253F4E">
        <w:t xml:space="preserve"> in many countries.</w:t>
      </w:r>
      <w:r w:rsidRPr="00253F4E">
        <w:t xml:space="preserve"> </w:t>
      </w:r>
      <w:bookmarkEnd w:id="2"/>
    </w:p>
    <w:p w14:paraId="607DFA6D" w14:textId="1C1E1B02" w:rsidR="009C23C9" w:rsidRPr="00747B27" w:rsidRDefault="009C23C9" w:rsidP="00A15682">
      <w:pPr>
        <w:pStyle w:val="ListParagraph"/>
        <w:spacing w:afterLines="50" w:after="120"/>
        <w:ind w:left="709"/>
        <w:jc w:val="both"/>
        <w:rPr>
          <w:rFonts w:eastAsiaTheme="minorEastAsia"/>
          <w:lang w:eastAsia="zh-CN"/>
        </w:rPr>
      </w:pPr>
      <w:r w:rsidRPr="00747B27">
        <w:rPr>
          <w:rFonts w:eastAsiaTheme="minorEastAsia"/>
          <w:lang w:eastAsia="zh-CN"/>
        </w:rPr>
        <w:t xml:space="preserve">APT </w:t>
      </w:r>
      <w:r w:rsidR="00341A74">
        <w:rPr>
          <w:rFonts w:eastAsiaTheme="minorEastAsia"/>
          <w:lang w:eastAsia="zh-CN"/>
        </w:rPr>
        <w:t>M</w:t>
      </w:r>
      <w:r w:rsidRPr="00747B27">
        <w:rPr>
          <w:rFonts w:eastAsiaTheme="minorEastAsia"/>
          <w:lang w:eastAsia="zh-CN"/>
        </w:rPr>
        <w:t xml:space="preserve">embers are </w:t>
      </w:r>
      <w:r w:rsidR="00B16596" w:rsidRPr="00747B27">
        <w:rPr>
          <w:rFonts w:eastAsiaTheme="minorEastAsia"/>
          <w:lang w:eastAsia="zh-CN"/>
        </w:rPr>
        <w:t xml:space="preserve">of </w:t>
      </w:r>
      <w:r w:rsidRPr="00747B27">
        <w:rPr>
          <w:rFonts w:eastAsiaTheme="minorEastAsia"/>
          <w:lang w:eastAsia="zh-CN"/>
        </w:rPr>
        <w:t>the view that currently the</w:t>
      </w:r>
      <w:r w:rsidR="00595112">
        <w:rPr>
          <w:rFonts w:eastAsiaTheme="minorEastAsia"/>
          <w:lang w:eastAsia="zh-CN"/>
        </w:rPr>
        <w:t>r</w:t>
      </w:r>
      <w:r w:rsidRPr="00747B27">
        <w:rPr>
          <w:rFonts w:eastAsiaTheme="minorEastAsia"/>
          <w:lang w:eastAsia="zh-CN"/>
        </w:rPr>
        <w:t xml:space="preserve">e is no coordination procedure to protect other services, </w:t>
      </w:r>
      <w:proofErr w:type="gramStart"/>
      <w:r w:rsidRPr="00747B27">
        <w:rPr>
          <w:rFonts w:eastAsiaTheme="minorEastAsia"/>
          <w:lang w:eastAsia="zh-CN"/>
        </w:rPr>
        <w:t>in particular FSS</w:t>
      </w:r>
      <w:proofErr w:type="gramEnd"/>
      <w:r w:rsidRPr="00747B27">
        <w:rPr>
          <w:rFonts w:eastAsiaTheme="minorEastAsia"/>
          <w:lang w:eastAsia="zh-CN"/>
        </w:rPr>
        <w:t>, due to the fact that the inter satellite link composed of GSO</w:t>
      </w:r>
      <w:r w:rsidR="003F5C3B" w:rsidRPr="00747B27">
        <w:rPr>
          <w:rFonts w:eastAsiaTheme="minorEastAsia"/>
          <w:lang w:eastAsia="zh-CN"/>
        </w:rPr>
        <w:t xml:space="preserve"> </w:t>
      </w:r>
      <w:r w:rsidRPr="00747B27">
        <w:rPr>
          <w:rFonts w:eastAsiaTheme="minorEastAsia"/>
          <w:lang w:eastAsia="zh-CN"/>
        </w:rPr>
        <w:t xml:space="preserve">and NGSO link for which according </w:t>
      </w:r>
      <w:r w:rsidR="00574EFC" w:rsidRPr="00595112">
        <w:rPr>
          <w:rFonts w:eastAsiaTheme="minorEastAsia"/>
          <w:lang w:eastAsia="zh-CN"/>
        </w:rPr>
        <w:t>to</w:t>
      </w:r>
      <w:r w:rsidR="00574EFC">
        <w:rPr>
          <w:rFonts w:eastAsiaTheme="minorEastAsia"/>
          <w:lang w:eastAsia="zh-CN"/>
        </w:rPr>
        <w:t xml:space="preserve"> </w:t>
      </w:r>
      <w:r w:rsidRPr="00747B27">
        <w:rPr>
          <w:rFonts w:eastAsiaTheme="minorEastAsia"/>
          <w:lang w:eastAsia="zh-CN"/>
        </w:rPr>
        <w:t xml:space="preserve">the RRB </w:t>
      </w:r>
      <w:r w:rsidR="00595112">
        <w:rPr>
          <w:rFonts w:eastAsiaTheme="minorEastAsia"/>
          <w:lang w:eastAsia="zh-CN"/>
        </w:rPr>
        <w:t>R</w:t>
      </w:r>
      <w:r w:rsidRPr="00747B27">
        <w:rPr>
          <w:rFonts w:eastAsiaTheme="minorEastAsia"/>
          <w:lang w:eastAsia="zh-CN"/>
        </w:rPr>
        <w:t xml:space="preserve">ules </w:t>
      </w:r>
      <w:r w:rsidR="00574EFC" w:rsidRPr="00595112">
        <w:rPr>
          <w:rFonts w:eastAsiaTheme="minorEastAsia"/>
          <w:lang w:eastAsia="zh-CN"/>
        </w:rPr>
        <w:t>of</w:t>
      </w:r>
      <w:r w:rsidR="00574EFC">
        <w:rPr>
          <w:rFonts w:eastAsiaTheme="minorEastAsia"/>
          <w:lang w:eastAsia="zh-CN"/>
        </w:rPr>
        <w:t xml:space="preserve"> </w:t>
      </w:r>
      <w:r w:rsidR="00595112">
        <w:rPr>
          <w:rFonts w:eastAsiaTheme="minorEastAsia"/>
          <w:lang w:eastAsia="zh-CN"/>
        </w:rPr>
        <w:t>P</w:t>
      </w:r>
      <w:r w:rsidRPr="00747B27">
        <w:rPr>
          <w:rFonts w:eastAsiaTheme="minorEastAsia"/>
          <w:lang w:eastAsia="zh-CN"/>
        </w:rPr>
        <w:t>rocedure</w:t>
      </w:r>
      <w:r w:rsidR="00574EFC" w:rsidRPr="00595112">
        <w:rPr>
          <w:rFonts w:eastAsiaTheme="minorEastAsia"/>
          <w:lang w:eastAsia="zh-CN"/>
        </w:rPr>
        <w:t>,</w:t>
      </w:r>
      <w:r w:rsidRPr="00747B27">
        <w:rPr>
          <w:rFonts w:eastAsiaTheme="minorEastAsia"/>
          <w:lang w:eastAsia="zh-CN"/>
        </w:rPr>
        <w:t xml:space="preserve"> the protection of other services is not possible. </w:t>
      </w:r>
      <w:r w:rsidR="00747B27">
        <w:rPr>
          <w:rFonts w:eastAsiaTheme="minorEastAsia"/>
          <w:lang w:eastAsia="zh-CN"/>
        </w:rPr>
        <w:t xml:space="preserve">See </w:t>
      </w:r>
      <w:hyperlink r:id="rId34" w:history="1">
        <w:r w:rsidR="00747B27" w:rsidRPr="0046205E">
          <w:rPr>
            <w:rStyle w:val="Hyperlink"/>
            <w:lang w:eastAsia="ja-JP"/>
          </w:rPr>
          <w:t>(</w:t>
        </w:r>
        <w:hyperlink r:id="rId35" w:history="1">
          <w:r w:rsidR="00747B27" w:rsidRPr="0046205E">
            <w:rPr>
              <w:rStyle w:val="Hyperlink"/>
              <w:lang w:eastAsia="ja-JP"/>
            </w:rPr>
            <w:t>Document 4A/691/Annex 30</w:t>
          </w:r>
        </w:hyperlink>
        <w:r w:rsidR="00747B27" w:rsidRPr="0046205E">
          <w:rPr>
            <w:rStyle w:val="Hyperlink"/>
            <w:lang w:eastAsia="ja-JP"/>
          </w:rPr>
          <w:t>)</w:t>
        </w:r>
      </w:hyperlink>
      <w:r w:rsidRPr="00747B27">
        <w:rPr>
          <w:rFonts w:eastAsiaTheme="minorEastAsia"/>
          <w:lang w:eastAsia="zh-CN"/>
        </w:rPr>
        <w:t>.</w:t>
      </w:r>
    </w:p>
    <w:p w14:paraId="4E62AECC" w14:textId="502EC640" w:rsidR="00192CC9" w:rsidRPr="00DB53CB" w:rsidRDefault="00192CC9" w:rsidP="00192CC9">
      <w:pPr>
        <w:spacing w:afterLines="50" w:after="120"/>
        <w:ind w:left="709"/>
        <w:jc w:val="both"/>
      </w:pPr>
      <w:r w:rsidRPr="00464C10">
        <w:t xml:space="preserve">APT </w:t>
      </w:r>
      <w:r w:rsidR="00341A74">
        <w:t>M</w:t>
      </w:r>
      <w:r w:rsidRPr="00464C10">
        <w:t xml:space="preserve">embers are of the view that the technical conditions and regulatory provisions developed under WRC-23 agenda item 1.17 shall </w:t>
      </w:r>
      <w:r w:rsidR="00C346CC">
        <w:t xml:space="preserve">ensure not </w:t>
      </w:r>
      <w:r w:rsidR="00B16596">
        <w:t>caus</w:t>
      </w:r>
      <w:r w:rsidR="00C346CC">
        <w:t>ing</w:t>
      </w:r>
      <w:r w:rsidR="00B16596">
        <w:t xml:space="preserve"> </w:t>
      </w:r>
      <w:r w:rsidR="00595112">
        <w:t xml:space="preserve">unacceptable </w:t>
      </w:r>
      <w:r w:rsidR="00B16596">
        <w:t xml:space="preserve">interference to </w:t>
      </w:r>
      <w:r w:rsidRPr="00464C10">
        <w:t>the terrestrial services operating in the frequency band 27.5-29.5 GHz.</w:t>
      </w:r>
    </w:p>
    <w:p w14:paraId="20574CC1" w14:textId="7F5A7636" w:rsidR="00747B27" w:rsidRDefault="00464C10">
      <w:pPr>
        <w:spacing w:afterLines="50" w:after="120"/>
        <w:ind w:left="709"/>
        <w:jc w:val="both"/>
      </w:pPr>
      <w:r>
        <w:rPr>
          <w:rFonts w:hint="eastAsia"/>
        </w:rPr>
        <w:t>A</w:t>
      </w:r>
      <w:r>
        <w:t xml:space="preserve">PT </w:t>
      </w:r>
      <w:r w:rsidR="00341A74">
        <w:t>M</w:t>
      </w:r>
      <w:r>
        <w:t xml:space="preserve">embers are also of the view that </w:t>
      </w:r>
      <w:r w:rsidR="00036E74">
        <w:t xml:space="preserve">consideration should be given to the operation </w:t>
      </w:r>
      <w:r>
        <w:t xml:space="preserve">of the secondary terrestrial services as currently contained in the </w:t>
      </w:r>
      <w:r w:rsidR="00036E74">
        <w:t>Radio Regulations</w:t>
      </w:r>
      <w:r>
        <w:t xml:space="preserve"> </w:t>
      </w:r>
      <w:r w:rsidR="00036E74">
        <w:t xml:space="preserve">in order that these terrestrial services </w:t>
      </w:r>
      <w:r>
        <w:t xml:space="preserve">should not be adversely affected </w:t>
      </w:r>
      <w:r w:rsidRPr="00C83B80">
        <w:t xml:space="preserve">by </w:t>
      </w:r>
      <w:r w:rsidR="00DE0BBB" w:rsidRPr="00747B27">
        <w:t>satellite-to-satellite</w:t>
      </w:r>
      <w:r w:rsidR="00DE0BBB" w:rsidRPr="00747B27" w:rsidDel="00777983">
        <w:t xml:space="preserve"> </w:t>
      </w:r>
      <w:r w:rsidR="00DE0BBB" w:rsidRPr="00747B27">
        <w:t xml:space="preserve">links </w:t>
      </w:r>
      <w:r w:rsidRPr="00C83B80">
        <w:t xml:space="preserve">in the frequency band being studied under </w:t>
      </w:r>
      <w:r w:rsidR="00574EFC" w:rsidRPr="00595112">
        <w:t xml:space="preserve">WRC-23 agenda item </w:t>
      </w:r>
      <w:r w:rsidRPr="00C83B80">
        <w:t>1.17.</w:t>
      </w:r>
      <w:r w:rsidR="00747B27">
        <w:t xml:space="preserve"> </w:t>
      </w:r>
    </w:p>
    <w:p w14:paraId="0C8072E3" w14:textId="6486C97B" w:rsidR="00B76182" w:rsidRDefault="00B76182">
      <w:pPr>
        <w:spacing w:afterLines="50" w:after="120"/>
        <w:ind w:left="709"/>
        <w:jc w:val="both"/>
        <w:rPr>
          <w:rFonts w:eastAsiaTheme="minorEastAsia"/>
          <w:lang w:eastAsia="zh-CN"/>
        </w:rPr>
      </w:pPr>
      <w:r w:rsidRPr="0025007E">
        <w:t xml:space="preserve">APT </w:t>
      </w:r>
      <w:r w:rsidR="00341A74">
        <w:t>M</w:t>
      </w:r>
      <w:r w:rsidR="0020013A" w:rsidRPr="0025007E">
        <w:t>embers support</w:t>
      </w:r>
      <w:r w:rsidR="00664CD0" w:rsidRPr="0025007E">
        <w:t xml:space="preserve"> </w:t>
      </w:r>
      <w:r w:rsidR="00747B27" w:rsidRPr="0025007E">
        <w:t>the protection</w:t>
      </w:r>
      <w:r w:rsidRPr="0025007E">
        <w:t xml:space="preserve"> </w:t>
      </w:r>
      <w:r w:rsidR="00664CD0" w:rsidRPr="0025007E">
        <w:t xml:space="preserve">of </w:t>
      </w:r>
      <w:r w:rsidRPr="0025007E">
        <w:t>the BSS in the band 11.7-12.2 GHz in Region 3 and not to impose any additional constraint</w:t>
      </w:r>
      <w:r w:rsidRPr="00C83B80">
        <w:rPr>
          <w:rFonts w:eastAsiaTheme="minorEastAsia"/>
          <w:lang w:eastAsia="zh-CN"/>
        </w:rPr>
        <w:t>s on future development of the BSS in the band 11.7 - 12.2 GHz in Region 3</w:t>
      </w:r>
      <w:r w:rsidR="0020013A" w:rsidRPr="00C83B80">
        <w:rPr>
          <w:rFonts w:eastAsiaTheme="minorEastAsia"/>
          <w:lang w:eastAsia="zh-CN"/>
        </w:rPr>
        <w:t>.</w:t>
      </w:r>
    </w:p>
    <w:p w14:paraId="3F18F97E" w14:textId="06774508" w:rsidR="00367979" w:rsidRDefault="00247B09" w:rsidP="00247B09">
      <w:pPr>
        <w:spacing w:afterLines="50" w:after="120"/>
        <w:ind w:left="709"/>
        <w:jc w:val="both"/>
      </w:pPr>
      <w:r>
        <w:rPr>
          <w:rFonts w:hint="eastAsia"/>
        </w:rPr>
        <w:t>A</w:t>
      </w:r>
      <w:r>
        <w:t xml:space="preserve">PT </w:t>
      </w:r>
      <w:r w:rsidR="00341A74">
        <w:t>M</w:t>
      </w:r>
      <w:r>
        <w:t>embers</w:t>
      </w:r>
      <w:r w:rsidRPr="00747B27">
        <w:t xml:space="preserve"> support satellite-to-satellite transmissions</w:t>
      </w:r>
      <w:r w:rsidR="00735D53">
        <w:t xml:space="preserve"> </w:t>
      </w:r>
      <w:r w:rsidRPr="00747B27">
        <w:t>according to the FSS directionality indicators (</w:t>
      </w:r>
      <w:proofErr w:type="gramStart"/>
      <w:r w:rsidRPr="00747B27">
        <w:t>i.e.</w:t>
      </w:r>
      <w:proofErr w:type="gramEnd"/>
      <w:r w:rsidRPr="00747B27">
        <w:t xml:space="preserve"> Earth-to-space or space-to-Earth)</w:t>
      </w:r>
      <w:r w:rsidR="00371306">
        <w:t xml:space="preserve"> and “within the cone of coverage” concept of operations</w:t>
      </w:r>
      <w:r w:rsidRPr="00747B27">
        <w:t>.</w:t>
      </w:r>
    </w:p>
    <w:p w14:paraId="09AD8FF4" w14:textId="193EBAAB" w:rsidR="00595112" w:rsidRDefault="00595112" w:rsidP="00595112">
      <w:pPr>
        <w:spacing w:afterLines="50" w:after="120"/>
        <w:ind w:left="709"/>
        <w:jc w:val="both"/>
        <w:rPr>
          <w:rFonts w:eastAsiaTheme="minorEastAsia"/>
          <w:lang w:eastAsia="zh-CN"/>
        </w:rPr>
      </w:pPr>
      <w:r w:rsidRPr="00673262">
        <w:rPr>
          <w:rFonts w:eastAsiaTheme="minorEastAsia"/>
          <w:lang w:eastAsia="zh-CN"/>
        </w:rPr>
        <w:lastRenderedPageBreak/>
        <w:t xml:space="preserve">APT </w:t>
      </w:r>
      <w:r w:rsidR="00341A74">
        <w:rPr>
          <w:rFonts w:eastAsiaTheme="minorEastAsia"/>
          <w:lang w:eastAsia="zh-CN"/>
        </w:rPr>
        <w:t>M</w:t>
      </w:r>
      <w:r w:rsidRPr="00673262">
        <w:rPr>
          <w:rFonts w:eastAsiaTheme="minorEastAsia"/>
          <w:lang w:eastAsia="zh-CN"/>
        </w:rPr>
        <w:t xml:space="preserve">embers </w:t>
      </w:r>
      <w:r w:rsidR="00C346CC">
        <w:rPr>
          <w:rFonts w:eastAsiaTheme="minorEastAsia"/>
          <w:lang w:eastAsia="zh-CN"/>
        </w:rPr>
        <w:t xml:space="preserve">are considering </w:t>
      </w:r>
      <w:proofErr w:type="gramStart"/>
      <w:r w:rsidR="00C346CC">
        <w:rPr>
          <w:rFonts w:eastAsiaTheme="minorEastAsia"/>
          <w:lang w:eastAsia="zh-CN"/>
        </w:rPr>
        <w:t xml:space="preserve">to </w:t>
      </w:r>
      <w:r w:rsidRPr="00673262">
        <w:rPr>
          <w:rFonts w:eastAsiaTheme="minorEastAsia"/>
          <w:lang w:eastAsia="zh-CN"/>
        </w:rPr>
        <w:t>support</w:t>
      </w:r>
      <w:proofErr w:type="gramEnd"/>
      <w:r w:rsidRPr="00673262">
        <w:rPr>
          <w:rFonts w:eastAsiaTheme="minorEastAsia"/>
          <w:lang w:eastAsia="zh-CN"/>
        </w:rPr>
        <w:t xml:space="preserve"> NOC for </w:t>
      </w:r>
      <w:r w:rsidR="003104B4">
        <w:rPr>
          <w:rFonts w:eastAsiaTheme="minorEastAsia"/>
          <w:lang w:eastAsia="zh-CN"/>
        </w:rPr>
        <w:t xml:space="preserve">the </w:t>
      </w:r>
      <w:r w:rsidRPr="00673262">
        <w:rPr>
          <w:rFonts w:eastAsiaTheme="minorEastAsia"/>
          <w:lang w:eastAsia="zh-CN"/>
        </w:rPr>
        <w:t>allocation in the band 11.7</w:t>
      </w:r>
      <w:r w:rsidRPr="00C83B80">
        <w:rPr>
          <w:rFonts w:eastAsiaTheme="minorEastAsia"/>
          <w:lang w:eastAsia="zh-CN"/>
        </w:rPr>
        <w:t>-</w:t>
      </w:r>
      <w:r w:rsidRPr="00673262">
        <w:rPr>
          <w:rFonts w:eastAsiaTheme="minorEastAsia"/>
          <w:lang w:eastAsia="zh-CN"/>
        </w:rPr>
        <w:t>12.2 GHz in Region 3</w:t>
      </w:r>
      <w:r w:rsidR="003843DC">
        <w:rPr>
          <w:rFonts w:eastAsiaTheme="minorEastAsia"/>
          <w:lang w:eastAsia="zh-CN"/>
        </w:rPr>
        <w:t xml:space="preserve"> at this stage</w:t>
      </w:r>
      <w:r w:rsidRPr="00673262">
        <w:rPr>
          <w:rFonts w:eastAsiaTheme="minorEastAsia"/>
          <w:lang w:eastAsia="zh-CN"/>
        </w:rPr>
        <w:t>.</w:t>
      </w:r>
    </w:p>
    <w:p w14:paraId="26408715" w14:textId="77777777" w:rsidR="00247B09" w:rsidRPr="00747B27" w:rsidRDefault="00247B09" w:rsidP="00037F5D">
      <w:pPr>
        <w:spacing w:afterLines="50" w:after="120"/>
        <w:ind w:left="709"/>
        <w:jc w:val="both"/>
        <w:rPr>
          <w:lang w:val="en-NZ"/>
        </w:rPr>
      </w:pPr>
    </w:p>
    <w:p w14:paraId="1F128D6D" w14:textId="77777777" w:rsidR="002A0111" w:rsidRPr="00441526" w:rsidRDefault="002A0111" w:rsidP="002A0111">
      <w:pPr>
        <w:spacing w:after="120"/>
        <w:jc w:val="both"/>
        <w:rPr>
          <w:b/>
          <w:lang w:val="en-NZ" w:eastAsia="ko-KR"/>
        </w:rPr>
      </w:pPr>
      <w:r w:rsidRPr="008028EA">
        <w:rPr>
          <w:b/>
          <w:lang w:val="en-NZ" w:eastAsia="ko-KR"/>
        </w:rPr>
        <w:t xml:space="preserve">5. </w:t>
      </w:r>
      <w:r w:rsidRPr="008028EA">
        <w:rPr>
          <w:b/>
          <w:lang w:val="en-NZ" w:eastAsia="ko-KR"/>
        </w:rPr>
        <w:tab/>
        <w:t>Other View(s) from APT Members</w:t>
      </w:r>
    </w:p>
    <w:p w14:paraId="28A4D66F" w14:textId="498CF822" w:rsidR="005206E9" w:rsidRDefault="003843DC" w:rsidP="002A0111">
      <w:pPr>
        <w:rPr>
          <w:rFonts w:eastAsiaTheme="minorEastAsia"/>
          <w:lang w:eastAsia="zh-CN"/>
        </w:rPr>
      </w:pPr>
      <w:r>
        <w:rPr>
          <w:rFonts w:eastAsiaTheme="minorEastAsia"/>
          <w:lang w:eastAsia="zh-CN"/>
        </w:rPr>
        <w:t xml:space="preserve"> </w:t>
      </w:r>
      <w:r w:rsidR="0025007E">
        <w:rPr>
          <w:rFonts w:eastAsiaTheme="minorEastAsia"/>
          <w:lang w:eastAsia="zh-CN"/>
        </w:rPr>
        <w:tab/>
      </w:r>
      <w:r>
        <w:rPr>
          <w:rFonts w:eastAsiaTheme="minorEastAsia"/>
          <w:lang w:eastAsia="zh-CN"/>
        </w:rPr>
        <w:t>None.</w:t>
      </w:r>
    </w:p>
    <w:p w14:paraId="40181222" w14:textId="77777777" w:rsidR="0025007E" w:rsidRPr="00441526" w:rsidRDefault="0025007E" w:rsidP="002A0111">
      <w:pPr>
        <w:rPr>
          <w:lang w:val="en-NZ"/>
        </w:rPr>
      </w:pPr>
    </w:p>
    <w:p w14:paraId="56C333F1" w14:textId="77777777" w:rsidR="002A0111" w:rsidRPr="00441526" w:rsidRDefault="002A0111" w:rsidP="002A0111">
      <w:pPr>
        <w:spacing w:after="120"/>
        <w:jc w:val="both"/>
        <w:rPr>
          <w:b/>
          <w:lang w:val="en-NZ" w:eastAsia="ko-KR"/>
        </w:rPr>
      </w:pPr>
      <w:r w:rsidRPr="008028EA">
        <w:rPr>
          <w:b/>
          <w:lang w:val="en-NZ" w:eastAsia="ko-KR"/>
        </w:rPr>
        <w:t xml:space="preserve">6. </w:t>
      </w:r>
      <w:r w:rsidRPr="008028EA">
        <w:rPr>
          <w:b/>
          <w:lang w:val="en-NZ" w:eastAsia="ko-KR"/>
        </w:rPr>
        <w:tab/>
        <w:t>Issues for Consideration at Next APG Meeting</w:t>
      </w:r>
    </w:p>
    <w:p w14:paraId="0D8FE4EE" w14:textId="462BB9CA" w:rsidR="002A0111" w:rsidRPr="008028EA" w:rsidRDefault="00F45B71" w:rsidP="008028EA">
      <w:pPr>
        <w:spacing w:afterLines="50" w:after="120"/>
        <w:ind w:left="709"/>
        <w:jc w:val="both"/>
      </w:pPr>
      <w:r w:rsidRPr="008028EA">
        <w:t xml:space="preserve">Taking into account </w:t>
      </w:r>
      <w:r w:rsidR="00673262">
        <w:t xml:space="preserve">that </w:t>
      </w:r>
      <w:r w:rsidRPr="008028EA">
        <w:t xml:space="preserve">the use of satellite-to-satellite operations in the 11.7-12.7 GHz, 18.1-18.6 GHz, 18.8-20.2 GHz and 27.5-30 GHz frequency bands or portions thereof shall ensure protection of </w:t>
      </w:r>
      <w:r w:rsidR="00B802F0" w:rsidRPr="003104B4">
        <w:t xml:space="preserve">FSS and other </w:t>
      </w:r>
      <w:r w:rsidRPr="008028EA">
        <w:t xml:space="preserve">services allocated in the bands and in the adjacent bands, </w:t>
      </w:r>
      <w:r w:rsidR="004D7199" w:rsidRPr="008028EA">
        <w:t>APT members are invited to follow the progress of the ITU-R studies (including the concepts of operations, sharing and compatibility studies, CPM report and so on), and are encouraged to submit their contributions for further considerations at the next meeting</w:t>
      </w:r>
      <w:r w:rsidR="006C12E6">
        <w:t xml:space="preserve">, </w:t>
      </w:r>
      <w:r w:rsidR="008E1212" w:rsidRPr="00673262">
        <w:t xml:space="preserve">including the conclusions of </w:t>
      </w:r>
      <w:r w:rsidR="006C12E6" w:rsidRPr="00673262">
        <w:t>ITU-R studies</w:t>
      </w:r>
      <w:r w:rsidR="00673262" w:rsidRPr="00747B27">
        <w:t>,</w:t>
      </w:r>
      <w:r w:rsidR="006C12E6" w:rsidRPr="00673262">
        <w:t xml:space="preserve"> methods to satisfy the AI1.17 </w:t>
      </w:r>
      <w:r w:rsidR="00673262" w:rsidRPr="00747B27">
        <w:t xml:space="preserve">together with associate regulatory procedure including draft Resolution AI1.17 </w:t>
      </w:r>
      <w:r w:rsidR="006C12E6" w:rsidRPr="00673262">
        <w:t>in the CPM report.</w:t>
      </w:r>
    </w:p>
    <w:p w14:paraId="644E2D97" w14:textId="77777777" w:rsidR="002A0111" w:rsidRPr="00441526" w:rsidRDefault="002A0111" w:rsidP="003D3D47">
      <w:pPr>
        <w:jc w:val="both"/>
        <w:rPr>
          <w:lang w:val="en-NZ"/>
        </w:rPr>
      </w:pPr>
    </w:p>
    <w:p w14:paraId="2637DD5D" w14:textId="77777777" w:rsidR="00F70A3E" w:rsidRPr="00441526" w:rsidRDefault="002A0111" w:rsidP="00F70A3E">
      <w:pPr>
        <w:jc w:val="both"/>
        <w:rPr>
          <w:lang w:val="en-NZ"/>
        </w:rPr>
      </w:pPr>
      <w:r>
        <w:rPr>
          <w:b/>
          <w:lang w:val="en-NZ"/>
        </w:rPr>
        <w:t>7</w:t>
      </w:r>
      <w:r w:rsidRPr="00441526">
        <w:rPr>
          <w:b/>
          <w:lang w:val="en-NZ"/>
        </w:rPr>
        <w:t xml:space="preserve">. </w:t>
      </w:r>
      <w:r w:rsidRPr="00441526">
        <w:rPr>
          <w:b/>
          <w:lang w:val="en-NZ"/>
        </w:rPr>
        <w:tab/>
        <w:t>Views from Other Organisations</w:t>
      </w:r>
    </w:p>
    <w:p w14:paraId="4833F4A7" w14:textId="77777777" w:rsidR="002A0111" w:rsidRPr="00441526" w:rsidRDefault="002A0111" w:rsidP="003D3D47">
      <w:pPr>
        <w:jc w:val="both"/>
        <w:rPr>
          <w:lang w:val="en-NZ"/>
        </w:rPr>
      </w:pPr>
    </w:p>
    <w:p w14:paraId="0C3D8988"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2FD1D83C" w14:textId="6B346B71"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.1.1 </w:t>
      </w:r>
      <w:r w:rsidR="002A0111" w:rsidRPr="00441526">
        <w:rPr>
          <w:b/>
          <w:lang w:val="en-NZ" w:eastAsia="ko-KR"/>
        </w:rPr>
        <w:tab/>
      </w:r>
      <w:r w:rsidR="00702272">
        <w:rPr>
          <w:b/>
          <w:lang w:val="en-NZ" w:eastAsia="ko-KR"/>
        </w:rPr>
        <w:t>ATU</w:t>
      </w:r>
      <w:r w:rsidR="002A0111" w:rsidRPr="00441526">
        <w:t xml:space="preserve">- </w:t>
      </w:r>
      <w:r w:rsidR="002A0111" w:rsidRPr="00441526">
        <w:rPr>
          <w:b/>
          <w:lang w:val="en-NZ" w:eastAsia="ko-KR"/>
        </w:rPr>
        <w:t>Document APG</w:t>
      </w:r>
      <w:r w:rsidR="006B09DB">
        <w:rPr>
          <w:b/>
          <w:lang w:val="en-NZ" w:eastAsia="ko-KR"/>
        </w:rPr>
        <w:t>23-</w:t>
      </w:r>
      <w:r w:rsidR="00702272">
        <w:rPr>
          <w:b/>
          <w:lang w:val="en-NZ" w:eastAsia="ko-KR"/>
        </w:rPr>
        <w:t>4</w:t>
      </w:r>
      <w:r w:rsidR="00CE0680">
        <w:rPr>
          <w:b/>
          <w:lang w:val="en-NZ" w:eastAsia="ko-KR"/>
        </w:rPr>
        <w:t>/INF-</w:t>
      </w:r>
      <w:r w:rsidR="00702272">
        <w:rPr>
          <w:b/>
          <w:lang w:val="en-NZ" w:eastAsia="ko-KR"/>
        </w:rPr>
        <w:t>02</w:t>
      </w:r>
    </w:p>
    <w:p w14:paraId="6330A07A" w14:textId="77777777" w:rsidR="00702272" w:rsidRPr="000F19D5" w:rsidRDefault="00702272" w:rsidP="00341A74">
      <w:pPr>
        <w:pStyle w:val="ListParagraph"/>
        <w:numPr>
          <w:ilvl w:val="0"/>
          <w:numId w:val="25"/>
        </w:numPr>
        <w:jc w:val="both"/>
        <w:rPr>
          <w:lang w:val="en-NZ"/>
        </w:rPr>
      </w:pPr>
      <w:r w:rsidRPr="000F19D5">
        <w:rPr>
          <w:lang w:val="en-NZ"/>
        </w:rPr>
        <w:t>Decide that a regulatory framework should be developed to ensure the protection of the in-band and adjacent bands services to which the frequency bands referred to in this agenda item</w:t>
      </w:r>
      <w:proofErr w:type="gramStart"/>
      <w:r w:rsidRPr="000F19D5">
        <w:rPr>
          <w:lang w:val="en-NZ"/>
        </w:rPr>
        <w:t>, in particular, existing</w:t>
      </w:r>
      <w:proofErr w:type="gramEnd"/>
      <w:r w:rsidRPr="000F19D5">
        <w:rPr>
          <w:lang w:val="en-NZ"/>
        </w:rPr>
        <w:t xml:space="preserve"> and future FSS services be guaranteed.</w:t>
      </w:r>
    </w:p>
    <w:p w14:paraId="5B895B55" w14:textId="77777777" w:rsidR="00702272" w:rsidRPr="000F19D5" w:rsidRDefault="00702272" w:rsidP="00341A74">
      <w:pPr>
        <w:pStyle w:val="ListParagraph"/>
        <w:numPr>
          <w:ilvl w:val="0"/>
          <w:numId w:val="25"/>
        </w:numPr>
        <w:jc w:val="both"/>
        <w:rPr>
          <w:lang w:val="en-NZ"/>
        </w:rPr>
      </w:pPr>
      <w:r w:rsidRPr="000F19D5">
        <w:rPr>
          <w:lang w:val="en-NZ"/>
        </w:rPr>
        <w:t xml:space="preserve">Support ongoing sharing and compatibility studies at the ITU-R on technical and operational characteristics, including spectrum requirements, off-axis </w:t>
      </w:r>
      <w:proofErr w:type="spellStart"/>
      <w:r w:rsidRPr="000F19D5">
        <w:rPr>
          <w:lang w:val="en-NZ"/>
        </w:rPr>
        <w:t>e.i.r.p</w:t>
      </w:r>
      <w:proofErr w:type="spellEnd"/>
      <w:r w:rsidRPr="000F19D5">
        <w:rPr>
          <w:lang w:val="en-NZ"/>
        </w:rPr>
        <w:t xml:space="preserve">. values and out-of-band emission limits aimed towards the development of technical and regulatory actions for inter-satellite links in the frequency bands under consideration in this agenda item aimed at enabling the operation of satellite-to-satellite links within the fixed-satellite service (FSS) allocation in the 11.7-12.7 GHz, 18.1-18.6 GHz, 18.8-20.2 GHz and 27.5-30 GHz bands, or parts thereof. </w:t>
      </w:r>
    </w:p>
    <w:p w14:paraId="3F81C51D" w14:textId="77777777" w:rsidR="00702272" w:rsidRPr="000F19D5" w:rsidRDefault="00702272" w:rsidP="00341A74">
      <w:pPr>
        <w:pStyle w:val="ListParagraph"/>
        <w:numPr>
          <w:ilvl w:val="0"/>
          <w:numId w:val="25"/>
        </w:numPr>
        <w:jc w:val="both"/>
        <w:rPr>
          <w:lang w:val="en-NZ"/>
        </w:rPr>
      </w:pPr>
      <w:r w:rsidRPr="000F19D5">
        <w:rPr>
          <w:lang w:val="en-NZ"/>
        </w:rPr>
        <w:t xml:space="preserve">Support allocation of satellite-to-satellite transmissions within current FSS allocation, with same directional designators as in FSS, </w:t>
      </w:r>
      <w:proofErr w:type="gramStart"/>
      <w:r w:rsidRPr="000F19D5">
        <w:rPr>
          <w:lang w:val="en-NZ"/>
        </w:rPr>
        <w:t>i.e.</w:t>
      </w:r>
      <w:proofErr w:type="gramEnd"/>
      <w:r w:rsidRPr="000F19D5">
        <w:rPr>
          <w:lang w:val="en-NZ"/>
        </w:rPr>
        <w:t xml:space="preserve"> Earth-to-space and space-to-Earth.</w:t>
      </w:r>
    </w:p>
    <w:p w14:paraId="7073BF53" w14:textId="77777777" w:rsidR="00702272" w:rsidRPr="000F19D5" w:rsidRDefault="00702272" w:rsidP="00341A74">
      <w:pPr>
        <w:pStyle w:val="ListParagraph"/>
        <w:numPr>
          <w:ilvl w:val="0"/>
          <w:numId w:val="25"/>
        </w:numPr>
        <w:jc w:val="both"/>
        <w:rPr>
          <w:lang w:val="en-NZ"/>
        </w:rPr>
      </w:pPr>
      <w:r w:rsidRPr="000F19D5">
        <w:rPr>
          <w:lang w:val="en-NZ"/>
        </w:rPr>
        <w:t>Avoid, if possible, a new ISS allocation in these core FSS bands (Note: avoiding a new allocation when/if possible is a standard ITU practice and it has always been encouraged)</w:t>
      </w:r>
    </w:p>
    <w:p w14:paraId="237FD288" w14:textId="77777777" w:rsidR="00702272" w:rsidRPr="000F19D5" w:rsidRDefault="00702272" w:rsidP="00341A74">
      <w:pPr>
        <w:pStyle w:val="ListParagraph"/>
        <w:numPr>
          <w:ilvl w:val="0"/>
          <w:numId w:val="25"/>
        </w:numPr>
        <w:jc w:val="both"/>
        <w:rPr>
          <w:lang w:val="en-NZ"/>
        </w:rPr>
      </w:pPr>
      <w:r w:rsidRPr="000F19D5">
        <w:rPr>
          <w:lang w:val="en-NZ"/>
        </w:rPr>
        <w:t>Support the “within the cone of coverage” concept of operation, which allows satellite-to-satellite transmissions to be granted regulatory recognition under the current FSS allocation, without the need for a new inter-satellite service allocation</w:t>
      </w:r>
    </w:p>
    <w:p w14:paraId="79BC7D26" w14:textId="77777777" w:rsidR="00702272" w:rsidRPr="000F19D5" w:rsidRDefault="00702272" w:rsidP="00341A74">
      <w:pPr>
        <w:pStyle w:val="ListParagraph"/>
        <w:numPr>
          <w:ilvl w:val="0"/>
          <w:numId w:val="25"/>
        </w:numPr>
        <w:jc w:val="both"/>
        <w:rPr>
          <w:lang w:val="en-NZ"/>
        </w:rPr>
      </w:pPr>
      <w:r w:rsidRPr="000F19D5">
        <w:rPr>
          <w:lang w:val="en-NZ"/>
        </w:rPr>
        <w:t>Encourage execution of sharing studies on the “expanded cone” concept of operation.</w:t>
      </w:r>
    </w:p>
    <w:p w14:paraId="16749BE1" w14:textId="77777777" w:rsidR="002A0111" w:rsidRPr="00702272" w:rsidRDefault="002A0111" w:rsidP="00341A74">
      <w:pPr>
        <w:jc w:val="both"/>
        <w:rPr>
          <w:lang w:val="en-NZ"/>
        </w:rPr>
      </w:pPr>
    </w:p>
    <w:p w14:paraId="128CBF76" w14:textId="5E35FBFD" w:rsidR="002A0111" w:rsidRPr="00441526" w:rsidRDefault="005206E9" w:rsidP="004A15AA">
      <w:pPr>
        <w:spacing w:after="120"/>
        <w:jc w:val="both"/>
        <w:rPr>
          <w:b/>
          <w:lang w:val="en-NZ" w:eastAsia="ko-KR"/>
        </w:rPr>
      </w:pPr>
      <w:r>
        <w:rPr>
          <w:b/>
          <w:lang w:val="en-NZ" w:eastAsia="ko-KR"/>
        </w:rPr>
        <w:t>7</w:t>
      </w:r>
      <w:r w:rsidR="0005244E">
        <w:rPr>
          <w:b/>
          <w:lang w:val="en-NZ" w:eastAsia="ko-KR"/>
        </w:rPr>
        <w:t>.1.2</w:t>
      </w:r>
      <w:r w:rsidR="002A0111" w:rsidRPr="00441526">
        <w:rPr>
          <w:b/>
          <w:lang w:val="en-NZ" w:eastAsia="ko-KR"/>
        </w:rPr>
        <w:t xml:space="preserve"> </w:t>
      </w:r>
      <w:r w:rsidR="002A0111" w:rsidRPr="00441526">
        <w:rPr>
          <w:b/>
          <w:lang w:val="en-NZ" w:eastAsia="ko-KR"/>
        </w:rPr>
        <w:tab/>
      </w:r>
      <w:r w:rsidR="00702272">
        <w:rPr>
          <w:b/>
          <w:lang w:val="en-NZ" w:eastAsia="ko-KR"/>
        </w:rPr>
        <w:t>ASMG</w:t>
      </w:r>
      <w:r w:rsidR="002A0111" w:rsidRPr="00441526">
        <w:rPr>
          <w:b/>
          <w:lang w:val="en-NZ" w:eastAsia="ko-KR"/>
        </w:rPr>
        <w:t xml:space="preserve"> </w:t>
      </w:r>
      <w:r w:rsidR="002A0111" w:rsidRPr="005D1E6C">
        <w:rPr>
          <w:b/>
          <w:lang w:val="en-NZ" w:eastAsia="ko-KR"/>
        </w:rPr>
        <w:t>-</w:t>
      </w:r>
      <w:r w:rsidR="00702272" w:rsidRPr="00702272">
        <w:rPr>
          <w:b/>
          <w:lang w:val="en-NZ" w:eastAsia="ko-KR"/>
        </w:rPr>
        <w:t xml:space="preserve"> </w:t>
      </w:r>
      <w:r w:rsidR="00702272" w:rsidRPr="00441526">
        <w:rPr>
          <w:b/>
          <w:lang w:val="en-NZ" w:eastAsia="ko-KR"/>
        </w:rPr>
        <w:t>Document APG</w:t>
      </w:r>
      <w:r w:rsidR="00702272">
        <w:rPr>
          <w:b/>
          <w:lang w:val="en-NZ" w:eastAsia="ko-KR"/>
        </w:rPr>
        <w:t>23-4/INF-21</w:t>
      </w:r>
    </w:p>
    <w:p w14:paraId="522FCD1E" w14:textId="77777777" w:rsidR="00702272" w:rsidRDefault="00702272" w:rsidP="00702272">
      <w:pPr>
        <w:pStyle w:val="ListParagraph"/>
        <w:numPr>
          <w:ilvl w:val="0"/>
          <w:numId w:val="25"/>
        </w:numPr>
        <w:jc w:val="both"/>
        <w:rPr>
          <w:lang w:val="en-NZ"/>
        </w:rPr>
      </w:pPr>
      <w:r w:rsidRPr="00702272">
        <w:rPr>
          <w:lang w:val="en-NZ"/>
        </w:rPr>
        <w:t xml:space="preserve">Support the development of a regulatory framework and impose no additional regulatory or technical constraints on, services to which the frequency band is currently allocated on a primary basis as well as in for those in the adjacent bands, in particular current and future FSS services and uplink assignments in Appendix 30A. </w:t>
      </w:r>
    </w:p>
    <w:p w14:paraId="5B083B84" w14:textId="77777777" w:rsidR="00702272" w:rsidRDefault="00702272" w:rsidP="00702272">
      <w:pPr>
        <w:pStyle w:val="ListParagraph"/>
        <w:numPr>
          <w:ilvl w:val="0"/>
          <w:numId w:val="25"/>
        </w:numPr>
        <w:jc w:val="both"/>
        <w:rPr>
          <w:lang w:val="en-NZ"/>
        </w:rPr>
      </w:pPr>
      <w:r w:rsidRPr="00702272">
        <w:rPr>
          <w:lang w:val="en-NZ"/>
        </w:rPr>
        <w:lastRenderedPageBreak/>
        <w:t xml:space="preserve"> Follow-up compatibility studies for the use of satellite-to-satellite transmissions in the frequencies 11.7-12.7 GHz, 18.1-18.6 GHz, 18.8-20.2 GHz, and 27.5-30 GHz, or parts thereof, in accordance with Resolution 773 (WRC-19), to determine: </w:t>
      </w:r>
    </w:p>
    <w:p w14:paraId="01B4BB12" w14:textId="0490F72E" w:rsidR="00702272" w:rsidRDefault="00702272" w:rsidP="00702272">
      <w:pPr>
        <w:pStyle w:val="ListParagraph"/>
        <w:numPr>
          <w:ilvl w:val="0"/>
          <w:numId w:val="25"/>
        </w:numPr>
        <w:jc w:val="both"/>
        <w:rPr>
          <w:lang w:val="en-NZ"/>
        </w:rPr>
      </w:pPr>
      <w:r w:rsidRPr="00702272">
        <w:rPr>
          <w:lang w:val="en-NZ"/>
        </w:rPr>
        <w:t>An appropriate assignment mechanism whether it is within the FSS allocations or a new allocation of inter</w:t>
      </w:r>
      <w:r>
        <w:rPr>
          <w:lang w:val="en-NZ"/>
        </w:rPr>
        <w:t>-</w:t>
      </w:r>
      <w:r w:rsidRPr="00702272">
        <w:rPr>
          <w:lang w:val="en-NZ"/>
        </w:rPr>
        <w:t xml:space="preserve">satellite service (ISS). </w:t>
      </w:r>
    </w:p>
    <w:p w14:paraId="40003DD3" w14:textId="03111ECE" w:rsidR="00702272" w:rsidRDefault="00702272" w:rsidP="00702272">
      <w:pPr>
        <w:pStyle w:val="ListParagraph"/>
        <w:numPr>
          <w:ilvl w:val="0"/>
          <w:numId w:val="25"/>
        </w:numPr>
        <w:jc w:val="both"/>
        <w:rPr>
          <w:lang w:val="en-NZ"/>
        </w:rPr>
      </w:pPr>
      <w:r w:rsidRPr="00702272">
        <w:rPr>
          <w:lang w:val="en-NZ"/>
        </w:rPr>
        <w:t xml:space="preserve">The frequency bands in which the satellite-to-satellite links service is operated due to the importance of the services operating in those frequency bands. </w:t>
      </w:r>
    </w:p>
    <w:p w14:paraId="5EAE0C8E" w14:textId="53597456" w:rsidR="00702272" w:rsidRDefault="00702272" w:rsidP="00702272">
      <w:pPr>
        <w:pStyle w:val="ListParagraph"/>
        <w:numPr>
          <w:ilvl w:val="0"/>
          <w:numId w:val="25"/>
        </w:numPr>
        <w:jc w:val="both"/>
        <w:rPr>
          <w:lang w:val="en-NZ"/>
        </w:rPr>
      </w:pPr>
      <w:r w:rsidRPr="00702272">
        <w:rPr>
          <w:lang w:val="en-NZ"/>
        </w:rPr>
        <w:t xml:space="preserve">The sharing mechanism with the non-GSO FSS either through coordination according to Provision 9.12 or the establishment of hard limits. </w:t>
      </w:r>
    </w:p>
    <w:p w14:paraId="4C1B8287" w14:textId="566B4763" w:rsidR="00702272" w:rsidRDefault="00702272" w:rsidP="00702272">
      <w:pPr>
        <w:pStyle w:val="ListParagraph"/>
        <w:numPr>
          <w:ilvl w:val="0"/>
          <w:numId w:val="25"/>
        </w:numPr>
        <w:jc w:val="both"/>
        <w:rPr>
          <w:lang w:val="en-NZ"/>
        </w:rPr>
      </w:pPr>
      <w:r w:rsidRPr="00702272">
        <w:rPr>
          <w:lang w:val="en-NZ"/>
        </w:rPr>
        <w:t xml:space="preserve">The sharing mechanism with the GSO FSS either by considering those operations shall be within the envelope of a typical earth station communicating with the satellite network or by establishing hard limits. </w:t>
      </w:r>
    </w:p>
    <w:p w14:paraId="159C224A" w14:textId="389E31F3" w:rsidR="00837A26" w:rsidRDefault="00702272" w:rsidP="00D47DC0">
      <w:pPr>
        <w:pStyle w:val="ListParagraph"/>
        <w:numPr>
          <w:ilvl w:val="0"/>
          <w:numId w:val="25"/>
        </w:numPr>
        <w:jc w:val="both"/>
        <w:rPr>
          <w:lang w:val="en-NZ"/>
        </w:rPr>
      </w:pPr>
      <w:r w:rsidRPr="00837A26">
        <w:rPr>
          <w:lang w:val="en-NZ"/>
        </w:rPr>
        <w:t xml:space="preserve">Define the concept of operation for “within the cone” or “expanded cone” with appropriate constraints. </w:t>
      </w:r>
    </w:p>
    <w:p w14:paraId="2AE73685" w14:textId="1234FB5F" w:rsidR="00702272" w:rsidRDefault="00702272" w:rsidP="00D47DC0">
      <w:pPr>
        <w:pStyle w:val="ListParagraph"/>
        <w:numPr>
          <w:ilvl w:val="0"/>
          <w:numId w:val="25"/>
        </w:numPr>
        <w:jc w:val="both"/>
        <w:rPr>
          <w:lang w:val="en-NZ"/>
        </w:rPr>
      </w:pPr>
      <w:r w:rsidRPr="00837A26">
        <w:rPr>
          <w:lang w:val="en-NZ"/>
        </w:rPr>
        <w:t xml:space="preserve">Support the inter-satellite service within the current FSS allocations, in the same directions as in the FSS, </w:t>
      </w:r>
      <w:proofErr w:type="gramStart"/>
      <w:r w:rsidRPr="00837A26">
        <w:rPr>
          <w:lang w:val="en-NZ"/>
        </w:rPr>
        <w:t>i.e.</w:t>
      </w:r>
      <w:proofErr w:type="gramEnd"/>
      <w:r w:rsidRPr="00837A26">
        <w:rPr>
          <w:lang w:val="en-NZ"/>
        </w:rPr>
        <w:t xml:space="preserve"> Earth-to-space and space-to-Earth</w:t>
      </w:r>
      <w:r w:rsidR="00837A26">
        <w:rPr>
          <w:lang w:val="en-NZ"/>
        </w:rPr>
        <w:t>.</w:t>
      </w:r>
    </w:p>
    <w:p w14:paraId="0A2290F0" w14:textId="77777777" w:rsidR="00837A26" w:rsidRPr="00837A26" w:rsidRDefault="00837A26" w:rsidP="00837A26">
      <w:pPr>
        <w:pStyle w:val="ListParagraph"/>
        <w:jc w:val="both"/>
        <w:rPr>
          <w:lang w:val="en-NZ"/>
        </w:rPr>
      </w:pPr>
    </w:p>
    <w:p w14:paraId="69AA4635" w14:textId="4106F4E6" w:rsidR="002A0111" w:rsidRPr="00441526" w:rsidRDefault="005206E9" w:rsidP="002A0111">
      <w:pPr>
        <w:spacing w:after="120"/>
        <w:jc w:val="both"/>
        <w:rPr>
          <w:b/>
          <w:lang w:val="en-NZ" w:eastAsia="ko-KR"/>
        </w:rPr>
      </w:pPr>
      <w:r>
        <w:rPr>
          <w:b/>
          <w:lang w:val="en-NZ" w:eastAsia="ko-KR"/>
        </w:rPr>
        <w:t>7</w:t>
      </w:r>
      <w:r w:rsidR="0005244E">
        <w:rPr>
          <w:b/>
          <w:lang w:val="en-NZ" w:eastAsia="ko-KR"/>
        </w:rPr>
        <w:t>.1.3</w:t>
      </w:r>
      <w:r w:rsidR="002A0111" w:rsidRPr="00441526">
        <w:rPr>
          <w:b/>
          <w:lang w:val="en-NZ" w:eastAsia="ko-KR"/>
        </w:rPr>
        <w:t xml:space="preserve"> </w:t>
      </w:r>
      <w:r w:rsidR="002A0111" w:rsidRPr="00441526">
        <w:rPr>
          <w:b/>
          <w:lang w:val="en-NZ" w:eastAsia="ko-KR"/>
        </w:rPr>
        <w:tab/>
        <w:t xml:space="preserve">CITEL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702272">
        <w:rPr>
          <w:b/>
          <w:lang w:val="en-NZ" w:eastAsia="ko-KR"/>
        </w:rPr>
        <w:t>4</w:t>
      </w:r>
      <w:r w:rsidR="0005244E">
        <w:rPr>
          <w:b/>
          <w:lang w:val="en-NZ" w:eastAsia="ko-KR"/>
        </w:rPr>
        <w:t>/INF-</w:t>
      </w:r>
      <w:r w:rsidR="00702272">
        <w:rPr>
          <w:b/>
          <w:lang w:val="en-NZ" w:eastAsia="ko-KR"/>
        </w:rPr>
        <w:t>28</w:t>
      </w:r>
    </w:p>
    <w:p w14:paraId="710A2105" w14:textId="7117E0BC" w:rsidR="004B3206" w:rsidRPr="00702272" w:rsidRDefault="00702272" w:rsidP="00702272">
      <w:pPr>
        <w:pStyle w:val="ListParagraph"/>
        <w:numPr>
          <w:ilvl w:val="0"/>
          <w:numId w:val="25"/>
        </w:numPr>
        <w:jc w:val="both"/>
        <w:rPr>
          <w:lang w:val="en-NZ"/>
        </w:rPr>
      </w:pPr>
      <w:r w:rsidRPr="00702272">
        <w:rPr>
          <w:lang w:val="en-NZ"/>
        </w:rPr>
        <w:t>Some administrations support studies under Resolution 773 (WRC-19) to consider technical and regulatory provisions to allow satellite-to-satellite links in the frequency bands 11.7-12.7 GHz, 18.1-18.6 GHz, 18.8-20.2 GHz, and 27.5-30 GHz. Satellite-to</w:t>
      </w:r>
      <w:r>
        <w:rPr>
          <w:lang w:val="en-NZ"/>
        </w:rPr>
        <w:t>-</w:t>
      </w:r>
      <w:r w:rsidRPr="00702272">
        <w:rPr>
          <w:lang w:val="en-NZ"/>
        </w:rPr>
        <w:t>satellite links should be allowed, provided that no additional regulatory or technical constraints are imposed on incumbent services, both in-band and adjacent band.</w:t>
      </w:r>
    </w:p>
    <w:p w14:paraId="040EFCBF" w14:textId="1850413D" w:rsidR="00837A26" w:rsidRDefault="00702272" w:rsidP="00702272">
      <w:pPr>
        <w:pStyle w:val="ListParagraph"/>
        <w:numPr>
          <w:ilvl w:val="0"/>
          <w:numId w:val="25"/>
        </w:numPr>
        <w:jc w:val="both"/>
        <w:rPr>
          <w:lang w:val="en-NZ"/>
        </w:rPr>
      </w:pPr>
      <w:r w:rsidRPr="00702272">
        <w:rPr>
          <w:lang w:val="en-NZ"/>
        </w:rPr>
        <w:t xml:space="preserve">A third administration supports carrying out studies to consider appropriate regulatory measures for the provision of satellite-to-satellite links in the FSS in the frequency bands 11.7-12.7 GHz, 18.1-18.6 GHz, 18.8-20.2 GHz, and 27.5-30 GHz. </w:t>
      </w:r>
    </w:p>
    <w:p w14:paraId="1981DE3C" w14:textId="1E5A2A21" w:rsidR="00837A26" w:rsidRDefault="00702272" w:rsidP="00702272">
      <w:pPr>
        <w:pStyle w:val="ListParagraph"/>
        <w:numPr>
          <w:ilvl w:val="0"/>
          <w:numId w:val="25"/>
        </w:numPr>
        <w:jc w:val="both"/>
        <w:rPr>
          <w:lang w:val="en-NZ"/>
        </w:rPr>
      </w:pPr>
      <w:r w:rsidRPr="00702272">
        <w:rPr>
          <w:lang w:val="en-NZ"/>
        </w:rPr>
        <w:t xml:space="preserve">Satellite-to-satellite links in the FSS must protect existing services allocated on a primary basis in these frequency bands and in adjacent frequency bands, and likewise must not impose undue constraints on said services, including other FSS applications. </w:t>
      </w:r>
    </w:p>
    <w:p w14:paraId="5B980C6E" w14:textId="45A657C4" w:rsidR="00702272" w:rsidRPr="00702272" w:rsidRDefault="00702272" w:rsidP="00702272">
      <w:pPr>
        <w:pStyle w:val="ListParagraph"/>
        <w:numPr>
          <w:ilvl w:val="0"/>
          <w:numId w:val="25"/>
        </w:numPr>
        <w:jc w:val="both"/>
        <w:rPr>
          <w:lang w:val="en-NZ"/>
        </w:rPr>
      </w:pPr>
      <w:r w:rsidRPr="00702272">
        <w:rPr>
          <w:lang w:val="en-NZ"/>
        </w:rPr>
        <w:t>This administration is also of the opinion that studies relative to satellite-to-satellite links in the framework of the present agenda item must be confined to links that operate in the same transmission direction provided for in the current allocations for the FSS in the frequency bands under consideration. It must be pointed out that the operations of these satellite-to-satellite links would only be permitted between satellites located on different orbits.</w:t>
      </w:r>
    </w:p>
    <w:p w14:paraId="33E5CEBE" w14:textId="79627B1A" w:rsidR="00702272" w:rsidRDefault="00702272" w:rsidP="00702272">
      <w:pPr>
        <w:pStyle w:val="ListParagraph"/>
        <w:numPr>
          <w:ilvl w:val="0"/>
          <w:numId w:val="25"/>
        </w:numPr>
        <w:jc w:val="both"/>
        <w:rPr>
          <w:lang w:val="en-NZ"/>
        </w:rPr>
      </w:pPr>
      <w:r w:rsidRPr="00702272">
        <w:rPr>
          <w:lang w:val="en-NZ"/>
        </w:rPr>
        <w:t>A fourth administration supports studies called for under Resolution 773 (WRC-19), including assessing the spectrum requirements, development of technical and operational characteristics, conducting sharing and compatibility with a view to ensuring the protection of, and without imposing additional regulatory or technical constraints on primary allocated services in these bands and adjacent frequency bands, including passive services. This administration is also of the view that the studies of satellite-to</w:t>
      </w:r>
      <w:r>
        <w:rPr>
          <w:lang w:val="en-NZ"/>
        </w:rPr>
        <w:t>-</w:t>
      </w:r>
      <w:r w:rsidRPr="00702272">
        <w:rPr>
          <w:lang w:val="en-NZ"/>
        </w:rPr>
        <w:t>satellite operations for consideration under this agenda item should be limited to links operating in the same direction of transmission as provided in the current allocations for the fixed-satellite service in the frequency bands under consideration. Based on the results of these studies, this administration supports the consideration of appropriate technical and regulatory provisions at WRC-23 to address Resolution 773 (WRC-19) in the frequency bands 11.7-12.7 GHz, 18.1-18.6 GHz, 18.8-20.2 GHz, and 27.5-30 GHz, or portions thereof</w:t>
      </w:r>
      <w:r w:rsidR="006A36B2">
        <w:rPr>
          <w:lang w:val="en-NZ"/>
        </w:rPr>
        <w:t>.</w:t>
      </w:r>
    </w:p>
    <w:p w14:paraId="7F724702" w14:textId="77777777" w:rsidR="00702272" w:rsidRPr="00702272" w:rsidRDefault="00702272" w:rsidP="00702272">
      <w:pPr>
        <w:pStyle w:val="ListParagraph"/>
        <w:jc w:val="both"/>
        <w:rPr>
          <w:lang w:val="en-NZ"/>
        </w:rPr>
      </w:pPr>
    </w:p>
    <w:p w14:paraId="1CF9B749" w14:textId="3227D3E3" w:rsidR="002A0111" w:rsidRPr="00441526" w:rsidRDefault="005206E9" w:rsidP="002A0111">
      <w:pPr>
        <w:spacing w:after="120"/>
        <w:jc w:val="both"/>
        <w:rPr>
          <w:b/>
          <w:lang w:val="en-NZ" w:eastAsia="ko-KR"/>
        </w:rPr>
      </w:pPr>
      <w:r>
        <w:rPr>
          <w:b/>
          <w:lang w:val="en-NZ" w:eastAsia="ko-KR"/>
        </w:rPr>
        <w:t>7</w:t>
      </w:r>
      <w:r w:rsidR="0005244E">
        <w:rPr>
          <w:b/>
          <w:lang w:val="en-NZ" w:eastAsia="ko-KR"/>
        </w:rPr>
        <w:t>.1.4</w:t>
      </w:r>
      <w:r w:rsidR="002A0111" w:rsidRPr="00441526">
        <w:rPr>
          <w:b/>
          <w:lang w:val="en-NZ" w:eastAsia="ko-KR"/>
        </w:rPr>
        <w:t xml:space="preserve"> </w:t>
      </w:r>
      <w:r w:rsidR="002A0111" w:rsidRPr="00441526">
        <w:rPr>
          <w:b/>
          <w:lang w:val="en-NZ" w:eastAsia="ko-KR"/>
        </w:rPr>
        <w:tab/>
        <w:t xml:space="preserve">RCC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A36B2">
        <w:rPr>
          <w:b/>
          <w:lang w:val="en-NZ" w:eastAsia="ko-KR"/>
        </w:rPr>
        <w:t>4</w:t>
      </w:r>
      <w:r w:rsidR="0005244E">
        <w:rPr>
          <w:b/>
          <w:lang w:val="en-NZ" w:eastAsia="ko-KR"/>
        </w:rPr>
        <w:t>/INF-</w:t>
      </w:r>
      <w:r w:rsidR="006A36B2">
        <w:rPr>
          <w:b/>
          <w:lang w:val="en-NZ" w:eastAsia="ko-KR"/>
        </w:rPr>
        <w:t>44</w:t>
      </w:r>
    </w:p>
    <w:p w14:paraId="766860AD" w14:textId="1D51CE67" w:rsidR="006A36B2" w:rsidRDefault="006A36B2" w:rsidP="006A36B2">
      <w:pPr>
        <w:pStyle w:val="ListParagraph"/>
        <w:numPr>
          <w:ilvl w:val="0"/>
          <w:numId w:val="25"/>
        </w:numPr>
        <w:jc w:val="both"/>
        <w:rPr>
          <w:lang w:val="en-NZ"/>
        </w:rPr>
      </w:pPr>
      <w:r w:rsidRPr="006A36B2">
        <w:rPr>
          <w:lang w:val="en-NZ"/>
        </w:rPr>
        <w:lastRenderedPageBreak/>
        <w:t xml:space="preserve">The use of inter-satellite links in the frequency bands 11.7-12.7 GHz, 18.1- 18.6 GHz, 18.8-20.2 GHz, and 27.5-30 GHz in current concepts it does not meet the definition of the FSS and imposes additional constraints on the use of the existing and future systems/networks of FSS, inter alia, over the national territories.  </w:t>
      </w:r>
    </w:p>
    <w:p w14:paraId="3E1A76FC" w14:textId="419C86E2" w:rsidR="006A36B2" w:rsidRDefault="006A36B2" w:rsidP="006A36B2">
      <w:pPr>
        <w:pStyle w:val="ListParagraph"/>
        <w:numPr>
          <w:ilvl w:val="0"/>
          <w:numId w:val="25"/>
        </w:numPr>
        <w:jc w:val="both"/>
        <w:rPr>
          <w:lang w:val="en-NZ"/>
        </w:rPr>
      </w:pPr>
      <w:r w:rsidRPr="006A36B2">
        <w:rPr>
          <w:lang w:val="en-NZ"/>
        </w:rPr>
        <w:t>Spectrum requirements should be justified, conditions for the use of inter</w:t>
      </w:r>
      <w:r>
        <w:rPr>
          <w:lang w:val="en-NZ"/>
        </w:rPr>
        <w:t>-</w:t>
      </w:r>
      <w:r w:rsidRPr="006A36B2">
        <w:rPr>
          <w:lang w:val="en-NZ"/>
        </w:rPr>
        <w:t xml:space="preserve">satellite links in the above-mentioned frequency bands should ensure the protection of existing primary services that have allocations in the same or </w:t>
      </w:r>
      <w:proofErr w:type="spellStart"/>
      <w:r w:rsidRPr="006A36B2">
        <w:rPr>
          <w:lang w:val="en-NZ"/>
        </w:rPr>
        <w:t>neighboring</w:t>
      </w:r>
      <w:proofErr w:type="spellEnd"/>
      <w:r w:rsidRPr="006A36B2">
        <w:rPr>
          <w:lang w:val="en-NZ"/>
        </w:rPr>
        <w:t xml:space="preserve"> frequency bands and no additional constraints should be impose on the use of existing and future stations of these services. </w:t>
      </w:r>
    </w:p>
    <w:p w14:paraId="5034EDE8" w14:textId="5E53E1B9" w:rsidR="00ED4878" w:rsidRDefault="006A36B2" w:rsidP="006A36B2">
      <w:pPr>
        <w:pStyle w:val="ListParagraph"/>
        <w:numPr>
          <w:ilvl w:val="0"/>
          <w:numId w:val="25"/>
        </w:numPr>
        <w:jc w:val="both"/>
        <w:rPr>
          <w:lang w:val="en-NZ"/>
        </w:rPr>
      </w:pPr>
      <w:r w:rsidRPr="006A36B2">
        <w:rPr>
          <w:lang w:val="en-NZ"/>
        </w:rPr>
        <w:t>Supports the development of technical and operational conditions, as well as regulatory provisions, including new allocations to inter-satellite service, for the operation of inter-satellite links in the frequency bands 11.7−12.7 GHz, 18.1−18.6 GHz, 18.8−20.2 GHz and 27.5−30 GHz or parts thereof</w:t>
      </w:r>
      <w:r>
        <w:rPr>
          <w:lang w:val="en-NZ"/>
        </w:rPr>
        <w:t>.</w:t>
      </w:r>
    </w:p>
    <w:p w14:paraId="53076433" w14:textId="77777777" w:rsidR="006A36B2" w:rsidRPr="006A36B2" w:rsidRDefault="006A36B2" w:rsidP="006A36B2">
      <w:pPr>
        <w:pStyle w:val="ListParagraph"/>
        <w:jc w:val="both"/>
        <w:rPr>
          <w:lang w:val="en-NZ"/>
        </w:rPr>
      </w:pPr>
    </w:p>
    <w:p w14:paraId="34EC7004" w14:textId="03E182A7" w:rsidR="004B3206" w:rsidRPr="004B3206" w:rsidRDefault="004B3206" w:rsidP="004B3206">
      <w:pPr>
        <w:spacing w:after="120"/>
        <w:jc w:val="both"/>
        <w:rPr>
          <w:b/>
          <w:lang w:val="en-NZ" w:eastAsia="ko-KR"/>
        </w:rPr>
      </w:pPr>
      <w:r w:rsidRPr="004B3206">
        <w:rPr>
          <w:b/>
          <w:lang w:val="en-NZ" w:eastAsia="ko-KR"/>
        </w:rPr>
        <w:t>7.1.</w:t>
      </w:r>
      <w:r w:rsidRPr="004B3206">
        <w:rPr>
          <w:rFonts w:eastAsiaTheme="minorEastAsia"/>
          <w:b/>
          <w:lang w:val="en-NZ" w:eastAsia="zh-CN"/>
        </w:rPr>
        <w:t>5</w:t>
      </w:r>
      <w:r w:rsidRPr="004B3206">
        <w:rPr>
          <w:b/>
          <w:lang w:val="en-NZ" w:eastAsia="ko-KR"/>
        </w:rPr>
        <w:t xml:space="preserve"> </w:t>
      </w:r>
      <w:r w:rsidRPr="004B3206">
        <w:rPr>
          <w:b/>
          <w:lang w:val="en-NZ" w:eastAsia="ko-KR"/>
        </w:rPr>
        <w:tab/>
      </w:r>
      <w:r w:rsidR="006A36B2">
        <w:rPr>
          <w:b/>
          <w:lang w:val="en-NZ" w:eastAsia="ko-KR"/>
        </w:rPr>
        <w:t>CEPT</w:t>
      </w:r>
      <w:r w:rsidR="006A36B2" w:rsidRPr="00441526">
        <w:rPr>
          <w:b/>
          <w:lang w:val="en-NZ" w:eastAsia="ko-KR"/>
        </w:rPr>
        <w:t xml:space="preserve"> </w:t>
      </w:r>
      <w:r w:rsidR="006A36B2" w:rsidRPr="00441526">
        <w:t xml:space="preserve">- </w:t>
      </w:r>
      <w:r w:rsidR="006A36B2" w:rsidRPr="00441526">
        <w:rPr>
          <w:b/>
          <w:lang w:val="en-NZ" w:eastAsia="ko-KR"/>
        </w:rPr>
        <w:t>Document APG</w:t>
      </w:r>
      <w:r w:rsidR="006A36B2">
        <w:rPr>
          <w:b/>
          <w:lang w:val="en-NZ" w:eastAsia="ko-KR"/>
        </w:rPr>
        <w:t>23</w:t>
      </w:r>
      <w:r w:rsidR="006A36B2" w:rsidRPr="00441526">
        <w:rPr>
          <w:b/>
          <w:lang w:val="en-NZ" w:eastAsia="ko-KR"/>
        </w:rPr>
        <w:t>-</w:t>
      </w:r>
      <w:r w:rsidR="006A36B2">
        <w:rPr>
          <w:b/>
          <w:lang w:val="en-NZ" w:eastAsia="ko-KR"/>
        </w:rPr>
        <w:t>4/INF-48</w:t>
      </w:r>
    </w:p>
    <w:p w14:paraId="20F44F69" w14:textId="77777777" w:rsidR="006A36B2" w:rsidRDefault="006A36B2" w:rsidP="006A36B2">
      <w:pPr>
        <w:pStyle w:val="ListParagraph"/>
        <w:numPr>
          <w:ilvl w:val="0"/>
          <w:numId w:val="25"/>
        </w:numPr>
        <w:jc w:val="both"/>
        <w:rPr>
          <w:lang w:val="en-NZ"/>
        </w:rPr>
      </w:pPr>
      <w:r w:rsidRPr="006A36B2">
        <w:rPr>
          <w:lang w:val="en-NZ"/>
        </w:rPr>
        <w:t xml:space="preserve">CEPT supports the development of a regulatory framework to enable the operation of satellite‐to‐satellite links within the fixed‐satellite service (FSS) allocation in the 11.7‐12.7 GHz, 18.1‐18.6 GHz, 18.8‐20.2 GHz and 27.5‐30 GHz bands, or parts thereof, while ensuring protection of existing services in the same frequency bands and adjacent bands. </w:t>
      </w:r>
    </w:p>
    <w:p w14:paraId="223C27DC" w14:textId="77777777" w:rsidR="000C0138" w:rsidRDefault="006A36B2" w:rsidP="006A36B2">
      <w:pPr>
        <w:pStyle w:val="ListParagraph"/>
        <w:numPr>
          <w:ilvl w:val="0"/>
          <w:numId w:val="25"/>
        </w:numPr>
        <w:jc w:val="both"/>
        <w:rPr>
          <w:lang w:val="en-NZ"/>
        </w:rPr>
      </w:pPr>
      <w:r w:rsidRPr="006A36B2">
        <w:rPr>
          <w:lang w:val="en-NZ"/>
        </w:rPr>
        <w:t xml:space="preserve">CEPT supports that the introduction of satellite‐to‐satellite transmissions must ensure the same level of protection for GSOs and non‐GSOs as currently provided in the RR and must not impose new constraints on GSOs and non‐GSOs to protect satellite‐to‐satellite links from interference. </w:t>
      </w:r>
    </w:p>
    <w:p w14:paraId="6D090A7E" w14:textId="7EFBF03C" w:rsidR="002A0111" w:rsidRPr="006A36B2" w:rsidRDefault="006A36B2" w:rsidP="006A36B2">
      <w:pPr>
        <w:pStyle w:val="ListParagraph"/>
        <w:numPr>
          <w:ilvl w:val="0"/>
          <w:numId w:val="25"/>
        </w:numPr>
        <w:jc w:val="both"/>
        <w:rPr>
          <w:lang w:val="en-NZ"/>
        </w:rPr>
      </w:pPr>
      <w:r w:rsidRPr="006A36B2">
        <w:rPr>
          <w:lang w:val="en-NZ"/>
        </w:rPr>
        <w:t>CEPT supports that the introduction of satellite‐to‐satellite transmissions must ensure the same level of protection for terrestrial services as currently provided in the RR and must not impose new constraints on terrestrial services to protect satellite‐to‐satellite links from interference.</w:t>
      </w:r>
    </w:p>
    <w:p w14:paraId="5E8AA33D" w14:textId="07A54AE2" w:rsidR="006A36B2" w:rsidRDefault="006A36B2" w:rsidP="006A36B2">
      <w:pPr>
        <w:pStyle w:val="ListParagraph"/>
        <w:numPr>
          <w:ilvl w:val="0"/>
          <w:numId w:val="25"/>
        </w:numPr>
        <w:jc w:val="both"/>
        <w:rPr>
          <w:lang w:val="en-NZ"/>
        </w:rPr>
      </w:pPr>
      <w:r w:rsidRPr="006A36B2">
        <w:rPr>
          <w:lang w:val="en-NZ"/>
        </w:rPr>
        <w:t xml:space="preserve">CEPT proposes that space stations that plan satellite‐to‐satellite transmissions should be governed by the following preliminary guiding principles: </w:t>
      </w:r>
    </w:p>
    <w:p w14:paraId="21FCF1F3" w14:textId="06001B52" w:rsidR="006A36B2" w:rsidRDefault="006A36B2" w:rsidP="006A36B2">
      <w:pPr>
        <w:pStyle w:val="ListParagraph"/>
        <w:numPr>
          <w:ilvl w:val="0"/>
          <w:numId w:val="25"/>
        </w:numPr>
        <w:jc w:val="both"/>
        <w:rPr>
          <w:lang w:val="en-NZ"/>
        </w:rPr>
      </w:pPr>
      <w:r w:rsidRPr="006A36B2">
        <w:rPr>
          <w:lang w:val="en-NZ"/>
        </w:rPr>
        <w:t>Satellite‐to‐satellite link transmissions will comply with the same directionality indicators as in the existing FSS allocations (Earth‐to‐space = from user space station to service provider space station, space‐to‐Earth = from service provider space station to user space station</w:t>
      </w:r>
      <w:proofErr w:type="gramStart"/>
      <w:r w:rsidRPr="006A36B2">
        <w:rPr>
          <w:lang w:val="en-NZ"/>
        </w:rPr>
        <w:t>);</w:t>
      </w:r>
      <w:proofErr w:type="gramEnd"/>
      <w:r w:rsidRPr="006A36B2">
        <w:rPr>
          <w:lang w:val="en-NZ"/>
        </w:rPr>
        <w:t xml:space="preserve"> </w:t>
      </w:r>
    </w:p>
    <w:p w14:paraId="15FCB28D" w14:textId="2105794D" w:rsidR="006A36B2" w:rsidRDefault="006A36B2" w:rsidP="006A36B2">
      <w:pPr>
        <w:pStyle w:val="ListParagraph"/>
        <w:numPr>
          <w:ilvl w:val="0"/>
          <w:numId w:val="25"/>
        </w:numPr>
        <w:jc w:val="both"/>
        <w:rPr>
          <w:lang w:val="en-NZ"/>
        </w:rPr>
      </w:pPr>
      <w:r w:rsidRPr="006A36B2">
        <w:rPr>
          <w:lang w:val="en-NZ"/>
        </w:rPr>
        <w:t xml:space="preserve">Non‐GSO user space stations will operate in a manner that should resemble typical Earth stations of the FSS service provider </w:t>
      </w:r>
      <w:proofErr w:type="gramStart"/>
      <w:r w:rsidRPr="006A36B2">
        <w:rPr>
          <w:lang w:val="en-NZ"/>
        </w:rPr>
        <w:t>system;</w:t>
      </w:r>
      <w:proofErr w:type="gramEnd"/>
      <w:r w:rsidRPr="006A36B2">
        <w:rPr>
          <w:lang w:val="en-NZ"/>
        </w:rPr>
        <w:t xml:space="preserve"> </w:t>
      </w:r>
    </w:p>
    <w:p w14:paraId="30678889" w14:textId="4F43068C" w:rsidR="006A36B2" w:rsidRDefault="006A36B2" w:rsidP="006A36B2">
      <w:pPr>
        <w:pStyle w:val="ListParagraph"/>
        <w:numPr>
          <w:ilvl w:val="0"/>
          <w:numId w:val="25"/>
        </w:numPr>
        <w:jc w:val="both"/>
        <w:rPr>
          <w:lang w:val="en-NZ"/>
        </w:rPr>
      </w:pPr>
      <w:r w:rsidRPr="006A36B2">
        <w:rPr>
          <w:lang w:val="en-NZ"/>
        </w:rPr>
        <w:t xml:space="preserve">The equivalent power flux‐density, </w:t>
      </w:r>
      <w:proofErr w:type="spellStart"/>
      <w:r w:rsidRPr="006A36B2">
        <w:rPr>
          <w:lang w:val="en-NZ"/>
        </w:rPr>
        <w:t>epfd</w:t>
      </w:r>
      <w:proofErr w:type="spellEnd"/>
      <w:r w:rsidRPr="006A36B2">
        <w:rPr>
          <w:lang w:val="en-NZ"/>
        </w:rPr>
        <w:t xml:space="preserve"> ↑, produced at any point in the geosta</w:t>
      </w:r>
      <w:r w:rsidRPr="006A36B2">
        <w:rPr>
          <w:rFonts w:hint="eastAsia"/>
          <w:lang w:val="en-NZ"/>
        </w:rPr>
        <w:t>t</w:t>
      </w:r>
      <w:r>
        <w:rPr>
          <w:lang w:val="en-NZ"/>
        </w:rPr>
        <w:t>i</w:t>
      </w:r>
      <w:r w:rsidRPr="006A36B2">
        <w:rPr>
          <w:lang w:val="en-NZ"/>
        </w:rPr>
        <w:t>onary‐satellite orbit by emissions from all combined operations of space‐to‐space and typical Earth station transmissions shall not exceed the limits given in Table 22‐</w:t>
      </w:r>
      <w:proofErr w:type="gramStart"/>
      <w:r w:rsidRPr="006A36B2">
        <w:rPr>
          <w:lang w:val="en-NZ"/>
        </w:rPr>
        <w:t>2;</w:t>
      </w:r>
      <w:proofErr w:type="gramEnd"/>
      <w:r w:rsidRPr="006A36B2">
        <w:rPr>
          <w:lang w:val="en-NZ"/>
        </w:rPr>
        <w:t xml:space="preserve"> </w:t>
      </w:r>
    </w:p>
    <w:p w14:paraId="01750859" w14:textId="43097115" w:rsidR="006A36B2" w:rsidRPr="006A36B2" w:rsidRDefault="006A36B2" w:rsidP="006A36B2">
      <w:pPr>
        <w:pStyle w:val="ListParagraph"/>
        <w:numPr>
          <w:ilvl w:val="0"/>
          <w:numId w:val="25"/>
        </w:numPr>
        <w:jc w:val="both"/>
        <w:rPr>
          <w:lang w:val="en-NZ"/>
        </w:rPr>
      </w:pPr>
      <w:r w:rsidRPr="006A36B2">
        <w:rPr>
          <w:lang w:val="en-NZ"/>
        </w:rPr>
        <w:t xml:space="preserve">The equivalent power flux‐density, </w:t>
      </w:r>
      <w:proofErr w:type="spellStart"/>
      <w:r w:rsidRPr="006A36B2">
        <w:rPr>
          <w:lang w:val="en-NZ"/>
        </w:rPr>
        <w:t>epfd</w:t>
      </w:r>
      <w:proofErr w:type="spellEnd"/>
      <w:r w:rsidRPr="006A36B2">
        <w:rPr>
          <w:lang w:val="en-NZ"/>
        </w:rPr>
        <w:t xml:space="preserve"> ↓, at any point on the Earth’s surface visible from the </w:t>
      </w:r>
      <w:r w:rsidR="003616E2" w:rsidRPr="006A36B2">
        <w:rPr>
          <w:lang w:val="en-NZ"/>
        </w:rPr>
        <w:t>transmi</w:t>
      </w:r>
      <w:r w:rsidR="003616E2">
        <w:rPr>
          <w:lang w:val="en-NZ"/>
        </w:rPr>
        <w:t>t</w:t>
      </w:r>
      <w:r w:rsidR="003616E2" w:rsidRPr="006A36B2">
        <w:rPr>
          <w:lang w:val="en-NZ"/>
        </w:rPr>
        <w:t>ting</w:t>
      </w:r>
      <w:r w:rsidRPr="006A36B2">
        <w:rPr>
          <w:lang w:val="en-NZ"/>
        </w:rPr>
        <w:t xml:space="preserve"> satellite system, produced by emissions from all the space stations of the non‐geostationary‐satellite system shall not exceed the limits given in Tables 22‐1A to 22‐1E, where applicable</w:t>
      </w:r>
    </w:p>
    <w:p w14:paraId="54822410" w14:textId="7F7E0BCF" w:rsidR="003616E2" w:rsidRDefault="006A36B2" w:rsidP="006A36B2">
      <w:pPr>
        <w:pStyle w:val="ListParagraph"/>
        <w:numPr>
          <w:ilvl w:val="0"/>
          <w:numId w:val="25"/>
        </w:numPr>
        <w:jc w:val="both"/>
        <w:rPr>
          <w:lang w:val="en-NZ"/>
        </w:rPr>
      </w:pPr>
      <w:r w:rsidRPr="006A36B2">
        <w:rPr>
          <w:lang w:val="en-NZ"/>
        </w:rPr>
        <w:t xml:space="preserve">The higher altitude to lower altitude link transmissions in 11.7‐12.7 GHz, 18.1‐18.6 GHz and 18.8 20.2 GHz from the GSO or non‐GSO FSS service provider space station to the non‐GSO user space station would be identical in technical characteristic to the transmissions from GSO or non‐GSO service providers to any ground‐based user in the service provider’s </w:t>
      </w:r>
      <w:proofErr w:type="gramStart"/>
      <w:r w:rsidRPr="006A36B2">
        <w:rPr>
          <w:lang w:val="en-NZ"/>
        </w:rPr>
        <w:t>network;</w:t>
      </w:r>
      <w:proofErr w:type="gramEnd"/>
      <w:r w:rsidRPr="006A36B2">
        <w:rPr>
          <w:lang w:val="en-NZ"/>
        </w:rPr>
        <w:t xml:space="preserve"> </w:t>
      </w:r>
    </w:p>
    <w:p w14:paraId="42919078" w14:textId="2197FB7D" w:rsidR="006A36B2" w:rsidRDefault="006A36B2" w:rsidP="006A36B2">
      <w:pPr>
        <w:pStyle w:val="ListParagraph"/>
        <w:numPr>
          <w:ilvl w:val="0"/>
          <w:numId w:val="25"/>
        </w:numPr>
        <w:jc w:val="both"/>
        <w:rPr>
          <w:lang w:val="en-NZ"/>
        </w:rPr>
      </w:pPr>
      <w:r w:rsidRPr="006A36B2">
        <w:rPr>
          <w:lang w:val="en-NZ"/>
        </w:rPr>
        <w:t>Enabling the operation of satellite‐to‐satellite links should not result in an increase of the interference to EESS (passive) sensors operating in the 18.6‐18.8 GHz band. CEPT supports the development of measures to ensure EESS (passive) protection in the 18.6‐</w:t>
      </w:r>
      <w:r w:rsidRPr="006A36B2">
        <w:rPr>
          <w:lang w:val="en-NZ"/>
        </w:rPr>
        <w:lastRenderedPageBreak/>
        <w:t>18.8 GHz frequency band. Any provision on non‐GSO service provider space stations providing satellite‐to‐satellite links that may be needed to limit the interference to EESS (passive) sensors operating in the 18.6‐18.8 GHz shall be applicable only to those non‐GSO service provider systems notified/brought into use after the last day of WRC‐23.</w:t>
      </w:r>
    </w:p>
    <w:p w14:paraId="5E97A47A" w14:textId="77777777" w:rsidR="003616E2" w:rsidRPr="00441526" w:rsidRDefault="003616E2" w:rsidP="003616E2">
      <w:pPr>
        <w:pStyle w:val="ListParagraph"/>
        <w:jc w:val="both"/>
        <w:rPr>
          <w:lang w:val="en-NZ"/>
        </w:rPr>
      </w:pPr>
    </w:p>
    <w:p w14:paraId="0EE478BD"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73BBB356" w14:textId="6A7D9795" w:rsidR="004B3206" w:rsidRPr="004B3206" w:rsidRDefault="004B3206" w:rsidP="004B3206">
      <w:pPr>
        <w:spacing w:after="120"/>
        <w:jc w:val="both"/>
        <w:rPr>
          <w:b/>
          <w:lang w:val="en-NZ" w:eastAsia="ko-KR"/>
        </w:rPr>
      </w:pPr>
      <w:r w:rsidRPr="004B3206">
        <w:rPr>
          <w:b/>
          <w:lang w:val="en-NZ" w:eastAsia="ko-KR"/>
        </w:rPr>
        <w:t xml:space="preserve">7.2.1 </w:t>
      </w:r>
      <w:r w:rsidRPr="004B3206">
        <w:rPr>
          <w:b/>
          <w:lang w:val="en-NZ" w:eastAsia="ko-KR"/>
        </w:rPr>
        <w:tab/>
        <w:t>ICAO - Document APG23-3/INF-15</w:t>
      </w:r>
    </w:p>
    <w:p w14:paraId="244A5384" w14:textId="68A8A2E8" w:rsidR="004B3206" w:rsidRDefault="004B3206" w:rsidP="00341A74">
      <w:pPr>
        <w:numPr>
          <w:ilvl w:val="0"/>
          <w:numId w:val="25"/>
        </w:numPr>
        <w:jc w:val="both"/>
        <w:rPr>
          <w:lang w:val="en-NZ"/>
        </w:rPr>
      </w:pPr>
      <w:r w:rsidRPr="004B3206">
        <w:rPr>
          <w:lang w:val="en-NZ"/>
        </w:rPr>
        <w:t xml:space="preserve">To ensure that, given the overlap in frequency bands, any radio regulatory action taken </w:t>
      </w:r>
      <w:proofErr w:type="gramStart"/>
      <w:r w:rsidRPr="004B3206">
        <w:rPr>
          <w:lang w:val="en-NZ"/>
        </w:rPr>
        <w:t>as a result of</w:t>
      </w:r>
      <w:proofErr w:type="gramEnd"/>
      <w:r w:rsidRPr="004B3206">
        <w:rPr>
          <w:lang w:val="en-NZ"/>
        </w:rPr>
        <w:t xml:space="preserve"> this agenda item does not adversely affect the provision of UAS CNPC under Resolution </w:t>
      </w:r>
      <w:r w:rsidRPr="00840D98">
        <w:rPr>
          <w:b/>
          <w:lang w:val="en-NZ"/>
        </w:rPr>
        <w:t>155</w:t>
      </w:r>
      <w:r w:rsidRPr="004B3206">
        <w:rPr>
          <w:lang w:val="en-NZ"/>
        </w:rPr>
        <w:t xml:space="preserve"> (</w:t>
      </w:r>
      <w:r w:rsidRPr="004B3206">
        <w:rPr>
          <w:b/>
          <w:lang w:val="en-NZ"/>
        </w:rPr>
        <w:t>Rev. WRC-19</w:t>
      </w:r>
      <w:r w:rsidRPr="004B3206">
        <w:rPr>
          <w:lang w:val="en-NZ"/>
        </w:rPr>
        <w:t>)</w:t>
      </w:r>
      <w:r w:rsidRPr="004B3206">
        <w:rPr>
          <w:rFonts w:hint="eastAsia"/>
          <w:lang w:val="en-NZ"/>
        </w:rPr>
        <w:t>.</w:t>
      </w:r>
    </w:p>
    <w:p w14:paraId="287E9EEF" w14:textId="77777777" w:rsidR="004B3206" w:rsidRPr="004A00BD" w:rsidRDefault="004B3206" w:rsidP="004B3206">
      <w:pPr>
        <w:ind w:left="720"/>
        <w:rPr>
          <w:lang w:val="en-NZ"/>
        </w:rPr>
      </w:pPr>
    </w:p>
    <w:p w14:paraId="6AA5D999" w14:textId="703AEEFD" w:rsidR="004B3206" w:rsidRPr="004A00BD" w:rsidRDefault="004B3206" w:rsidP="004B3206">
      <w:pPr>
        <w:spacing w:after="120"/>
        <w:jc w:val="both"/>
        <w:rPr>
          <w:b/>
          <w:lang w:val="en-NZ" w:eastAsia="ko-KR"/>
        </w:rPr>
      </w:pPr>
      <w:r w:rsidRPr="004A00BD">
        <w:rPr>
          <w:b/>
          <w:lang w:val="en-NZ" w:eastAsia="ko-KR"/>
        </w:rPr>
        <w:t>7.2.</w:t>
      </w:r>
      <w:r w:rsidR="004A00BD" w:rsidRPr="004A00BD">
        <w:rPr>
          <w:rFonts w:eastAsiaTheme="minorEastAsia"/>
          <w:b/>
          <w:lang w:val="en-NZ" w:eastAsia="zh-CN"/>
        </w:rPr>
        <w:t>2</w:t>
      </w:r>
      <w:r w:rsidRPr="004A00BD">
        <w:rPr>
          <w:b/>
          <w:lang w:val="en-NZ" w:eastAsia="ko-KR"/>
        </w:rPr>
        <w:t xml:space="preserve"> </w:t>
      </w:r>
      <w:r w:rsidRPr="004A00BD">
        <w:rPr>
          <w:b/>
          <w:lang w:val="en-NZ" w:eastAsia="ko-KR"/>
        </w:rPr>
        <w:tab/>
      </w:r>
      <w:r w:rsidR="004A00BD">
        <w:rPr>
          <w:b/>
          <w:lang w:val="en-NZ" w:eastAsia="ko-KR"/>
        </w:rPr>
        <w:t>IMO</w:t>
      </w:r>
    </w:p>
    <w:p w14:paraId="78F6926E" w14:textId="2FE18F5F" w:rsidR="002A0111" w:rsidRDefault="004A00BD" w:rsidP="004A00BD">
      <w:pPr>
        <w:ind w:left="708"/>
        <w:jc w:val="both"/>
        <w:rPr>
          <w:rFonts w:eastAsiaTheme="minorEastAsia" w:cs="Angsana New"/>
          <w:szCs w:val="30"/>
          <w:lang w:eastAsia="zh-CN" w:bidi="th-TH"/>
        </w:rPr>
      </w:pPr>
      <w:r w:rsidRPr="004A00BD">
        <w:rPr>
          <w:rFonts w:eastAsiaTheme="minorEastAsia" w:cs="Angsana New" w:hint="eastAsia"/>
          <w:szCs w:val="30"/>
          <w:lang w:eastAsia="zh-CN" w:bidi="th-TH"/>
        </w:rPr>
        <w:t>No</w:t>
      </w:r>
      <w:r w:rsidRPr="004A00BD">
        <w:rPr>
          <w:rFonts w:eastAsiaTheme="minorEastAsia" w:cs="Angsana New"/>
          <w:szCs w:val="30"/>
          <w:lang w:eastAsia="zh-CN" w:bidi="th-TH"/>
        </w:rPr>
        <w:t>ne.</w:t>
      </w:r>
    </w:p>
    <w:p w14:paraId="7B45F805" w14:textId="77777777" w:rsidR="004A00BD" w:rsidRDefault="004A00BD" w:rsidP="004A00BD">
      <w:pPr>
        <w:ind w:left="708"/>
        <w:jc w:val="both"/>
        <w:rPr>
          <w:rFonts w:eastAsiaTheme="minorEastAsia" w:cs="Angsana New"/>
          <w:szCs w:val="30"/>
          <w:lang w:eastAsia="zh-CN" w:bidi="th-TH"/>
        </w:rPr>
      </w:pPr>
    </w:p>
    <w:p w14:paraId="0D53D71E" w14:textId="17CF725E" w:rsidR="004A00BD" w:rsidRPr="004A00BD" w:rsidRDefault="004A00BD" w:rsidP="004A00BD">
      <w:pPr>
        <w:spacing w:after="120"/>
        <w:jc w:val="both"/>
        <w:rPr>
          <w:b/>
          <w:lang w:val="en-NZ" w:eastAsia="ko-KR"/>
        </w:rPr>
      </w:pPr>
      <w:r w:rsidRPr="004A00BD">
        <w:rPr>
          <w:b/>
          <w:lang w:val="en-NZ" w:eastAsia="ko-KR"/>
        </w:rPr>
        <w:t>7.2.</w:t>
      </w:r>
      <w:r>
        <w:rPr>
          <w:rFonts w:eastAsiaTheme="minorEastAsia"/>
          <w:b/>
          <w:lang w:val="en-NZ" w:eastAsia="zh-CN"/>
        </w:rPr>
        <w:t>3</w:t>
      </w:r>
      <w:r w:rsidRPr="004A00BD">
        <w:rPr>
          <w:b/>
          <w:lang w:val="en-NZ" w:eastAsia="ko-KR"/>
        </w:rPr>
        <w:t xml:space="preserve"> </w:t>
      </w:r>
      <w:r w:rsidRPr="004A00BD">
        <w:rPr>
          <w:b/>
          <w:lang w:val="en-NZ" w:eastAsia="ko-KR"/>
        </w:rPr>
        <w:tab/>
      </w:r>
      <w:r>
        <w:rPr>
          <w:b/>
          <w:lang w:val="en-NZ" w:eastAsia="ko-KR"/>
        </w:rPr>
        <w:t>WMO</w:t>
      </w:r>
      <w:r w:rsidRPr="004B3206">
        <w:rPr>
          <w:b/>
          <w:lang w:val="en-NZ" w:eastAsia="ko-KR"/>
        </w:rPr>
        <w:t>- Document APG23-</w:t>
      </w:r>
      <w:r w:rsidR="003616E2">
        <w:rPr>
          <w:b/>
          <w:lang w:val="en-NZ" w:eastAsia="ko-KR"/>
        </w:rPr>
        <w:t>4</w:t>
      </w:r>
      <w:r w:rsidRPr="004B3206">
        <w:rPr>
          <w:b/>
          <w:lang w:val="en-NZ" w:eastAsia="ko-KR"/>
        </w:rPr>
        <w:t>/INF-</w:t>
      </w:r>
      <w:r>
        <w:rPr>
          <w:b/>
          <w:lang w:val="en-NZ" w:eastAsia="ko-KR"/>
        </w:rPr>
        <w:t>0</w:t>
      </w:r>
      <w:r w:rsidR="003616E2">
        <w:rPr>
          <w:b/>
          <w:lang w:val="en-NZ" w:eastAsia="ko-KR"/>
        </w:rPr>
        <w:t>3</w:t>
      </w:r>
    </w:p>
    <w:p w14:paraId="796D55BC" w14:textId="19CBC8D2" w:rsidR="004A00BD" w:rsidRPr="003616E2" w:rsidRDefault="003616E2" w:rsidP="003616E2">
      <w:pPr>
        <w:pStyle w:val="ListParagraph"/>
        <w:numPr>
          <w:ilvl w:val="0"/>
          <w:numId w:val="25"/>
        </w:numPr>
        <w:jc w:val="both"/>
        <w:rPr>
          <w:lang w:val="en-NZ"/>
        </w:rPr>
      </w:pPr>
      <w:r w:rsidRPr="003616E2">
        <w:rPr>
          <w:lang w:val="en-NZ"/>
        </w:rPr>
        <w:t xml:space="preserve">WMO supports studies, as necessary, to ensure satellite-to-satellite links will protect the co-frequency band </w:t>
      </w:r>
      <w:proofErr w:type="spellStart"/>
      <w:r w:rsidRPr="003616E2">
        <w:rPr>
          <w:lang w:val="en-NZ"/>
        </w:rPr>
        <w:t>MetSat</w:t>
      </w:r>
      <w:proofErr w:type="spellEnd"/>
      <w:r w:rsidRPr="003616E2">
        <w:rPr>
          <w:lang w:val="en-NZ"/>
        </w:rPr>
        <w:t xml:space="preserve"> allocation and that the operation of satellite-to-satellite links in the frequency bands adjacent to 18.6-18.8 GHz will not result in increased adjacent band interference to EESS (passive) operations.</w:t>
      </w:r>
    </w:p>
    <w:p w14:paraId="39E3D185" w14:textId="77777777" w:rsidR="003616E2" w:rsidRPr="004A00BD" w:rsidRDefault="003616E2" w:rsidP="004A00BD">
      <w:pPr>
        <w:tabs>
          <w:tab w:val="left" w:pos="1875"/>
        </w:tabs>
        <w:ind w:left="708"/>
        <w:jc w:val="both"/>
        <w:rPr>
          <w:rFonts w:eastAsiaTheme="minorEastAsia" w:cs="Angsana New"/>
          <w:szCs w:val="30"/>
          <w:lang w:eastAsia="zh-CN" w:bidi="th-TH"/>
        </w:rPr>
      </w:pPr>
    </w:p>
    <w:p w14:paraId="6AC8B6F6" w14:textId="2FD0A9D7" w:rsidR="004A00BD" w:rsidRPr="004A00BD" w:rsidRDefault="004A00BD" w:rsidP="004A00BD">
      <w:pPr>
        <w:spacing w:after="120"/>
        <w:jc w:val="both"/>
        <w:rPr>
          <w:b/>
          <w:lang w:val="en-NZ" w:eastAsia="ko-KR"/>
        </w:rPr>
      </w:pPr>
      <w:r w:rsidRPr="004A00BD">
        <w:rPr>
          <w:b/>
          <w:lang w:val="en-NZ" w:eastAsia="ko-KR"/>
        </w:rPr>
        <w:t>7.2.</w:t>
      </w:r>
      <w:r>
        <w:rPr>
          <w:rFonts w:eastAsiaTheme="minorEastAsia"/>
          <w:b/>
          <w:lang w:val="en-NZ" w:eastAsia="zh-CN"/>
        </w:rPr>
        <w:t>4</w:t>
      </w:r>
      <w:r w:rsidRPr="004A00BD">
        <w:rPr>
          <w:b/>
          <w:lang w:val="en-NZ" w:eastAsia="ko-KR"/>
        </w:rPr>
        <w:t xml:space="preserve"> </w:t>
      </w:r>
      <w:r w:rsidRPr="004A00BD">
        <w:rPr>
          <w:b/>
          <w:lang w:val="en-NZ" w:eastAsia="ko-KR"/>
        </w:rPr>
        <w:tab/>
      </w:r>
      <w:r>
        <w:rPr>
          <w:b/>
          <w:lang w:val="en-NZ" w:eastAsia="ko-KR"/>
        </w:rPr>
        <w:t>IARU</w:t>
      </w:r>
    </w:p>
    <w:p w14:paraId="75D25E17" w14:textId="77777777" w:rsidR="004A00BD" w:rsidRDefault="004A00BD" w:rsidP="004A00BD">
      <w:pPr>
        <w:ind w:left="708"/>
        <w:jc w:val="both"/>
        <w:rPr>
          <w:rFonts w:eastAsiaTheme="minorEastAsia" w:cs="Angsana New"/>
          <w:szCs w:val="30"/>
          <w:lang w:eastAsia="zh-CN" w:bidi="th-TH"/>
        </w:rPr>
      </w:pPr>
      <w:r w:rsidRPr="004A00BD">
        <w:rPr>
          <w:rFonts w:eastAsiaTheme="minorEastAsia" w:cs="Angsana New" w:hint="eastAsia"/>
          <w:szCs w:val="30"/>
          <w:lang w:eastAsia="zh-CN" w:bidi="th-TH"/>
        </w:rPr>
        <w:t>No</w:t>
      </w:r>
      <w:r w:rsidRPr="004A00BD">
        <w:rPr>
          <w:rFonts w:eastAsiaTheme="minorEastAsia" w:cs="Angsana New"/>
          <w:szCs w:val="30"/>
          <w:lang w:eastAsia="zh-CN" w:bidi="th-TH"/>
        </w:rPr>
        <w:t>ne.</w:t>
      </w:r>
    </w:p>
    <w:p w14:paraId="407A3EB9" w14:textId="77777777" w:rsidR="002A0111" w:rsidRPr="00710333" w:rsidRDefault="002A0111" w:rsidP="00ED4878">
      <w:pPr>
        <w:jc w:val="center"/>
        <w:rPr>
          <w:snapToGrid w:val="0"/>
          <w:lang w:val="en-NZ"/>
        </w:rPr>
      </w:pPr>
      <w:r w:rsidRPr="00441526">
        <w:rPr>
          <w:lang w:val="en-NZ"/>
        </w:rPr>
        <w:t>____________</w:t>
      </w:r>
    </w:p>
    <w:p w14:paraId="1AEE2016" w14:textId="77777777" w:rsidR="002A0111" w:rsidRPr="002A0111" w:rsidRDefault="002A0111" w:rsidP="002A0111">
      <w:pPr>
        <w:rPr>
          <w:lang w:val="en-NZ"/>
        </w:rPr>
      </w:pPr>
    </w:p>
    <w:p w14:paraId="3C51B4D3" w14:textId="77777777" w:rsidR="00654896" w:rsidRPr="002A0111" w:rsidRDefault="002A0111" w:rsidP="002A0111">
      <w:pPr>
        <w:tabs>
          <w:tab w:val="left" w:pos="1410"/>
        </w:tabs>
        <w:rPr>
          <w:lang w:val="en-NZ"/>
        </w:rPr>
      </w:pPr>
      <w:r>
        <w:rPr>
          <w:lang w:val="en-NZ"/>
        </w:rPr>
        <w:tab/>
      </w:r>
    </w:p>
    <w:sectPr w:rsidR="00654896" w:rsidRPr="002A0111" w:rsidSect="00C516C7">
      <w:headerReference w:type="default" r:id="rId36"/>
      <w:footerReference w:type="even" r:id="rId37"/>
      <w:footerReference w:type="default" r:id="rId38"/>
      <w:headerReference w:type="first" r:id="rId39"/>
      <w:footerReference w:type="first" r:id="rId40"/>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5C1F6" w14:textId="77777777" w:rsidR="004170AF" w:rsidRDefault="004170AF">
      <w:r>
        <w:separator/>
      </w:r>
    </w:p>
  </w:endnote>
  <w:endnote w:type="continuationSeparator" w:id="0">
    <w:p w14:paraId="6590F77E" w14:textId="77777777" w:rsidR="004170AF" w:rsidRDefault="0041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BatangChe">
    <w:altName w:val="Arial Unicode MS"/>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8B0C9"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F2CBC9"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5008" w14:textId="40B54A9C"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944188">
      <w:rPr>
        <w:lang w:eastAsia="ko-KR"/>
      </w:rPr>
      <w:t>4</w:t>
    </w:r>
    <w:r w:rsidR="002A0111">
      <w:rPr>
        <w:lang w:eastAsia="ko-KR"/>
      </w:rPr>
      <w:t>/</w:t>
    </w:r>
    <w:r w:rsidR="00036ED6">
      <w:rPr>
        <w:lang w:eastAsia="ko-KR"/>
      </w:rPr>
      <w:t>OUT</w:t>
    </w:r>
    <w:r w:rsidR="00AE2976">
      <w:rPr>
        <w:lang w:eastAsia="ko-KR"/>
      </w:rPr>
      <w:t>-</w:t>
    </w:r>
    <w:r w:rsidR="00036ED6">
      <w:rPr>
        <w:lang w:eastAsia="ko-KR"/>
      </w:rPr>
      <w:t>30</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25007E">
      <w:rPr>
        <w:rStyle w:val="PageNumber"/>
        <w:noProof/>
      </w:rPr>
      <w:t>6</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25007E">
      <w:rPr>
        <w:rStyle w:val="PageNumber"/>
        <w:noProof/>
      </w:rPr>
      <w:t>9</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5179F4" w14:paraId="2F1ABAD7" w14:textId="77777777" w:rsidTr="00BB0EA4">
      <w:trPr>
        <w:trHeight w:val="432"/>
      </w:trPr>
      <w:tc>
        <w:tcPr>
          <w:tcW w:w="1296" w:type="dxa"/>
          <w:tcBorders>
            <w:top w:val="single" w:sz="8" w:space="0" w:color="auto"/>
            <w:bottom w:val="nil"/>
            <w:right w:val="nil"/>
          </w:tcBorders>
        </w:tcPr>
        <w:p w14:paraId="6E9749CC" w14:textId="69F39F77" w:rsidR="005179F4" w:rsidRDefault="005179F4" w:rsidP="005179F4">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6DF88D39" w14:textId="36010EF2" w:rsidR="005179F4" w:rsidRPr="002A0111" w:rsidRDefault="005179F4" w:rsidP="005179F4">
          <w:pPr>
            <w:pStyle w:val="Footer"/>
            <w:tabs>
              <w:tab w:val="clear" w:pos="4320"/>
              <w:tab w:val="clear" w:pos="8640"/>
            </w:tabs>
          </w:pPr>
        </w:p>
      </w:tc>
      <w:tc>
        <w:tcPr>
          <w:tcW w:w="2880" w:type="dxa"/>
          <w:tcBorders>
            <w:top w:val="single" w:sz="8" w:space="0" w:color="auto"/>
            <w:left w:val="nil"/>
            <w:bottom w:val="nil"/>
          </w:tcBorders>
        </w:tcPr>
        <w:p w14:paraId="734EBFA3" w14:textId="61A73028" w:rsidR="005179F4" w:rsidRPr="008B5470" w:rsidRDefault="005179F4" w:rsidP="005179F4">
          <w:pPr>
            <w:pStyle w:val="Footer"/>
            <w:tabs>
              <w:tab w:val="clear" w:pos="4320"/>
              <w:tab w:val="clear" w:pos="8640"/>
            </w:tabs>
          </w:pPr>
          <w:r w:rsidRPr="00AE2976">
            <w:rPr>
              <w:b/>
              <w:bCs/>
            </w:rPr>
            <w:t xml:space="preserve">E-mail: </w:t>
          </w:r>
        </w:p>
      </w:tc>
    </w:tr>
  </w:tbl>
  <w:p w14:paraId="2F7E8FDD"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C4B7C" w14:textId="77777777" w:rsidR="004170AF" w:rsidRDefault="004170AF">
      <w:r>
        <w:separator/>
      </w:r>
    </w:p>
  </w:footnote>
  <w:footnote w:type="continuationSeparator" w:id="0">
    <w:p w14:paraId="6B85D250" w14:textId="77777777" w:rsidR="004170AF" w:rsidRDefault="00417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21C3" w14:textId="77777777" w:rsidR="0097693B" w:rsidRDefault="0097693B" w:rsidP="0092727B">
    <w:pPr>
      <w:pStyle w:val="Header"/>
      <w:tabs>
        <w:tab w:val="clear" w:pos="4320"/>
        <w:tab w:val="clear" w:pos="8640"/>
      </w:tabs>
      <w:rPr>
        <w:lang w:eastAsia="ko-KR"/>
      </w:rPr>
    </w:pPr>
  </w:p>
  <w:p w14:paraId="2F4E0484"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8323"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6F0282C"/>
    <w:multiLevelType w:val="hybridMultilevel"/>
    <w:tmpl w:val="00D8DB32"/>
    <w:lvl w:ilvl="0" w:tplc="722A45E8">
      <w:start w:val="2"/>
      <w:numFmt w:val="bullet"/>
      <w:lvlText w:val="-"/>
      <w:lvlJc w:val="left"/>
      <w:pPr>
        <w:ind w:left="1125" w:hanging="420"/>
      </w:pPr>
      <w:rPr>
        <w:rFonts w:ascii="Times New Roman" w:eastAsia="GulimChe" w:hAnsi="Times New Roman" w:cs="Times New Roman" w:hint="default"/>
      </w:rPr>
    </w:lvl>
    <w:lvl w:ilvl="1" w:tplc="04090003" w:tentative="1">
      <w:start w:val="1"/>
      <w:numFmt w:val="bullet"/>
      <w:lvlText w:val=""/>
      <w:lvlJc w:val="left"/>
      <w:pPr>
        <w:ind w:left="1545" w:hanging="420"/>
      </w:pPr>
      <w:rPr>
        <w:rFonts w:ascii="Wingdings" w:hAnsi="Wingdings" w:hint="default"/>
      </w:rPr>
    </w:lvl>
    <w:lvl w:ilvl="2" w:tplc="04090005"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3" w:tentative="1">
      <w:start w:val="1"/>
      <w:numFmt w:val="bullet"/>
      <w:lvlText w:val=""/>
      <w:lvlJc w:val="left"/>
      <w:pPr>
        <w:ind w:left="2805" w:hanging="420"/>
      </w:pPr>
      <w:rPr>
        <w:rFonts w:ascii="Wingdings" w:hAnsi="Wingdings" w:hint="default"/>
      </w:rPr>
    </w:lvl>
    <w:lvl w:ilvl="5" w:tplc="04090005"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3" w:tentative="1">
      <w:start w:val="1"/>
      <w:numFmt w:val="bullet"/>
      <w:lvlText w:val=""/>
      <w:lvlJc w:val="left"/>
      <w:pPr>
        <w:ind w:left="4065" w:hanging="420"/>
      </w:pPr>
      <w:rPr>
        <w:rFonts w:ascii="Wingdings" w:hAnsi="Wingdings" w:hint="default"/>
      </w:rPr>
    </w:lvl>
    <w:lvl w:ilvl="8" w:tplc="04090005" w:tentative="1">
      <w:start w:val="1"/>
      <w:numFmt w:val="bullet"/>
      <w:lvlText w:val=""/>
      <w:lvlJc w:val="left"/>
      <w:pPr>
        <w:ind w:left="4485" w:hanging="42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370862"/>
    <w:multiLevelType w:val="hybridMultilevel"/>
    <w:tmpl w:val="408ED182"/>
    <w:lvl w:ilvl="0" w:tplc="5BA0A5DE">
      <w:start w:val="1"/>
      <w:numFmt w:val="bullet"/>
      <w:lvlText w:val=""/>
      <w:lvlJc w:val="left"/>
      <w:pPr>
        <w:ind w:left="720" w:hanging="360"/>
      </w:pPr>
      <w:rPr>
        <w:rFonts w:ascii="Symbol" w:hAnsi="Symbol" w:hint="default"/>
      </w:rPr>
    </w:lvl>
    <w:lvl w:ilvl="1" w:tplc="DF041E34">
      <w:numFmt w:val="bullet"/>
      <w:lvlText w:val="–"/>
      <w:lvlJc w:val="left"/>
      <w:pPr>
        <w:ind w:left="1800" w:hanging="720"/>
      </w:pPr>
      <w:rPr>
        <w:rFonts w:ascii="Times New Roman" w:eastAsia="BatangChe" w:hAnsi="Times New Roman" w:cs="Times New Roman" w:hint="default"/>
      </w:rPr>
    </w:lvl>
    <w:lvl w:ilvl="2" w:tplc="FA8EE658">
      <w:start w:val="47"/>
      <w:numFmt w:val="bullet"/>
      <w:lvlText w:val="–"/>
      <w:lvlJc w:val="left"/>
      <w:pPr>
        <w:ind w:left="2160" w:hanging="360"/>
      </w:pPr>
      <w:rPr>
        <w:rFonts w:ascii="Times New Roman" w:eastAsia="SimSun" w:hAnsi="Times New Roman" w:cs="Times New Roman" w:hint="default"/>
      </w:rPr>
    </w:lvl>
    <w:lvl w:ilvl="3" w:tplc="DF041E34">
      <w:numFmt w:val="bullet"/>
      <w:lvlText w:val="–"/>
      <w:lvlJc w:val="left"/>
      <w:pPr>
        <w:ind w:left="2880" w:hanging="360"/>
      </w:pPr>
      <w:rPr>
        <w:rFonts w:ascii="Times New Roman" w:eastAsia="BatangChe"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62B3C44"/>
    <w:multiLevelType w:val="hybridMultilevel"/>
    <w:tmpl w:val="05386EFA"/>
    <w:lvl w:ilvl="0" w:tplc="5BA0A5DE">
      <w:start w:val="1"/>
      <w:numFmt w:val="bullet"/>
      <w:lvlText w:val=""/>
      <w:lvlJc w:val="left"/>
      <w:pPr>
        <w:ind w:left="720" w:hanging="360"/>
      </w:pPr>
      <w:rPr>
        <w:rFonts w:ascii="Symbol" w:hAnsi="Symbol" w:hint="default"/>
      </w:rPr>
    </w:lvl>
    <w:lvl w:ilvl="1" w:tplc="DF041E34">
      <w:numFmt w:val="bullet"/>
      <w:lvlText w:val="–"/>
      <w:lvlJc w:val="left"/>
      <w:pPr>
        <w:ind w:left="1800" w:hanging="720"/>
      </w:pPr>
      <w:rPr>
        <w:rFonts w:ascii="Times New Roman" w:eastAsia="BatangChe"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BBE1A4D"/>
    <w:multiLevelType w:val="hybridMultilevel"/>
    <w:tmpl w:val="4B4C2222"/>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5" w15:restartNumberingAfterBreak="0">
    <w:nsid w:val="48547368"/>
    <w:multiLevelType w:val="hybridMultilevel"/>
    <w:tmpl w:val="695C6ACE"/>
    <w:lvl w:ilvl="0" w:tplc="C22E0B14">
      <w:start w:val="1"/>
      <w:numFmt w:val="bullet"/>
      <w:lvlText w:val="–"/>
      <w:lvlJc w:val="left"/>
      <w:pPr>
        <w:ind w:left="80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92E15D6"/>
    <w:multiLevelType w:val="hybridMultilevel"/>
    <w:tmpl w:val="A9CA299E"/>
    <w:lvl w:ilvl="0" w:tplc="991C45F8">
      <w:start w:val="2"/>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8"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651BCC"/>
    <w:multiLevelType w:val="hybridMultilevel"/>
    <w:tmpl w:val="362CB7C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2"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3"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5"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16cid:durableId="1175802627">
    <w:abstractNumId w:val="12"/>
  </w:num>
  <w:num w:numId="2" w16cid:durableId="924263358">
    <w:abstractNumId w:val="6"/>
  </w:num>
  <w:num w:numId="3" w16cid:durableId="1538355456">
    <w:abstractNumId w:val="5"/>
  </w:num>
  <w:num w:numId="4" w16cid:durableId="1599026866">
    <w:abstractNumId w:val="21"/>
  </w:num>
  <w:num w:numId="5" w16cid:durableId="209852407">
    <w:abstractNumId w:val="10"/>
  </w:num>
  <w:num w:numId="6" w16cid:durableId="234170173">
    <w:abstractNumId w:val="13"/>
  </w:num>
  <w:num w:numId="7" w16cid:durableId="1326058053">
    <w:abstractNumId w:val="3"/>
  </w:num>
  <w:num w:numId="8" w16cid:durableId="1866868845">
    <w:abstractNumId w:val="1"/>
  </w:num>
  <w:num w:numId="9" w16cid:durableId="265846767">
    <w:abstractNumId w:val="24"/>
  </w:num>
  <w:num w:numId="10" w16cid:durableId="867764008">
    <w:abstractNumId w:val="19"/>
  </w:num>
  <w:num w:numId="11" w16cid:durableId="943029574">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6901857">
    <w:abstractNumId w:val="16"/>
  </w:num>
  <w:num w:numId="13" w16cid:durableId="1700085537">
    <w:abstractNumId w:val="0"/>
  </w:num>
  <w:num w:numId="14" w16cid:durableId="17545487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2414194">
    <w:abstractNumId w:val="7"/>
  </w:num>
  <w:num w:numId="16" w16cid:durableId="1403603516">
    <w:abstractNumId w:val="25"/>
  </w:num>
  <w:num w:numId="17" w16cid:durableId="691758537">
    <w:abstractNumId w:val="18"/>
  </w:num>
  <w:num w:numId="18" w16cid:durableId="1006328209">
    <w:abstractNumId w:val="14"/>
  </w:num>
  <w:num w:numId="19" w16cid:durableId="217476130">
    <w:abstractNumId w:val="23"/>
  </w:num>
  <w:num w:numId="20" w16cid:durableId="1591504530">
    <w:abstractNumId w:val="9"/>
  </w:num>
  <w:num w:numId="21" w16cid:durableId="888221357">
    <w:abstractNumId w:val="22"/>
  </w:num>
  <w:num w:numId="22" w16cid:durableId="103503592">
    <w:abstractNumId w:val="26"/>
  </w:num>
  <w:num w:numId="23" w16cid:durableId="1457480855">
    <w:abstractNumId w:val="15"/>
  </w:num>
  <w:num w:numId="24" w16cid:durableId="264964398">
    <w:abstractNumId w:val="8"/>
  </w:num>
  <w:num w:numId="25" w16cid:durableId="676544974">
    <w:abstractNumId w:val="11"/>
  </w:num>
  <w:num w:numId="26" w16cid:durableId="1260597949">
    <w:abstractNumId w:val="2"/>
  </w:num>
  <w:num w:numId="27" w16cid:durableId="581721503">
    <w:abstractNumId w:val="17"/>
  </w:num>
  <w:num w:numId="28" w16cid:durableId="20391169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12AA"/>
    <w:rsid w:val="00007BA8"/>
    <w:rsid w:val="00010C8E"/>
    <w:rsid w:val="00014621"/>
    <w:rsid w:val="0003595B"/>
    <w:rsid w:val="00036517"/>
    <w:rsid w:val="00036CC9"/>
    <w:rsid w:val="00036E74"/>
    <w:rsid w:val="00036ED6"/>
    <w:rsid w:val="00037F5D"/>
    <w:rsid w:val="00040149"/>
    <w:rsid w:val="0005244E"/>
    <w:rsid w:val="0005649A"/>
    <w:rsid w:val="00070642"/>
    <w:rsid w:val="000713CF"/>
    <w:rsid w:val="00075C14"/>
    <w:rsid w:val="0008017B"/>
    <w:rsid w:val="000822B5"/>
    <w:rsid w:val="00091DF1"/>
    <w:rsid w:val="00092902"/>
    <w:rsid w:val="0009351A"/>
    <w:rsid w:val="00094B87"/>
    <w:rsid w:val="000A012B"/>
    <w:rsid w:val="000A5418"/>
    <w:rsid w:val="000A7306"/>
    <w:rsid w:val="000B18DE"/>
    <w:rsid w:val="000C0138"/>
    <w:rsid w:val="000C1B90"/>
    <w:rsid w:val="000D47FB"/>
    <w:rsid w:val="000F345F"/>
    <w:rsid w:val="000F4A82"/>
    <w:rsid w:val="000F517C"/>
    <w:rsid w:val="000F5540"/>
    <w:rsid w:val="001030F4"/>
    <w:rsid w:val="00105F1A"/>
    <w:rsid w:val="00112CBF"/>
    <w:rsid w:val="00125FBD"/>
    <w:rsid w:val="001302D1"/>
    <w:rsid w:val="001409B2"/>
    <w:rsid w:val="00152636"/>
    <w:rsid w:val="001539DD"/>
    <w:rsid w:val="00156782"/>
    <w:rsid w:val="00165B9E"/>
    <w:rsid w:val="00165F01"/>
    <w:rsid w:val="001731F4"/>
    <w:rsid w:val="0017743B"/>
    <w:rsid w:val="00185620"/>
    <w:rsid w:val="001916F2"/>
    <w:rsid w:val="00192CC9"/>
    <w:rsid w:val="001930A7"/>
    <w:rsid w:val="00196568"/>
    <w:rsid w:val="001974CD"/>
    <w:rsid w:val="00197C18"/>
    <w:rsid w:val="001A2F16"/>
    <w:rsid w:val="001B0EE9"/>
    <w:rsid w:val="001B14E5"/>
    <w:rsid w:val="001B1804"/>
    <w:rsid w:val="001B18C2"/>
    <w:rsid w:val="001B73A4"/>
    <w:rsid w:val="001C443F"/>
    <w:rsid w:val="001C61A5"/>
    <w:rsid w:val="001C6707"/>
    <w:rsid w:val="001C7CB5"/>
    <w:rsid w:val="001D2E01"/>
    <w:rsid w:val="001D5D7E"/>
    <w:rsid w:val="001E1063"/>
    <w:rsid w:val="001F5947"/>
    <w:rsid w:val="001F72F0"/>
    <w:rsid w:val="0020013A"/>
    <w:rsid w:val="002012D7"/>
    <w:rsid w:val="00202410"/>
    <w:rsid w:val="00214A0C"/>
    <w:rsid w:val="0021588B"/>
    <w:rsid w:val="002161B6"/>
    <w:rsid w:val="002216AC"/>
    <w:rsid w:val="0023212E"/>
    <w:rsid w:val="00234E96"/>
    <w:rsid w:val="0023653E"/>
    <w:rsid w:val="00237403"/>
    <w:rsid w:val="00241524"/>
    <w:rsid w:val="002425F2"/>
    <w:rsid w:val="002475E2"/>
    <w:rsid w:val="00247B09"/>
    <w:rsid w:val="0025007E"/>
    <w:rsid w:val="00250392"/>
    <w:rsid w:val="002506D2"/>
    <w:rsid w:val="00250DE2"/>
    <w:rsid w:val="00253F4E"/>
    <w:rsid w:val="00254A1B"/>
    <w:rsid w:val="0025625B"/>
    <w:rsid w:val="0026064A"/>
    <w:rsid w:val="00264566"/>
    <w:rsid w:val="0026514A"/>
    <w:rsid w:val="00273B50"/>
    <w:rsid w:val="0028454D"/>
    <w:rsid w:val="00291C9E"/>
    <w:rsid w:val="002923F8"/>
    <w:rsid w:val="002926D4"/>
    <w:rsid w:val="0029734E"/>
    <w:rsid w:val="002A0111"/>
    <w:rsid w:val="002A19F8"/>
    <w:rsid w:val="002A3CF5"/>
    <w:rsid w:val="002B06A3"/>
    <w:rsid w:val="002B435C"/>
    <w:rsid w:val="002B447F"/>
    <w:rsid w:val="002C07DA"/>
    <w:rsid w:val="002C2A49"/>
    <w:rsid w:val="002C7EA9"/>
    <w:rsid w:val="002E16DE"/>
    <w:rsid w:val="002E327B"/>
    <w:rsid w:val="002E503B"/>
    <w:rsid w:val="002F575D"/>
    <w:rsid w:val="00303C34"/>
    <w:rsid w:val="003104B4"/>
    <w:rsid w:val="003113D7"/>
    <w:rsid w:val="003118C5"/>
    <w:rsid w:val="00311E8A"/>
    <w:rsid w:val="00313085"/>
    <w:rsid w:val="003214FD"/>
    <w:rsid w:val="0032296F"/>
    <w:rsid w:val="00341A74"/>
    <w:rsid w:val="00341BF1"/>
    <w:rsid w:val="00342F20"/>
    <w:rsid w:val="003467AD"/>
    <w:rsid w:val="00355B30"/>
    <w:rsid w:val="00360377"/>
    <w:rsid w:val="003616E2"/>
    <w:rsid w:val="00366548"/>
    <w:rsid w:val="00367979"/>
    <w:rsid w:val="00371306"/>
    <w:rsid w:val="0038005B"/>
    <w:rsid w:val="003806C2"/>
    <w:rsid w:val="003809C7"/>
    <w:rsid w:val="0038236C"/>
    <w:rsid w:val="003843DC"/>
    <w:rsid w:val="00393DCD"/>
    <w:rsid w:val="00395B40"/>
    <w:rsid w:val="003A1E4C"/>
    <w:rsid w:val="003A2006"/>
    <w:rsid w:val="003A6568"/>
    <w:rsid w:val="003B344F"/>
    <w:rsid w:val="003B3D19"/>
    <w:rsid w:val="003B4FD1"/>
    <w:rsid w:val="003B6263"/>
    <w:rsid w:val="003C14E3"/>
    <w:rsid w:val="003C29E6"/>
    <w:rsid w:val="003C64A7"/>
    <w:rsid w:val="003D1128"/>
    <w:rsid w:val="003D1671"/>
    <w:rsid w:val="003D3D47"/>
    <w:rsid w:val="003D3FDA"/>
    <w:rsid w:val="003D6D00"/>
    <w:rsid w:val="003E166F"/>
    <w:rsid w:val="003E2E3D"/>
    <w:rsid w:val="003F307E"/>
    <w:rsid w:val="003F5C3B"/>
    <w:rsid w:val="004001E5"/>
    <w:rsid w:val="004100BD"/>
    <w:rsid w:val="0041313C"/>
    <w:rsid w:val="004164C9"/>
    <w:rsid w:val="004170AF"/>
    <w:rsid w:val="00420822"/>
    <w:rsid w:val="00420C74"/>
    <w:rsid w:val="00441526"/>
    <w:rsid w:val="00446530"/>
    <w:rsid w:val="004465AA"/>
    <w:rsid w:val="00446A5E"/>
    <w:rsid w:val="0045458F"/>
    <w:rsid w:val="004633B4"/>
    <w:rsid w:val="00463E13"/>
    <w:rsid w:val="00464C10"/>
    <w:rsid w:val="00465F5E"/>
    <w:rsid w:val="004840EA"/>
    <w:rsid w:val="00485A9B"/>
    <w:rsid w:val="004927BD"/>
    <w:rsid w:val="00495CED"/>
    <w:rsid w:val="004969FF"/>
    <w:rsid w:val="004A00BD"/>
    <w:rsid w:val="004A15AA"/>
    <w:rsid w:val="004A2F96"/>
    <w:rsid w:val="004A4BDF"/>
    <w:rsid w:val="004B3206"/>
    <w:rsid w:val="004B3553"/>
    <w:rsid w:val="004B3F4B"/>
    <w:rsid w:val="004D2C1C"/>
    <w:rsid w:val="004D7199"/>
    <w:rsid w:val="004E1FCA"/>
    <w:rsid w:val="004E47D6"/>
    <w:rsid w:val="004E5978"/>
    <w:rsid w:val="004F330D"/>
    <w:rsid w:val="004F5818"/>
    <w:rsid w:val="00500F98"/>
    <w:rsid w:val="00503189"/>
    <w:rsid w:val="00506B5B"/>
    <w:rsid w:val="00516BD1"/>
    <w:rsid w:val="005179F4"/>
    <w:rsid w:val="005206E9"/>
    <w:rsid w:val="00526AD0"/>
    <w:rsid w:val="00526D01"/>
    <w:rsid w:val="00530E8C"/>
    <w:rsid w:val="00535D34"/>
    <w:rsid w:val="00545933"/>
    <w:rsid w:val="00545C52"/>
    <w:rsid w:val="00552105"/>
    <w:rsid w:val="005562F2"/>
    <w:rsid w:val="00557544"/>
    <w:rsid w:val="00565BBB"/>
    <w:rsid w:val="00571B26"/>
    <w:rsid w:val="00574EFC"/>
    <w:rsid w:val="00585F3C"/>
    <w:rsid w:val="00586CA0"/>
    <w:rsid w:val="00587875"/>
    <w:rsid w:val="00595112"/>
    <w:rsid w:val="005A63EB"/>
    <w:rsid w:val="005B0876"/>
    <w:rsid w:val="005C33B6"/>
    <w:rsid w:val="005D1E6C"/>
    <w:rsid w:val="005D6202"/>
    <w:rsid w:val="005D6E98"/>
    <w:rsid w:val="00601DF3"/>
    <w:rsid w:val="00607E2B"/>
    <w:rsid w:val="006110A6"/>
    <w:rsid w:val="006139D6"/>
    <w:rsid w:val="00616D1B"/>
    <w:rsid w:val="00623CE1"/>
    <w:rsid w:val="00627880"/>
    <w:rsid w:val="0063062B"/>
    <w:rsid w:val="00632AA0"/>
    <w:rsid w:val="00634A82"/>
    <w:rsid w:val="00635B01"/>
    <w:rsid w:val="00637351"/>
    <w:rsid w:val="00642103"/>
    <w:rsid w:val="006456BE"/>
    <w:rsid w:val="00646166"/>
    <w:rsid w:val="00652BDD"/>
    <w:rsid w:val="00653C2E"/>
    <w:rsid w:val="00654896"/>
    <w:rsid w:val="00657B86"/>
    <w:rsid w:val="00657EF1"/>
    <w:rsid w:val="006621F0"/>
    <w:rsid w:val="006647BA"/>
    <w:rsid w:val="00664CD0"/>
    <w:rsid w:val="00665C66"/>
    <w:rsid w:val="00667229"/>
    <w:rsid w:val="00673262"/>
    <w:rsid w:val="00676F32"/>
    <w:rsid w:val="0068071C"/>
    <w:rsid w:val="00680A3C"/>
    <w:rsid w:val="00682BE5"/>
    <w:rsid w:val="00683846"/>
    <w:rsid w:val="00690FED"/>
    <w:rsid w:val="006939A5"/>
    <w:rsid w:val="006A36B2"/>
    <w:rsid w:val="006B09DB"/>
    <w:rsid w:val="006C0F63"/>
    <w:rsid w:val="006C12E6"/>
    <w:rsid w:val="006C7001"/>
    <w:rsid w:val="006D4B64"/>
    <w:rsid w:val="006D5223"/>
    <w:rsid w:val="006D5970"/>
    <w:rsid w:val="006E04B1"/>
    <w:rsid w:val="006E12FC"/>
    <w:rsid w:val="006E5738"/>
    <w:rsid w:val="006E6D0A"/>
    <w:rsid w:val="006F0F24"/>
    <w:rsid w:val="006F2B2E"/>
    <w:rsid w:val="006F5827"/>
    <w:rsid w:val="006F6A5C"/>
    <w:rsid w:val="00702272"/>
    <w:rsid w:val="00703F6F"/>
    <w:rsid w:val="007052B3"/>
    <w:rsid w:val="00705962"/>
    <w:rsid w:val="00707C21"/>
    <w:rsid w:val="00710120"/>
    <w:rsid w:val="00712451"/>
    <w:rsid w:val="00717DE9"/>
    <w:rsid w:val="0072518B"/>
    <w:rsid w:val="00731041"/>
    <w:rsid w:val="00731A86"/>
    <w:rsid w:val="007329E4"/>
    <w:rsid w:val="00732F08"/>
    <w:rsid w:val="007342F0"/>
    <w:rsid w:val="00735D53"/>
    <w:rsid w:val="0074190C"/>
    <w:rsid w:val="00742E78"/>
    <w:rsid w:val="00747B27"/>
    <w:rsid w:val="00751389"/>
    <w:rsid w:val="0075493D"/>
    <w:rsid w:val="00762576"/>
    <w:rsid w:val="00762BE7"/>
    <w:rsid w:val="00764F31"/>
    <w:rsid w:val="007657A6"/>
    <w:rsid w:val="007673CA"/>
    <w:rsid w:val="00777983"/>
    <w:rsid w:val="00780A08"/>
    <w:rsid w:val="0079028F"/>
    <w:rsid w:val="00791060"/>
    <w:rsid w:val="007926EA"/>
    <w:rsid w:val="00795414"/>
    <w:rsid w:val="00797A16"/>
    <w:rsid w:val="007B1A61"/>
    <w:rsid w:val="007B5626"/>
    <w:rsid w:val="007B6124"/>
    <w:rsid w:val="007D3C53"/>
    <w:rsid w:val="007E3A0F"/>
    <w:rsid w:val="007E77EE"/>
    <w:rsid w:val="007F0AE6"/>
    <w:rsid w:val="007F2628"/>
    <w:rsid w:val="007F2FBA"/>
    <w:rsid w:val="00800C3A"/>
    <w:rsid w:val="008028EA"/>
    <w:rsid w:val="00802F2B"/>
    <w:rsid w:val="0080570B"/>
    <w:rsid w:val="00806B25"/>
    <w:rsid w:val="008148E1"/>
    <w:rsid w:val="00822B33"/>
    <w:rsid w:val="00823251"/>
    <w:rsid w:val="008319BF"/>
    <w:rsid w:val="008321C2"/>
    <w:rsid w:val="00837A26"/>
    <w:rsid w:val="00840D98"/>
    <w:rsid w:val="008415F0"/>
    <w:rsid w:val="008433C2"/>
    <w:rsid w:val="00844457"/>
    <w:rsid w:val="008454C8"/>
    <w:rsid w:val="00851D78"/>
    <w:rsid w:val="00865371"/>
    <w:rsid w:val="0087122A"/>
    <w:rsid w:val="00890BAF"/>
    <w:rsid w:val="00897A6F"/>
    <w:rsid w:val="008A016F"/>
    <w:rsid w:val="008A1A0D"/>
    <w:rsid w:val="008A72E1"/>
    <w:rsid w:val="008A76ED"/>
    <w:rsid w:val="008B3326"/>
    <w:rsid w:val="008B3C72"/>
    <w:rsid w:val="008B5470"/>
    <w:rsid w:val="008C5723"/>
    <w:rsid w:val="008C5FED"/>
    <w:rsid w:val="008D0E09"/>
    <w:rsid w:val="008E1212"/>
    <w:rsid w:val="008E33F4"/>
    <w:rsid w:val="008E7552"/>
    <w:rsid w:val="008F2751"/>
    <w:rsid w:val="008F6A1E"/>
    <w:rsid w:val="00903007"/>
    <w:rsid w:val="009170A2"/>
    <w:rsid w:val="009218F6"/>
    <w:rsid w:val="00923816"/>
    <w:rsid w:val="0092616A"/>
    <w:rsid w:val="00926711"/>
    <w:rsid w:val="0092727B"/>
    <w:rsid w:val="0093074B"/>
    <w:rsid w:val="00930E64"/>
    <w:rsid w:val="00932EAE"/>
    <w:rsid w:val="00933D4B"/>
    <w:rsid w:val="00943CF9"/>
    <w:rsid w:val="0094406E"/>
    <w:rsid w:val="00944188"/>
    <w:rsid w:val="009553D6"/>
    <w:rsid w:val="00956F8C"/>
    <w:rsid w:val="00961D57"/>
    <w:rsid w:val="0096567A"/>
    <w:rsid w:val="00970354"/>
    <w:rsid w:val="00976716"/>
    <w:rsid w:val="0097693B"/>
    <w:rsid w:val="00993355"/>
    <w:rsid w:val="009963F7"/>
    <w:rsid w:val="009A11CB"/>
    <w:rsid w:val="009A4A6D"/>
    <w:rsid w:val="009B10D2"/>
    <w:rsid w:val="009B44DD"/>
    <w:rsid w:val="009B7E42"/>
    <w:rsid w:val="009C1F51"/>
    <w:rsid w:val="009C23C9"/>
    <w:rsid w:val="009C7235"/>
    <w:rsid w:val="009C79B4"/>
    <w:rsid w:val="009D3D63"/>
    <w:rsid w:val="009D46CE"/>
    <w:rsid w:val="009D4ADA"/>
    <w:rsid w:val="009E13DD"/>
    <w:rsid w:val="009E5CDA"/>
    <w:rsid w:val="009F547A"/>
    <w:rsid w:val="009F55DA"/>
    <w:rsid w:val="00A03D78"/>
    <w:rsid w:val="00A0503B"/>
    <w:rsid w:val="00A059CD"/>
    <w:rsid w:val="00A13265"/>
    <w:rsid w:val="00A14900"/>
    <w:rsid w:val="00A15682"/>
    <w:rsid w:val="00A2159F"/>
    <w:rsid w:val="00A23C16"/>
    <w:rsid w:val="00A3089D"/>
    <w:rsid w:val="00A324FF"/>
    <w:rsid w:val="00A529BC"/>
    <w:rsid w:val="00A5346C"/>
    <w:rsid w:val="00A53F51"/>
    <w:rsid w:val="00A562F0"/>
    <w:rsid w:val="00A564FB"/>
    <w:rsid w:val="00A614C1"/>
    <w:rsid w:val="00A61EA6"/>
    <w:rsid w:val="00A657BF"/>
    <w:rsid w:val="00A71136"/>
    <w:rsid w:val="00A713B8"/>
    <w:rsid w:val="00A92578"/>
    <w:rsid w:val="00AA474C"/>
    <w:rsid w:val="00AB1587"/>
    <w:rsid w:val="00AB69B0"/>
    <w:rsid w:val="00AC1B60"/>
    <w:rsid w:val="00AC35EF"/>
    <w:rsid w:val="00AC4D5B"/>
    <w:rsid w:val="00AD1DDB"/>
    <w:rsid w:val="00AD2697"/>
    <w:rsid w:val="00AD3E75"/>
    <w:rsid w:val="00AD7E5F"/>
    <w:rsid w:val="00AE2976"/>
    <w:rsid w:val="00AE3066"/>
    <w:rsid w:val="00AF68E4"/>
    <w:rsid w:val="00B00A87"/>
    <w:rsid w:val="00B01AA1"/>
    <w:rsid w:val="00B048AB"/>
    <w:rsid w:val="00B06025"/>
    <w:rsid w:val="00B16596"/>
    <w:rsid w:val="00B30C81"/>
    <w:rsid w:val="00B30DA1"/>
    <w:rsid w:val="00B4793B"/>
    <w:rsid w:val="00B56099"/>
    <w:rsid w:val="00B64A60"/>
    <w:rsid w:val="00B661AC"/>
    <w:rsid w:val="00B725A6"/>
    <w:rsid w:val="00B7610F"/>
    <w:rsid w:val="00B76182"/>
    <w:rsid w:val="00B802F0"/>
    <w:rsid w:val="00B8468D"/>
    <w:rsid w:val="00B937D7"/>
    <w:rsid w:val="00B96B67"/>
    <w:rsid w:val="00BB0EA4"/>
    <w:rsid w:val="00BC0E02"/>
    <w:rsid w:val="00BC57EF"/>
    <w:rsid w:val="00BC69DB"/>
    <w:rsid w:val="00BD328E"/>
    <w:rsid w:val="00BD3AE8"/>
    <w:rsid w:val="00BD40CA"/>
    <w:rsid w:val="00BD71EB"/>
    <w:rsid w:val="00BE6B6B"/>
    <w:rsid w:val="00BF25F9"/>
    <w:rsid w:val="00C00B04"/>
    <w:rsid w:val="00C101BE"/>
    <w:rsid w:val="00C13FD5"/>
    <w:rsid w:val="00C14782"/>
    <w:rsid w:val="00C15633"/>
    <w:rsid w:val="00C15799"/>
    <w:rsid w:val="00C32E84"/>
    <w:rsid w:val="00C346CC"/>
    <w:rsid w:val="00C35415"/>
    <w:rsid w:val="00C357AD"/>
    <w:rsid w:val="00C45ED7"/>
    <w:rsid w:val="00C516C7"/>
    <w:rsid w:val="00C51C5F"/>
    <w:rsid w:val="00C5505E"/>
    <w:rsid w:val="00C554CC"/>
    <w:rsid w:val="00C6069C"/>
    <w:rsid w:val="00C70477"/>
    <w:rsid w:val="00C72AD4"/>
    <w:rsid w:val="00C72BF8"/>
    <w:rsid w:val="00C74745"/>
    <w:rsid w:val="00C7725A"/>
    <w:rsid w:val="00C83B80"/>
    <w:rsid w:val="00C85119"/>
    <w:rsid w:val="00C95C48"/>
    <w:rsid w:val="00CA028E"/>
    <w:rsid w:val="00CA41E7"/>
    <w:rsid w:val="00CA71BB"/>
    <w:rsid w:val="00CD170C"/>
    <w:rsid w:val="00CD320B"/>
    <w:rsid w:val="00CD3F37"/>
    <w:rsid w:val="00CD4231"/>
    <w:rsid w:val="00CD5431"/>
    <w:rsid w:val="00CD6E5D"/>
    <w:rsid w:val="00CE0680"/>
    <w:rsid w:val="00CE4B93"/>
    <w:rsid w:val="00CF2491"/>
    <w:rsid w:val="00CF3963"/>
    <w:rsid w:val="00D03756"/>
    <w:rsid w:val="00D1252E"/>
    <w:rsid w:val="00D13D9D"/>
    <w:rsid w:val="00D14AFE"/>
    <w:rsid w:val="00D21E69"/>
    <w:rsid w:val="00D416A3"/>
    <w:rsid w:val="00D459A2"/>
    <w:rsid w:val="00D45B25"/>
    <w:rsid w:val="00D52112"/>
    <w:rsid w:val="00D530FF"/>
    <w:rsid w:val="00D53688"/>
    <w:rsid w:val="00D5407A"/>
    <w:rsid w:val="00D57772"/>
    <w:rsid w:val="00D7066B"/>
    <w:rsid w:val="00D70C93"/>
    <w:rsid w:val="00D72AE3"/>
    <w:rsid w:val="00D72B6B"/>
    <w:rsid w:val="00D75A4D"/>
    <w:rsid w:val="00D766EC"/>
    <w:rsid w:val="00D81016"/>
    <w:rsid w:val="00D816D3"/>
    <w:rsid w:val="00D8478B"/>
    <w:rsid w:val="00D86151"/>
    <w:rsid w:val="00D87D8B"/>
    <w:rsid w:val="00D9172D"/>
    <w:rsid w:val="00D95DD1"/>
    <w:rsid w:val="00D97E84"/>
    <w:rsid w:val="00DA5641"/>
    <w:rsid w:val="00DA7595"/>
    <w:rsid w:val="00DB0A68"/>
    <w:rsid w:val="00DB4CA6"/>
    <w:rsid w:val="00DB7DBD"/>
    <w:rsid w:val="00DC36A1"/>
    <w:rsid w:val="00DC43A3"/>
    <w:rsid w:val="00DC4CF3"/>
    <w:rsid w:val="00DC5737"/>
    <w:rsid w:val="00DC5C01"/>
    <w:rsid w:val="00DD7C09"/>
    <w:rsid w:val="00DE0BBB"/>
    <w:rsid w:val="00DF0EB4"/>
    <w:rsid w:val="00DF111E"/>
    <w:rsid w:val="00DF39A7"/>
    <w:rsid w:val="00E0097E"/>
    <w:rsid w:val="00E0124F"/>
    <w:rsid w:val="00E02017"/>
    <w:rsid w:val="00E4291A"/>
    <w:rsid w:val="00E5762A"/>
    <w:rsid w:val="00E648FE"/>
    <w:rsid w:val="00E674D3"/>
    <w:rsid w:val="00E70FD0"/>
    <w:rsid w:val="00E72B2C"/>
    <w:rsid w:val="00E7309D"/>
    <w:rsid w:val="00E77C4B"/>
    <w:rsid w:val="00E86B67"/>
    <w:rsid w:val="00E9301F"/>
    <w:rsid w:val="00E9690A"/>
    <w:rsid w:val="00E97DC7"/>
    <w:rsid w:val="00EC2DA0"/>
    <w:rsid w:val="00EC47EE"/>
    <w:rsid w:val="00ED4878"/>
    <w:rsid w:val="00ED4A80"/>
    <w:rsid w:val="00F000EF"/>
    <w:rsid w:val="00F2504E"/>
    <w:rsid w:val="00F2585B"/>
    <w:rsid w:val="00F322BB"/>
    <w:rsid w:val="00F4053F"/>
    <w:rsid w:val="00F4265F"/>
    <w:rsid w:val="00F45B71"/>
    <w:rsid w:val="00F475E1"/>
    <w:rsid w:val="00F516E7"/>
    <w:rsid w:val="00F53CF7"/>
    <w:rsid w:val="00F54136"/>
    <w:rsid w:val="00F57BF7"/>
    <w:rsid w:val="00F61E87"/>
    <w:rsid w:val="00F61F89"/>
    <w:rsid w:val="00F6263E"/>
    <w:rsid w:val="00F627C2"/>
    <w:rsid w:val="00F70A3E"/>
    <w:rsid w:val="00F736FD"/>
    <w:rsid w:val="00F84067"/>
    <w:rsid w:val="00F8764F"/>
    <w:rsid w:val="00FA5087"/>
    <w:rsid w:val="00FA50B4"/>
    <w:rsid w:val="00FA6E44"/>
    <w:rsid w:val="00FB6E83"/>
    <w:rsid w:val="00FC156A"/>
    <w:rsid w:val="00FC783B"/>
    <w:rsid w:val="00FD615A"/>
    <w:rsid w:val="00FD6235"/>
    <w:rsid w:val="00FD79A6"/>
    <w:rsid w:val="00FE13D1"/>
    <w:rsid w:val="00FE2D0C"/>
    <w:rsid w:val="00FE3DE5"/>
    <w:rsid w:val="00FE562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D0E61"/>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3">
    <w:name w:val="heading 3"/>
    <w:basedOn w:val="Normal"/>
    <w:next w:val="Normal"/>
    <w:link w:val="Heading3Char"/>
    <w:semiHidden/>
    <w:unhideWhenUsed/>
    <w:qFormat/>
    <w:rsid w:val="00165B9E"/>
    <w:pPr>
      <w:keepNext/>
      <w:keepLines/>
      <w:spacing w:before="40"/>
      <w:outlineLvl w:val="2"/>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ECC Hyperlink,CEO_Hyperlink,超级链接"/>
    <w:basedOn w:val="DefaultParagraphFont"/>
    <w:unhideWhenUsed/>
    <w:rsid w:val="00B64A60"/>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iPriority w:val="99"/>
    <w:unhideWhenUsed/>
    <w:rsid w:val="00D5407A"/>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semiHidden/>
    <w:rsid w:val="00D5407A"/>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character" w:customStyle="1" w:styleId="ListParagraphChar">
    <w:name w:val="List Paragraph Char"/>
    <w:basedOn w:val="DefaultParagraphFont"/>
    <w:link w:val="ListParagraph"/>
    <w:uiPriority w:val="34"/>
    <w:locked/>
    <w:rsid w:val="00F61E87"/>
    <w:rPr>
      <w:rFonts w:eastAsia="BatangChe"/>
      <w:sz w:val="24"/>
      <w:szCs w:val="24"/>
    </w:rPr>
  </w:style>
  <w:style w:type="paragraph" w:customStyle="1" w:styleId="enumlev1">
    <w:name w:val="enumlev1"/>
    <w:basedOn w:val="Normal"/>
    <w:rsid w:val="00AD3E7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szCs w:val="20"/>
      <w:lang w:val="en-GB"/>
    </w:rPr>
  </w:style>
  <w:style w:type="character" w:customStyle="1" w:styleId="Heading3Char">
    <w:name w:val="Heading 3 Char"/>
    <w:basedOn w:val="DefaultParagraphFont"/>
    <w:link w:val="Heading3"/>
    <w:semiHidden/>
    <w:rsid w:val="00165B9E"/>
    <w:rPr>
      <w:rFonts w:asciiTheme="majorHAnsi" w:eastAsiaTheme="majorEastAsia" w:hAnsiTheme="majorHAnsi" w:cstheme="majorBidi"/>
      <w:color w:val="243F60" w:themeColor="accent1" w:themeShade="7F"/>
      <w:sz w:val="24"/>
      <w:szCs w:val="24"/>
    </w:rPr>
  </w:style>
  <w:style w:type="paragraph" w:customStyle="1" w:styleId="ListParagraph1">
    <w:name w:val="List Paragraph1"/>
    <w:basedOn w:val="Normal"/>
    <w:uiPriority w:val="34"/>
    <w:qFormat/>
    <w:rsid w:val="003A1E4C"/>
    <w:pPr>
      <w:ind w:firstLineChars="200" w:firstLine="420"/>
    </w:pPr>
  </w:style>
  <w:style w:type="character" w:customStyle="1" w:styleId="UnresolvedMention2">
    <w:name w:val="Unresolved Mention2"/>
    <w:basedOn w:val="DefaultParagraphFont"/>
    <w:uiPriority w:val="99"/>
    <w:semiHidden/>
    <w:unhideWhenUsed/>
    <w:rsid w:val="00CD4231"/>
    <w:rPr>
      <w:color w:val="605E5C"/>
      <w:shd w:val="clear" w:color="auto" w:fill="E1DFDD"/>
    </w:rPr>
  </w:style>
  <w:style w:type="character" w:customStyle="1" w:styleId="UnresolvedMention3">
    <w:name w:val="Unresolved Mention3"/>
    <w:basedOn w:val="DefaultParagraphFont"/>
    <w:uiPriority w:val="99"/>
    <w:semiHidden/>
    <w:unhideWhenUsed/>
    <w:rsid w:val="004B3206"/>
    <w:rPr>
      <w:color w:val="808080"/>
      <w:shd w:val="clear" w:color="auto" w:fill="E6E6E6"/>
    </w:rPr>
  </w:style>
  <w:style w:type="character" w:customStyle="1" w:styleId="Heading8Char">
    <w:name w:val="Heading 8 Char"/>
    <w:basedOn w:val="DefaultParagraphFont"/>
    <w:link w:val="Heading8"/>
    <w:rsid w:val="00AB1587"/>
    <w:rPr>
      <w:rFonts w:eastAsia="BatangChe"/>
      <w:b/>
      <w:bCs/>
      <w:kern w:val="2"/>
      <w:lang w:eastAsia="ko-KR"/>
    </w:rPr>
  </w:style>
  <w:style w:type="paragraph" w:styleId="Revision">
    <w:name w:val="Revision"/>
    <w:hidden/>
    <w:uiPriority w:val="99"/>
    <w:semiHidden/>
    <w:rsid w:val="00970354"/>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313945">
      <w:bodyDiv w:val="1"/>
      <w:marLeft w:val="0"/>
      <w:marRight w:val="0"/>
      <w:marTop w:val="0"/>
      <w:marBottom w:val="0"/>
      <w:divBdr>
        <w:top w:val="none" w:sz="0" w:space="0" w:color="auto"/>
        <w:left w:val="none" w:sz="0" w:space="0" w:color="auto"/>
        <w:bottom w:val="none" w:sz="0" w:space="0" w:color="auto"/>
        <w:right w:val="none" w:sz="0" w:space="0" w:color="auto"/>
      </w:divBdr>
    </w:div>
    <w:div w:id="682245372">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573345930">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21036">
      <w:bodyDiv w:val="1"/>
      <w:marLeft w:val="0"/>
      <w:marRight w:val="0"/>
      <w:marTop w:val="0"/>
      <w:marBottom w:val="0"/>
      <w:divBdr>
        <w:top w:val="none" w:sz="0" w:space="0" w:color="auto"/>
        <w:left w:val="none" w:sz="0" w:space="0" w:color="auto"/>
        <w:bottom w:val="none" w:sz="0" w:space="0" w:color="auto"/>
        <w:right w:val="none" w:sz="0" w:space="0" w:color="auto"/>
      </w:divBdr>
    </w:div>
    <w:div w:id="210858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dms_ties/itu-r/md/19/wp4a/c/R19-WP4A-C-0691!N23!MSW-E.docx" TargetMode="External"/><Relationship Id="rId18" Type="http://schemas.openxmlformats.org/officeDocument/2006/relationships/hyperlink" Target="https://www.itu.int/dms_ties/itu-r/md/19/wp4a/c/R19-WP4A-C-0691!N40!MSW-E.docx" TargetMode="External"/><Relationship Id="rId26" Type="http://schemas.openxmlformats.org/officeDocument/2006/relationships/hyperlink" Target="https://www.apt.int/sites/default/files/2022/08/APG23-4-INP-64_India_WP4_Preliminary_Views_on_WRC-23_Agenda_Items_1.16_1.17_1.18_and_1.19.docx_Agenda_Items_1.16_1.17_1.18_and_1.19.docx" TargetMode="External"/><Relationship Id="rId39" Type="http://schemas.openxmlformats.org/officeDocument/2006/relationships/header" Target="header2.xml"/><Relationship Id="rId21" Type="http://schemas.openxmlformats.org/officeDocument/2006/relationships/hyperlink" Target="https://www.apt.int/sites/default/files/2022/08/APG23-4-INP-17_AUS_WP4_Preliminary_Views_on_WRC-23_Agenda_Items_1.15_1.16_1.17_1.18_1.19_and_7.docx" TargetMode="External"/><Relationship Id="rId34" Type="http://schemas.openxmlformats.org/officeDocument/2006/relationships/hyperlink" Target="https://www.itu.int/dms_ties/itu-r/md/19/wp4a/c/R19-WP4A-C-0691!N30!MSW-E.docx"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dms_ties/itu-r/md/19/wp4a/c/R19-WP4A-C-0691!N20!MSW-E.docx" TargetMode="External"/><Relationship Id="rId20" Type="http://schemas.openxmlformats.org/officeDocument/2006/relationships/hyperlink" Target="https://www.apt.int/sites/default/files/2022/08/APG23-4-INP-17_AUS_WP4_Preliminary_Views_on_WRC-23_Agenda_Items_1.15_1.16_1.17_1.18_1.19_and_7.docx" TargetMode="External"/><Relationship Id="rId29" Type="http://schemas.openxmlformats.org/officeDocument/2006/relationships/hyperlink" Target="https://www.apt.int/sites/default/files/2022/08/APG23-4-INF-21_ASMG_Preparation_for_WRC-23.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ties/itu-r/md/19/wp4a/c/R19-WP4A-C-0691!N22!MSW-E.docx" TargetMode="External"/><Relationship Id="rId24" Type="http://schemas.openxmlformats.org/officeDocument/2006/relationships/hyperlink" Target="https://www.apt.int/sites/default/files/2022/08/APG23-4-INP-48_Thailand_WP4_Preliminary_Views_on_WRC-23_Agenda_Items_1.15_1.17_and_7.docx" TargetMode="External"/><Relationship Id="rId32" Type="http://schemas.openxmlformats.org/officeDocument/2006/relationships/hyperlink" Target="https://www.apt.int/sites/default/files/2022/08/APG23-4-INF-44_Status_of_RCC_preparation_to_the_World_Radio_Conference_and_Radio_Assembly_2023.pdf"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dms_ties/itu-r/md/19/wp4a/c/R19-WP4A-C-0691!N30!MSW-E.docx" TargetMode="External"/><Relationship Id="rId23" Type="http://schemas.openxmlformats.org/officeDocument/2006/relationships/hyperlink" Target="https://www.apt.int/sites/default/files/2022/08/APG23-4-INP-43_China_WP4_Preliminary_Views_on_WRC-23_Agenda_Items_1.15_1.16_1.17_1.18_1.19_and_7.docx" TargetMode="External"/><Relationship Id="rId28" Type="http://schemas.openxmlformats.org/officeDocument/2006/relationships/hyperlink" Target="https://www.apt.int/sites/default/files/2022/07/APG23-4-INF-03_WMO_Positions.docx" TargetMode="External"/><Relationship Id="rId36" Type="http://schemas.openxmlformats.org/officeDocument/2006/relationships/header" Target="header1.xml"/><Relationship Id="rId10" Type="http://schemas.openxmlformats.org/officeDocument/2006/relationships/hyperlink" Target="https://www.itu.int/dms_ties/itu-r/md/19/wp4a/c/R19-WP4A-C-0691!N20!MSW-E.docx" TargetMode="External"/><Relationship Id="rId19" Type="http://schemas.openxmlformats.org/officeDocument/2006/relationships/hyperlink" Target="https://www.apt.int/sites/default/files/2022/08/APG23-4-INP-10_J-4_WP4_Preliminary_Views_on_WRC-23_Agenda_Items_1.15_1.16_1.17_1.18_1.19_and_7.docx" TargetMode="External"/><Relationship Id="rId31" Type="http://schemas.openxmlformats.org/officeDocument/2006/relationships/hyperlink" Target="https://www.apt.int/sites/default/files/2022/08/APG23-4-INF-37_Brief_on_AI1.17.docx" TargetMode="External"/><Relationship Id="rId4" Type="http://schemas.openxmlformats.org/officeDocument/2006/relationships/settings" Target="settings.xml"/><Relationship Id="rId9" Type="http://schemas.openxmlformats.org/officeDocument/2006/relationships/hyperlink" Target="https://www.itu.int/dms_ties/itu-r/md/19/wp4a/c/R19-WP4A-C-0691!N21!MSW-E.docx" TargetMode="External"/><Relationship Id="rId14" Type="http://schemas.openxmlformats.org/officeDocument/2006/relationships/hyperlink" Target="https://www.itu.int/dms_ties/itu-r/md/19/wp4a/c/R19-WP4A-C-0691!N20!MSW-E.docx" TargetMode="External"/><Relationship Id="rId22" Type="http://schemas.openxmlformats.org/officeDocument/2006/relationships/hyperlink" Target="https://www.apt.int/sites/default/files/2022/08/APG23-4-INP-37_KOR_WP4_Preliminary_Views_on_WRC-23_Agenda_Items_1.15_1.16_1.17_1.18_and_7.docx" TargetMode="External"/><Relationship Id="rId27" Type="http://schemas.openxmlformats.org/officeDocument/2006/relationships/hyperlink" Target="https://www.apt.int/sites/default/files/2022/08/APG23-4-INP-82_Indonesia_WP4_Preliminary_Views_on_WRC-23_Agenda_Items_1.15_1.16_1.17_and_7.docx" TargetMode="External"/><Relationship Id="rId30" Type="http://schemas.openxmlformats.org/officeDocument/2006/relationships/hyperlink" Target="https://www.apt.int/sites/default/files/2022/08/APG23-4-INF-28_CITEL_Preparation_for_WRC-23.pdf" TargetMode="External"/><Relationship Id="rId35" Type="http://schemas.openxmlformats.org/officeDocument/2006/relationships/hyperlink" Target="https://www.itu.int/dms_ties/itu-r/md/19/wp4a/c/R19-WP4A-C-0691!N20!MSW-E.docx"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dms_ties/itu-r/md/19/wp4a/c/R19-WP4A-C-0691!N20!MSW-E.docx" TargetMode="External"/><Relationship Id="rId17" Type="http://schemas.openxmlformats.org/officeDocument/2006/relationships/hyperlink" Target="https://www.itu.int/dms_ties/itu-r/md/19/wp4a/c/R19-WP4A-C-0691!N30!MSW-E.docx" TargetMode="External"/><Relationship Id="rId25" Type="http://schemas.openxmlformats.org/officeDocument/2006/relationships/hyperlink" Target="https://www.apt.int/sites/default/files/2022/08/APG23-4-INP-57_SNG_WP4_Preliminary_Views_on_WRC-23_Agenda_Items_1.15_1.16_1.17_and_7.docx" TargetMode="External"/><Relationship Id="rId33" Type="http://schemas.openxmlformats.org/officeDocument/2006/relationships/hyperlink" Target="https://www.apt.int/sites/default/files/2022/08/APG23-4-INF-48_Status_of_CEPT_preparation_for_WRC-23_and_RA-23.pdf"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20C39-47B5-49FC-A092-37AE9AAED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4397</Words>
  <Characters>25067</Characters>
  <Application>Microsoft Office Word</Application>
  <DocSecurity>0</DocSecurity>
  <Lines>208</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11</cp:revision>
  <cp:lastPrinted>2015-02-02T07:28:00Z</cp:lastPrinted>
  <dcterms:created xsi:type="dcterms:W3CDTF">2022-08-20T04:19:00Z</dcterms:created>
  <dcterms:modified xsi:type="dcterms:W3CDTF">2022-08-26T03:44:00Z</dcterms:modified>
</cp:coreProperties>
</file>