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C1236" w:rsidRPr="00AB76C8" w14:paraId="547D5753" w14:textId="77777777" w:rsidTr="00DF4143">
        <w:trPr>
          <w:cantSplit/>
          <w:trHeight w:val="288"/>
        </w:trPr>
        <w:tc>
          <w:tcPr>
            <w:tcW w:w="1399" w:type="dxa"/>
            <w:vMerge w:val="restart"/>
          </w:tcPr>
          <w:p w14:paraId="27B04AD6" w14:textId="77777777" w:rsidR="007C1236" w:rsidRPr="00AB76C8" w:rsidRDefault="007C1236" w:rsidP="00DF4143">
            <w:pPr>
              <w:widowControl w:val="0"/>
              <w:wordWrap w:val="0"/>
              <w:jc w:val="both"/>
              <w:rPr>
                <w:kern w:val="2"/>
                <w:lang w:eastAsia="ko-KR"/>
              </w:rPr>
            </w:pPr>
            <w:r w:rsidRPr="00AB76C8">
              <w:rPr>
                <w:noProof/>
                <w:kern w:val="2"/>
              </w:rPr>
              <w:drawing>
                <wp:inline distT="0" distB="0" distL="0" distR="0" wp14:anchorId="51A9D560" wp14:editId="7B6B94F2">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133C03F" w14:textId="77777777" w:rsidR="007C1236" w:rsidRPr="00AB76C8" w:rsidRDefault="007C1236" w:rsidP="00DF4143">
            <w:pPr>
              <w:spacing w:before="40"/>
              <w:rPr>
                <w:sz w:val="22"/>
                <w:szCs w:val="22"/>
              </w:rPr>
            </w:pPr>
            <w:r w:rsidRPr="00AB76C8">
              <w:rPr>
                <w:sz w:val="22"/>
                <w:szCs w:val="22"/>
              </w:rPr>
              <w:t>ASIA-PACIFIC TELECOMMUNITY</w:t>
            </w:r>
          </w:p>
        </w:tc>
        <w:tc>
          <w:tcPr>
            <w:tcW w:w="2160" w:type="dxa"/>
          </w:tcPr>
          <w:p w14:paraId="2962F5D3" w14:textId="77777777" w:rsidR="007C1236" w:rsidRPr="00AB76C8" w:rsidRDefault="007C1236" w:rsidP="00DF4143">
            <w:pPr>
              <w:keepNext/>
              <w:widowControl w:val="0"/>
              <w:wordWrap w:val="0"/>
              <w:spacing w:before="40"/>
              <w:jc w:val="both"/>
              <w:outlineLvl w:val="7"/>
              <w:rPr>
                <w:b/>
                <w:bCs/>
                <w:kern w:val="2"/>
                <w:lang w:eastAsia="ko-KR"/>
              </w:rPr>
            </w:pPr>
            <w:r w:rsidRPr="00AB76C8">
              <w:rPr>
                <w:b/>
                <w:bCs/>
                <w:kern w:val="2"/>
                <w:lang w:eastAsia="ko-KR"/>
              </w:rPr>
              <w:t>Document No:</w:t>
            </w:r>
          </w:p>
        </w:tc>
      </w:tr>
      <w:tr w:rsidR="007C1236" w:rsidRPr="00AB76C8" w14:paraId="2849FF1F" w14:textId="77777777" w:rsidTr="00DF4143">
        <w:trPr>
          <w:cantSplit/>
          <w:trHeight w:val="504"/>
        </w:trPr>
        <w:tc>
          <w:tcPr>
            <w:tcW w:w="1399" w:type="dxa"/>
            <w:vMerge/>
          </w:tcPr>
          <w:p w14:paraId="678BE36A" w14:textId="77777777" w:rsidR="007C1236" w:rsidRPr="00AB76C8" w:rsidRDefault="007C1236" w:rsidP="00DF4143"/>
        </w:tc>
        <w:tc>
          <w:tcPr>
            <w:tcW w:w="5760" w:type="dxa"/>
            <w:vAlign w:val="center"/>
          </w:tcPr>
          <w:p w14:paraId="7CA058A8" w14:textId="77777777" w:rsidR="007C1236" w:rsidRPr="00AB76C8" w:rsidRDefault="007C1236" w:rsidP="00DF4143">
            <w:pPr>
              <w:spacing w:line="0" w:lineRule="atLeast"/>
              <w:rPr>
                <w:b/>
              </w:rPr>
            </w:pPr>
            <w:r w:rsidRPr="00AB76C8">
              <w:rPr>
                <w:b/>
              </w:rPr>
              <w:t>The 4th Meeting of the APT Conference Preparatory</w:t>
            </w:r>
          </w:p>
          <w:p w14:paraId="2E762E9A" w14:textId="77777777" w:rsidR="007C1236" w:rsidRPr="00AB76C8" w:rsidRDefault="007C1236" w:rsidP="00DF4143">
            <w:pPr>
              <w:spacing w:before="40"/>
            </w:pPr>
            <w:r w:rsidRPr="00AB76C8">
              <w:rPr>
                <w:b/>
              </w:rPr>
              <w:t>Group for WRC-23 (APG23-4)</w:t>
            </w:r>
          </w:p>
        </w:tc>
        <w:tc>
          <w:tcPr>
            <w:tcW w:w="2160" w:type="dxa"/>
          </w:tcPr>
          <w:p w14:paraId="06E6904F" w14:textId="101348EA" w:rsidR="007C1236" w:rsidRPr="00155EF4" w:rsidRDefault="007C1236" w:rsidP="00DF4143">
            <w:pPr>
              <w:spacing w:before="40"/>
              <w:rPr>
                <w:rFonts w:cs="Angsana New"/>
                <w:b/>
                <w:bCs/>
                <w:szCs w:val="30"/>
                <w:lang w:bidi="th-TH"/>
              </w:rPr>
            </w:pPr>
            <w:r w:rsidRPr="00AB76C8">
              <w:rPr>
                <w:b/>
                <w:bCs/>
                <w:lang w:val="fr-FR"/>
              </w:rPr>
              <w:t>APG23-4/</w:t>
            </w:r>
            <w:r>
              <w:rPr>
                <w:b/>
                <w:bCs/>
                <w:lang w:val="fr-FR"/>
              </w:rPr>
              <w:t>OUT</w:t>
            </w:r>
            <w:r w:rsidRPr="00AB76C8">
              <w:rPr>
                <w:b/>
                <w:bCs/>
                <w:lang w:val="fr-FR"/>
              </w:rPr>
              <w:t>-</w:t>
            </w:r>
            <w:r>
              <w:rPr>
                <w:b/>
                <w:bCs/>
                <w:lang w:val="fr-FR"/>
              </w:rPr>
              <w:t>31</w:t>
            </w:r>
          </w:p>
          <w:p w14:paraId="563AC951" w14:textId="15FC9462" w:rsidR="007C1236" w:rsidRPr="00AB76C8" w:rsidRDefault="004D4BD7" w:rsidP="00DF4143">
            <w:pPr>
              <w:rPr>
                <w:b/>
                <w:bCs/>
                <w:lang w:val="en-GB"/>
              </w:rPr>
            </w:pPr>
            <w:r>
              <w:rPr>
                <w:b/>
                <w:bCs/>
                <w:lang w:val="en-GB"/>
              </w:rPr>
              <w:t>(Rev.1)</w:t>
            </w:r>
          </w:p>
        </w:tc>
      </w:tr>
      <w:tr w:rsidR="007C1236" w:rsidRPr="00AB76C8" w14:paraId="7FC62EB6" w14:textId="77777777" w:rsidTr="00DF4143">
        <w:trPr>
          <w:cantSplit/>
          <w:trHeight w:val="288"/>
        </w:trPr>
        <w:tc>
          <w:tcPr>
            <w:tcW w:w="1399" w:type="dxa"/>
            <w:vMerge/>
          </w:tcPr>
          <w:p w14:paraId="39CD01CF" w14:textId="77777777" w:rsidR="007C1236" w:rsidRPr="00AB76C8" w:rsidRDefault="007C1236" w:rsidP="00DF4143">
            <w:pPr>
              <w:rPr>
                <w:lang w:val="en-GB"/>
              </w:rPr>
            </w:pPr>
          </w:p>
        </w:tc>
        <w:tc>
          <w:tcPr>
            <w:tcW w:w="5760" w:type="dxa"/>
            <w:vAlign w:val="bottom"/>
          </w:tcPr>
          <w:p w14:paraId="08CB28DC" w14:textId="77777777" w:rsidR="007C1236" w:rsidRPr="00AB76C8" w:rsidRDefault="007C1236" w:rsidP="00DF4143">
            <w:pPr>
              <w:spacing w:before="40"/>
              <w:rPr>
                <w:b/>
              </w:rPr>
            </w:pPr>
            <w:r w:rsidRPr="00AB76C8">
              <w:t>15 – 20 August 2022, Bangkok, Thailand</w:t>
            </w:r>
          </w:p>
        </w:tc>
        <w:tc>
          <w:tcPr>
            <w:tcW w:w="2160" w:type="dxa"/>
            <w:vAlign w:val="bottom"/>
          </w:tcPr>
          <w:p w14:paraId="74EB3E69" w14:textId="77777777" w:rsidR="007C1236" w:rsidRPr="00AB76C8" w:rsidRDefault="007C1236" w:rsidP="00DF4143">
            <w:pPr>
              <w:spacing w:before="40"/>
              <w:rPr>
                <w:bCs/>
              </w:rPr>
            </w:pPr>
            <w:r>
              <w:rPr>
                <w:bCs/>
              </w:rPr>
              <w:t>20 August</w:t>
            </w:r>
            <w:r w:rsidRPr="00AB76C8">
              <w:rPr>
                <w:bCs/>
              </w:rPr>
              <w:t xml:space="preserve"> 2022</w:t>
            </w:r>
          </w:p>
        </w:tc>
      </w:tr>
    </w:tbl>
    <w:p w14:paraId="70FB03F6" w14:textId="77777777" w:rsidR="007C1236" w:rsidRPr="00E75BCE" w:rsidRDefault="007C1236" w:rsidP="007C1236">
      <w:pPr>
        <w:rPr>
          <w:rFonts w:cstheme="minorBidi"/>
          <w:color w:val="000000" w:themeColor="text1"/>
          <w:szCs w:val="30"/>
          <w:lang w:bidi="th-TH"/>
        </w:rPr>
      </w:pPr>
    </w:p>
    <w:p w14:paraId="68D3DA58" w14:textId="77777777" w:rsidR="007C1236" w:rsidRPr="00C45955" w:rsidRDefault="007C1236" w:rsidP="007C1236">
      <w:pPr>
        <w:jc w:val="center"/>
        <w:rPr>
          <w:color w:val="000000" w:themeColor="text1"/>
          <w:lang w:val="en-NZ" w:eastAsia="ko-KR"/>
        </w:rPr>
      </w:pPr>
      <w:r>
        <w:rPr>
          <w:color w:val="000000" w:themeColor="text1"/>
          <w:lang w:val="en-NZ" w:eastAsia="ko-KR"/>
        </w:rPr>
        <w:t>Working Party 4</w:t>
      </w:r>
    </w:p>
    <w:p w14:paraId="226C440D" w14:textId="77777777" w:rsidR="007C1236" w:rsidRPr="00C45955" w:rsidRDefault="007C1236" w:rsidP="007C1236">
      <w:pPr>
        <w:jc w:val="center"/>
        <w:rPr>
          <w:bCs/>
          <w:caps/>
          <w:color w:val="000000" w:themeColor="text1"/>
          <w:lang w:val="en-NZ"/>
        </w:rPr>
      </w:pPr>
    </w:p>
    <w:p w14:paraId="10C124D5" w14:textId="2E7B77A6" w:rsidR="00B64A60" w:rsidRPr="00441526" w:rsidRDefault="007C1236" w:rsidP="007C1236">
      <w:pPr>
        <w:jc w:val="center"/>
        <w:rPr>
          <w:b/>
          <w:bCs/>
          <w:caps/>
          <w:lang w:val="en-NZ"/>
        </w:rPr>
      </w:pPr>
      <w:r w:rsidRPr="00C45955">
        <w:rPr>
          <w:b/>
          <w:bCs/>
          <w:caps/>
          <w:color w:val="000000" w:themeColor="text1"/>
          <w:lang w:val="en-NZ"/>
        </w:rPr>
        <w:t xml:space="preserve">PRELIMINARY </w:t>
      </w:r>
      <w:r w:rsidR="00B64A60" w:rsidRPr="00441526">
        <w:rPr>
          <w:b/>
          <w:bCs/>
          <w:caps/>
          <w:lang w:val="en-NZ"/>
        </w:rPr>
        <w:t>VIEWs on WRC-</w:t>
      </w:r>
      <w:r w:rsidR="007F0AE6">
        <w:rPr>
          <w:b/>
          <w:bCs/>
          <w:caps/>
          <w:lang w:val="en-NZ"/>
        </w:rPr>
        <w:t>23</w:t>
      </w:r>
      <w:r w:rsidR="00B64A60" w:rsidRPr="00441526">
        <w:rPr>
          <w:b/>
          <w:bCs/>
          <w:caps/>
          <w:lang w:val="en-NZ"/>
        </w:rPr>
        <w:t xml:space="preserve"> agenda item 1.</w:t>
      </w:r>
      <w:r w:rsidR="00D606EF">
        <w:rPr>
          <w:b/>
          <w:bCs/>
          <w:caps/>
          <w:lang w:val="en-NZ"/>
        </w:rPr>
        <w:t>18</w:t>
      </w:r>
    </w:p>
    <w:p w14:paraId="5CAEC656" w14:textId="77777777" w:rsidR="00B64A60" w:rsidRPr="00441526" w:rsidRDefault="00B64A60" w:rsidP="00264566">
      <w:pPr>
        <w:spacing w:after="120"/>
        <w:rPr>
          <w:lang w:val="en-NZ"/>
        </w:rPr>
      </w:pPr>
    </w:p>
    <w:p w14:paraId="37FBAB9B" w14:textId="55843A7A" w:rsidR="002A0111" w:rsidRPr="00441526" w:rsidRDefault="002A0111" w:rsidP="002A0111">
      <w:pPr>
        <w:spacing w:after="120"/>
        <w:jc w:val="both"/>
        <w:rPr>
          <w:lang w:val="en-NZ"/>
        </w:rPr>
      </w:pPr>
      <w:r w:rsidRPr="00441526">
        <w:rPr>
          <w:b/>
          <w:lang w:val="en-NZ"/>
        </w:rPr>
        <w:t>Agenda Item 1.</w:t>
      </w:r>
      <w:r w:rsidR="00D606EF">
        <w:rPr>
          <w:b/>
          <w:lang w:val="en-NZ"/>
        </w:rPr>
        <w:t>18</w:t>
      </w:r>
      <w:r w:rsidRPr="00441526">
        <w:rPr>
          <w:b/>
          <w:lang w:val="en-NZ"/>
        </w:rPr>
        <w:t xml:space="preserve">: </w:t>
      </w:r>
    </w:p>
    <w:p w14:paraId="2ECD8C02" w14:textId="77777777" w:rsidR="00D606EF" w:rsidRDefault="00D606EF" w:rsidP="00D606EF">
      <w:pPr>
        <w:snapToGrid w:val="0"/>
        <w:spacing w:after="100" w:line="264" w:lineRule="auto"/>
        <w:jc w:val="both"/>
        <w:rPr>
          <w:i/>
        </w:rPr>
      </w:pPr>
      <w:r w:rsidRPr="00037EB3">
        <w:rPr>
          <w:i/>
        </w:rPr>
        <w:t xml:space="preserve">to consider studies relating to spectrum needs and potential new allocations to the mobile-satellite service for future development of narrowband mobile-satellite systems, in accordance with Resolution </w:t>
      </w:r>
      <w:r w:rsidRPr="00037EB3">
        <w:rPr>
          <w:b/>
          <w:bCs/>
          <w:i/>
        </w:rPr>
        <w:t>248</w:t>
      </w:r>
      <w:r w:rsidRPr="00037EB3">
        <w:rPr>
          <w:i/>
        </w:rPr>
        <w:t xml:space="preserve"> </w:t>
      </w:r>
      <w:r w:rsidRPr="00037EB3">
        <w:rPr>
          <w:b/>
          <w:bCs/>
          <w:i/>
        </w:rPr>
        <w:t>(WRC</w:t>
      </w:r>
      <w:r w:rsidRPr="00037EB3">
        <w:rPr>
          <w:b/>
          <w:bCs/>
          <w:i/>
        </w:rPr>
        <w:noBreakHyphen/>
        <w:t>19</w:t>
      </w:r>
      <w:proofErr w:type="gramStart"/>
      <w:r w:rsidRPr="00037EB3">
        <w:rPr>
          <w:b/>
          <w:bCs/>
          <w:i/>
        </w:rPr>
        <w:t>)</w:t>
      </w:r>
      <w:r w:rsidRPr="00037EB3">
        <w:rPr>
          <w:i/>
        </w:rPr>
        <w:t>;</w:t>
      </w:r>
      <w:proofErr w:type="gramEnd"/>
    </w:p>
    <w:p w14:paraId="21252C6F" w14:textId="77777777" w:rsidR="002A0111" w:rsidRPr="00441526" w:rsidRDefault="002A0111" w:rsidP="00A32DFD">
      <w:pPr>
        <w:adjustRightInd w:val="0"/>
        <w:snapToGrid w:val="0"/>
        <w:spacing w:after="100" w:line="264" w:lineRule="auto"/>
        <w:jc w:val="both"/>
        <w:rPr>
          <w:b/>
          <w:lang w:val="en-NZ" w:eastAsia="ko-KR"/>
        </w:rPr>
      </w:pPr>
      <w:r w:rsidRPr="00441526">
        <w:rPr>
          <w:b/>
          <w:lang w:val="en-NZ" w:eastAsia="ko-KR"/>
        </w:rPr>
        <w:t xml:space="preserve">1. </w:t>
      </w:r>
      <w:r w:rsidRPr="00441526">
        <w:rPr>
          <w:b/>
          <w:lang w:val="en-NZ" w:eastAsia="ko-KR"/>
        </w:rPr>
        <w:tab/>
        <w:t>Background</w:t>
      </w:r>
    </w:p>
    <w:p w14:paraId="35FE9A17" w14:textId="77E84924" w:rsidR="00D606EF" w:rsidRPr="007D6E5E" w:rsidRDefault="00D606EF" w:rsidP="00A32DFD">
      <w:pPr>
        <w:adjustRightInd w:val="0"/>
        <w:snapToGrid w:val="0"/>
        <w:spacing w:after="100" w:line="264" w:lineRule="auto"/>
        <w:jc w:val="both"/>
        <w:rPr>
          <w:rFonts w:eastAsia="SimSun"/>
          <w:lang w:eastAsia="zh-CN"/>
        </w:rPr>
      </w:pPr>
      <w:r w:rsidRPr="00E02A35">
        <w:t>WRC-23 Agenda item 1.18 calls for WRC-23 to implement the “</w:t>
      </w:r>
      <w:r w:rsidRPr="00E02A35">
        <w:rPr>
          <w:i/>
          <w:iCs/>
        </w:rPr>
        <w:t>studies relating to spectrum needs and potential new allocations to the mobile satellite service in the frequency bands 1 695-1 710 MHz, 2 010-2 025 MHz, 3 300-3 315 MHz and 3 385-3 400 MHz for future development of narrowband mobile-satellite systems”</w:t>
      </w:r>
      <w:r w:rsidRPr="00E02A35">
        <w:rPr>
          <w:b/>
          <w:bCs/>
          <w:i/>
          <w:iCs/>
        </w:rPr>
        <w:t xml:space="preserve"> </w:t>
      </w:r>
      <w:r w:rsidRPr="00E02A35">
        <w:t>while ensuring the protection of existing primary services in those frequency bands and adjacent frequency bands</w:t>
      </w:r>
      <w:r>
        <w:t xml:space="preserve">. </w:t>
      </w:r>
    </w:p>
    <w:p w14:paraId="036A2339" w14:textId="77777777" w:rsidR="00D606EF" w:rsidRDefault="00D606EF" w:rsidP="00A32DFD">
      <w:pPr>
        <w:tabs>
          <w:tab w:val="left" w:pos="1134"/>
          <w:tab w:val="left" w:pos="1871"/>
          <w:tab w:val="left" w:pos="2268"/>
        </w:tabs>
        <w:adjustRightInd w:val="0"/>
        <w:snapToGrid w:val="0"/>
        <w:spacing w:after="100" w:line="264" w:lineRule="auto"/>
        <w:rPr>
          <w:rFonts w:eastAsia="SimSun"/>
          <w:lang w:eastAsia="zh-CN"/>
        </w:rPr>
      </w:pPr>
      <w:r>
        <w:rPr>
          <w:rFonts w:eastAsia="SimSun" w:hint="eastAsia"/>
          <w:lang w:eastAsia="zh-CN"/>
        </w:rPr>
        <w:t xml:space="preserve">According to the Resolution </w:t>
      </w:r>
      <w:r w:rsidRPr="00C005C9">
        <w:rPr>
          <w:rFonts w:eastAsia="SimSun" w:hint="eastAsia"/>
          <w:b/>
          <w:bCs/>
          <w:lang w:eastAsia="zh-CN"/>
        </w:rPr>
        <w:t>248 (WRC-19)</w:t>
      </w:r>
      <w:r>
        <w:rPr>
          <w:rFonts w:eastAsia="SimSun" w:hint="eastAsia"/>
          <w:lang w:eastAsia="zh-CN"/>
        </w:rPr>
        <w:t>, the candidate frequencies for agenda item 1.18 are as follows:</w:t>
      </w:r>
    </w:p>
    <w:p w14:paraId="19D60465" w14:textId="77777777" w:rsidR="00D606EF" w:rsidRDefault="00D606EF" w:rsidP="00A32DFD">
      <w:pPr>
        <w:numPr>
          <w:ilvl w:val="0"/>
          <w:numId w:val="23"/>
        </w:numPr>
        <w:adjustRightInd w:val="0"/>
        <w:snapToGrid w:val="0"/>
        <w:spacing w:after="100" w:line="264" w:lineRule="auto"/>
        <w:ind w:right="15" w:hanging="1134"/>
      </w:pPr>
      <w:r>
        <w:t>1 695-1 710 MHz in Region 2,</w:t>
      </w:r>
    </w:p>
    <w:p w14:paraId="4273637E" w14:textId="77777777" w:rsidR="00D606EF" w:rsidRDefault="00D606EF" w:rsidP="00A32DFD">
      <w:pPr>
        <w:numPr>
          <w:ilvl w:val="0"/>
          <w:numId w:val="23"/>
        </w:numPr>
        <w:adjustRightInd w:val="0"/>
        <w:snapToGrid w:val="0"/>
        <w:spacing w:after="100" w:line="264" w:lineRule="auto"/>
        <w:ind w:right="15" w:hanging="1134"/>
      </w:pPr>
      <w:r>
        <w:t>2 010-2 025 MHz in Region 1,</w:t>
      </w:r>
    </w:p>
    <w:p w14:paraId="5FBCB994" w14:textId="77777777" w:rsidR="00D606EF" w:rsidRDefault="00D606EF" w:rsidP="00A32DFD">
      <w:pPr>
        <w:numPr>
          <w:ilvl w:val="0"/>
          <w:numId w:val="23"/>
        </w:numPr>
        <w:adjustRightInd w:val="0"/>
        <w:snapToGrid w:val="0"/>
        <w:spacing w:after="100" w:line="264" w:lineRule="auto"/>
        <w:ind w:right="15" w:hanging="1134"/>
      </w:pPr>
      <w:r>
        <w:t xml:space="preserve">3 300-3 315 MHz, 3 385-3 400 MHz in Region </w:t>
      </w:r>
      <w:proofErr w:type="gramStart"/>
      <w:r>
        <w:t>2;</w:t>
      </w:r>
      <w:proofErr w:type="gramEnd"/>
    </w:p>
    <w:p w14:paraId="6020D47E" w14:textId="77777777" w:rsidR="002A0111" w:rsidRPr="00441526" w:rsidRDefault="002A0111" w:rsidP="00A32DFD">
      <w:pPr>
        <w:adjustRightInd w:val="0"/>
        <w:snapToGrid w:val="0"/>
        <w:spacing w:after="100" w:line="264" w:lineRule="auto"/>
        <w:ind w:left="348"/>
        <w:jc w:val="both"/>
        <w:rPr>
          <w:i/>
          <w:lang w:val="en-NZ" w:eastAsia="ko-KR"/>
        </w:rPr>
      </w:pPr>
    </w:p>
    <w:p w14:paraId="7F556B61" w14:textId="767AEA8E" w:rsidR="00F85499" w:rsidRDefault="00F85499" w:rsidP="00A32DFD">
      <w:pPr>
        <w:adjustRightInd w:val="0"/>
        <w:snapToGrid w:val="0"/>
        <w:spacing w:after="100" w:line="264" w:lineRule="auto"/>
        <w:jc w:val="both"/>
        <w:rPr>
          <w:rFonts w:eastAsia="SimSun"/>
          <w:lang w:eastAsia="zh-CN"/>
        </w:rPr>
      </w:pPr>
      <w:r>
        <w:t xml:space="preserve">After APG23-3 </w:t>
      </w:r>
      <w:r>
        <w:rPr>
          <w:lang w:eastAsia="ko-KR"/>
        </w:rPr>
        <w:t xml:space="preserve">meeting, </w:t>
      </w:r>
      <w:r w:rsidRPr="00162DE1">
        <w:t xml:space="preserve">ITU-R WP 4C which is a responsible group for this agenda item, focused its work on the review of </w:t>
      </w:r>
      <w:r w:rsidRPr="006A3C72">
        <w:t>the technical and operational parameters developed by the multiple operators</w:t>
      </w:r>
      <w:r>
        <w:t xml:space="preserve"> and updated</w:t>
      </w:r>
      <w:r w:rsidRPr="006A3C72">
        <w:t xml:space="preserve"> </w:t>
      </w:r>
      <w:r>
        <w:t xml:space="preserve">the </w:t>
      </w:r>
      <w:r w:rsidRPr="006A3C72">
        <w:t>preliminary draft new Report ITU-R [NB.MSS] on Spectrum Requirements, Technical and Operational Requirements</w:t>
      </w:r>
      <w:r>
        <w:t xml:space="preserve"> and Sharing and Compatibility Studies (Annex 3 of Doc 4C/333)</w:t>
      </w:r>
      <w:r w:rsidRPr="006A3C72">
        <w:t xml:space="preserve">. </w:t>
      </w:r>
      <w:r>
        <w:t>WP 4C also considered the draft CPM text with two draft methods included</w:t>
      </w:r>
      <w:r>
        <w:rPr>
          <w:rFonts w:hint="eastAsia"/>
          <w:lang w:eastAsia="ja-JP"/>
        </w:rPr>
        <w:t>,</w:t>
      </w:r>
      <w:r>
        <w:rPr>
          <w:lang w:eastAsia="ja-JP"/>
        </w:rPr>
        <w:t xml:space="preserve"> which is at a very preliminary stage </w:t>
      </w:r>
      <w:r>
        <w:t xml:space="preserve">(Annex 5 of Doc 4C/333). </w:t>
      </w:r>
      <w:r>
        <w:rPr>
          <w:rFonts w:eastAsia="SimSun"/>
          <w:lang w:eastAsia="zh-CN"/>
        </w:rPr>
        <w:t xml:space="preserve">During the discussion, </w:t>
      </w:r>
      <w:r w:rsidRPr="00B31E4C">
        <w:rPr>
          <w:rFonts w:eastAsia="SimSun"/>
          <w:lang w:eastAsia="zh-CN"/>
        </w:rPr>
        <w:t>there is</w:t>
      </w:r>
      <w:r>
        <w:rPr>
          <w:rFonts w:eastAsia="SimSun"/>
          <w:lang w:eastAsia="zh-CN"/>
        </w:rPr>
        <w:t xml:space="preserve"> still</w:t>
      </w:r>
      <w:r w:rsidRPr="00B31E4C">
        <w:rPr>
          <w:rFonts w:eastAsia="SimSun"/>
          <w:lang w:eastAsia="zh-CN"/>
        </w:rPr>
        <w:t xml:space="preserve"> no consensus whether 27 </w:t>
      </w:r>
      <w:proofErr w:type="spellStart"/>
      <w:r w:rsidRPr="00B31E4C">
        <w:rPr>
          <w:rFonts w:eastAsia="SimSun"/>
          <w:lang w:eastAsia="zh-CN"/>
        </w:rPr>
        <w:t>dBW</w:t>
      </w:r>
      <w:proofErr w:type="spellEnd"/>
      <w:r w:rsidRPr="00B31E4C">
        <w:rPr>
          <w:rFonts w:eastAsia="SimSun"/>
          <w:lang w:eastAsia="zh-CN"/>
        </w:rPr>
        <w:t xml:space="preserve"> limit</w:t>
      </w:r>
      <w:r>
        <w:rPr>
          <w:rFonts w:eastAsia="SimSun"/>
          <w:lang w:eastAsia="zh-CN"/>
        </w:rPr>
        <w:t>, which</w:t>
      </w:r>
      <w:r w:rsidRPr="00B31E4C">
        <w:rPr>
          <w:rFonts w:eastAsia="SimSun"/>
          <w:lang w:eastAsia="zh-CN"/>
        </w:rPr>
        <w:t xml:space="preserve"> </w:t>
      </w:r>
      <w:r>
        <w:rPr>
          <w:rFonts w:eastAsia="SimSun"/>
          <w:lang w:eastAsia="zh-CN"/>
        </w:rPr>
        <w:t xml:space="preserve">is mentioned in </w:t>
      </w:r>
      <w:r w:rsidRPr="00162DE1">
        <w:rPr>
          <w:i/>
          <w:iCs/>
        </w:rPr>
        <w:t>recognizing c)</w:t>
      </w:r>
      <w:r w:rsidRPr="00162DE1">
        <w:t xml:space="preserve"> of Resolution </w:t>
      </w:r>
      <w:r w:rsidRPr="00162DE1">
        <w:rPr>
          <w:b/>
          <w:bCs/>
        </w:rPr>
        <w:t>248 (WRC-19)</w:t>
      </w:r>
      <w:r>
        <w:t xml:space="preserve">, is </w:t>
      </w:r>
      <w:r w:rsidRPr="00B31E4C">
        <w:rPr>
          <w:rFonts w:eastAsia="SimSun"/>
          <w:lang w:eastAsia="zh-CN"/>
        </w:rPr>
        <w:t>applied on a per system or a per satellite basis</w:t>
      </w:r>
      <w:r>
        <w:rPr>
          <w:rFonts w:eastAsia="SimSun"/>
          <w:lang w:eastAsia="zh-CN"/>
        </w:rPr>
        <w:t>.</w:t>
      </w:r>
      <w:r w:rsidRPr="00B31E4C">
        <w:rPr>
          <w:rFonts w:eastAsia="SimSun"/>
          <w:lang w:eastAsia="zh-CN"/>
        </w:rPr>
        <w:t> </w:t>
      </w:r>
      <w:proofErr w:type="gramStart"/>
      <w:r>
        <w:t>Both of these</w:t>
      </w:r>
      <w:proofErr w:type="gramEnd"/>
      <w:r>
        <w:t xml:space="preserve"> documents require more work and will be carried over to the September 2022 WP 4C meeting, as </w:t>
      </w:r>
      <w:r>
        <w:rPr>
          <w:rFonts w:hint="eastAsia"/>
          <w:lang w:eastAsia="ja-JP"/>
        </w:rPr>
        <w:t>w</w:t>
      </w:r>
      <w:r>
        <w:rPr>
          <w:lang w:eastAsia="ja-JP"/>
        </w:rPr>
        <w:t>e</w:t>
      </w:r>
      <w:r>
        <w:t>ll as the study document.</w:t>
      </w:r>
    </w:p>
    <w:p w14:paraId="6684C59B" w14:textId="77777777" w:rsidR="002A0111" w:rsidRPr="00441526" w:rsidRDefault="002A0111" w:rsidP="00A32DFD">
      <w:pPr>
        <w:adjustRightInd w:val="0"/>
        <w:snapToGrid w:val="0"/>
        <w:spacing w:after="100" w:line="264" w:lineRule="auto"/>
        <w:jc w:val="both"/>
        <w:rPr>
          <w:lang w:val="en-NZ"/>
        </w:rPr>
      </w:pPr>
    </w:p>
    <w:p w14:paraId="0E9DB15D" w14:textId="77777777" w:rsidR="002A0111" w:rsidRPr="00441526" w:rsidRDefault="002A0111" w:rsidP="00A32DFD">
      <w:pPr>
        <w:adjustRightInd w:val="0"/>
        <w:snapToGrid w:val="0"/>
        <w:spacing w:after="100" w:line="264" w:lineRule="auto"/>
        <w:jc w:val="both"/>
        <w:rPr>
          <w:b/>
          <w:lang w:val="en-NZ" w:eastAsia="ko-KR"/>
        </w:rPr>
      </w:pPr>
      <w:r w:rsidRPr="00441526">
        <w:rPr>
          <w:b/>
          <w:lang w:val="en-NZ" w:eastAsia="ko-KR"/>
        </w:rPr>
        <w:t xml:space="preserve">2. </w:t>
      </w:r>
      <w:r w:rsidRPr="00441526">
        <w:rPr>
          <w:b/>
          <w:lang w:val="en-NZ" w:eastAsia="ko-KR"/>
        </w:rPr>
        <w:tab/>
        <w:t>Documents</w:t>
      </w:r>
    </w:p>
    <w:p w14:paraId="62FD4AD4" w14:textId="3A550DF7" w:rsidR="00D606EF" w:rsidRDefault="00D606EF" w:rsidP="00A32DFD">
      <w:pPr>
        <w:numPr>
          <w:ilvl w:val="0"/>
          <w:numId w:val="18"/>
        </w:numPr>
        <w:adjustRightInd w:val="0"/>
        <w:snapToGrid w:val="0"/>
        <w:spacing w:after="100" w:line="264" w:lineRule="auto"/>
        <w:ind w:leftChars="145" w:left="708"/>
        <w:jc w:val="both"/>
        <w:rPr>
          <w:lang w:val="en-NZ"/>
        </w:rPr>
      </w:pPr>
      <w:r w:rsidRPr="00D606EF">
        <w:rPr>
          <w:lang w:val="en-NZ"/>
        </w:rPr>
        <w:t>Input Documents: APG23-4/INP-10 (J), INP-17 (AUS), INP-26 (IRN), INP-37 (KOR), INP-43 (CHN), INP-53 (NZL), INP-64 (IND), INP-77 (VTN)</w:t>
      </w:r>
    </w:p>
    <w:p w14:paraId="29865AF0" w14:textId="1911FC9C" w:rsidR="002A0111" w:rsidRPr="00D606EF" w:rsidRDefault="00D606EF" w:rsidP="00A32DFD">
      <w:pPr>
        <w:numPr>
          <w:ilvl w:val="0"/>
          <w:numId w:val="18"/>
        </w:numPr>
        <w:adjustRightInd w:val="0"/>
        <w:snapToGrid w:val="0"/>
        <w:spacing w:after="100" w:line="264" w:lineRule="auto"/>
        <w:ind w:leftChars="145" w:left="709" w:hanging="361"/>
        <w:jc w:val="both"/>
        <w:rPr>
          <w:b/>
          <w:lang w:val="en-NZ" w:eastAsia="ko-KR"/>
        </w:rPr>
      </w:pPr>
      <w:r w:rsidRPr="00D606EF">
        <w:rPr>
          <w:lang w:val="en-NZ"/>
        </w:rPr>
        <w:t xml:space="preserve">Information Documents: APG23-4/INF-02 (ATU), INF-3 (WMO), </w:t>
      </w:r>
      <w:r>
        <w:rPr>
          <w:rFonts w:hint="eastAsia"/>
        </w:rPr>
        <w:t>I</w:t>
      </w:r>
      <w:r>
        <w:t>NF-13 (DG Chair)</w:t>
      </w:r>
      <w:r w:rsidR="00734D6A">
        <w:t xml:space="preserve">, </w:t>
      </w:r>
      <w:r w:rsidRPr="00D606EF">
        <w:rPr>
          <w:lang w:val="en-NZ"/>
        </w:rPr>
        <w:t>INF-21 (ASMG), INF-27 (IARU), INF-28 (CITEL), INF-44 (RCC), INF-48 (CEPT)</w:t>
      </w:r>
    </w:p>
    <w:p w14:paraId="26D36DDD" w14:textId="0FF96D5C" w:rsidR="005206E9" w:rsidRDefault="005206E9" w:rsidP="00A32DFD">
      <w:pPr>
        <w:adjustRightInd w:val="0"/>
        <w:snapToGrid w:val="0"/>
        <w:spacing w:after="100" w:line="264" w:lineRule="auto"/>
        <w:rPr>
          <w:b/>
          <w:lang w:val="en-NZ" w:eastAsia="ko-KR"/>
        </w:rPr>
      </w:pPr>
    </w:p>
    <w:p w14:paraId="182A6C43" w14:textId="77777777" w:rsidR="002A0111" w:rsidRPr="00441526" w:rsidRDefault="002A0111" w:rsidP="00A32DFD">
      <w:pPr>
        <w:adjustRightInd w:val="0"/>
        <w:snapToGrid w:val="0"/>
        <w:spacing w:after="100" w:line="264" w:lineRule="auto"/>
        <w:rPr>
          <w:b/>
          <w:lang w:val="en-NZ" w:eastAsia="ko-KR"/>
        </w:rPr>
      </w:pPr>
      <w:r w:rsidRPr="00441526">
        <w:rPr>
          <w:b/>
          <w:lang w:val="en-NZ" w:eastAsia="ko-KR"/>
        </w:rPr>
        <w:lastRenderedPageBreak/>
        <w:t xml:space="preserve">3. </w:t>
      </w:r>
      <w:r w:rsidRPr="00441526">
        <w:rPr>
          <w:b/>
          <w:lang w:val="en-NZ" w:eastAsia="ko-KR"/>
        </w:rPr>
        <w:tab/>
        <w:t>Summary of discussions</w:t>
      </w:r>
    </w:p>
    <w:p w14:paraId="696638F2" w14:textId="6EE50975" w:rsidR="002A0111" w:rsidRPr="0095406E" w:rsidRDefault="002A0111" w:rsidP="00A32DFD">
      <w:pPr>
        <w:adjustRightInd w:val="0"/>
        <w:snapToGrid w:val="0"/>
        <w:spacing w:after="100" w:line="264" w:lineRule="auto"/>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1A3978D" w14:textId="3DE334DA" w:rsidR="002A0111" w:rsidRPr="00441526" w:rsidRDefault="002A0111" w:rsidP="00A32DFD">
      <w:pPr>
        <w:adjustRightInd w:val="0"/>
        <w:snapToGrid w:val="0"/>
        <w:spacing w:after="100" w:line="264" w:lineRule="auto"/>
        <w:jc w:val="both"/>
        <w:rPr>
          <w:b/>
          <w:lang w:val="en-NZ" w:eastAsia="ko-KR"/>
        </w:rPr>
      </w:pPr>
      <w:r w:rsidRPr="00441526">
        <w:rPr>
          <w:b/>
          <w:lang w:val="en-NZ" w:eastAsia="ko-KR"/>
        </w:rPr>
        <w:t xml:space="preserve">3.1.1 </w:t>
      </w:r>
      <w:r w:rsidRPr="00441526">
        <w:rPr>
          <w:b/>
          <w:lang w:val="en-NZ" w:eastAsia="ko-KR"/>
        </w:rPr>
        <w:tab/>
      </w:r>
      <w:r w:rsidR="00734D6A">
        <w:rPr>
          <w:b/>
          <w:lang w:val="en-NZ" w:eastAsia="ko-KR"/>
        </w:rPr>
        <w:t xml:space="preserve">Japan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/INP-</w:t>
      </w:r>
      <w:r w:rsidR="00734D6A">
        <w:rPr>
          <w:b/>
          <w:lang w:val="en-NZ" w:eastAsia="ko-KR"/>
        </w:rPr>
        <w:t>10</w:t>
      </w:r>
    </w:p>
    <w:p w14:paraId="271B6BE1" w14:textId="77777777" w:rsidR="001C25C5" w:rsidRPr="003D5D62" w:rsidRDefault="001C25C5" w:rsidP="00A32DFD">
      <w:pPr>
        <w:adjustRightInd w:val="0"/>
        <w:snapToGrid w:val="0"/>
        <w:spacing w:after="100" w:line="264" w:lineRule="auto"/>
        <w:jc w:val="both"/>
      </w:pPr>
      <w:r w:rsidRPr="003D5D62">
        <w:t>Japan supports the studies at ITU-R for ensuring the protection of the existing primary services including the protection for IMT systems deployed in the same and adjacent frequency bands for Region 3, noting that this Agenda Item addresses the possible new allocation to MSS in Regions 1 and 2. In addition, these existing primary services should be able to continue operations without additional regulatory or technical constraints imposed on these services, in any potential decisions made at WRC-23 regarding agenda item 1.18.</w:t>
      </w:r>
    </w:p>
    <w:p w14:paraId="43270B19" w14:textId="77777777" w:rsidR="002A0111" w:rsidRPr="00441526" w:rsidRDefault="002A0111" w:rsidP="00A32DFD">
      <w:pPr>
        <w:adjustRightInd w:val="0"/>
        <w:snapToGrid w:val="0"/>
        <w:spacing w:after="100" w:line="264" w:lineRule="auto"/>
        <w:jc w:val="both"/>
        <w:rPr>
          <w:lang w:val="en-NZ"/>
        </w:rPr>
      </w:pPr>
    </w:p>
    <w:p w14:paraId="4BE19BD1" w14:textId="4396FFE0" w:rsidR="002A0111" w:rsidRPr="00441526" w:rsidRDefault="002A0111" w:rsidP="00A32DFD">
      <w:pPr>
        <w:adjustRightInd w:val="0"/>
        <w:snapToGrid w:val="0"/>
        <w:spacing w:after="100" w:line="264" w:lineRule="auto"/>
        <w:jc w:val="both"/>
        <w:rPr>
          <w:b/>
          <w:lang w:val="en-NZ" w:eastAsia="ko-KR"/>
        </w:rPr>
      </w:pPr>
      <w:r w:rsidRPr="00441526">
        <w:rPr>
          <w:b/>
          <w:lang w:val="en-NZ" w:eastAsia="ko-KR"/>
        </w:rPr>
        <w:t xml:space="preserve">3.1.2 </w:t>
      </w:r>
      <w:r w:rsidRPr="00441526">
        <w:rPr>
          <w:b/>
          <w:lang w:val="en-NZ" w:eastAsia="ko-KR"/>
        </w:rPr>
        <w:tab/>
      </w:r>
      <w:r w:rsidR="00734D6A">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/INP-</w:t>
      </w:r>
      <w:r w:rsidR="00734D6A">
        <w:rPr>
          <w:b/>
          <w:lang w:val="en-NZ" w:eastAsia="ko-KR"/>
        </w:rPr>
        <w:t>17</w:t>
      </w:r>
    </w:p>
    <w:p w14:paraId="291F03C4" w14:textId="77777777" w:rsidR="00F50775" w:rsidRPr="00CD7B6C" w:rsidRDefault="00F50775" w:rsidP="004D4BD7">
      <w:pPr>
        <w:adjustRightInd w:val="0"/>
        <w:snapToGrid w:val="0"/>
        <w:spacing w:after="100" w:line="264" w:lineRule="auto"/>
        <w:jc w:val="both"/>
      </w:pPr>
      <w:r w:rsidRPr="00CD7B6C">
        <w:t>Noting that this is a Region 1 and 2 issue, Australia supports sharing and compatibility studies with existing primary services to determine the suitability of new allocations to the mobile-satellite service (MSS), with a view to protecting the primary services, in the relevant frequency bands and adjacent frequency bands, without causing undue constraints on their further development.</w:t>
      </w:r>
    </w:p>
    <w:p w14:paraId="527F937C" w14:textId="77777777" w:rsidR="002A0111" w:rsidRPr="00441526" w:rsidRDefault="002A0111" w:rsidP="00A32DFD">
      <w:pPr>
        <w:adjustRightInd w:val="0"/>
        <w:snapToGrid w:val="0"/>
        <w:spacing w:after="100" w:line="264" w:lineRule="auto"/>
        <w:jc w:val="both"/>
        <w:rPr>
          <w:lang w:val="en-NZ"/>
        </w:rPr>
      </w:pPr>
      <w:r w:rsidRPr="00441526">
        <w:rPr>
          <w:lang w:val="en-NZ"/>
        </w:rPr>
        <w:t xml:space="preserve">. </w:t>
      </w:r>
    </w:p>
    <w:p w14:paraId="0349DDC2" w14:textId="6921751E" w:rsidR="002A0111" w:rsidRPr="00441526" w:rsidRDefault="002A0111" w:rsidP="00A32DFD">
      <w:pPr>
        <w:adjustRightInd w:val="0"/>
        <w:snapToGrid w:val="0"/>
        <w:spacing w:after="100" w:line="264" w:lineRule="auto"/>
        <w:jc w:val="both"/>
        <w:rPr>
          <w:b/>
          <w:lang w:val="en-NZ" w:eastAsia="ko-KR"/>
        </w:rPr>
      </w:pPr>
      <w:r w:rsidRPr="00441526">
        <w:rPr>
          <w:b/>
          <w:lang w:val="en-NZ" w:eastAsia="ko-KR"/>
        </w:rPr>
        <w:t>3.1.</w:t>
      </w:r>
      <w:r w:rsidR="00734D6A">
        <w:rPr>
          <w:b/>
          <w:lang w:val="en-NZ" w:eastAsia="ko-KR"/>
        </w:rPr>
        <w:t>3</w:t>
      </w:r>
      <w:r w:rsidRPr="00441526">
        <w:rPr>
          <w:b/>
          <w:lang w:val="en-NZ" w:eastAsia="ko-KR"/>
        </w:rPr>
        <w:tab/>
      </w:r>
      <w:r w:rsidR="00734D6A">
        <w:rPr>
          <w:b/>
          <w:lang w:val="en-NZ" w:eastAsia="ko-KR"/>
        </w:rPr>
        <w:t>Iran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/INP-</w:t>
      </w:r>
      <w:r w:rsidR="00734D6A">
        <w:rPr>
          <w:b/>
          <w:lang w:val="en-NZ" w:eastAsia="ko-KR"/>
        </w:rPr>
        <w:t>26</w:t>
      </w:r>
    </w:p>
    <w:p w14:paraId="79298969" w14:textId="63A8BFB1" w:rsidR="005F669D" w:rsidRDefault="005F669D" w:rsidP="00A32DFD">
      <w:pPr>
        <w:adjustRightInd w:val="0"/>
        <w:snapToGrid w:val="0"/>
        <w:spacing w:after="100" w:line="264" w:lineRule="auto"/>
        <w:jc w:val="both"/>
      </w:pPr>
      <w:r w:rsidRPr="00E04EA0">
        <w:t>This administration`s preliminary views are as follows</w:t>
      </w:r>
      <w:r>
        <w:t>:</w:t>
      </w:r>
    </w:p>
    <w:p w14:paraId="49897A87" w14:textId="77777777" w:rsidR="005F669D" w:rsidRDefault="005F669D" w:rsidP="00A32DFD">
      <w:pPr>
        <w:adjustRightInd w:val="0"/>
        <w:snapToGrid w:val="0"/>
        <w:spacing w:after="100" w:line="264" w:lineRule="auto"/>
        <w:jc w:val="both"/>
      </w:pPr>
      <w:r>
        <w:t>Method A</w:t>
      </w:r>
    </w:p>
    <w:p w14:paraId="22A92CB4" w14:textId="5BCEE29C" w:rsidR="005F669D" w:rsidRDefault="005F669D" w:rsidP="00A32DFD">
      <w:pPr>
        <w:adjustRightInd w:val="0"/>
        <w:snapToGrid w:val="0"/>
        <w:spacing w:after="100" w:line="264" w:lineRule="auto"/>
        <w:jc w:val="both"/>
      </w:pPr>
      <w:r w:rsidRPr="00100E76">
        <w:t>No Change.</w:t>
      </w:r>
    </w:p>
    <w:p w14:paraId="4F24C7E3" w14:textId="77777777" w:rsidR="005F669D" w:rsidRDefault="005F669D" w:rsidP="00A32DFD">
      <w:pPr>
        <w:adjustRightInd w:val="0"/>
        <w:snapToGrid w:val="0"/>
        <w:spacing w:after="100" w:line="264" w:lineRule="auto"/>
        <w:jc w:val="both"/>
      </w:pPr>
      <w:r>
        <w:t>Reasons for NO CHANGE:</w:t>
      </w:r>
    </w:p>
    <w:p w14:paraId="511528C7" w14:textId="77777777" w:rsidR="005F669D" w:rsidRDefault="005F669D" w:rsidP="00A32DFD">
      <w:pPr>
        <w:adjustRightInd w:val="0"/>
        <w:snapToGrid w:val="0"/>
        <w:spacing w:after="100" w:line="264" w:lineRule="auto"/>
        <w:jc w:val="both"/>
      </w:pPr>
      <w:r w:rsidRPr="00E04EA0">
        <w:t>Various concerns were raised in ITU-R in regard with this agenda item w</w:t>
      </w:r>
      <w:r>
        <w:t>h</w:t>
      </w:r>
      <w:r w:rsidRPr="00E04EA0">
        <w:t>i</w:t>
      </w:r>
      <w:r>
        <w:t>ch</w:t>
      </w:r>
      <w:r w:rsidRPr="00E04EA0">
        <w:t xml:space="preserve"> are summarized in following paragraphs</w:t>
      </w:r>
      <w:r>
        <w:t>:</w:t>
      </w:r>
    </w:p>
    <w:p w14:paraId="33CA47EA" w14:textId="77777777" w:rsidR="005F669D" w:rsidRPr="00E04EA0" w:rsidRDefault="005F669D" w:rsidP="00A32DFD">
      <w:pPr>
        <w:pStyle w:val="ListParagraph"/>
        <w:numPr>
          <w:ilvl w:val="0"/>
          <w:numId w:val="24"/>
        </w:numPr>
        <w:adjustRightInd w:val="0"/>
        <w:snapToGrid w:val="0"/>
        <w:spacing w:after="100" w:line="264" w:lineRule="auto"/>
        <w:jc w:val="both"/>
      </w:pPr>
      <w:r>
        <w:rPr>
          <w:rFonts w:ascii="Arial" w:hAnsi="Arial" w:cs="Arial"/>
          <w:b/>
          <w:bCs/>
          <w:color w:val="000000"/>
          <w:sz w:val="20"/>
          <w:szCs w:val="20"/>
        </w:rPr>
        <w:t> </w:t>
      </w:r>
      <w:r w:rsidRPr="00E04EA0">
        <w:rPr>
          <w:color w:val="000000"/>
        </w:rPr>
        <w:t>The MSS narrow-band (NB) technical and operational characteristics limited to the 1 system in this study have not been fully discussed or agreed to by WP 4C.  It is also understood that there are other MSS NB systems that have not been considered or reflected in any sharing and compatibility studies for those frequency bands under this agenda item.</w:t>
      </w:r>
    </w:p>
    <w:p w14:paraId="7235ABE1" w14:textId="77777777" w:rsidR="005F669D" w:rsidRPr="00E04EA0" w:rsidRDefault="005F669D" w:rsidP="00A32DFD">
      <w:pPr>
        <w:pStyle w:val="ListParagraph"/>
        <w:numPr>
          <w:ilvl w:val="0"/>
          <w:numId w:val="24"/>
        </w:numPr>
        <w:adjustRightInd w:val="0"/>
        <w:snapToGrid w:val="0"/>
        <w:spacing w:after="100" w:line="264" w:lineRule="auto"/>
        <w:jc w:val="both"/>
      </w:pPr>
      <w:r w:rsidRPr="00E04EA0">
        <w:rPr>
          <w:color w:val="000000"/>
        </w:rPr>
        <w:t xml:space="preserve">There are no comprehensive sharing studies done because of the lack of agreed to MSS NB technical characteristics.  </w:t>
      </w:r>
      <w:proofErr w:type="gramStart"/>
      <w:r w:rsidRPr="00E04EA0">
        <w:rPr>
          <w:color w:val="000000"/>
        </w:rPr>
        <w:t>In light of</w:t>
      </w:r>
      <w:proofErr w:type="gramEnd"/>
      <w:r w:rsidRPr="00E04EA0">
        <w:rPr>
          <w:color w:val="000000"/>
        </w:rPr>
        <w:t xml:space="preserve"> the difficulties with MSS NB system parameters, sharing and feasibility studies have not been fully performed, considered or agreed to by WP 4C.</w:t>
      </w:r>
    </w:p>
    <w:p w14:paraId="100FC8B5" w14:textId="77777777" w:rsidR="005F669D" w:rsidRPr="00E04EA0" w:rsidRDefault="005F669D" w:rsidP="00A32DFD">
      <w:pPr>
        <w:pStyle w:val="ListParagraph"/>
        <w:numPr>
          <w:ilvl w:val="1"/>
          <w:numId w:val="24"/>
        </w:numPr>
        <w:adjustRightInd w:val="0"/>
        <w:snapToGrid w:val="0"/>
        <w:spacing w:after="100" w:line="264" w:lineRule="auto"/>
        <w:jc w:val="both"/>
      </w:pPr>
      <w:r w:rsidRPr="00E04EA0">
        <w:rPr>
          <w:color w:val="000000"/>
        </w:rPr>
        <w:t>There is ambiguity in Resolution 248, recognizing c) and how that should be applied.</w:t>
      </w:r>
    </w:p>
    <w:p w14:paraId="489385DF" w14:textId="77777777" w:rsidR="005F669D" w:rsidRPr="00E04EA0" w:rsidRDefault="005F669D" w:rsidP="00A32DFD">
      <w:pPr>
        <w:pStyle w:val="ListParagraph"/>
        <w:numPr>
          <w:ilvl w:val="1"/>
          <w:numId w:val="24"/>
        </w:numPr>
        <w:adjustRightInd w:val="0"/>
        <w:snapToGrid w:val="0"/>
        <w:spacing w:after="100" w:line="264" w:lineRule="auto"/>
        <w:jc w:val="both"/>
      </w:pPr>
      <w:r w:rsidRPr="00E04EA0">
        <w:rPr>
          <w:color w:val="000000"/>
        </w:rPr>
        <w:t>Accordingly, the ITU-R has not yet been able to perform a comprehensive sharing analysis with stakeholders in the band and this document.</w:t>
      </w:r>
    </w:p>
    <w:p w14:paraId="5E8385BD" w14:textId="77777777" w:rsidR="005F669D" w:rsidRPr="00E04EA0" w:rsidRDefault="005F669D" w:rsidP="00A32DFD">
      <w:pPr>
        <w:pStyle w:val="ListParagraph"/>
        <w:numPr>
          <w:ilvl w:val="1"/>
          <w:numId w:val="24"/>
        </w:numPr>
        <w:adjustRightInd w:val="0"/>
        <w:snapToGrid w:val="0"/>
        <w:spacing w:after="100" w:line="264" w:lineRule="auto"/>
        <w:jc w:val="both"/>
      </w:pPr>
      <w:r w:rsidRPr="00E04EA0">
        <w:rPr>
          <w:color w:val="000000"/>
        </w:rPr>
        <w:t>The analysis is solely based on an uplink analysis as opposed to a network basis (uplink/downlink).</w:t>
      </w:r>
    </w:p>
    <w:p w14:paraId="76AE99AB" w14:textId="77777777" w:rsidR="005F669D" w:rsidRPr="00E04EA0" w:rsidRDefault="005F669D" w:rsidP="00A32DFD">
      <w:pPr>
        <w:pStyle w:val="ListParagraph"/>
        <w:numPr>
          <w:ilvl w:val="1"/>
          <w:numId w:val="24"/>
        </w:numPr>
        <w:adjustRightInd w:val="0"/>
        <w:snapToGrid w:val="0"/>
        <w:spacing w:after="100" w:line="264" w:lineRule="auto"/>
        <w:jc w:val="both"/>
      </w:pPr>
      <w:r w:rsidRPr="00E04EA0">
        <w:rPr>
          <w:color w:val="000000"/>
        </w:rPr>
        <w:lastRenderedPageBreak/>
        <w:t>This analysis is for only one system; there are several other systems that have not be fully reviewed or studied.</w:t>
      </w:r>
    </w:p>
    <w:p w14:paraId="234A388C" w14:textId="77777777" w:rsidR="005F669D" w:rsidRPr="00E04EA0" w:rsidRDefault="005F669D" w:rsidP="00A32DFD">
      <w:pPr>
        <w:pStyle w:val="ListParagraph"/>
        <w:numPr>
          <w:ilvl w:val="0"/>
          <w:numId w:val="24"/>
        </w:numPr>
        <w:adjustRightInd w:val="0"/>
        <w:snapToGrid w:val="0"/>
        <w:spacing w:after="100" w:line="264" w:lineRule="auto"/>
        <w:jc w:val="both"/>
      </w:pPr>
      <w:r w:rsidRPr="00E04EA0">
        <w:rPr>
          <w:color w:val="000000"/>
        </w:rPr>
        <w:t>In light the disagreement on the MSS NB system parameters within WP 4C, the results of the studies below are not representative, preliminary in nature and have not demonstrated that all incumbent services will be protected from harmful interference in accordance with Resolution 248 (WRC-19).</w:t>
      </w:r>
    </w:p>
    <w:p w14:paraId="71681D69" w14:textId="77777777" w:rsidR="005F669D" w:rsidRPr="00621920" w:rsidRDefault="005F669D" w:rsidP="00A32DFD">
      <w:pPr>
        <w:pStyle w:val="ListParagraph"/>
        <w:numPr>
          <w:ilvl w:val="1"/>
          <w:numId w:val="24"/>
        </w:numPr>
        <w:adjustRightInd w:val="0"/>
        <w:snapToGrid w:val="0"/>
        <w:spacing w:after="100" w:line="264" w:lineRule="auto"/>
        <w:jc w:val="both"/>
      </w:pPr>
      <w:r w:rsidRPr="00E04EA0">
        <w:rPr>
          <w:color w:val="000000"/>
        </w:rPr>
        <w:t>These sharing studies have not been liaised with any of the contributing groups under this agenda item and may not reflect the proper application of incumbent system parameters and their protection criteria.</w:t>
      </w:r>
    </w:p>
    <w:p w14:paraId="423D3B15" w14:textId="77777777" w:rsidR="005F669D" w:rsidRPr="00621920" w:rsidRDefault="005F669D" w:rsidP="00A32DFD">
      <w:pPr>
        <w:pStyle w:val="ListParagraph"/>
        <w:numPr>
          <w:ilvl w:val="0"/>
          <w:numId w:val="24"/>
        </w:numPr>
        <w:adjustRightInd w:val="0"/>
        <w:snapToGrid w:val="0"/>
        <w:spacing w:after="100" w:line="264" w:lineRule="auto"/>
        <w:jc w:val="both"/>
      </w:pPr>
      <w:proofErr w:type="gramStart"/>
      <w:r w:rsidRPr="00621920">
        <w:rPr>
          <w:color w:val="000000"/>
        </w:rPr>
        <w:t>Taking into account</w:t>
      </w:r>
      <w:proofErr w:type="gramEnd"/>
      <w:r w:rsidRPr="00621920">
        <w:rPr>
          <w:color w:val="000000"/>
        </w:rPr>
        <w:t xml:space="preserve"> the above concerns and noting the limited time to complete the work under this agenda item,</w:t>
      </w:r>
    </w:p>
    <w:p w14:paraId="42106ADF" w14:textId="77777777" w:rsidR="005F669D" w:rsidRPr="00621920" w:rsidRDefault="005F669D" w:rsidP="00A32DFD">
      <w:pPr>
        <w:pStyle w:val="NormalWeb"/>
        <w:numPr>
          <w:ilvl w:val="0"/>
          <w:numId w:val="24"/>
        </w:numPr>
        <w:adjustRightInd w:val="0"/>
        <w:snapToGrid w:val="0"/>
        <w:spacing w:before="0" w:beforeAutospacing="0" w:afterAutospacing="0" w:line="264" w:lineRule="auto"/>
        <w:rPr>
          <w:color w:val="000000"/>
        </w:rPr>
      </w:pPr>
      <w:r w:rsidRPr="00621920">
        <w:rPr>
          <w:color w:val="000000"/>
        </w:rPr>
        <w:t>All ambiguities and shortcomings of the Resolution 248 should be reviewed at WRC-23 together with any necessary actions to be taken, as appropriate.</w:t>
      </w:r>
    </w:p>
    <w:p w14:paraId="4D3FBC26" w14:textId="2121CFDA" w:rsidR="00734D6A" w:rsidRDefault="00734D6A" w:rsidP="00A32DFD">
      <w:pPr>
        <w:adjustRightInd w:val="0"/>
        <w:snapToGrid w:val="0"/>
        <w:spacing w:after="100" w:line="264" w:lineRule="auto"/>
        <w:jc w:val="both"/>
        <w:rPr>
          <w:lang w:val="en-NZ"/>
        </w:rPr>
      </w:pPr>
    </w:p>
    <w:p w14:paraId="261BA9CC" w14:textId="320C62D7" w:rsidR="00734D6A" w:rsidRPr="00441526" w:rsidRDefault="00734D6A" w:rsidP="00A32DFD">
      <w:pPr>
        <w:adjustRightInd w:val="0"/>
        <w:snapToGrid w:val="0"/>
        <w:spacing w:after="100" w:line="264" w:lineRule="auto"/>
        <w:jc w:val="both"/>
        <w:rPr>
          <w:b/>
          <w:lang w:val="en-NZ" w:eastAsia="ko-KR"/>
        </w:rPr>
      </w:pPr>
      <w:r w:rsidRPr="00441526">
        <w:rPr>
          <w:b/>
          <w:lang w:val="en-NZ" w:eastAsia="ko-KR"/>
        </w:rPr>
        <w:t>3.1.</w:t>
      </w:r>
      <w:r>
        <w:rPr>
          <w:b/>
          <w:lang w:val="en-NZ" w:eastAsia="ko-KR"/>
        </w:rPr>
        <w:t>4</w:t>
      </w:r>
      <w:r w:rsidRPr="00441526">
        <w:rPr>
          <w:b/>
          <w:lang w:val="en-NZ" w:eastAsia="ko-KR"/>
        </w:rPr>
        <w:tab/>
      </w:r>
      <w:r>
        <w:rPr>
          <w:b/>
          <w:lang w:val="en-NZ" w:eastAsia="ko-KR"/>
        </w:rPr>
        <w:t>Korea (Rep.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37</w:t>
      </w:r>
    </w:p>
    <w:p w14:paraId="5DA2DF88" w14:textId="77777777" w:rsidR="006407EC" w:rsidRPr="00B31E4C" w:rsidRDefault="006407EC" w:rsidP="00A32DFD">
      <w:pPr>
        <w:adjustRightInd w:val="0"/>
        <w:snapToGrid w:val="0"/>
        <w:spacing w:after="100" w:line="264" w:lineRule="auto"/>
        <w:jc w:val="both"/>
        <w:rPr>
          <w:rFonts w:eastAsia="SimSun"/>
          <w:lang w:eastAsia="zh-CN"/>
        </w:rPr>
      </w:pPr>
      <w:r>
        <w:rPr>
          <w:color w:val="000000"/>
          <w:shd w:val="clear" w:color="auto" w:fill="FFFFFF"/>
        </w:rPr>
        <w:t>The Republic of Korea</w:t>
      </w:r>
      <w:r w:rsidRPr="00A47185">
        <w:rPr>
          <w:rFonts w:eastAsia="SimSun" w:hint="eastAsia"/>
          <w:lang w:eastAsia="zh-CN"/>
        </w:rPr>
        <w:t xml:space="preserve"> support</w:t>
      </w:r>
      <w:r>
        <w:rPr>
          <w:rFonts w:eastAsia="SimSun"/>
          <w:lang w:eastAsia="zh-CN"/>
        </w:rPr>
        <w:t>s</w:t>
      </w:r>
      <w:r w:rsidRPr="00A47185">
        <w:rPr>
          <w:rFonts w:eastAsia="SimSun" w:hint="eastAsia"/>
          <w:lang w:eastAsia="zh-CN"/>
        </w:rPr>
        <w:t xml:space="preserve"> sharing and compatibility studies with existing primary services to determine the suitability of new allocations to the mobile-satellite service (MSS), while ensuring no adverse effect on the allocation of the existing services</w:t>
      </w:r>
      <w:r>
        <w:rPr>
          <w:rFonts w:eastAsia="SimSun"/>
          <w:lang w:eastAsia="zh-CN"/>
        </w:rPr>
        <w:t xml:space="preserve"> including IMT</w:t>
      </w:r>
      <w:r w:rsidRPr="00A47185">
        <w:rPr>
          <w:rFonts w:eastAsia="SimSun" w:hint="eastAsia"/>
          <w:lang w:eastAsia="zh-CN"/>
        </w:rPr>
        <w:t xml:space="preserve"> and their future development in the same and adjacent frequency bands which allocated for </w:t>
      </w:r>
      <w:proofErr w:type="gramStart"/>
      <w:r w:rsidRPr="00A47185">
        <w:rPr>
          <w:rFonts w:eastAsia="SimSun" w:hint="eastAsia"/>
          <w:lang w:eastAsia="zh-CN"/>
        </w:rPr>
        <w:t>Region</w:t>
      </w:r>
      <w:proofErr w:type="gramEnd"/>
      <w:r w:rsidRPr="00A47185">
        <w:rPr>
          <w:rFonts w:eastAsia="SimSun" w:hint="eastAsia"/>
          <w:lang w:eastAsia="zh-CN"/>
        </w:rPr>
        <w:t xml:space="preserve"> 3</w:t>
      </w:r>
      <w:r w:rsidRPr="00A47185">
        <w:rPr>
          <w:rFonts w:eastAsia="SimSun"/>
          <w:lang w:eastAsia="zh-CN"/>
        </w:rPr>
        <w:t>.</w:t>
      </w:r>
    </w:p>
    <w:p w14:paraId="4C664C42" w14:textId="77777777" w:rsidR="006407EC" w:rsidRDefault="006407EC" w:rsidP="00A32DFD">
      <w:pPr>
        <w:adjustRightInd w:val="0"/>
        <w:snapToGrid w:val="0"/>
        <w:spacing w:after="100" w:line="264" w:lineRule="auto"/>
        <w:jc w:val="both"/>
        <w:rPr>
          <w:rFonts w:eastAsia="SimSun"/>
          <w:lang w:eastAsia="zh-CN"/>
        </w:rPr>
      </w:pPr>
      <w:r>
        <w:rPr>
          <w:color w:val="000000"/>
          <w:shd w:val="clear" w:color="auto" w:fill="FFFFFF"/>
        </w:rPr>
        <w:t>The Republic of Korea</w:t>
      </w:r>
      <w:r w:rsidRPr="00B31E4C">
        <w:rPr>
          <w:rFonts w:eastAsia="SimSun"/>
          <w:lang w:eastAsia="zh-CN"/>
        </w:rPr>
        <w:t xml:space="preserve"> is</w:t>
      </w:r>
      <w:r>
        <w:rPr>
          <w:rFonts w:eastAsia="SimSun"/>
          <w:lang w:eastAsia="zh-CN"/>
        </w:rPr>
        <w:t xml:space="preserve"> also </w:t>
      </w:r>
      <w:r w:rsidRPr="00B31E4C">
        <w:rPr>
          <w:rFonts w:eastAsia="SimSun"/>
          <w:lang w:eastAsia="zh-CN"/>
        </w:rPr>
        <w:t xml:space="preserve">of the view that if there is no consensus whether 27 </w:t>
      </w:r>
      <w:proofErr w:type="spellStart"/>
      <w:r w:rsidRPr="00B31E4C">
        <w:rPr>
          <w:rFonts w:eastAsia="SimSun"/>
          <w:lang w:eastAsia="zh-CN"/>
        </w:rPr>
        <w:t>dBW</w:t>
      </w:r>
      <w:proofErr w:type="spellEnd"/>
      <w:r w:rsidRPr="00B31E4C">
        <w:rPr>
          <w:rFonts w:eastAsia="SimSun"/>
          <w:lang w:eastAsia="zh-CN"/>
        </w:rPr>
        <w:t xml:space="preserve"> </w:t>
      </w:r>
      <w:proofErr w:type="spellStart"/>
      <w:r w:rsidRPr="00DC5F7F">
        <w:rPr>
          <w:rFonts w:eastAsia="SimSun"/>
          <w:lang w:eastAsia="zh-CN"/>
        </w:rPr>
        <w:t>e.i.r.p</w:t>
      </w:r>
      <w:proofErr w:type="spellEnd"/>
      <w:r>
        <w:rPr>
          <w:rFonts w:eastAsia="SimSun"/>
          <w:lang w:eastAsia="zh-CN"/>
        </w:rPr>
        <w:t>.</w:t>
      </w:r>
      <w:r w:rsidRPr="00DC5F7F">
        <w:rPr>
          <w:rFonts w:eastAsia="SimSun"/>
          <w:lang w:eastAsia="zh-CN"/>
        </w:rPr>
        <w:t xml:space="preserve"> </w:t>
      </w:r>
      <w:r w:rsidRPr="00B31E4C">
        <w:rPr>
          <w:rFonts w:eastAsia="SimSun"/>
          <w:lang w:eastAsia="zh-CN"/>
        </w:rPr>
        <w:t xml:space="preserve">limit </w:t>
      </w:r>
      <w:r>
        <w:rPr>
          <w:rFonts w:eastAsia="SimSun"/>
          <w:lang w:eastAsia="zh-CN"/>
        </w:rPr>
        <w:t xml:space="preserve">should be </w:t>
      </w:r>
      <w:r w:rsidRPr="00B31E4C">
        <w:rPr>
          <w:rFonts w:eastAsia="SimSun"/>
          <w:lang w:eastAsia="zh-CN"/>
        </w:rPr>
        <w:t>applied on a per system or a per satellite basis at ITU-R, the sharing study with the other services allocated on the frequency bands related to this agenda item needs</w:t>
      </w:r>
      <w:r>
        <w:rPr>
          <w:rFonts w:eastAsia="SimSun"/>
          <w:lang w:eastAsia="zh-CN"/>
        </w:rPr>
        <w:t xml:space="preserve"> to</w:t>
      </w:r>
      <w:r w:rsidRPr="00B31E4C">
        <w:rPr>
          <w:rFonts w:eastAsia="SimSun"/>
          <w:lang w:eastAsia="zh-CN"/>
        </w:rPr>
        <w:t xml:space="preserve"> be completed by ITU-R with two applications, 27 </w:t>
      </w:r>
      <w:proofErr w:type="spellStart"/>
      <w:r w:rsidRPr="00B31E4C">
        <w:rPr>
          <w:rFonts w:eastAsia="SimSun"/>
          <w:lang w:eastAsia="zh-CN"/>
        </w:rPr>
        <w:t>dBW</w:t>
      </w:r>
      <w:proofErr w:type="spellEnd"/>
      <w:r w:rsidRPr="00B31E4C">
        <w:rPr>
          <w:rFonts w:eastAsia="SimSun"/>
          <w:lang w:eastAsia="zh-CN"/>
        </w:rPr>
        <w:t xml:space="preserve"> </w:t>
      </w:r>
      <w:proofErr w:type="spellStart"/>
      <w:r w:rsidRPr="00DC5F7F">
        <w:rPr>
          <w:rFonts w:eastAsia="SimSun"/>
          <w:lang w:eastAsia="zh-CN"/>
        </w:rPr>
        <w:t>e.i.r.p</w:t>
      </w:r>
      <w:proofErr w:type="spellEnd"/>
      <w:r>
        <w:rPr>
          <w:rFonts w:eastAsia="SimSun"/>
          <w:lang w:eastAsia="zh-CN"/>
        </w:rPr>
        <w:t>.</w:t>
      </w:r>
      <w:r w:rsidRPr="00B31E4C">
        <w:rPr>
          <w:rFonts w:eastAsia="SimSun"/>
          <w:lang w:eastAsia="zh-CN"/>
        </w:rPr>
        <w:t xml:space="preserve"> limit per system and a per satellite basis. </w:t>
      </w:r>
    </w:p>
    <w:p w14:paraId="0B885061" w14:textId="77777777" w:rsidR="006407EC" w:rsidRPr="00B31E4C" w:rsidRDefault="006407EC" w:rsidP="00A32DFD">
      <w:pPr>
        <w:adjustRightInd w:val="0"/>
        <w:snapToGrid w:val="0"/>
        <w:spacing w:after="100" w:line="264" w:lineRule="auto"/>
        <w:jc w:val="both"/>
        <w:rPr>
          <w:rFonts w:eastAsia="SimSun"/>
          <w:lang w:eastAsia="zh-CN"/>
        </w:rPr>
      </w:pPr>
      <w:r>
        <w:rPr>
          <w:rFonts w:eastAsia="SimSun"/>
          <w:lang w:eastAsia="zh-CN"/>
        </w:rPr>
        <w:t xml:space="preserve">The Republic of </w:t>
      </w:r>
      <w:r w:rsidRPr="00B31E4C">
        <w:rPr>
          <w:rFonts w:eastAsia="SimSun"/>
          <w:lang w:eastAsia="zh-CN"/>
        </w:rPr>
        <w:t>Korea is</w:t>
      </w:r>
      <w:r>
        <w:rPr>
          <w:rFonts w:eastAsia="SimSun"/>
          <w:lang w:eastAsia="zh-CN"/>
        </w:rPr>
        <w:t xml:space="preserve"> further</w:t>
      </w:r>
      <w:r w:rsidRPr="00B31E4C">
        <w:rPr>
          <w:rFonts w:eastAsia="SimSun"/>
          <w:lang w:eastAsia="zh-CN"/>
        </w:rPr>
        <w:t xml:space="preserve"> of the view that </w:t>
      </w:r>
      <w:proofErr w:type="gramStart"/>
      <w:r w:rsidRPr="00B31E4C">
        <w:rPr>
          <w:rFonts w:eastAsia="SimSun"/>
          <w:lang w:eastAsia="zh-CN"/>
        </w:rPr>
        <w:t>taking into account</w:t>
      </w:r>
      <w:proofErr w:type="gramEnd"/>
      <w:r>
        <w:rPr>
          <w:rFonts w:eastAsia="SimSun"/>
          <w:lang w:eastAsia="zh-CN"/>
        </w:rPr>
        <w:t xml:space="preserve"> </w:t>
      </w:r>
      <w:r w:rsidRPr="00B31E4C">
        <w:rPr>
          <w:rFonts w:eastAsia="SimSun"/>
          <w:lang w:eastAsia="zh-CN"/>
        </w:rPr>
        <w:t xml:space="preserve">the ITU-R study results, it is confirmed that the spectrum requirement for NB-MSS system would be less than 5 </w:t>
      </w:r>
      <w:proofErr w:type="spellStart"/>
      <w:r w:rsidRPr="00B31E4C">
        <w:rPr>
          <w:rFonts w:eastAsia="SimSun"/>
          <w:lang w:eastAsia="zh-CN"/>
        </w:rPr>
        <w:t>MHz.</w:t>
      </w:r>
      <w:proofErr w:type="spellEnd"/>
      <w:r w:rsidRPr="00B31E4C">
        <w:rPr>
          <w:rFonts w:eastAsia="SimSun"/>
          <w:lang w:eastAsia="zh-CN"/>
        </w:rPr>
        <w:t> </w:t>
      </w:r>
    </w:p>
    <w:p w14:paraId="71A8967C" w14:textId="77777777" w:rsidR="00734D6A" w:rsidRPr="00734D6A" w:rsidRDefault="00734D6A" w:rsidP="00A32DFD">
      <w:pPr>
        <w:adjustRightInd w:val="0"/>
        <w:snapToGrid w:val="0"/>
        <w:spacing w:after="100" w:line="264" w:lineRule="auto"/>
        <w:jc w:val="both"/>
        <w:rPr>
          <w:lang w:val="en-NZ"/>
        </w:rPr>
      </w:pPr>
    </w:p>
    <w:p w14:paraId="49EAEA65" w14:textId="0210FBAC" w:rsidR="00734D6A" w:rsidRPr="00441526" w:rsidRDefault="00734D6A" w:rsidP="00A32DFD">
      <w:pPr>
        <w:adjustRightInd w:val="0"/>
        <w:snapToGrid w:val="0"/>
        <w:spacing w:after="100" w:line="264" w:lineRule="auto"/>
        <w:jc w:val="both"/>
        <w:rPr>
          <w:b/>
          <w:lang w:val="en-NZ" w:eastAsia="ko-KR"/>
        </w:rPr>
      </w:pPr>
      <w:r w:rsidRPr="00441526">
        <w:rPr>
          <w:b/>
          <w:lang w:val="en-NZ" w:eastAsia="ko-KR"/>
        </w:rPr>
        <w:t>3.1.</w:t>
      </w:r>
      <w:r>
        <w:rPr>
          <w:b/>
          <w:lang w:val="en-NZ" w:eastAsia="ko-KR"/>
        </w:rPr>
        <w:t>5</w:t>
      </w:r>
      <w:r w:rsidRPr="00441526">
        <w:rPr>
          <w:b/>
          <w:lang w:val="en-NZ" w:eastAsia="ko-KR"/>
        </w:rPr>
        <w:tab/>
      </w:r>
      <w:r>
        <w:rPr>
          <w:b/>
          <w:lang w:val="en-NZ" w:eastAsia="ko-KR"/>
        </w:rPr>
        <w:t>China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43</w:t>
      </w:r>
    </w:p>
    <w:p w14:paraId="42B664F6" w14:textId="77777777" w:rsidR="006407EC" w:rsidRDefault="006407EC" w:rsidP="00A32DFD">
      <w:pPr>
        <w:adjustRightInd w:val="0"/>
        <w:snapToGrid w:val="0"/>
        <w:spacing w:after="100" w:line="264" w:lineRule="auto"/>
        <w:jc w:val="both"/>
        <w:rPr>
          <w:rFonts w:eastAsia="SimSun"/>
          <w:lang w:eastAsia="zh-CN"/>
        </w:rPr>
      </w:pPr>
      <w:r>
        <w:rPr>
          <w:rFonts w:eastAsia="SimSun" w:hint="eastAsia"/>
          <w:lang w:eastAsia="zh-CN"/>
        </w:rPr>
        <w:t>China</w:t>
      </w:r>
      <w:r>
        <w:rPr>
          <w:rFonts w:eastAsia="SimSun"/>
          <w:lang w:eastAsia="zh-CN"/>
        </w:rPr>
        <w:t xml:space="preserve"> supports ITU-R to conduct appropriate sharing and compatibility studies with incumbent services based on agreed MSS parameters to determine the </w:t>
      </w:r>
      <w:r>
        <w:rPr>
          <w:rFonts w:eastAsia="SimSun" w:hint="eastAsia"/>
          <w:lang w:eastAsia="zh-CN"/>
        </w:rPr>
        <w:t>p</w:t>
      </w:r>
      <w:r>
        <w:rPr>
          <w:rFonts w:eastAsia="SimSun"/>
          <w:lang w:eastAsia="zh-CN"/>
        </w:rPr>
        <w:t xml:space="preserve">ossibilities of new allocations to MSS for future development of narrowband mobile-satellite systems, while ensuring the protection for IMT systems operating in 2 010-2 025 MHz frequency band deployed in </w:t>
      </w:r>
      <w:proofErr w:type="gramStart"/>
      <w:r>
        <w:rPr>
          <w:rFonts w:eastAsia="SimSun"/>
          <w:lang w:eastAsia="zh-CN"/>
        </w:rPr>
        <w:t>Region</w:t>
      </w:r>
      <w:proofErr w:type="gramEnd"/>
      <w:r>
        <w:rPr>
          <w:rFonts w:eastAsia="SimSun"/>
          <w:lang w:eastAsia="zh-CN"/>
        </w:rPr>
        <w:t xml:space="preserve"> 3.</w:t>
      </w:r>
    </w:p>
    <w:p w14:paraId="26B35C5C" w14:textId="77777777" w:rsidR="00734D6A" w:rsidRPr="00734D6A" w:rsidRDefault="00734D6A" w:rsidP="00A32DFD">
      <w:pPr>
        <w:adjustRightInd w:val="0"/>
        <w:snapToGrid w:val="0"/>
        <w:spacing w:after="100" w:line="264" w:lineRule="auto"/>
        <w:ind w:left="708"/>
        <w:jc w:val="both"/>
        <w:rPr>
          <w:lang w:val="en-NZ"/>
        </w:rPr>
      </w:pPr>
    </w:p>
    <w:p w14:paraId="0F4698FE" w14:textId="5DDABCF6" w:rsidR="00734D6A" w:rsidRPr="00441526" w:rsidRDefault="00734D6A" w:rsidP="00A32DFD">
      <w:pPr>
        <w:adjustRightInd w:val="0"/>
        <w:snapToGrid w:val="0"/>
        <w:spacing w:after="100" w:line="264" w:lineRule="auto"/>
        <w:jc w:val="both"/>
        <w:rPr>
          <w:b/>
          <w:lang w:val="en-NZ" w:eastAsia="ko-KR"/>
        </w:rPr>
      </w:pPr>
      <w:r w:rsidRPr="00441526">
        <w:rPr>
          <w:b/>
          <w:lang w:val="en-NZ" w:eastAsia="ko-KR"/>
        </w:rPr>
        <w:t>3.1.</w:t>
      </w:r>
      <w:r>
        <w:rPr>
          <w:b/>
          <w:lang w:val="en-NZ" w:eastAsia="ko-KR"/>
        </w:rPr>
        <w:t>6</w:t>
      </w:r>
      <w:r w:rsidRPr="00441526">
        <w:rPr>
          <w:b/>
          <w:lang w:val="en-NZ" w:eastAsia="ko-KR"/>
        </w:rPr>
        <w:tab/>
      </w:r>
      <w:r>
        <w:rPr>
          <w:b/>
          <w:lang w:val="en-NZ" w:eastAsia="ko-KR"/>
        </w:rPr>
        <w:t>New Zealand</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53</w:t>
      </w:r>
    </w:p>
    <w:p w14:paraId="1E3960A7" w14:textId="77777777" w:rsidR="006407EC" w:rsidRPr="000B4D7A" w:rsidRDefault="006407EC" w:rsidP="00A32DFD">
      <w:pPr>
        <w:adjustRightInd w:val="0"/>
        <w:snapToGrid w:val="0"/>
        <w:spacing w:after="100" w:line="264" w:lineRule="auto"/>
        <w:jc w:val="both"/>
        <w:rPr>
          <w:rFonts w:cstheme="minorHAnsi"/>
        </w:rPr>
      </w:pPr>
      <w:r w:rsidRPr="000B4D7A">
        <w:rPr>
          <w:rFonts w:cstheme="minorHAnsi"/>
        </w:rPr>
        <w:t xml:space="preserve">New Zealand notes that this is a Region 1 and 2 issue, Region 3 is not in scope. However, any allocation to the mobile satellite service on other Regions should not have an adverse impact on existing services in </w:t>
      </w:r>
      <w:proofErr w:type="gramStart"/>
      <w:r w:rsidRPr="000B4D7A">
        <w:rPr>
          <w:rFonts w:cstheme="minorHAnsi"/>
        </w:rPr>
        <w:t>Region</w:t>
      </w:r>
      <w:proofErr w:type="gramEnd"/>
      <w:r w:rsidRPr="000B4D7A">
        <w:rPr>
          <w:rFonts w:cstheme="minorHAnsi"/>
        </w:rPr>
        <w:t xml:space="preserve"> 3. It is noted that s</w:t>
      </w:r>
      <w:r w:rsidRPr="000B4D7A">
        <w:t xml:space="preserve">ome countries are included in RR No </w:t>
      </w:r>
      <w:r w:rsidRPr="000B4D7A">
        <w:rPr>
          <w:b/>
        </w:rPr>
        <w:t>5.429</w:t>
      </w:r>
      <w:r w:rsidRPr="000B4D7A">
        <w:rPr>
          <w:rFonts w:cstheme="minorHAnsi"/>
        </w:rPr>
        <w:t xml:space="preserve"> as having and additional allocation to the fixed and mobile service for the 3</w:t>
      </w:r>
      <w:r>
        <w:rPr>
          <w:rFonts w:cstheme="minorHAnsi"/>
        </w:rPr>
        <w:t> </w:t>
      </w:r>
      <w:r w:rsidRPr="000B4D7A">
        <w:rPr>
          <w:rFonts w:cstheme="minorHAnsi"/>
        </w:rPr>
        <w:t>300 – 3</w:t>
      </w:r>
      <w:r>
        <w:rPr>
          <w:rFonts w:cstheme="minorHAnsi"/>
        </w:rPr>
        <w:t> </w:t>
      </w:r>
      <w:r w:rsidRPr="000B4D7A">
        <w:rPr>
          <w:rFonts w:cstheme="minorHAnsi"/>
        </w:rPr>
        <w:t>400 MHz frequency band.</w:t>
      </w:r>
    </w:p>
    <w:p w14:paraId="2BF481A1" w14:textId="0C372F26" w:rsidR="002A0111" w:rsidRDefault="002A0111" w:rsidP="00A32DFD">
      <w:pPr>
        <w:adjustRightInd w:val="0"/>
        <w:snapToGrid w:val="0"/>
        <w:spacing w:after="100" w:line="264" w:lineRule="auto"/>
        <w:jc w:val="both"/>
        <w:rPr>
          <w:lang w:val="en-NZ"/>
        </w:rPr>
      </w:pPr>
    </w:p>
    <w:p w14:paraId="0FCB8ADA" w14:textId="42387B91" w:rsidR="00734D6A" w:rsidRPr="00441526" w:rsidRDefault="00734D6A" w:rsidP="00A32DFD">
      <w:pPr>
        <w:adjustRightInd w:val="0"/>
        <w:snapToGrid w:val="0"/>
        <w:spacing w:after="100" w:line="264" w:lineRule="auto"/>
        <w:jc w:val="both"/>
        <w:rPr>
          <w:b/>
          <w:lang w:val="en-NZ" w:eastAsia="ko-KR"/>
        </w:rPr>
      </w:pPr>
      <w:r w:rsidRPr="00441526">
        <w:rPr>
          <w:b/>
          <w:lang w:val="en-NZ" w:eastAsia="ko-KR"/>
        </w:rPr>
        <w:lastRenderedPageBreak/>
        <w:t>3.1.</w:t>
      </w:r>
      <w:r>
        <w:rPr>
          <w:b/>
          <w:lang w:val="en-NZ" w:eastAsia="ko-KR"/>
        </w:rPr>
        <w:t>7</w:t>
      </w:r>
      <w:r w:rsidRPr="00441526">
        <w:rPr>
          <w:b/>
          <w:lang w:val="en-NZ" w:eastAsia="ko-KR"/>
        </w:rPr>
        <w:tab/>
      </w:r>
      <w:r w:rsidR="00D97CB5">
        <w:rPr>
          <w:b/>
          <w:lang w:val="en-NZ" w:eastAsia="ko-KR"/>
        </w:rPr>
        <w:t>India</w:t>
      </w:r>
      <w:r w:rsidR="00D97CB5"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64</w:t>
      </w:r>
    </w:p>
    <w:p w14:paraId="677AE91E" w14:textId="77777777" w:rsidR="002A1FAA" w:rsidRPr="000961B9" w:rsidRDefault="002A1FAA" w:rsidP="00A32DFD">
      <w:pPr>
        <w:adjustRightInd w:val="0"/>
        <w:snapToGrid w:val="0"/>
        <w:spacing w:after="100" w:line="264" w:lineRule="auto"/>
        <w:jc w:val="both"/>
      </w:pPr>
      <w:r w:rsidRPr="000961B9">
        <w:t xml:space="preserve">India is of the view that </w:t>
      </w:r>
      <w:r w:rsidRPr="000961B9">
        <w:rPr>
          <w:iCs/>
        </w:rPr>
        <w:t>potential new allocations to the mobile-satellite service</w:t>
      </w:r>
      <w:r w:rsidRPr="000961B9">
        <w:t xml:space="preserve"> for future development of narrowband mobile-satellite systems </w:t>
      </w:r>
      <w:r>
        <w:t xml:space="preserve">in </w:t>
      </w:r>
      <w:proofErr w:type="gramStart"/>
      <w:r>
        <w:t>Region</w:t>
      </w:r>
      <w:proofErr w:type="gramEnd"/>
      <w:r>
        <w:t xml:space="preserve"> 1 and Region 2 </w:t>
      </w:r>
      <w:r w:rsidRPr="000961B9">
        <w:t>should not impose any constraints to the incumbent services operating in the concerned frequency bands and adjacent bands in Region 3</w:t>
      </w:r>
      <w:r>
        <w:t>.</w:t>
      </w:r>
    </w:p>
    <w:p w14:paraId="3C186AF2" w14:textId="4B6C0EC9" w:rsidR="00734D6A" w:rsidRDefault="00734D6A" w:rsidP="00A32DFD">
      <w:pPr>
        <w:adjustRightInd w:val="0"/>
        <w:snapToGrid w:val="0"/>
        <w:spacing w:after="100" w:line="264" w:lineRule="auto"/>
        <w:jc w:val="both"/>
        <w:rPr>
          <w:lang w:val="en-NZ"/>
        </w:rPr>
      </w:pPr>
    </w:p>
    <w:p w14:paraId="4D6A6134" w14:textId="1B047CA1" w:rsidR="00734D6A" w:rsidRPr="00441526" w:rsidRDefault="00734D6A" w:rsidP="00A32DFD">
      <w:pPr>
        <w:adjustRightInd w:val="0"/>
        <w:snapToGrid w:val="0"/>
        <w:spacing w:after="100" w:line="264" w:lineRule="auto"/>
        <w:jc w:val="both"/>
        <w:rPr>
          <w:b/>
          <w:lang w:val="en-NZ" w:eastAsia="ko-KR"/>
        </w:rPr>
      </w:pPr>
      <w:r w:rsidRPr="00441526">
        <w:rPr>
          <w:b/>
          <w:lang w:val="en-NZ" w:eastAsia="ko-KR"/>
        </w:rPr>
        <w:t>3.1.</w:t>
      </w:r>
      <w:r>
        <w:rPr>
          <w:b/>
          <w:lang w:val="en-NZ" w:eastAsia="ko-KR"/>
        </w:rPr>
        <w:t>8</w:t>
      </w:r>
      <w:r w:rsidRPr="00441526">
        <w:rPr>
          <w:b/>
          <w:lang w:val="en-NZ" w:eastAsia="ko-KR"/>
        </w:rPr>
        <w:tab/>
      </w:r>
      <w:r>
        <w:rPr>
          <w:b/>
          <w:lang w:val="en-NZ" w:eastAsia="ko-KR"/>
        </w:rPr>
        <w:t>Viet Nam</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77</w:t>
      </w:r>
    </w:p>
    <w:p w14:paraId="25A9C09E" w14:textId="2AD8576F" w:rsidR="002A1FAA" w:rsidRPr="0095406E" w:rsidRDefault="002A1FAA" w:rsidP="00A32DFD">
      <w:pPr>
        <w:adjustRightInd w:val="0"/>
        <w:snapToGrid w:val="0"/>
        <w:spacing w:after="100" w:line="264" w:lineRule="auto"/>
        <w:jc w:val="both"/>
        <w:rPr>
          <w:rFonts w:eastAsiaTheme="minorEastAsia"/>
          <w:lang w:val="en-NZ" w:eastAsia="zh-CN"/>
        </w:rPr>
      </w:pPr>
      <w:r>
        <w:rPr>
          <w:lang w:val="en-GB"/>
        </w:rPr>
        <w:t xml:space="preserve">Viet Nam </w:t>
      </w:r>
      <w:r w:rsidRPr="00B63763">
        <w:rPr>
          <w:lang w:val="en-GB"/>
        </w:rPr>
        <w:t xml:space="preserve">supports </w:t>
      </w:r>
      <w:r>
        <w:rPr>
          <w:lang w:val="en-GB"/>
        </w:rPr>
        <w:t xml:space="preserve">ITU-R </w:t>
      </w:r>
      <w:r w:rsidRPr="00B63763">
        <w:rPr>
          <w:lang w:val="en-GB"/>
        </w:rPr>
        <w:t xml:space="preserve">studies </w:t>
      </w:r>
      <w:r w:rsidRPr="00725808">
        <w:rPr>
          <w:lang w:val="en-NZ"/>
        </w:rPr>
        <w:t xml:space="preserve">on spectrum needs, coexistence with </w:t>
      </w:r>
      <w:r>
        <w:rPr>
          <w:lang w:val="en-NZ"/>
        </w:rPr>
        <w:t xml:space="preserve">existing </w:t>
      </w:r>
      <w:r w:rsidRPr="00725808">
        <w:rPr>
          <w:lang w:val="en-NZ"/>
        </w:rPr>
        <w:t xml:space="preserve">radiocommunication services and regulatory measures for possible </w:t>
      </w:r>
      <w:r>
        <w:t xml:space="preserve">new allocation to </w:t>
      </w:r>
      <w:r w:rsidRPr="00EB3276">
        <w:t xml:space="preserve">the mobile-satellite service for future development of narrowband mobile-satellite systems, in accordance with Resolution </w:t>
      </w:r>
      <w:r w:rsidRPr="00EB3276">
        <w:rPr>
          <w:b/>
          <w:bCs/>
        </w:rPr>
        <w:t>248</w:t>
      </w:r>
      <w:r w:rsidRPr="00EB3276">
        <w:t xml:space="preserve"> </w:t>
      </w:r>
      <w:r w:rsidRPr="00EB3276">
        <w:rPr>
          <w:b/>
          <w:bCs/>
        </w:rPr>
        <w:t>(WRC</w:t>
      </w:r>
      <w:r w:rsidRPr="00EB3276">
        <w:rPr>
          <w:b/>
          <w:bCs/>
        </w:rPr>
        <w:noBreakHyphen/>
        <w:t>19)</w:t>
      </w:r>
      <w:r>
        <w:rPr>
          <w:b/>
          <w:bCs/>
          <w:lang w:val="en-NZ"/>
        </w:rPr>
        <w:t xml:space="preserve">, </w:t>
      </w:r>
      <w:r w:rsidRPr="001C5635">
        <w:t xml:space="preserve">while ensuring </w:t>
      </w:r>
      <w:r>
        <w:t xml:space="preserve">no </w:t>
      </w:r>
      <w:r>
        <w:rPr>
          <w:rFonts w:eastAsia="SimSun"/>
          <w:lang w:eastAsia="zh-CN"/>
        </w:rPr>
        <w:t>adverse effect</w:t>
      </w:r>
      <w:r w:rsidRPr="00FC4EE9">
        <w:rPr>
          <w:rFonts w:eastAsia="SimSun"/>
          <w:lang w:eastAsia="zh-CN"/>
        </w:rPr>
        <w:t xml:space="preserve"> on </w:t>
      </w:r>
      <w:r>
        <w:rPr>
          <w:rFonts w:eastAsia="SimSun"/>
          <w:lang w:eastAsia="zh-CN"/>
        </w:rPr>
        <w:t xml:space="preserve">the allocation of </w:t>
      </w:r>
      <w:r w:rsidRPr="00FC4EE9">
        <w:rPr>
          <w:rFonts w:eastAsia="SimSun"/>
          <w:lang w:eastAsia="zh-CN"/>
        </w:rPr>
        <w:t xml:space="preserve">the existing </w:t>
      </w:r>
      <w:r w:rsidRPr="0048419E">
        <w:t>services</w:t>
      </w:r>
      <w:r w:rsidRPr="00FC4EE9">
        <w:rPr>
          <w:rFonts w:eastAsia="SimSun"/>
          <w:lang w:eastAsia="zh-CN"/>
        </w:rPr>
        <w:t xml:space="preserve"> and their future development</w:t>
      </w:r>
      <w:r>
        <w:rPr>
          <w:rFonts w:eastAsia="SimSun"/>
          <w:lang w:eastAsia="zh-CN"/>
        </w:rPr>
        <w:t xml:space="preserve"> in the same and adjacent frequency bands which allocated for Region 3, in particular the Mobile </w:t>
      </w:r>
      <w:r>
        <w:t xml:space="preserve">service allocated in the same </w:t>
      </w:r>
      <w:r>
        <w:rPr>
          <w:rFonts w:eastAsia="SimSun"/>
          <w:lang w:eastAsia="zh-CN"/>
        </w:rPr>
        <w:t xml:space="preserve">and adjacent </w:t>
      </w:r>
      <w:r>
        <w:t>frequency band.</w:t>
      </w:r>
    </w:p>
    <w:p w14:paraId="7C4F2464" w14:textId="77777777" w:rsidR="002A1FAA" w:rsidRDefault="002A1FAA" w:rsidP="00A32DFD">
      <w:pPr>
        <w:adjustRightInd w:val="0"/>
        <w:snapToGrid w:val="0"/>
        <w:spacing w:after="100" w:line="264" w:lineRule="auto"/>
        <w:jc w:val="both"/>
        <w:rPr>
          <w:rStyle w:val="fontstyle01"/>
        </w:rPr>
      </w:pPr>
      <w:r>
        <w:t xml:space="preserve">With above discussions, </w:t>
      </w:r>
      <w:r>
        <w:rPr>
          <w:rStyle w:val="fontstyle01"/>
        </w:rPr>
        <w:t>Viet Nam is of the view that no regulatory actions are necessary to Volumes 1, 2 and 4 of the Radio Regulations to address WRC-23 agenda item 1.18.</w:t>
      </w:r>
    </w:p>
    <w:p w14:paraId="0B802078" w14:textId="08F05E04" w:rsidR="00734D6A" w:rsidRPr="002A1FAA" w:rsidRDefault="002A1FAA" w:rsidP="00A32DFD">
      <w:pPr>
        <w:adjustRightInd w:val="0"/>
        <w:snapToGrid w:val="0"/>
        <w:spacing w:after="100" w:line="264" w:lineRule="auto"/>
        <w:jc w:val="both"/>
      </w:pPr>
      <w:r>
        <w:rPr>
          <w:rStyle w:val="fontstyle01"/>
        </w:rPr>
        <w:t xml:space="preserve">Viet Nam supports method A, </w:t>
      </w:r>
      <w:proofErr w:type="spellStart"/>
      <w:r>
        <w:rPr>
          <w:rStyle w:val="fontstyle01"/>
        </w:rPr>
        <w:t>NoC</w:t>
      </w:r>
      <w:proofErr w:type="spellEnd"/>
      <w:r>
        <w:rPr>
          <w:rStyle w:val="fontstyle01"/>
        </w:rPr>
        <w:t>, in current draft CPM text.</w:t>
      </w:r>
    </w:p>
    <w:p w14:paraId="5E1DBD53" w14:textId="77777777" w:rsidR="002A0111" w:rsidRPr="00441526" w:rsidRDefault="002A0111" w:rsidP="00A32DFD">
      <w:pPr>
        <w:adjustRightInd w:val="0"/>
        <w:snapToGrid w:val="0"/>
        <w:spacing w:after="100" w:line="264" w:lineRule="auto"/>
        <w:rPr>
          <w:lang w:val="en-NZ"/>
        </w:rPr>
      </w:pPr>
    </w:p>
    <w:p w14:paraId="35F51011" w14:textId="77777777" w:rsidR="002A0111" w:rsidRPr="00441526" w:rsidRDefault="002A0111" w:rsidP="00A32DFD">
      <w:pPr>
        <w:adjustRightInd w:val="0"/>
        <w:snapToGrid w:val="0"/>
        <w:spacing w:after="100" w:line="264" w:lineRule="auto"/>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6AA3B410" w14:textId="05DF9F2E" w:rsidR="00235E2F" w:rsidRDefault="00235E2F" w:rsidP="00A32DFD">
      <w:pPr>
        <w:adjustRightInd w:val="0"/>
        <w:snapToGrid w:val="0"/>
        <w:spacing w:after="100" w:line="264" w:lineRule="auto"/>
        <w:jc w:val="both"/>
        <w:rPr>
          <w:rStyle w:val="fontstyle01"/>
        </w:rPr>
      </w:pPr>
      <w:r>
        <w:rPr>
          <w:rStyle w:val="fontstyle01"/>
          <w:rFonts w:hint="eastAsia"/>
        </w:rPr>
        <w:t>A</w:t>
      </w:r>
      <w:r>
        <w:rPr>
          <w:rStyle w:val="fontstyle01"/>
        </w:rPr>
        <w:t xml:space="preserve">PT Members </w:t>
      </w:r>
      <w:r w:rsidR="008B78E9">
        <w:rPr>
          <w:rStyle w:val="fontstyle01"/>
        </w:rPr>
        <w:t>raise</w:t>
      </w:r>
      <w:r w:rsidR="00A7113D">
        <w:rPr>
          <w:rStyle w:val="fontstyle01"/>
        </w:rPr>
        <w:t>d</w:t>
      </w:r>
      <w:r w:rsidR="008B78E9">
        <w:rPr>
          <w:rStyle w:val="fontstyle01"/>
        </w:rPr>
        <w:t xml:space="preserve"> a concern that the NB-MSS system parameters are not determined</w:t>
      </w:r>
      <w:r w:rsidR="0095406E">
        <w:rPr>
          <w:rStyle w:val="fontstyle01"/>
        </w:rPr>
        <w:t xml:space="preserve"> yet</w:t>
      </w:r>
      <w:r w:rsidR="008B78E9">
        <w:rPr>
          <w:rStyle w:val="fontstyle01"/>
        </w:rPr>
        <w:t>, so there is serious difficulty to conduct</w:t>
      </w:r>
      <w:r w:rsidR="006C3AE5">
        <w:rPr>
          <w:rStyle w:val="fontstyle01"/>
        </w:rPr>
        <w:t xml:space="preserve"> </w:t>
      </w:r>
      <w:r w:rsidR="008B78E9">
        <w:rPr>
          <w:rStyle w:val="fontstyle01"/>
        </w:rPr>
        <w:t>sharing stud</w:t>
      </w:r>
      <w:r w:rsidR="00371A1B">
        <w:rPr>
          <w:rStyle w:val="fontstyle01"/>
        </w:rPr>
        <w:t>ies between NB-MSS systems and</w:t>
      </w:r>
      <w:r w:rsidR="008B78E9">
        <w:rPr>
          <w:rStyle w:val="fontstyle01"/>
        </w:rPr>
        <w:t xml:space="preserve"> incumbent services</w:t>
      </w:r>
      <w:r w:rsidR="00A7113D">
        <w:rPr>
          <w:rStyle w:val="fontstyle01"/>
        </w:rPr>
        <w:t xml:space="preserve"> and to review the results of the sharing studies </w:t>
      </w:r>
      <w:r w:rsidR="006C3AE5">
        <w:rPr>
          <w:rStyle w:val="fontstyle01"/>
        </w:rPr>
        <w:t>on time</w:t>
      </w:r>
      <w:r w:rsidR="008B78E9">
        <w:rPr>
          <w:rStyle w:val="fontstyle01"/>
        </w:rPr>
        <w:t>.</w:t>
      </w:r>
    </w:p>
    <w:p w14:paraId="324692DE" w14:textId="53A2F0DF" w:rsidR="00FE6F57" w:rsidRPr="002A1FAA" w:rsidRDefault="00D65FD5" w:rsidP="00A32DFD">
      <w:pPr>
        <w:adjustRightInd w:val="0"/>
        <w:snapToGrid w:val="0"/>
        <w:spacing w:after="100" w:line="264" w:lineRule="auto"/>
        <w:jc w:val="both"/>
      </w:pPr>
      <w:r>
        <w:rPr>
          <w:rStyle w:val="fontstyle01"/>
        </w:rPr>
        <w:t>It was expressed the</w:t>
      </w:r>
      <w:r w:rsidR="006B57F3">
        <w:rPr>
          <w:rStyle w:val="fontstyle01"/>
        </w:rPr>
        <w:t xml:space="preserve"> </w:t>
      </w:r>
      <w:r w:rsidR="00FE6F57">
        <w:rPr>
          <w:rStyle w:val="fontstyle01"/>
        </w:rPr>
        <w:t xml:space="preserve">position to support No change of the Radio Regulations (Method A in the draft CPM text) </w:t>
      </w:r>
      <w:proofErr w:type="gramStart"/>
      <w:r w:rsidR="00FE6F57">
        <w:rPr>
          <w:rStyle w:val="fontstyle01"/>
        </w:rPr>
        <w:t>with regard to</w:t>
      </w:r>
      <w:proofErr w:type="gramEnd"/>
      <w:r w:rsidR="00FE6F57">
        <w:rPr>
          <w:rStyle w:val="fontstyle01"/>
        </w:rPr>
        <w:t xml:space="preserve"> this agenda item, </w:t>
      </w:r>
      <w:r w:rsidR="006C3AE5">
        <w:rPr>
          <w:rStyle w:val="fontstyle01"/>
        </w:rPr>
        <w:t>due to</w:t>
      </w:r>
      <w:r w:rsidR="00FE6F57">
        <w:rPr>
          <w:rStyle w:val="fontstyle01"/>
        </w:rPr>
        <w:t xml:space="preserve"> disagreement of NB-MSS system parameters and </w:t>
      </w:r>
      <w:r w:rsidR="00DA2264">
        <w:rPr>
          <w:rStyle w:val="fontstyle01"/>
        </w:rPr>
        <w:t>in</w:t>
      </w:r>
      <w:r w:rsidR="00FE6F57">
        <w:rPr>
          <w:rStyle w:val="fontstyle01"/>
        </w:rPr>
        <w:t>complete sharing stud</w:t>
      </w:r>
      <w:r w:rsidR="00A7113D">
        <w:rPr>
          <w:rStyle w:val="fontstyle01"/>
        </w:rPr>
        <w:t>ies</w:t>
      </w:r>
      <w:r w:rsidR="00FE6F57">
        <w:rPr>
          <w:rStyle w:val="fontstyle01"/>
        </w:rPr>
        <w:t xml:space="preserve"> for protection of existing services in relevant frequency bands</w:t>
      </w:r>
      <w:r w:rsidR="000D61F4">
        <w:rPr>
          <w:rStyle w:val="fontstyle01"/>
        </w:rPr>
        <w:t xml:space="preserve"> in ITU-R</w:t>
      </w:r>
      <w:r w:rsidR="00FE6F57">
        <w:rPr>
          <w:rStyle w:val="fontstyle01"/>
        </w:rPr>
        <w:t>.</w:t>
      </w:r>
      <w:r w:rsidR="000D61F4">
        <w:rPr>
          <w:rStyle w:val="fontstyle01"/>
        </w:rPr>
        <w:t xml:space="preserve"> Therefore, </w:t>
      </w:r>
      <w:r>
        <w:rPr>
          <w:rStyle w:val="fontstyle01"/>
        </w:rPr>
        <w:t xml:space="preserve">it was </w:t>
      </w:r>
      <w:r w:rsidR="00F05C52">
        <w:rPr>
          <w:rStyle w:val="fontstyle01"/>
        </w:rPr>
        <w:t>proposed that</w:t>
      </w:r>
      <w:r w:rsidR="000D61F4">
        <w:rPr>
          <w:rStyle w:val="fontstyle01"/>
        </w:rPr>
        <w:t xml:space="preserve"> APT members support the No change of the RR as APT preliminary view at </w:t>
      </w:r>
      <w:r w:rsidR="000E3D7C">
        <w:rPr>
          <w:rStyle w:val="fontstyle01"/>
        </w:rPr>
        <w:t xml:space="preserve">the </w:t>
      </w:r>
      <w:r w:rsidR="00BD63BD">
        <w:rPr>
          <w:rStyle w:val="fontstyle01"/>
        </w:rPr>
        <w:t>current stage.</w:t>
      </w:r>
    </w:p>
    <w:p w14:paraId="24CAE9D2" w14:textId="77777777" w:rsidR="002A0111" w:rsidRPr="00441526" w:rsidRDefault="002A0111" w:rsidP="00A32DFD">
      <w:pPr>
        <w:adjustRightInd w:val="0"/>
        <w:snapToGrid w:val="0"/>
        <w:spacing w:after="100" w:line="264" w:lineRule="auto"/>
        <w:jc w:val="both"/>
        <w:rPr>
          <w:lang w:val="en-NZ"/>
        </w:rPr>
      </w:pPr>
    </w:p>
    <w:p w14:paraId="17DDED04" w14:textId="2E014AF6" w:rsidR="002A0111" w:rsidRPr="00AB4150" w:rsidRDefault="002A0111" w:rsidP="00A32DFD">
      <w:pPr>
        <w:adjustRightInd w:val="0"/>
        <w:snapToGrid w:val="0"/>
        <w:spacing w:after="100" w:line="264" w:lineRule="auto"/>
        <w:jc w:val="both"/>
        <w:rPr>
          <w:b/>
          <w:lang w:val="en-NZ" w:eastAsia="ko-KR"/>
        </w:rPr>
      </w:pPr>
      <w:r w:rsidRPr="00441526">
        <w:rPr>
          <w:b/>
          <w:lang w:val="en-NZ" w:eastAsia="ko-KR"/>
        </w:rPr>
        <w:t xml:space="preserve">4. </w:t>
      </w:r>
      <w:r w:rsidRPr="00441526">
        <w:rPr>
          <w:b/>
          <w:lang w:val="en-NZ" w:eastAsia="ko-KR"/>
        </w:rPr>
        <w:tab/>
        <w:t>APT Preliminary View(s)</w:t>
      </w:r>
    </w:p>
    <w:p w14:paraId="3CC0C2D3" w14:textId="084ACEAD" w:rsidR="00607E18" w:rsidRDefault="00AB4150" w:rsidP="004D4BD7">
      <w:pPr>
        <w:adjustRightInd w:val="0"/>
        <w:snapToGrid w:val="0"/>
        <w:spacing w:after="100" w:line="264" w:lineRule="auto"/>
        <w:jc w:val="both"/>
        <w:rPr>
          <w:lang w:val="en-NZ"/>
        </w:rPr>
      </w:pPr>
      <w:r>
        <w:t>APT Members</w:t>
      </w:r>
      <w:r w:rsidRPr="00CD7B6C">
        <w:t xml:space="preserve"> support sharing and compatibility studies with existing primary services to determine the suitability of new allocations to the mobile-satellite service (MSS), to protect primary services</w:t>
      </w:r>
      <w:r w:rsidR="0095406E">
        <w:t>.</w:t>
      </w:r>
    </w:p>
    <w:p w14:paraId="6D212899" w14:textId="38E76637" w:rsidR="00607E18" w:rsidRDefault="00607E18" w:rsidP="004D4BD7">
      <w:pPr>
        <w:adjustRightInd w:val="0"/>
        <w:snapToGrid w:val="0"/>
        <w:spacing w:after="100" w:line="264" w:lineRule="auto"/>
        <w:jc w:val="both"/>
        <w:rPr>
          <w:rFonts w:cstheme="minorHAnsi"/>
        </w:rPr>
      </w:pPr>
      <w:r>
        <w:rPr>
          <w:rFonts w:cstheme="minorHAnsi"/>
        </w:rPr>
        <w:t xml:space="preserve">APT Members are of the view that </w:t>
      </w:r>
      <w:r w:rsidRPr="000B4D7A">
        <w:rPr>
          <w:rFonts w:cstheme="minorHAnsi"/>
        </w:rPr>
        <w:t>thi</w:t>
      </w:r>
      <w:r>
        <w:rPr>
          <w:rFonts w:cstheme="minorHAnsi"/>
        </w:rPr>
        <w:t>s agenda item</w:t>
      </w:r>
      <w:r w:rsidRPr="000B4D7A">
        <w:rPr>
          <w:rFonts w:cstheme="minorHAnsi"/>
        </w:rPr>
        <w:t xml:space="preserve"> is a Region 1 and 2 issue, Region 3 is not in scope</w:t>
      </w:r>
      <w:r>
        <w:rPr>
          <w:rFonts w:cstheme="minorHAnsi"/>
        </w:rPr>
        <w:t>, therefore</w:t>
      </w:r>
      <w:r w:rsidRPr="000B4D7A">
        <w:rPr>
          <w:rFonts w:cstheme="minorHAnsi"/>
        </w:rPr>
        <w:t xml:space="preserve"> any allocation to the mobile satellite service </w:t>
      </w:r>
      <w:r w:rsidR="0075237C">
        <w:rPr>
          <w:rFonts w:cstheme="minorHAnsi"/>
        </w:rPr>
        <w:t>i</w:t>
      </w:r>
      <w:r w:rsidRPr="000B4D7A">
        <w:rPr>
          <w:rFonts w:cstheme="minorHAnsi"/>
        </w:rPr>
        <w:t>n other Regions should not have an adverse impact on existing services</w:t>
      </w:r>
      <w:r w:rsidR="00D65FD5">
        <w:rPr>
          <w:rFonts w:cstheme="minorHAnsi"/>
        </w:rPr>
        <w:t xml:space="preserve"> to</w:t>
      </w:r>
      <w:r w:rsidR="00C74283">
        <w:rPr>
          <w:rFonts w:cstheme="minorHAnsi"/>
        </w:rPr>
        <w:t xml:space="preserve"> which the frequency bands</w:t>
      </w:r>
      <w:r w:rsidR="00D65FD5">
        <w:rPr>
          <w:rFonts w:cstheme="minorHAnsi"/>
        </w:rPr>
        <w:t xml:space="preserve"> are</w:t>
      </w:r>
      <w:r w:rsidR="00C74283">
        <w:rPr>
          <w:rFonts w:cstheme="minorHAnsi"/>
        </w:rPr>
        <w:t xml:space="preserve"> all</w:t>
      </w:r>
      <w:r w:rsidR="00D65FD5">
        <w:rPr>
          <w:rFonts w:cstheme="minorHAnsi"/>
        </w:rPr>
        <w:t>ocated</w:t>
      </w:r>
      <w:r w:rsidRPr="000B4D7A">
        <w:rPr>
          <w:rFonts w:cstheme="minorHAnsi"/>
        </w:rPr>
        <w:t xml:space="preserve"> in Region 3.</w:t>
      </w:r>
    </w:p>
    <w:p w14:paraId="25D97917" w14:textId="20491BA2" w:rsidR="00AB4150" w:rsidRDefault="00AB4150" w:rsidP="004D4BD7">
      <w:pPr>
        <w:adjustRightInd w:val="0"/>
        <w:snapToGrid w:val="0"/>
        <w:spacing w:after="100" w:line="264" w:lineRule="auto"/>
        <w:jc w:val="both"/>
        <w:rPr>
          <w:rFonts w:cstheme="minorHAnsi"/>
        </w:rPr>
      </w:pPr>
      <w:proofErr w:type="gramStart"/>
      <w:r>
        <w:rPr>
          <w:rFonts w:cstheme="minorHAnsi" w:hint="eastAsia"/>
        </w:rPr>
        <w:t>T</w:t>
      </w:r>
      <w:r>
        <w:rPr>
          <w:rFonts w:cstheme="minorHAnsi"/>
        </w:rPr>
        <w:t>aking into account</w:t>
      </w:r>
      <w:proofErr w:type="gramEnd"/>
      <w:r>
        <w:rPr>
          <w:rFonts w:cstheme="minorHAnsi"/>
        </w:rPr>
        <w:t xml:space="preserve"> the preliminary views mentioned above and Section 3.2, APT Members support No </w:t>
      </w:r>
      <w:r w:rsidR="00382A6E">
        <w:rPr>
          <w:rFonts w:cstheme="minorHAnsi"/>
        </w:rPr>
        <w:t>C</w:t>
      </w:r>
      <w:r>
        <w:rPr>
          <w:rFonts w:cstheme="minorHAnsi"/>
        </w:rPr>
        <w:t xml:space="preserve">hange of the RR with regard to this agenda item at </w:t>
      </w:r>
      <w:r w:rsidR="000E3D7C">
        <w:rPr>
          <w:rFonts w:cstheme="minorHAnsi"/>
        </w:rPr>
        <w:t xml:space="preserve">the </w:t>
      </w:r>
      <w:r>
        <w:rPr>
          <w:rFonts w:cstheme="minorHAnsi"/>
        </w:rPr>
        <w:t>current stage.</w:t>
      </w:r>
    </w:p>
    <w:p w14:paraId="37DA7FEE" w14:textId="77777777" w:rsidR="002A0111" w:rsidRPr="00441526" w:rsidRDefault="002A0111" w:rsidP="00A32DFD">
      <w:pPr>
        <w:adjustRightInd w:val="0"/>
        <w:snapToGrid w:val="0"/>
        <w:spacing w:after="100" w:line="264" w:lineRule="auto"/>
        <w:rPr>
          <w:lang w:val="en-NZ"/>
        </w:rPr>
      </w:pPr>
    </w:p>
    <w:p w14:paraId="546AA041" w14:textId="77777777" w:rsidR="002A0111" w:rsidRPr="00441526" w:rsidRDefault="002A0111" w:rsidP="00A32DFD">
      <w:pPr>
        <w:adjustRightInd w:val="0"/>
        <w:snapToGrid w:val="0"/>
        <w:spacing w:after="100" w:line="264" w:lineRule="auto"/>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1968350C" w14:textId="54AB1CCD" w:rsidR="002A0111" w:rsidRPr="00371A1B" w:rsidRDefault="00371A1B" w:rsidP="00A32DFD">
      <w:pPr>
        <w:adjustRightInd w:val="0"/>
        <w:snapToGrid w:val="0"/>
        <w:spacing w:after="100" w:line="264" w:lineRule="auto"/>
        <w:jc w:val="both"/>
        <w:rPr>
          <w:iCs/>
          <w:lang w:val="en-NZ"/>
        </w:rPr>
      </w:pPr>
      <w:r w:rsidRPr="00371A1B">
        <w:rPr>
          <w:iCs/>
          <w:lang w:val="en-NZ"/>
        </w:rPr>
        <w:t>None</w:t>
      </w:r>
      <w:r w:rsidR="000E2A86">
        <w:rPr>
          <w:iCs/>
          <w:lang w:val="en-NZ"/>
        </w:rPr>
        <w:t>.</w:t>
      </w:r>
    </w:p>
    <w:p w14:paraId="04BED217" w14:textId="77777777" w:rsidR="005206E9" w:rsidRPr="00441526" w:rsidRDefault="005206E9" w:rsidP="00A32DFD">
      <w:pPr>
        <w:adjustRightInd w:val="0"/>
        <w:snapToGrid w:val="0"/>
        <w:spacing w:after="100" w:line="264" w:lineRule="auto"/>
        <w:rPr>
          <w:lang w:val="en-NZ"/>
        </w:rPr>
      </w:pPr>
    </w:p>
    <w:p w14:paraId="5DE1A895" w14:textId="4B01DB58" w:rsidR="002A0111" w:rsidRPr="00A32DFD" w:rsidRDefault="002A0111" w:rsidP="00A32DFD">
      <w:pPr>
        <w:adjustRightInd w:val="0"/>
        <w:snapToGrid w:val="0"/>
        <w:spacing w:after="100" w:line="264" w:lineRule="auto"/>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0CC23E3B" w14:textId="0A13CEF3" w:rsidR="00371A1B" w:rsidRDefault="00A32DFD" w:rsidP="00A32DFD">
      <w:pPr>
        <w:adjustRightInd w:val="0"/>
        <w:snapToGrid w:val="0"/>
        <w:spacing w:after="100" w:line="264" w:lineRule="auto"/>
        <w:jc w:val="both"/>
        <w:rPr>
          <w:rFonts w:eastAsia="SimSun"/>
          <w:lang w:eastAsia="zh-CN"/>
        </w:rPr>
      </w:pPr>
      <w:r>
        <w:rPr>
          <w:rFonts w:eastAsia="SimSun"/>
          <w:lang w:eastAsia="zh-CN"/>
        </w:rPr>
        <w:t xml:space="preserve">To review </w:t>
      </w:r>
      <w:r w:rsidR="00371A1B">
        <w:rPr>
          <w:rFonts w:eastAsia="SimSun"/>
          <w:lang w:eastAsia="zh-CN"/>
        </w:rPr>
        <w:t xml:space="preserve">the draft CPM text developed by </w:t>
      </w:r>
      <w:r>
        <w:rPr>
          <w:rFonts w:eastAsia="SimSun"/>
          <w:lang w:eastAsia="zh-CN"/>
        </w:rPr>
        <w:t xml:space="preserve">ITU-R </w:t>
      </w:r>
      <w:r w:rsidR="00371A1B">
        <w:rPr>
          <w:rFonts w:eastAsia="SimSun"/>
          <w:lang w:eastAsia="zh-CN"/>
        </w:rPr>
        <w:t>WP 4C</w:t>
      </w:r>
      <w:r>
        <w:rPr>
          <w:rFonts w:eastAsia="SimSun"/>
          <w:lang w:eastAsia="zh-CN"/>
        </w:rPr>
        <w:t xml:space="preserve"> (September 2022)</w:t>
      </w:r>
      <w:r w:rsidR="00371A1B">
        <w:rPr>
          <w:rFonts w:eastAsia="SimSun"/>
          <w:lang w:eastAsia="zh-CN"/>
        </w:rPr>
        <w:t>.</w:t>
      </w:r>
    </w:p>
    <w:p w14:paraId="55AC3CE3" w14:textId="470FE976" w:rsidR="00371A1B" w:rsidRDefault="005F5E1A" w:rsidP="00A32DFD">
      <w:pPr>
        <w:adjustRightInd w:val="0"/>
        <w:snapToGrid w:val="0"/>
        <w:spacing w:after="100" w:line="264" w:lineRule="auto"/>
        <w:jc w:val="both"/>
        <w:rPr>
          <w:rFonts w:eastAsia="SimSun"/>
          <w:lang w:eastAsia="zh-CN"/>
        </w:rPr>
      </w:pPr>
      <w:r>
        <w:rPr>
          <w:rFonts w:eastAsia="SimSun"/>
          <w:lang w:eastAsia="zh-CN"/>
        </w:rPr>
        <w:t xml:space="preserve">To review </w:t>
      </w:r>
      <w:r w:rsidR="006C3AE5">
        <w:rPr>
          <w:rFonts w:eastAsia="SimSun"/>
          <w:lang w:eastAsia="zh-CN"/>
        </w:rPr>
        <w:t xml:space="preserve">the </w:t>
      </w:r>
      <w:r w:rsidR="00371A1B">
        <w:rPr>
          <w:rFonts w:eastAsia="SimSun"/>
          <w:lang w:eastAsia="zh-CN"/>
        </w:rPr>
        <w:t xml:space="preserve">NB-MSS system parameters and results of the sharing studies for protecting existing services </w:t>
      </w:r>
      <w:r w:rsidR="00A32DFD">
        <w:rPr>
          <w:rFonts w:eastAsia="SimSun"/>
          <w:lang w:eastAsia="zh-CN"/>
        </w:rPr>
        <w:t>provided by ITU-R WP 4C (September 2022), if possible.</w:t>
      </w:r>
    </w:p>
    <w:p w14:paraId="487C2A2F" w14:textId="3C9ECBE7" w:rsidR="006B57F3" w:rsidRPr="0095406E" w:rsidRDefault="006B57F3" w:rsidP="00A32DFD">
      <w:pPr>
        <w:adjustRightInd w:val="0"/>
        <w:snapToGrid w:val="0"/>
        <w:spacing w:after="100" w:line="264" w:lineRule="auto"/>
        <w:jc w:val="both"/>
        <w:rPr>
          <w:rFonts w:eastAsia="SimSun"/>
          <w:lang w:eastAsia="zh-CN"/>
        </w:rPr>
      </w:pPr>
      <w:r>
        <w:rPr>
          <w:rFonts w:eastAsia="SimSun" w:hint="eastAsia"/>
          <w:lang w:eastAsia="zh-CN"/>
        </w:rPr>
        <w:t>A</w:t>
      </w:r>
      <w:r>
        <w:rPr>
          <w:rFonts w:eastAsia="SimSun"/>
          <w:lang w:eastAsia="zh-CN"/>
        </w:rPr>
        <w:t>PT Members are kindly encouraged to submit their contributions to the next APG meetings.</w:t>
      </w:r>
    </w:p>
    <w:p w14:paraId="5253DB80" w14:textId="77777777" w:rsidR="0095406E" w:rsidRPr="00441526" w:rsidRDefault="0095406E" w:rsidP="0095406E">
      <w:pPr>
        <w:snapToGrid w:val="0"/>
        <w:spacing w:after="100" w:line="264" w:lineRule="auto"/>
        <w:jc w:val="both"/>
        <w:rPr>
          <w:lang w:val="en-NZ"/>
        </w:rPr>
      </w:pPr>
    </w:p>
    <w:p w14:paraId="7618AFC3" w14:textId="77777777" w:rsidR="0095406E" w:rsidRPr="006F518F" w:rsidRDefault="0095406E" w:rsidP="0095406E">
      <w:pPr>
        <w:snapToGrid w:val="0"/>
        <w:spacing w:after="100" w:line="264" w:lineRule="auto"/>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p>
    <w:p w14:paraId="2C1BCC1E" w14:textId="77777777" w:rsidR="0095406E" w:rsidRPr="00441526" w:rsidRDefault="0095406E" w:rsidP="0095406E">
      <w:pPr>
        <w:snapToGrid w:val="0"/>
        <w:spacing w:after="100" w:line="264" w:lineRule="auto"/>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4172738A" w14:textId="0E4299BC" w:rsidR="0095406E" w:rsidRPr="006016B6" w:rsidRDefault="0095406E" w:rsidP="0095406E">
      <w:pPr>
        <w:snapToGrid w:val="0"/>
        <w:spacing w:after="100" w:line="264" w:lineRule="auto"/>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Pr="00441526">
        <w:t xml:space="preserve"> - </w:t>
      </w:r>
      <w:r w:rsidRPr="00441526">
        <w:rPr>
          <w:b/>
          <w:lang w:val="en-NZ" w:eastAsia="ko-KR"/>
        </w:rPr>
        <w:t>Document APG</w:t>
      </w:r>
      <w:r>
        <w:rPr>
          <w:b/>
          <w:lang w:val="en-NZ" w:eastAsia="ko-KR"/>
        </w:rPr>
        <w:t>23-4</w:t>
      </w:r>
      <w:r w:rsidRPr="00441526">
        <w:rPr>
          <w:b/>
          <w:lang w:val="en-NZ" w:eastAsia="ko-KR"/>
        </w:rPr>
        <w:t>/INF-</w:t>
      </w:r>
      <w:r>
        <w:rPr>
          <w:b/>
          <w:lang w:val="en-NZ" w:eastAsia="ko-KR"/>
        </w:rPr>
        <w:t>21</w:t>
      </w:r>
    </w:p>
    <w:p w14:paraId="24001F04" w14:textId="0A63FF2B" w:rsidR="0017253F" w:rsidRDefault="0017253F" w:rsidP="004D4BD7">
      <w:pPr>
        <w:numPr>
          <w:ilvl w:val="0"/>
          <w:numId w:val="18"/>
        </w:numPr>
        <w:snapToGrid w:val="0"/>
        <w:spacing w:after="100" w:line="264" w:lineRule="auto"/>
        <w:ind w:leftChars="145" w:left="708"/>
        <w:jc w:val="both"/>
        <w:rPr>
          <w:lang w:val="en-NZ"/>
        </w:rPr>
      </w:pPr>
      <w:r w:rsidRPr="0017253F">
        <w:rPr>
          <w:lang w:val="en-NZ"/>
        </w:rPr>
        <w:t xml:space="preserve">Follow-up studies, however, the ASMG preliminary position is supporting no change, given the lack of agreement on the technical characteristics and operational parameters to conduct the necessary sharing and compatibility studies to ensure the protection of existing primary services in the frequency bands under study or in the adjacent bands. </w:t>
      </w:r>
    </w:p>
    <w:p w14:paraId="3940C39A" w14:textId="77777777" w:rsidR="0017253F" w:rsidRPr="0017253F" w:rsidRDefault="0017253F" w:rsidP="0017253F">
      <w:pPr>
        <w:snapToGrid w:val="0"/>
        <w:spacing w:after="100" w:line="264" w:lineRule="auto"/>
        <w:ind w:left="708"/>
        <w:rPr>
          <w:lang w:val="en-NZ"/>
        </w:rPr>
      </w:pPr>
    </w:p>
    <w:p w14:paraId="511EA579" w14:textId="412E5466" w:rsidR="0095406E" w:rsidRPr="00E86D66" w:rsidRDefault="0095406E" w:rsidP="0095406E">
      <w:pPr>
        <w:snapToGrid w:val="0"/>
        <w:spacing w:after="100" w:line="264" w:lineRule="auto"/>
        <w:ind w:left="-80"/>
        <w:jc w:val="both"/>
        <w:rPr>
          <w:b/>
          <w:lang w:val="en-NZ" w:eastAsia="ko-KR"/>
        </w:rPr>
      </w:pPr>
      <w:r w:rsidRPr="00E86D66">
        <w:rPr>
          <w:b/>
          <w:lang w:val="en-NZ" w:eastAsia="ko-KR"/>
        </w:rPr>
        <w:t>7.1.</w:t>
      </w:r>
      <w:r>
        <w:rPr>
          <w:b/>
          <w:lang w:val="en-NZ" w:eastAsia="ko-KR"/>
        </w:rPr>
        <w:t>2</w:t>
      </w:r>
      <w:r w:rsidRPr="00E86D66">
        <w:rPr>
          <w:b/>
          <w:lang w:val="en-NZ" w:eastAsia="ko-KR"/>
        </w:rPr>
        <w:t xml:space="preserve"> </w:t>
      </w:r>
      <w:r w:rsidRPr="00E86D66">
        <w:rPr>
          <w:b/>
          <w:lang w:val="en-NZ" w:eastAsia="ko-KR"/>
        </w:rPr>
        <w:tab/>
        <w:t>A</w:t>
      </w:r>
      <w:r>
        <w:rPr>
          <w:b/>
          <w:lang w:val="en-NZ" w:eastAsia="ko-KR"/>
        </w:rPr>
        <w:t>TU</w:t>
      </w:r>
      <w:r w:rsidRPr="00441526">
        <w:t xml:space="preserve"> - </w:t>
      </w:r>
      <w:r w:rsidRPr="00E86D66">
        <w:rPr>
          <w:b/>
          <w:lang w:val="en-NZ" w:eastAsia="ko-KR"/>
        </w:rPr>
        <w:t>Document APG23-</w:t>
      </w:r>
      <w:r w:rsidR="00E60C87">
        <w:rPr>
          <w:b/>
          <w:lang w:val="en-NZ" w:eastAsia="ko-KR"/>
        </w:rPr>
        <w:t>4</w:t>
      </w:r>
      <w:r w:rsidRPr="00E86D66">
        <w:rPr>
          <w:b/>
          <w:lang w:val="en-NZ" w:eastAsia="ko-KR"/>
        </w:rPr>
        <w:t>/INF-</w:t>
      </w:r>
      <w:r w:rsidR="00E60C87">
        <w:rPr>
          <w:b/>
          <w:lang w:val="en-NZ" w:eastAsia="ko-KR"/>
        </w:rPr>
        <w:t>02</w:t>
      </w:r>
    </w:p>
    <w:p w14:paraId="1EC37679" w14:textId="569F9F99" w:rsidR="0017253F" w:rsidRPr="0017253F" w:rsidRDefault="0017253F" w:rsidP="004D4BD7">
      <w:pPr>
        <w:numPr>
          <w:ilvl w:val="0"/>
          <w:numId w:val="18"/>
        </w:numPr>
        <w:snapToGrid w:val="0"/>
        <w:spacing w:after="100" w:line="264" w:lineRule="auto"/>
        <w:ind w:left="709"/>
        <w:jc w:val="both"/>
        <w:rPr>
          <w:lang w:val="en-NZ"/>
        </w:rPr>
      </w:pPr>
      <w:r w:rsidRPr="0017253F">
        <w:rPr>
          <w:lang w:val="en-NZ"/>
        </w:rPr>
        <w:t>Support the ongoing studies at ITU-R on this agenda item with the view of ensuring the</w:t>
      </w:r>
      <w:r>
        <w:rPr>
          <w:rFonts w:hint="eastAsia"/>
          <w:lang w:val="en-NZ"/>
        </w:rPr>
        <w:t xml:space="preserve"> </w:t>
      </w:r>
      <w:r w:rsidRPr="0017253F">
        <w:rPr>
          <w:lang w:val="en-NZ"/>
        </w:rPr>
        <w:t>protection of primary services allocated in the frequency bands 1 695-1 710 MHz in R2,</w:t>
      </w:r>
      <w:r>
        <w:rPr>
          <w:rFonts w:hint="eastAsia"/>
          <w:lang w:val="en-NZ"/>
        </w:rPr>
        <w:t xml:space="preserve"> </w:t>
      </w:r>
      <w:r w:rsidRPr="0017253F">
        <w:rPr>
          <w:lang w:val="en-NZ"/>
        </w:rPr>
        <w:t>2 010-2 025 MHz in R1, 3 300-3 315 MHz and 3 385-3 400 MHz in R2 especially the</w:t>
      </w:r>
      <w:r>
        <w:rPr>
          <w:rFonts w:hint="eastAsia"/>
          <w:lang w:val="en-NZ"/>
        </w:rPr>
        <w:t xml:space="preserve"> </w:t>
      </w:r>
      <w:r w:rsidRPr="0017253F">
        <w:rPr>
          <w:lang w:val="en-NZ"/>
        </w:rPr>
        <w:t>protection for IMT systems deployed or that may be deployed in the same and adjacent</w:t>
      </w:r>
      <w:r>
        <w:rPr>
          <w:rFonts w:hint="eastAsia"/>
          <w:lang w:val="en-NZ"/>
        </w:rPr>
        <w:t xml:space="preserve"> </w:t>
      </w:r>
      <w:r w:rsidRPr="0017253F">
        <w:rPr>
          <w:lang w:val="en-NZ"/>
        </w:rPr>
        <w:t>frequency band 2 010-2 025 MHz in R1 and to not adversely affecting the current use</w:t>
      </w:r>
      <w:r>
        <w:rPr>
          <w:rFonts w:hint="eastAsia"/>
          <w:lang w:val="en-NZ"/>
        </w:rPr>
        <w:t xml:space="preserve"> </w:t>
      </w:r>
      <w:r w:rsidRPr="0017253F">
        <w:rPr>
          <w:lang w:val="en-NZ"/>
        </w:rPr>
        <w:t>and future development of existing primary services in these frequency bands and</w:t>
      </w:r>
      <w:r>
        <w:rPr>
          <w:rFonts w:hint="eastAsia"/>
          <w:lang w:val="en-NZ"/>
        </w:rPr>
        <w:t xml:space="preserve"> </w:t>
      </w:r>
      <w:r w:rsidRPr="0017253F">
        <w:rPr>
          <w:lang w:val="en-NZ"/>
        </w:rPr>
        <w:t>adjacent frequency bands.</w:t>
      </w:r>
    </w:p>
    <w:p w14:paraId="7CDF4523" w14:textId="77777777" w:rsidR="0095406E" w:rsidRPr="00E86D66" w:rsidRDefault="0095406E" w:rsidP="0095406E">
      <w:pPr>
        <w:snapToGrid w:val="0"/>
        <w:spacing w:after="100" w:line="264" w:lineRule="auto"/>
        <w:rPr>
          <w:lang w:val="en-GB"/>
        </w:rPr>
      </w:pPr>
    </w:p>
    <w:p w14:paraId="1C6C4A86" w14:textId="2DDA296C" w:rsidR="0095406E" w:rsidRPr="00441526" w:rsidRDefault="0095406E" w:rsidP="0095406E">
      <w:pPr>
        <w:snapToGrid w:val="0"/>
        <w:spacing w:after="100" w:line="264" w:lineRule="auto"/>
        <w:jc w:val="both"/>
        <w:rPr>
          <w:b/>
          <w:lang w:val="en-NZ" w:eastAsia="ko-KR"/>
        </w:rPr>
      </w:pPr>
      <w:r>
        <w:rPr>
          <w:b/>
          <w:lang w:val="en-NZ" w:eastAsia="ko-KR"/>
        </w:rPr>
        <w:t>7</w:t>
      </w:r>
      <w:r w:rsidRPr="00441526">
        <w:rPr>
          <w:b/>
          <w:lang w:val="en-NZ" w:eastAsia="ko-KR"/>
        </w:rPr>
        <w:t>.1.</w:t>
      </w:r>
      <w:r>
        <w:rPr>
          <w:b/>
          <w:lang w:val="en-NZ" w:eastAsia="ko-KR"/>
        </w:rPr>
        <w:t>3</w:t>
      </w:r>
      <w:r w:rsidRPr="00441526">
        <w:rPr>
          <w:b/>
          <w:lang w:val="en-NZ" w:eastAsia="ko-KR"/>
        </w:rPr>
        <w:t xml:space="preserve">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sidR="00E60C87">
        <w:rPr>
          <w:b/>
          <w:lang w:val="en-NZ" w:eastAsia="ko-KR"/>
        </w:rPr>
        <w:t>4</w:t>
      </w:r>
      <w:r w:rsidRPr="00441526">
        <w:rPr>
          <w:b/>
          <w:lang w:val="en-NZ" w:eastAsia="ko-KR"/>
        </w:rPr>
        <w:t>/INF-</w:t>
      </w:r>
      <w:r w:rsidR="00E60C87">
        <w:rPr>
          <w:b/>
          <w:lang w:val="en-NZ" w:eastAsia="ko-KR"/>
        </w:rPr>
        <w:t>48</w:t>
      </w:r>
    </w:p>
    <w:p w14:paraId="0173C56F" w14:textId="77777777" w:rsidR="0095406E" w:rsidRDefault="0095406E" w:rsidP="004D4BD7">
      <w:pPr>
        <w:numPr>
          <w:ilvl w:val="0"/>
          <w:numId w:val="18"/>
        </w:numPr>
        <w:snapToGrid w:val="0"/>
        <w:spacing w:after="100" w:line="264" w:lineRule="auto"/>
        <w:ind w:leftChars="145" w:left="708"/>
        <w:jc w:val="both"/>
      </w:pPr>
      <w:r w:rsidRPr="008E7842">
        <w:t xml:space="preserve">CEPT is of the view that the spectrum needs of low data‐rate satellite applications currently presented in the preparatory work could be satisfied through possible new primary or secondary allocations to MSS within the bands considered in the framework of Resolution </w:t>
      </w:r>
      <w:r w:rsidRPr="00E86D66">
        <w:rPr>
          <w:b/>
        </w:rPr>
        <w:t>248 (WRC‐19)</w:t>
      </w:r>
      <w:r w:rsidRPr="008E7842">
        <w:t>.</w:t>
      </w:r>
    </w:p>
    <w:p w14:paraId="5169E321" w14:textId="77777777" w:rsidR="0095406E" w:rsidRDefault="0095406E" w:rsidP="004D4BD7">
      <w:pPr>
        <w:numPr>
          <w:ilvl w:val="0"/>
          <w:numId w:val="18"/>
        </w:numPr>
        <w:snapToGrid w:val="0"/>
        <w:spacing w:after="100" w:line="264" w:lineRule="auto"/>
        <w:ind w:leftChars="145" w:left="708"/>
        <w:jc w:val="both"/>
      </w:pPr>
      <w:r w:rsidRPr="008E7842">
        <w:t>CEPT is however of the view that before proceeding with any new allocations to MSS in these bands, in‐</w:t>
      </w:r>
      <w:proofErr w:type="gramStart"/>
      <w:r w:rsidRPr="008E7842">
        <w:t>band</w:t>
      </w:r>
      <w:proofErr w:type="gramEnd"/>
      <w:r w:rsidRPr="008E7842">
        <w:t xml:space="preserve"> and adjacent band coexistence of low date‐rate satellite applications with systems operated under existing allocations has to be demonstrated through sharing and compatibility studies, also considering to not causing undue constraints on their further development. </w:t>
      </w:r>
    </w:p>
    <w:p w14:paraId="663B3E7B" w14:textId="77777777" w:rsidR="0095406E" w:rsidRDefault="0095406E" w:rsidP="004D4BD7">
      <w:pPr>
        <w:numPr>
          <w:ilvl w:val="0"/>
          <w:numId w:val="18"/>
        </w:numPr>
        <w:snapToGrid w:val="0"/>
        <w:spacing w:after="100" w:line="264" w:lineRule="auto"/>
        <w:ind w:leftChars="145" w:left="708"/>
        <w:jc w:val="both"/>
      </w:pPr>
      <w:r w:rsidRPr="008E7842">
        <w:t xml:space="preserve">CEPT is of the view that </w:t>
      </w:r>
      <w:proofErr w:type="spellStart"/>
      <w:r w:rsidRPr="008E7842">
        <w:t>e.i.r.p</w:t>
      </w:r>
      <w:proofErr w:type="spellEnd"/>
      <w:r w:rsidRPr="008E7842">
        <w:t xml:space="preserve">. limits referred to in recognizing c) of Resolution 248 (WRC‐19) are applicable on a per satellite basis. CEPT is also of the view that applicable power limits to ensure the protection of incumbent services should be concluded from sharing and compatibility studies in accordance with Resolution </w:t>
      </w:r>
      <w:r w:rsidRPr="00E86D66">
        <w:rPr>
          <w:b/>
        </w:rPr>
        <w:t>248 (WRC‐19)</w:t>
      </w:r>
      <w:r w:rsidRPr="008E7842">
        <w:t>.</w:t>
      </w:r>
    </w:p>
    <w:p w14:paraId="489E84E8" w14:textId="77777777" w:rsidR="00D57893" w:rsidRPr="00D57893" w:rsidRDefault="00D57893" w:rsidP="004D4BD7">
      <w:pPr>
        <w:numPr>
          <w:ilvl w:val="0"/>
          <w:numId w:val="18"/>
        </w:numPr>
        <w:snapToGrid w:val="0"/>
        <w:spacing w:after="100" w:line="264" w:lineRule="auto"/>
        <w:ind w:leftChars="145" w:left="708"/>
        <w:jc w:val="both"/>
      </w:pPr>
      <w:r w:rsidRPr="00D57893">
        <w:lastRenderedPageBreak/>
        <w:t xml:space="preserve">CEPT is also of the view that given the limited studies carried out to demonstrate sharing and compatibility between low data‐rate MSS and incumbent services in the frequency bands under consideration, a potential new allocation to the mobile‐satellite service for future development of narrowband mobile‐satellite systems may not be achievable in accordance with the Resolution 248 (WRC‐19) at the WRC‐23 in all the frequency bands under study. Therefore, CEPT proposes “No Change” to the Radio Regulations for the frequency bands 1695‐1710 MHz, 3300‐3315 MHz and 3385‐3400 </w:t>
      </w:r>
      <w:proofErr w:type="spellStart"/>
      <w:r w:rsidRPr="00D57893">
        <w:t>MHz.</w:t>
      </w:r>
      <w:proofErr w:type="spellEnd"/>
      <w:r w:rsidRPr="00D57893">
        <w:t xml:space="preserve"> CEPT is still considering its position regarding the 2010‐2025 MHz frequency band. </w:t>
      </w:r>
    </w:p>
    <w:p w14:paraId="04972C88" w14:textId="07399F3C" w:rsidR="00D57893" w:rsidRPr="00D57893" w:rsidRDefault="00D57893" w:rsidP="004D4BD7">
      <w:pPr>
        <w:numPr>
          <w:ilvl w:val="0"/>
          <w:numId w:val="18"/>
        </w:numPr>
        <w:snapToGrid w:val="0"/>
        <w:spacing w:after="100" w:line="264" w:lineRule="auto"/>
        <w:ind w:leftChars="145" w:left="708"/>
        <w:jc w:val="both"/>
      </w:pPr>
      <w:r w:rsidRPr="00D57893">
        <w:t xml:space="preserve">CEPT supports the continuation of the studies related to WRC‐23 </w:t>
      </w:r>
      <w:proofErr w:type="spellStart"/>
      <w:r w:rsidRPr="00D57893">
        <w:t>agend</w:t>
      </w:r>
      <w:proofErr w:type="spellEnd"/>
      <w:r w:rsidRPr="00D57893">
        <w:t xml:space="preserve"> item 1.18 under a new agenda item for WRC‐27 with a view to determine a global allocation for narrowband MSS in frequency bands up to 5 GHz.</w:t>
      </w:r>
    </w:p>
    <w:p w14:paraId="09D8E3A8" w14:textId="77777777" w:rsidR="0095406E" w:rsidRPr="008E7842" w:rsidRDefault="0095406E" w:rsidP="0095406E">
      <w:pPr>
        <w:snapToGrid w:val="0"/>
        <w:spacing w:after="100" w:line="264" w:lineRule="auto"/>
        <w:ind w:left="708"/>
      </w:pPr>
    </w:p>
    <w:p w14:paraId="60A257E1" w14:textId="17A7E829" w:rsidR="0095406E" w:rsidRPr="00441526" w:rsidRDefault="0095406E" w:rsidP="0095406E">
      <w:pPr>
        <w:snapToGrid w:val="0"/>
        <w:spacing w:after="100" w:line="264" w:lineRule="auto"/>
        <w:jc w:val="both"/>
        <w:rPr>
          <w:b/>
          <w:lang w:val="en-NZ" w:eastAsia="ko-KR"/>
        </w:rPr>
      </w:pPr>
      <w:r>
        <w:rPr>
          <w:b/>
          <w:lang w:val="en-NZ" w:eastAsia="ko-KR"/>
        </w:rPr>
        <w:t>7</w:t>
      </w:r>
      <w:r w:rsidRPr="00441526">
        <w:rPr>
          <w:b/>
          <w:lang w:val="en-NZ" w:eastAsia="ko-KR"/>
        </w:rPr>
        <w:t>.1</w:t>
      </w:r>
      <w:r>
        <w:rPr>
          <w:b/>
          <w:lang w:val="en-NZ" w:eastAsia="ko-KR"/>
        </w:rPr>
        <w:t>.4</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D57893">
        <w:rPr>
          <w:b/>
          <w:lang w:val="en-NZ" w:eastAsia="ko-KR"/>
        </w:rPr>
        <w:t>4</w:t>
      </w:r>
      <w:r w:rsidRPr="00441526">
        <w:rPr>
          <w:b/>
          <w:lang w:val="en-NZ" w:eastAsia="ko-KR"/>
        </w:rPr>
        <w:t>/INF-</w:t>
      </w:r>
      <w:r w:rsidR="00D57893">
        <w:rPr>
          <w:b/>
          <w:lang w:val="en-NZ" w:eastAsia="ko-KR"/>
        </w:rPr>
        <w:t>28</w:t>
      </w:r>
    </w:p>
    <w:p w14:paraId="4EBEDA9F" w14:textId="77777777" w:rsidR="00D57893" w:rsidRDefault="00D57893" w:rsidP="004D4BD7">
      <w:pPr>
        <w:numPr>
          <w:ilvl w:val="0"/>
          <w:numId w:val="18"/>
        </w:numPr>
        <w:snapToGrid w:val="0"/>
        <w:spacing w:after="100" w:line="264" w:lineRule="auto"/>
        <w:ind w:leftChars="145" w:left="708"/>
        <w:jc w:val="both"/>
      </w:pPr>
      <w:r>
        <w:t xml:space="preserve">Some Administrations support studies to ponder appropriate regulatory measures for the allocation of additional spectrum in the MSS in the frequency bands under consideration, while ensuring the protection of existing primary services in these frequency bands and adjacent frequency bands. </w:t>
      </w:r>
    </w:p>
    <w:p w14:paraId="0AD5DFE7" w14:textId="77777777" w:rsidR="00D57893" w:rsidRDefault="00D57893" w:rsidP="004D4BD7">
      <w:pPr>
        <w:numPr>
          <w:ilvl w:val="0"/>
          <w:numId w:val="18"/>
        </w:numPr>
        <w:snapToGrid w:val="0"/>
        <w:spacing w:after="100" w:line="264" w:lineRule="auto"/>
        <w:ind w:leftChars="145" w:left="708"/>
        <w:jc w:val="both"/>
      </w:pPr>
      <w:r>
        <w:t xml:space="preserve">An Administration supports the view that the applicability of Resolution 248 (WRC-19) is limited to those narrowband MSS systems that have a maximum </w:t>
      </w:r>
      <w:proofErr w:type="spellStart"/>
      <w:r>
        <w:t>e.i.r.p</w:t>
      </w:r>
      <w:proofErr w:type="spellEnd"/>
      <w:r>
        <w:t xml:space="preserve">. of 27 </w:t>
      </w:r>
      <w:proofErr w:type="spellStart"/>
      <w:r>
        <w:t>dBW</w:t>
      </w:r>
      <w:proofErr w:type="spellEnd"/>
      <w:r>
        <w:t xml:space="preserve"> for each space station and for each deployed MSS frequency band, with a maximum satellite beamwidth of 120 degrees for a single beam or measured across all the beams in a multiple-spot beam configuration, and earth stations that individually communicate no more than once every 15 minutes, for no more than 4 seconds at a time, with a maximum </w:t>
      </w:r>
      <w:proofErr w:type="spellStart"/>
      <w:r>
        <w:t>e.i.r.p</w:t>
      </w:r>
      <w:proofErr w:type="spellEnd"/>
      <w:r>
        <w:t xml:space="preserve">. of 7 </w:t>
      </w:r>
      <w:proofErr w:type="spellStart"/>
      <w:r>
        <w:t>dBW</w:t>
      </w:r>
      <w:proofErr w:type="spellEnd"/>
      <w:r>
        <w:t xml:space="preserve"> for each earth station. </w:t>
      </w:r>
    </w:p>
    <w:p w14:paraId="587742AD" w14:textId="77777777" w:rsidR="0095406E" w:rsidRPr="00D57893" w:rsidRDefault="0095406E" w:rsidP="004D4BD7">
      <w:pPr>
        <w:snapToGrid w:val="0"/>
        <w:spacing w:after="100" w:line="264" w:lineRule="auto"/>
        <w:jc w:val="both"/>
        <w:rPr>
          <w:b/>
          <w:lang w:eastAsia="ko-KR"/>
        </w:rPr>
      </w:pPr>
    </w:p>
    <w:p w14:paraId="7245BEE3" w14:textId="5DB4E768" w:rsidR="0095406E" w:rsidRPr="00441526" w:rsidRDefault="0095406E" w:rsidP="004D4BD7">
      <w:pPr>
        <w:snapToGrid w:val="0"/>
        <w:spacing w:after="100" w:line="264" w:lineRule="auto"/>
        <w:jc w:val="both"/>
        <w:rPr>
          <w:b/>
          <w:lang w:val="en-NZ" w:eastAsia="ko-KR"/>
        </w:rPr>
      </w:pPr>
      <w:r>
        <w:rPr>
          <w:b/>
          <w:lang w:val="en-NZ" w:eastAsia="ko-KR"/>
        </w:rPr>
        <w:t>7</w:t>
      </w:r>
      <w:r w:rsidRPr="00441526">
        <w:rPr>
          <w:b/>
          <w:lang w:val="en-NZ" w:eastAsia="ko-KR"/>
        </w:rPr>
        <w:t>.1.</w:t>
      </w:r>
      <w:r>
        <w:rPr>
          <w:b/>
          <w:lang w:val="en-NZ" w:eastAsia="ko-KR"/>
        </w:rPr>
        <w:t>5</w:t>
      </w:r>
      <w:r w:rsidRPr="00441526">
        <w:rPr>
          <w:b/>
          <w:lang w:val="en-NZ" w:eastAsia="ko-KR"/>
        </w:rPr>
        <w:t xml:space="preserve">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7E55ED">
        <w:rPr>
          <w:b/>
          <w:lang w:val="en-NZ" w:eastAsia="ko-KR"/>
        </w:rPr>
        <w:t>4</w:t>
      </w:r>
      <w:r w:rsidRPr="00441526">
        <w:rPr>
          <w:b/>
          <w:lang w:val="en-NZ" w:eastAsia="ko-KR"/>
        </w:rPr>
        <w:t>/INF-</w:t>
      </w:r>
      <w:r w:rsidR="007E55ED">
        <w:rPr>
          <w:b/>
          <w:lang w:val="en-NZ" w:eastAsia="ko-KR"/>
        </w:rPr>
        <w:t>44</w:t>
      </w:r>
    </w:p>
    <w:p w14:paraId="2B5E6B35" w14:textId="21BBBDC6" w:rsidR="007E55ED" w:rsidRPr="007E55ED" w:rsidRDefault="007E55ED" w:rsidP="004D4BD7">
      <w:pPr>
        <w:numPr>
          <w:ilvl w:val="0"/>
          <w:numId w:val="18"/>
        </w:numPr>
        <w:snapToGrid w:val="0"/>
        <w:spacing w:after="100" w:line="264" w:lineRule="auto"/>
        <w:ind w:leftChars="145" w:left="708"/>
        <w:jc w:val="both"/>
      </w:pPr>
      <w:r w:rsidRPr="007E55ED">
        <w:t xml:space="preserve">The RCC Administrations consider that additional MSS allocation is permissible only if technical and operational characteristics of narrowband mobile satellite systems are justified, </w:t>
      </w:r>
      <w:proofErr w:type="spellStart"/>
      <w:r w:rsidRPr="007E55ED">
        <w:t>аs</w:t>
      </w:r>
      <w:proofErr w:type="spellEnd"/>
      <w:r w:rsidRPr="007E55ED">
        <w:t xml:space="preserve"> well as regulatory conditions of their use, and allowing the exclusion of unacceptable interference towards existing and planned systems operated in the same and adjacent frequency bands in accordance with Article 5 RR. </w:t>
      </w:r>
    </w:p>
    <w:p w14:paraId="6A90D9D5" w14:textId="77777777" w:rsidR="0095406E" w:rsidRPr="00441526" w:rsidRDefault="0095406E" w:rsidP="004D4BD7">
      <w:pPr>
        <w:snapToGrid w:val="0"/>
        <w:spacing w:after="100" w:line="264" w:lineRule="auto"/>
        <w:jc w:val="both"/>
        <w:rPr>
          <w:lang w:val="en-NZ"/>
        </w:rPr>
      </w:pPr>
    </w:p>
    <w:p w14:paraId="5201B9FD" w14:textId="77777777" w:rsidR="0095406E" w:rsidRPr="00441526" w:rsidRDefault="0095406E" w:rsidP="0095406E">
      <w:pPr>
        <w:snapToGrid w:val="0"/>
        <w:spacing w:after="100" w:line="264" w:lineRule="auto"/>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2748F12F" w14:textId="6718F852" w:rsidR="0095406E" w:rsidRPr="00441526" w:rsidRDefault="0095406E" w:rsidP="0095406E">
      <w:pPr>
        <w:snapToGrid w:val="0"/>
        <w:spacing w:after="100" w:line="264" w:lineRule="auto"/>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r w:rsidRPr="00441526">
        <w:t xml:space="preserve">- </w:t>
      </w:r>
      <w:r w:rsidRPr="00441526">
        <w:rPr>
          <w:b/>
          <w:lang w:val="en-NZ" w:eastAsia="ko-KR"/>
        </w:rPr>
        <w:t>Document APG</w:t>
      </w:r>
      <w:r>
        <w:rPr>
          <w:b/>
          <w:lang w:val="en-NZ" w:eastAsia="ko-KR"/>
        </w:rPr>
        <w:t>23</w:t>
      </w:r>
      <w:r w:rsidRPr="00441526">
        <w:rPr>
          <w:b/>
          <w:lang w:val="en-NZ" w:eastAsia="ko-KR"/>
        </w:rPr>
        <w:t>-</w:t>
      </w:r>
      <w:r w:rsidR="007E55ED">
        <w:rPr>
          <w:b/>
          <w:lang w:val="en-NZ" w:eastAsia="ko-KR"/>
        </w:rPr>
        <w:t>4</w:t>
      </w:r>
      <w:r w:rsidRPr="00441526">
        <w:rPr>
          <w:b/>
          <w:lang w:val="en-NZ" w:eastAsia="ko-KR"/>
        </w:rPr>
        <w:t>/INF-</w:t>
      </w:r>
      <w:r w:rsidR="007E55ED">
        <w:rPr>
          <w:b/>
          <w:lang w:val="en-NZ" w:eastAsia="ko-KR"/>
        </w:rPr>
        <w:t>2</w:t>
      </w:r>
      <w:r>
        <w:rPr>
          <w:b/>
          <w:lang w:val="en-NZ" w:eastAsia="ko-KR"/>
        </w:rPr>
        <w:t>7</w:t>
      </w:r>
    </w:p>
    <w:p w14:paraId="34595C7C" w14:textId="77777777" w:rsidR="0095406E" w:rsidRPr="0097586A" w:rsidRDefault="0095406E" w:rsidP="004D4BD7">
      <w:pPr>
        <w:numPr>
          <w:ilvl w:val="0"/>
          <w:numId w:val="18"/>
        </w:numPr>
        <w:snapToGrid w:val="0"/>
        <w:spacing w:after="100" w:line="264" w:lineRule="auto"/>
        <w:ind w:leftChars="145" w:left="708"/>
        <w:jc w:val="both"/>
        <w:rPr>
          <w:lang w:val="en-NZ"/>
        </w:rPr>
      </w:pPr>
      <w:r w:rsidRPr="0097586A">
        <w:rPr>
          <w:lang w:val="en-NZ"/>
        </w:rPr>
        <w:t>The IARU supports retention of the amateur secondary allocation of 3 300-3 400 MHz in Regions 2 and 3.</w:t>
      </w:r>
    </w:p>
    <w:p w14:paraId="633DD4AA" w14:textId="77777777" w:rsidR="0095406E" w:rsidRPr="00441526" w:rsidRDefault="0095406E" w:rsidP="004D4BD7">
      <w:pPr>
        <w:snapToGrid w:val="0"/>
        <w:spacing w:after="100" w:line="264" w:lineRule="auto"/>
        <w:jc w:val="both"/>
        <w:rPr>
          <w:lang w:val="en-NZ"/>
        </w:rPr>
      </w:pPr>
    </w:p>
    <w:p w14:paraId="561472DF" w14:textId="6B81A142" w:rsidR="0095406E" w:rsidRPr="00441526" w:rsidRDefault="0095406E" w:rsidP="004D4BD7">
      <w:pPr>
        <w:snapToGrid w:val="0"/>
        <w:spacing w:after="100" w:line="264" w:lineRule="auto"/>
        <w:jc w:val="both"/>
        <w:rPr>
          <w:b/>
          <w:lang w:val="en-NZ" w:eastAsia="ko-KR"/>
        </w:rPr>
      </w:pPr>
      <w:r>
        <w:rPr>
          <w:b/>
          <w:lang w:val="en-NZ" w:eastAsia="ko-KR"/>
        </w:rPr>
        <w:t>7</w:t>
      </w:r>
      <w:r w:rsidRPr="00441526">
        <w:rPr>
          <w:b/>
          <w:lang w:val="en-NZ" w:eastAsia="ko-KR"/>
        </w:rPr>
        <w:t xml:space="preserve">.2.1 </w:t>
      </w:r>
      <w:r w:rsidRPr="00441526">
        <w:rPr>
          <w:b/>
          <w:lang w:val="en-NZ" w:eastAsia="ko-KR"/>
        </w:rPr>
        <w:tab/>
      </w:r>
      <w:r>
        <w:rPr>
          <w:b/>
          <w:lang w:val="en-NZ" w:eastAsia="ko-KR"/>
        </w:rPr>
        <w:t>WMO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7E55ED">
        <w:rPr>
          <w:b/>
          <w:lang w:val="en-NZ" w:eastAsia="ko-KR"/>
        </w:rPr>
        <w:t>4</w:t>
      </w:r>
      <w:r w:rsidRPr="00441526">
        <w:rPr>
          <w:b/>
          <w:lang w:val="en-NZ" w:eastAsia="ko-KR"/>
        </w:rPr>
        <w:t>/INF-</w:t>
      </w:r>
      <w:r>
        <w:rPr>
          <w:b/>
          <w:lang w:val="en-NZ" w:eastAsia="ko-KR"/>
        </w:rPr>
        <w:t>0</w:t>
      </w:r>
      <w:r w:rsidR="007E55ED">
        <w:rPr>
          <w:b/>
          <w:lang w:val="en-NZ" w:eastAsia="ko-KR"/>
        </w:rPr>
        <w:t>3</w:t>
      </w:r>
    </w:p>
    <w:p w14:paraId="6987AB2D" w14:textId="77777777" w:rsidR="0095406E" w:rsidRPr="00E86D66" w:rsidRDefault="0095406E" w:rsidP="004D4BD7">
      <w:pPr>
        <w:numPr>
          <w:ilvl w:val="0"/>
          <w:numId w:val="18"/>
        </w:numPr>
        <w:snapToGrid w:val="0"/>
        <w:spacing w:after="100" w:line="264" w:lineRule="auto"/>
        <w:ind w:leftChars="145" w:left="708"/>
        <w:jc w:val="both"/>
        <w:rPr>
          <w:lang w:val="en-NZ"/>
        </w:rPr>
      </w:pPr>
      <w:r w:rsidRPr="00E86D66">
        <w:rPr>
          <w:lang w:val="en-NZ"/>
        </w:rPr>
        <w:t xml:space="preserve">WMO supports compatibility studies to ensure the protection of current and future </w:t>
      </w:r>
      <w:proofErr w:type="spellStart"/>
      <w:r w:rsidRPr="00E86D66">
        <w:rPr>
          <w:lang w:val="en-NZ"/>
        </w:rPr>
        <w:t>MetSat</w:t>
      </w:r>
      <w:proofErr w:type="spellEnd"/>
      <w:r w:rsidRPr="00E86D66">
        <w:rPr>
          <w:lang w:val="en-NZ"/>
        </w:rPr>
        <w:t xml:space="preserve"> operations in the band 1695-1710 </w:t>
      </w:r>
      <w:proofErr w:type="spellStart"/>
      <w:r w:rsidRPr="00E86D66">
        <w:rPr>
          <w:lang w:val="en-NZ"/>
        </w:rPr>
        <w:t>MHz.</w:t>
      </w:r>
      <w:proofErr w:type="spellEnd"/>
      <w:r w:rsidRPr="00E86D66">
        <w:rPr>
          <w:lang w:val="en-NZ"/>
        </w:rPr>
        <w:t xml:space="preserve"> This is important to ensure the protection </w:t>
      </w:r>
      <w:r w:rsidRPr="00E86D66">
        <w:rPr>
          <w:lang w:val="en-NZ"/>
        </w:rPr>
        <w:lastRenderedPageBreak/>
        <w:t>of the downlink of the measured data as well as the global dissemination of the data directly to users.</w:t>
      </w:r>
    </w:p>
    <w:p w14:paraId="14BED935" w14:textId="77777777" w:rsidR="0095406E" w:rsidRPr="00E86D66" w:rsidRDefault="0095406E" w:rsidP="0095406E">
      <w:pPr>
        <w:numPr>
          <w:ilvl w:val="0"/>
          <w:numId w:val="18"/>
        </w:numPr>
        <w:snapToGrid w:val="0"/>
        <w:spacing w:after="100" w:line="264" w:lineRule="auto"/>
        <w:ind w:leftChars="145" w:left="708"/>
        <w:rPr>
          <w:lang w:val="en-NZ"/>
        </w:rPr>
      </w:pPr>
      <w:r w:rsidRPr="00E86D66">
        <w:rPr>
          <w:lang w:val="en-NZ"/>
        </w:rPr>
        <w:t xml:space="preserve">WMO requests the protection of the EESS/SOS in the adjacent band 2025-2110 </w:t>
      </w:r>
      <w:proofErr w:type="spellStart"/>
      <w:r w:rsidRPr="00E86D66">
        <w:rPr>
          <w:lang w:val="en-NZ"/>
        </w:rPr>
        <w:t>MHz.</w:t>
      </w:r>
      <w:proofErr w:type="spellEnd"/>
    </w:p>
    <w:p w14:paraId="487388DC" w14:textId="77777777" w:rsidR="002A0111" w:rsidRPr="00441526" w:rsidRDefault="002A0111" w:rsidP="002A0111">
      <w:pPr>
        <w:rPr>
          <w:lang w:val="en-NZ"/>
        </w:rPr>
      </w:pPr>
    </w:p>
    <w:p w14:paraId="13562E73" w14:textId="77777777" w:rsidR="002A0111" w:rsidRPr="00441526" w:rsidRDefault="002A0111" w:rsidP="002A0111">
      <w:pPr>
        <w:jc w:val="both"/>
        <w:rPr>
          <w:lang w:val="en-NZ"/>
        </w:rPr>
      </w:pPr>
    </w:p>
    <w:p w14:paraId="6C40B30A" w14:textId="77777777" w:rsidR="002A0111" w:rsidRPr="00441526" w:rsidRDefault="002A0111" w:rsidP="002A0111">
      <w:pPr>
        <w:rPr>
          <w:b/>
          <w:lang w:val="en-NZ"/>
        </w:rPr>
      </w:pPr>
    </w:p>
    <w:p w14:paraId="0921687E" w14:textId="77777777" w:rsidR="002A0111" w:rsidRPr="00710333" w:rsidRDefault="002A0111" w:rsidP="002A0111">
      <w:pPr>
        <w:jc w:val="center"/>
        <w:rPr>
          <w:snapToGrid w:val="0"/>
          <w:lang w:val="en-NZ"/>
        </w:rPr>
      </w:pPr>
      <w:r w:rsidRPr="00441526">
        <w:rPr>
          <w:lang w:val="en-NZ"/>
        </w:rPr>
        <w:t>____________</w:t>
      </w:r>
    </w:p>
    <w:p w14:paraId="61B265F0" w14:textId="77777777" w:rsidR="002A0111" w:rsidRPr="007673CA" w:rsidRDefault="002A0111" w:rsidP="002A0111">
      <w:pPr>
        <w:jc w:val="both"/>
        <w:rPr>
          <w:lang w:val="en-NZ"/>
        </w:rPr>
      </w:pPr>
    </w:p>
    <w:p w14:paraId="13FDA2EC" w14:textId="77777777" w:rsidR="002A0111" w:rsidRDefault="002A0111" w:rsidP="00B64A60">
      <w:pPr>
        <w:rPr>
          <w:b/>
          <w:lang w:val="en-NZ"/>
        </w:rPr>
      </w:pPr>
    </w:p>
    <w:p w14:paraId="045FFF72" w14:textId="77777777" w:rsidR="002A0111" w:rsidRPr="002A0111" w:rsidRDefault="002A0111" w:rsidP="002A0111">
      <w:pPr>
        <w:rPr>
          <w:lang w:val="en-NZ"/>
        </w:rPr>
      </w:pPr>
    </w:p>
    <w:p w14:paraId="71D7655E" w14:textId="77777777" w:rsidR="002A0111" w:rsidRPr="002A0111" w:rsidRDefault="002A0111" w:rsidP="002A0111">
      <w:pPr>
        <w:rPr>
          <w:lang w:val="en-NZ"/>
        </w:rPr>
      </w:pPr>
    </w:p>
    <w:p w14:paraId="6F58C6C0" w14:textId="77777777" w:rsidR="002A0111" w:rsidRPr="002A0111" w:rsidRDefault="002A0111" w:rsidP="002A0111">
      <w:pPr>
        <w:rPr>
          <w:lang w:val="en-NZ"/>
        </w:rPr>
      </w:pPr>
    </w:p>
    <w:p w14:paraId="3BCD9A7A" w14:textId="77777777" w:rsidR="002A0111" w:rsidRPr="002A0111" w:rsidRDefault="002A0111" w:rsidP="002A0111">
      <w:pPr>
        <w:rPr>
          <w:lang w:val="en-NZ"/>
        </w:rPr>
      </w:pPr>
    </w:p>
    <w:p w14:paraId="59AC155B" w14:textId="77777777" w:rsidR="002A0111" w:rsidRPr="002A0111" w:rsidRDefault="002A0111" w:rsidP="002A0111">
      <w:pPr>
        <w:rPr>
          <w:lang w:val="en-NZ"/>
        </w:rPr>
      </w:pPr>
    </w:p>
    <w:p w14:paraId="39BC387F" w14:textId="77777777" w:rsidR="002A0111" w:rsidRPr="002A0111" w:rsidRDefault="002A0111" w:rsidP="002A0111">
      <w:pPr>
        <w:rPr>
          <w:lang w:val="en-NZ"/>
        </w:rPr>
      </w:pPr>
    </w:p>
    <w:p w14:paraId="04D04452" w14:textId="77777777" w:rsidR="002A0111" w:rsidRPr="002A0111" w:rsidRDefault="002A0111" w:rsidP="002A0111">
      <w:pPr>
        <w:rPr>
          <w:lang w:val="en-NZ"/>
        </w:rPr>
      </w:pPr>
    </w:p>
    <w:p w14:paraId="44D9ABA5" w14:textId="77777777" w:rsidR="002A0111" w:rsidRPr="002A0111" w:rsidRDefault="002A0111" w:rsidP="002A0111">
      <w:pPr>
        <w:rPr>
          <w:lang w:val="en-NZ"/>
        </w:rPr>
      </w:pPr>
    </w:p>
    <w:p w14:paraId="6D9AB912" w14:textId="77777777" w:rsidR="002A0111" w:rsidRPr="002A0111" w:rsidRDefault="002A0111" w:rsidP="002A0111">
      <w:pPr>
        <w:rPr>
          <w:lang w:val="en-NZ"/>
        </w:rPr>
      </w:pPr>
    </w:p>
    <w:p w14:paraId="63BAE976" w14:textId="77777777" w:rsidR="002A0111" w:rsidRPr="002A0111" w:rsidRDefault="002A0111" w:rsidP="002A0111">
      <w:pPr>
        <w:rPr>
          <w:lang w:val="en-NZ"/>
        </w:rPr>
      </w:pPr>
    </w:p>
    <w:p w14:paraId="149B52E0" w14:textId="77777777" w:rsidR="002A0111" w:rsidRPr="002A0111" w:rsidRDefault="002A0111" w:rsidP="002A0111">
      <w:pPr>
        <w:rPr>
          <w:lang w:val="en-NZ"/>
        </w:rPr>
      </w:pPr>
    </w:p>
    <w:p w14:paraId="25C70A48" w14:textId="77777777" w:rsidR="002A0111" w:rsidRPr="002A0111" w:rsidRDefault="002A0111" w:rsidP="002A0111">
      <w:pPr>
        <w:rPr>
          <w:lang w:val="en-NZ"/>
        </w:rPr>
      </w:pPr>
    </w:p>
    <w:p w14:paraId="5FE23AC1" w14:textId="77777777" w:rsidR="002A0111" w:rsidRPr="002A0111" w:rsidRDefault="002A0111" w:rsidP="002A0111">
      <w:pPr>
        <w:rPr>
          <w:lang w:val="en-NZ"/>
        </w:rPr>
      </w:pPr>
    </w:p>
    <w:p w14:paraId="04F4ECB6" w14:textId="77777777" w:rsidR="002A0111" w:rsidRPr="002A0111" w:rsidRDefault="002A0111" w:rsidP="002A0111">
      <w:pPr>
        <w:rPr>
          <w:lang w:val="en-NZ"/>
        </w:rPr>
      </w:pPr>
    </w:p>
    <w:p w14:paraId="4329B97D" w14:textId="77777777" w:rsidR="002A0111" w:rsidRPr="002A0111" w:rsidRDefault="002A0111" w:rsidP="002A0111">
      <w:pPr>
        <w:rPr>
          <w:lang w:val="en-NZ"/>
        </w:rPr>
      </w:pPr>
    </w:p>
    <w:p w14:paraId="32BDD32B" w14:textId="77777777" w:rsidR="002A0111" w:rsidRPr="002A0111" w:rsidRDefault="002A0111" w:rsidP="002A0111">
      <w:pPr>
        <w:rPr>
          <w:lang w:val="en-NZ"/>
        </w:rPr>
      </w:pPr>
    </w:p>
    <w:p w14:paraId="375ADB88" w14:textId="77777777" w:rsidR="002A0111" w:rsidRPr="002A0111" w:rsidRDefault="002A0111" w:rsidP="002A0111">
      <w:pPr>
        <w:rPr>
          <w:lang w:val="en-NZ"/>
        </w:rPr>
      </w:pPr>
    </w:p>
    <w:p w14:paraId="33A4D21D" w14:textId="77777777" w:rsidR="002A0111" w:rsidRPr="002A0111" w:rsidRDefault="002A0111" w:rsidP="002A0111">
      <w:pPr>
        <w:rPr>
          <w:lang w:val="en-NZ"/>
        </w:rPr>
      </w:pPr>
    </w:p>
    <w:p w14:paraId="551D76FA" w14:textId="77777777" w:rsidR="002A0111" w:rsidRPr="002A0111" w:rsidRDefault="002A0111" w:rsidP="002A0111">
      <w:pPr>
        <w:rPr>
          <w:lang w:val="en-NZ"/>
        </w:rPr>
      </w:pPr>
    </w:p>
    <w:p w14:paraId="666A49DB" w14:textId="77777777" w:rsidR="002A0111" w:rsidRPr="002A0111" w:rsidRDefault="002A0111" w:rsidP="002A0111">
      <w:pPr>
        <w:rPr>
          <w:lang w:val="en-NZ"/>
        </w:rPr>
      </w:pPr>
    </w:p>
    <w:p w14:paraId="16A04C20" w14:textId="77777777" w:rsidR="002A0111" w:rsidRPr="002A0111" w:rsidRDefault="002A0111" w:rsidP="002A0111">
      <w:pPr>
        <w:rPr>
          <w:lang w:val="en-NZ"/>
        </w:rPr>
      </w:pPr>
    </w:p>
    <w:p w14:paraId="1E951AE1" w14:textId="77777777" w:rsidR="002A0111" w:rsidRPr="002A0111" w:rsidRDefault="002A0111" w:rsidP="002A0111">
      <w:pPr>
        <w:rPr>
          <w:lang w:val="en-NZ"/>
        </w:rPr>
      </w:pPr>
    </w:p>
    <w:p w14:paraId="5934E681" w14:textId="77777777" w:rsidR="002A0111" w:rsidRPr="002A0111" w:rsidRDefault="002A0111" w:rsidP="002A0111">
      <w:pPr>
        <w:rPr>
          <w:lang w:val="en-NZ"/>
        </w:rPr>
      </w:pPr>
    </w:p>
    <w:p w14:paraId="5D7BC89D" w14:textId="77777777" w:rsidR="002A0111" w:rsidRPr="002A0111" w:rsidRDefault="002A0111" w:rsidP="002A0111">
      <w:pPr>
        <w:rPr>
          <w:lang w:val="en-NZ"/>
        </w:rPr>
      </w:pPr>
    </w:p>
    <w:p w14:paraId="70CC227F" w14:textId="77777777" w:rsidR="002A0111" w:rsidRPr="002A0111" w:rsidRDefault="002A0111" w:rsidP="002A0111">
      <w:pPr>
        <w:rPr>
          <w:lang w:val="en-NZ"/>
        </w:rPr>
      </w:pPr>
    </w:p>
    <w:p w14:paraId="62545ED1" w14:textId="77777777" w:rsidR="002A0111" w:rsidRPr="002A0111" w:rsidRDefault="002A0111" w:rsidP="002A0111">
      <w:pPr>
        <w:rPr>
          <w:lang w:val="en-NZ"/>
        </w:rPr>
      </w:pPr>
    </w:p>
    <w:p w14:paraId="59C65B5B" w14:textId="77777777" w:rsidR="002A0111" w:rsidRPr="002A0111" w:rsidRDefault="002A0111" w:rsidP="002A0111">
      <w:pPr>
        <w:rPr>
          <w:lang w:val="en-NZ"/>
        </w:rPr>
      </w:pPr>
    </w:p>
    <w:p w14:paraId="29AB8D53" w14:textId="77777777" w:rsidR="002A0111" w:rsidRPr="002A0111" w:rsidRDefault="002A0111" w:rsidP="002A0111">
      <w:pPr>
        <w:rPr>
          <w:lang w:val="en-NZ"/>
        </w:rPr>
      </w:pPr>
    </w:p>
    <w:p w14:paraId="355965C5" w14:textId="77777777" w:rsidR="002A0111" w:rsidRPr="002A0111" w:rsidRDefault="002A0111" w:rsidP="002A0111">
      <w:pPr>
        <w:rPr>
          <w:lang w:val="en-NZ"/>
        </w:rPr>
      </w:pPr>
    </w:p>
    <w:p w14:paraId="41A20E62" w14:textId="77777777" w:rsidR="002A0111" w:rsidRPr="002A0111" w:rsidRDefault="002A0111" w:rsidP="002A0111">
      <w:pPr>
        <w:rPr>
          <w:lang w:val="en-NZ"/>
        </w:rPr>
      </w:pPr>
    </w:p>
    <w:p w14:paraId="010E9AF3" w14:textId="77777777" w:rsidR="002A0111" w:rsidRPr="002A0111" w:rsidRDefault="002A0111" w:rsidP="002A0111">
      <w:pPr>
        <w:rPr>
          <w:lang w:val="en-NZ"/>
        </w:rPr>
      </w:pPr>
    </w:p>
    <w:p w14:paraId="285B0B7C" w14:textId="77777777" w:rsidR="002A0111" w:rsidRPr="002A0111" w:rsidRDefault="002A0111" w:rsidP="002A0111">
      <w:pPr>
        <w:rPr>
          <w:lang w:val="en-NZ"/>
        </w:rPr>
      </w:pPr>
    </w:p>
    <w:p w14:paraId="47D45828"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0049" w14:textId="77777777" w:rsidR="000C708D" w:rsidRDefault="000C708D">
      <w:r>
        <w:separator/>
      </w:r>
    </w:p>
  </w:endnote>
  <w:endnote w:type="continuationSeparator" w:id="0">
    <w:p w14:paraId="61ACE426" w14:textId="77777777" w:rsidR="000C708D" w:rsidRDefault="000C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1ABFB9C9"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F00939">
      <w:rPr>
        <w:lang w:eastAsia="ko-KR"/>
      </w:rPr>
      <w:t>4</w:t>
    </w:r>
    <w:r w:rsidR="002A0111">
      <w:rPr>
        <w:lang w:eastAsia="ko-KR"/>
      </w:rPr>
      <w:t>/</w:t>
    </w:r>
    <w:r w:rsidR="00766FC5">
      <w:rPr>
        <w:lang w:eastAsia="ko-KR"/>
      </w:rPr>
      <w:t>OUT</w:t>
    </w:r>
    <w:r>
      <w:rPr>
        <w:lang w:eastAsia="ko-KR"/>
      </w:rPr>
      <w:t>-</w:t>
    </w:r>
    <w:r w:rsidR="00766FC5">
      <w:rPr>
        <w:lang w:eastAsia="ko-KR"/>
      </w:rPr>
      <w:t>31</w:t>
    </w:r>
    <w:r w:rsidR="004D4BD7">
      <w:rPr>
        <w:lang w:eastAsia="ko-KR"/>
      </w:rPr>
      <w:t>(Rev.1)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6E27F1">
      <w:rPr>
        <w:rStyle w:val="PageNumber"/>
        <w:noProof/>
      </w:rPr>
      <w:t>7</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6E27F1">
      <w:rPr>
        <w:rStyle w:val="PageNumber"/>
        <w:noProof/>
      </w:rPr>
      <w:t>7</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0F6B4D27" w14:textId="77777777" w:rsidTr="00BB0EA4">
      <w:trPr>
        <w:trHeight w:val="432"/>
      </w:trPr>
      <w:tc>
        <w:tcPr>
          <w:tcW w:w="1296" w:type="dxa"/>
          <w:tcBorders>
            <w:top w:val="single" w:sz="8" w:space="0" w:color="auto"/>
            <w:bottom w:val="nil"/>
            <w:right w:val="nil"/>
          </w:tcBorders>
        </w:tcPr>
        <w:p w14:paraId="2F9F6BCF"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8E3500F" w14:textId="236CB469" w:rsidR="002A0111" w:rsidRPr="002A0111" w:rsidRDefault="002A0111" w:rsidP="0092727B">
          <w:pPr>
            <w:pStyle w:val="Footer"/>
            <w:tabs>
              <w:tab w:val="clear" w:pos="4320"/>
              <w:tab w:val="clear" w:pos="8640"/>
            </w:tabs>
          </w:pPr>
        </w:p>
      </w:tc>
      <w:tc>
        <w:tcPr>
          <w:tcW w:w="2880" w:type="dxa"/>
          <w:tcBorders>
            <w:top w:val="single" w:sz="8" w:space="0" w:color="auto"/>
            <w:left w:val="nil"/>
            <w:bottom w:val="nil"/>
          </w:tcBorders>
        </w:tcPr>
        <w:p w14:paraId="73834E9A" w14:textId="1C51D439" w:rsidR="0092727B" w:rsidRPr="0092727B" w:rsidRDefault="0092727B" w:rsidP="0092727B">
          <w:pPr>
            <w:pStyle w:val="Footer"/>
            <w:tabs>
              <w:tab w:val="clear" w:pos="4320"/>
              <w:tab w:val="clear" w:pos="8640"/>
            </w:tabs>
          </w:pPr>
          <w:r w:rsidRPr="00C94FC3">
            <w:rPr>
              <w:b/>
              <w:bCs/>
            </w:rPr>
            <w:t>E-mail:</w:t>
          </w:r>
          <w:r w:rsidR="00734D6A">
            <w:t xml:space="preserve"> </w:t>
          </w:r>
        </w:p>
      </w:tc>
    </w:tr>
  </w:tbl>
  <w:p w14:paraId="227B9787"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16BC" w14:textId="77777777" w:rsidR="000C708D" w:rsidRDefault="000C708D">
      <w:r>
        <w:separator/>
      </w:r>
    </w:p>
  </w:footnote>
  <w:footnote w:type="continuationSeparator" w:id="0">
    <w:p w14:paraId="63E41DBC" w14:textId="77777777" w:rsidR="000C708D" w:rsidRDefault="000C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020"/>
    <w:multiLevelType w:val="hybridMultilevel"/>
    <w:tmpl w:val="E11C6C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90F2E16"/>
    <w:multiLevelType w:val="multilevel"/>
    <w:tmpl w:val="390F2E16"/>
    <w:lvl w:ilvl="0">
      <w:start w:val="1"/>
      <w:numFmt w:val="bullet"/>
      <w:lvlText w:val="–"/>
      <w:lvlJc w:val="left"/>
      <w:pPr>
        <w:ind w:left="14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9"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487435015">
    <w:abstractNumId w:val="10"/>
  </w:num>
  <w:num w:numId="2" w16cid:durableId="2137988158">
    <w:abstractNumId w:val="6"/>
  </w:num>
  <w:num w:numId="3" w16cid:durableId="642781456">
    <w:abstractNumId w:val="5"/>
  </w:num>
  <w:num w:numId="4" w16cid:durableId="2104524682">
    <w:abstractNumId w:val="17"/>
  </w:num>
  <w:num w:numId="5" w16cid:durableId="1828400707">
    <w:abstractNumId w:val="9"/>
  </w:num>
  <w:num w:numId="6" w16cid:durableId="909774903">
    <w:abstractNumId w:val="11"/>
  </w:num>
  <w:num w:numId="7" w16cid:durableId="855080436">
    <w:abstractNumId w:val="3"/>
  </w:num>
  <w:num w:numId="8" w16cid:durableId="1698045073">
    <w:abstractNumId w:val="2"/>
  </w:num>
  <w:num w:numId="9" w16cid:durableId="667295011">
    <w:abstractNumId w:val="20"/>
  </w:num>
  <w:num w:numId="10" w16cid:durableId="1105619051">
    <w:abstractNumId w:val="16"/>
  </w:num>
  <w:num w:numId="11" w16cid:durableId="352658436">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8621461">
    <w:abstractNumId w:val="14"/>
  </w:num>
  <w:num w:numId="13" w16cid:durableId="331565720">
    <w:abstractNumId w:val="1"/>
  </w:num>
  <w:num w:numId="14" w16cid:durableId="1220557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453777">
    <w:abstractNumId w:val="7"/>
  </w:num>
  <w:num w:numId="16" w16cid:durableId="1391423724">
    <w:abstractNumId w:val="21"/>
  </w:num>
  <w:num w:numId="17" w16cid:durableId="659650736">
    <w:abstractNumId w:val="15"/>
  </w:num>
  <w:num w:numId="18" w16cid:durableId="457913397">
    <w:abstractNumId w:val="13"/>
  </w:num>
  <w:num w:numId="19" w16cid:durableId="865949982">
    <w:abstractNumId w:val="19"/>
  </w:num>
  <w:num w:numId="20" w16cid:durableId="756439680">
    <w:abstractNumId w:val="8"/>
  </w:num>
  <w:num w:numId="21" w16cid:durableId="1507666367">
    <w:abstractNumId w:val="18"/>
  </w:num>
  <w:num w:numId="22" w16cid:durableId="1862433906">
    <w:abstractNumId w:val="22"/>
  </w:num>
  <w:num w:numId="23" w16cid:durableId="357896071">
    <w:abstractNumId w:val="12"/>
  </w:num>
  <w:num w:numId="24" w16cid:durableId="48261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129C0"/>
    <w:rsid w:val="00023A3E"/>
    <w:rsid w:val="0003595B"/>
    <w:rsid w:val="00036517"/>
    <w:rsid w:val="00036CC9"/>
    <w:rsid w:val="00040149"/>
    <w:rsid w:val="000412A5"/>
    <w:rsid w:val="0004672F"/>
    <w:rsid w:val="00070642"/>
    <w:rsid w:val="000713CF"/>
    <w:rsid w:val="00075C14"/>
    <w:rsid w:val="000822B5"/>
    <w:rsid w:val="0009341B"/>
    <w:rsid w:val="00094B87"/>
    <w:rsid w:val="000A012B"/>
    <w:rsid w:val="000A5418"/>
    <w:rsid w:val="000C708D"/>
    <w:rsid w:val="000D47FB"/>
    <w:rsid w:val="000D61F4"/>
    <w:rsid w:val="000E1FE3"/>
    <w:rsid w:val="000E2A86"/>
    <w:rsid w:val="000E3D7C"/>
    <w:rsid w:val="000E710F"/>
    <w:rsid w:val="000F345F"/>
    <w:rsid w:val="000F517C"/>
    <w:rsid w:val="000F5540"/>
    <w:rsid w:val="000F5F06"/>
    <w:rsid w:val="00105F1A"/>
    <w:rsid w:val="00125FBD"/>
    <w:rsid w:val="00131B45"/>
    <w:rsid w:val="001409B2"/>
    <w:rsid w:val="00152636"/>
    <w:rsid w:val="001539DD"/>
    <w:rsid w:val="00156782"/>
    <w:rsid w:val="00165F01"/>
    <w:rsid w:val="0017253F"/>
    <w:rsid w:val="001731F4"/>
    <w:rsid w:val="001916F2"/>
    <w:rsid w:val="001930A7"/>
    <w:rsid w:val="00196568"/>
    <w:rsid w:val="00197C18"/>
    <w:rsid w:val="001A2F16"/>
    <w:rsid w:val="001B1804"/>
    <w:rsid w:val="001B18C2"/>
    <w:rsid w:val="001C25C5"/>
    <w:rsid w:val="001C443F"/>
    <w:rsid w:val="001C562C"/>
    <w:rsid w:val="001C61A5"/>
    <w:rsid w:val="001C6707"/>
    <w:rsid w:val="001D5D7E"/>
    <w:rsid w:val="001E6D61"/>
    <w:rsid w:val="001F5947"/>
    <w:rsid w:val="00202410"/>
    <w:rsid w:val="00214A0C"/>
    <w:rsid w:val="0021588B"/>
    <w:rsid w:val="002161B6"/>
    <w:rsid w:val="002216AC"/>
    <w:rsid w:val="0023212E"/>
    <w:rsid w:val="00235E2F"/>
    <w:rsid w:val="002475E2"/>
    <w:rsid w:val="002506D2"/>
    <w:rsid w:val="00250DE2"/>
    <w:rsid w:val="00254A1B"/>
    <w:rsid w:val="0026064A"/>
    <w:rsid w:val="00264566"/>
    <w:rsid w:val="0028454D"/>
    <w:rsid w:val="00291C9E"/>
    <w:rsid w:val="002926D4"/>
    <w:rsid w:val="0029734E"/>
    <w:rsid w:val="00297C61"/>
    <w:rsid w:val="002A0111"/>
    <w:rsid w:val="002A1FAA"/>
    <w:rsid w:val="002A3CF5"/>
    <w:rsid w:val="002A5F7C"/>
    <w:rsid w:val="002B06A3"/>
    <w:rsid w:val="002B435C"/>
    <w:rsid w:val="002B447F"/>
    <w:rsid w:val="002C07DA"/>
    <w:rsid w:val="002C2A49"/>
    <w:rsid w:val="002C7EA9"/>
    <w:rsid w:val="002F575D"/>
    <w:rsid w:val="003113D7"/>
    <w:rsid w:val="00311E8A"/>
    <w:rsid w:val="00342F20"/>
    <w:rsid w:val="00345252"/>
    <w:rsid w:val="00360377"/>
    <w:rsid w:val="00366548"/>
    <w:rsid w:val="00371A1B"/>
    <w:rsid w:val="00373378"/>
    <w:rsid w:val="0038005B"/>
    <w:rsid w:val="003809C7"/>
    <w:rsid w:val="0038236C"/>
    <w:rsid w:val="00382A6E"/>
    <w:rsid w:val="00393DCD"/>
    <w:rsid w:val="00395B40"/>
    <w:rsid w:val="003A2006"/>
    <w:rsid w:val="003A6568"/>
    <w:rsid w:val="003B4FD1"/>
    <w:rsid w:val="003B6263"/>
    <w:rsid w:val="003C29E6"/>
    <w:rsid w:val="003C64A7"/>
    <w:rsid w:val="003D1128"/>
    <w:rsid w:val="003D1671"/>
    <w:rsid w:val="003D3D47"/>
    <w:rsid w:val="003D3FDA"/>
    <w:rsid w:val="003D51DE"/>
    <w:rsid w:val="003D6D00"/>
    <w:rsid w:val="003E166F"/>
    <w:rsid w:val="003E586D"/>
    <w:rsid w:val="003F307E"/>
    <w:rsid w:val="004001E5"/>
    <w:rsid w:val="0041313C"/>
    <w:rsid w:val="00420822"/>
    <w:rsid w:val="00420C74"/>
    <w:rsid w:val="00441526"/>
    <w:rsid w:val="004465AA"/>
    <w:rsid w:val="00446A5E"/>
    <w:rsid w:val="0045458F"/>
    <w:rsid w:val="004633B4"/>
    <w:rsid w:val="00486D7B"/>
    <w:rsid w:val="00495CED"/>
    <w:rsid w:val="004A2F96"/>
    <w:rsid w:val="004A4BDF"/>
    <w:rsid w:val="004B3553"/>
    <w:rsid w:val="004B3F4B"/>
    <w:rsid w:val="004D4BD7"/>
    <w:rsid w:val="004E1FCA"/>
    <w:rsid w:val="004E47D6"/>
    <w:rsid w:val="00503189"/>
    <w:rsid w:val="005165CB"/>
    <w:rsid w:val="00516BD1"/>
    <w:rsid w:val="005206E9"/>
    <w:rsid w:val="00526D01"/>
    <w:rsid w:val="00530E8C"/>
    <w:rsid w:val="00535D34"/>
    <w:rsid w:val="00545933"/>
    <w:rsid w:val="00552105"/>
    <w:rsid w:val="005562F2"/>
    <w:rsid w:val="00557544"/>
    <w:rsid w:val="00565BBB"/>
    <w:rsid w:val="00571B26"/>
    <w:rsid w:val="00585F3C"/>
    <w:rsid w:val="00586CA0"/>
    <w:rsid w:val="00587875"/>
    <w:rsid w:val="005A63EB"/>
    <w:rsid w:val="005B0876"/>
    <w:rsid w:val="005C33B6"/>
    <w:rsid w:val="005D6202"/>
    <w:rsid w:val="005D6E98"/>
    <w:rsid w:val="005F5E1A"/>
    <w:rsid w:val="005F669D"/>
    <w:rsid w:val="00607E18"/>
    <w:rsid w:val="00607E2B"/>
    <w:rsid w:val="006139D6"/>
    <w:rsid w:val="00616D1B"/>
    <w:rsid w:val="00623CE1"/>
    <w:rsid w:val="00627880"/>
    <w:rsid w:val="0063062B"/>
    <w:rsid w:val="00633552"/>
    <w:rsid w:val="00634A82"/>
    <w:rsid w:val="00637351"/>
    <w:rsid w:val="006407EC"/>
    <w:rsid w:val="00646166"/>
    <w:rsid w:val="00652BDD"/>
    <w:rsid w:val="00654896"/>
    <w:rsid w:val="006621F0"/>
    <w:rsid w:val="006647BA"/>
    <w:rsid w:val="00667229"/>
    <w:rsid w:val="00682BE5"/>
    <w:rsid w:val="00683846"/>
    <w:rsid w:val="00690FED"/>
    <w:rsid w:val="006939A5"/>
    <w:rsid w:val="006B09DB"/>
    <w:rsid w:val="006B57F3"/>
    <w:rsid w:val="006C20AD"/>
    <w:rsid w:val="006C3AE5"/>
    <w:rsid w:val="006D5223"/>
    <w:rsid w:val="006D5970"/>
    <w:rsid w:val="006E12FC"/>
    <w:rsid w:val="006E27F1"/>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34D6A"/>
    <w:rsid w:val="0074190C"/>
    <w:rsid w:val="00750F1D"/>
    <w:rsid w:val="0075237C"/>
    <w:rsid w:val="0075493D"/>
    <w:rsid w:val="00762576"/>
    <w:rsid w:val="00766FC5"/>
    <w:rsid w:val="007673CA"/>
    <w:rsid w:val="00791060"/>
    <w:rsid w:val="007926EA"/>
    <w:rsid w:val="007B5626"/>
    <w:rsid w:val="007B6124"/>
    <w:rsid w:val="007C1236"/>
    <w:rsid w:val="007D3C53"/>
    <w:rsid w:val="007E3A0F"/>
    <w:rsid w:val="007E55ED"/>
    <w:rsid w:val="007F0AE6"/>
    <w:rsid w:val="007F2628"/>
    <w:rsid w:val="007F2BC5"/>
    <w:rsid w:val="007F2FBA"/>
    <w:rsid w:val="00800C3A"/>
    <w:rsid w:val="0080570B"/>
    <w:rsid w:val="008148E1"/>
    <w:rsid w:val="00822B33"/>
    <w:rsid w:val="008319BF"/>
    <w:rsid w:val="008415F0"/>
    <w:rsid w:val="008433C2"/>
    <w:rsid w:val="00844457"/>
    <w:rsid w:val="008454C8"/>
    <w:rsid w:val="00851D78"/>
    <w:rsid w:val="0087122A"/>
    <w:rsid w:val="008A016F"/>
    <w:rsid w:val="008A1A0D"/>
    <w:rsid w:val="008A72E1"/>
    <w:rsid w:val="008A76ED"/>
    <w:rsid w:val="008B3C72"/>
    <w:rsid w:val="008B78E9"/>
    <w:rsid w:val="008C5FED"/>
    <w:rsid w:val="008D0265"/>
    <w:rsid w:val="008D0E09"/>
    <w:rsid w:val="00903007"/>
    <w:rsid w:val="00923816"/>
    <w:rsid w:val="0092727B"/>
    <w:rsid w:val="0093074B"/>
    <w:rsid w:val="00930E64"/>
    <w:rsid w:val="00943CF9"/>
    <w:rsid w:val="0095406E"/>
    <w:rsid w:val="00956F8C"/>
    <w:rsid w:val="00961D57"/>
    <w:rsid w:val="00976716"/>
    <w:rsid w:val="0097693B"/>
    <w:rsid w:val="00993355"/>
    <w:rsid w:val="009963F7"/>
    <w:rsid w:val="009A11CB"/>
    <w:rsid w:val="009A4A6D"/>
    <w:rsid w:val="009B44DD"/>
    <w:rsid w:val="009B7E42"/>
    <w:rsid w:val="009C7235"/>
    <w:rsid w:val="009D46CE"/>
    <w:rsid w:val="009D4ADA"/>
    <w:rsid w:val="009E13DD"/>
    <w:rsid w:val="009F547A"/>
    <w:rsid w:val="00A03D78"/>
    <w:rsid w:val="00A0503B"/>
    <w:rsid w:val="00A059CD"/>
    <w:rsid w:val="00A05A0F"/>
    <w:rsid w:val="00A13265"/>
    <w:rsid w:val="00A14900"/>
    <w:rsid w:val="00A2159F"/>
    <w:rsid w:val="00A23C16"/>
    <w:rsid w:val="00A324FF"/>
    <w:rsid w:val="00A32DFD"/>
    <w:rsid w:val="00A529BC"/>
    <w:rsid w:val="00A5346C"/>
    <w:rsid w:val="00A53F51"/>
    <w:rsid w:val="00A562F0"/>
    <w:rsid w:val="00A564FB"/>
    <w:rsid w:val="00A614C1"/>
    <w:rsid w:val="00A61EA6"/>
    <w:rsid w:val="00A657BF"/>
    <w:rsid w:val="00A71136"/>
    <w:rsid w:val="00A7113D"/>
    <w:rsid w:val="00A92578"/>
    <w:rsid w:val="00AA474C"/>
    <w:rsid w:val="00AB4150"/>
    <w:rsid w:val="00AB57E2"/>
    <w:rsid w:val="00AC35EF"/>
    <w:rsid w:val="00AC4D5B"/>
    <w:rsid w:val="00AD1DDB"/>
    <w:rsid w:val="00AD2697"/>
    <w:rsid w:val="00AD7E5F"/>
    <w:rsid w:val="00AE1101"/>
    <w:rsid w:val="00AE3066"/>
    <w:rsid w:val="00AF68E4"/>
    <w:rsid w:val="00B00A87"/>
    <w:rsid w:val="00B01AA1"/>
    <w:rsid w:val="00B06025"/>
    <w:rsid w:val="00B30C81"/>
    <w:rsid w:val="00B30DA1"/>
    <w:rsid w:val="00B368D7"/>
    <w:rsid w:val="00B4793B"/>
    <w:rsid w:val="00B56099"/>
    <w:rsid w:val="00B64A60"/>
    <w:rsid w:val="00B661AC"/>
    <w:rsid w:val="00B8468D"/>
    <w:rsid w:val="00B937D7"/>
    <w:rsid w:val="00B96B67"/>
    <w:rsid w:val="00BB0EA4"/>
    <w:rsid w:val="00BC57EF"/>
    <w:rsid w:val="00BC69DB"/>
    <w:rsid w:val="00BD63BD"/>
    <w:rsid w:val="00BE6B6B"/>
    <w:rsid w:val="00BF25F9"/>
    <w:rsid w:val="00C005C9"/>
    <w:rsid w:val="00C00B04"/>
    <w:rsid w:val="00C014CA"/>
    <w:rsid w:val="00C13FD5"/>
    <w:rsid w:val="00C15633"/>
    <w:rsid w:val="00C15799"/>
    <w:rsid w:val="00C32E84"/>
    <w:rsid w:val="00C35415"/>
    <w:rsid w:val="00C357AD"/>
    <w:rsid w:val="00C516C7"/>
    <w:rsid w:val="00C51C5F"/>
    <w:rsid w:val="00C554CC"/>
    <w:rsid w:val="00C6069C"/>
    <w:rsid w:val="00C70477"/>
    <w:rsid w:val="00C72AD4"/>
    <w:rsid w:val="00C74283"/>
    <w:rsid w:val="00C74745"/>
    <w:rsid w:val="00C85119"/>
    <w:rsid w:val="00C94FC3"/>
    <w:rsid w:val="00C95C48"/>
    <w:rsid w:val="00CA41E7"/>
    <w:rsid w:val="00CA420A"/>
    <w:rsid w:val="00CD170C"/>
    <w:rsid w:val="00CD320B"/>
    <w:rsid w:val="00CD3F37"/>
    <w:rsid w:val="00CD5431"/>
    <w:rsid w:val="00CE4B93"/>
    <w:rsid w:val="00CF2491"/>
    <w:rsid w:val="00CF3963"/>
    <w:rsid w:val="00D1252E"/>
    <w:rsid w:val="00D13D9D"/>
    <w:rsid w:val="00D14AFE"/>
    <w:rsid w:val="00D2190A"/>
    <w:rsid w:val="00D416A3"/>
    <w:rsid w:val="00D459A2"/>
    <w:rsid w:val="00D530FF"/>
    <w:rsid w:val="00D53688"/>
    <w:rsid w:val="00D5407A"/>
    <w:rsid w:val="00D57772"/>
    <w:rsid w:val="00D57893"/>
    <w:rsid w:val="00D606EF"/>
    <w:rsid w:val="00D65FD5"/>
    <w:rsid w:val="00D72AE3"/>
    <w:rsid w:val="00D75A4D"/>
    <w:rsid w:val="00D8478B"/>
    <w:rsid w:val="00D86151"/>
    <w:rsid w:val="00D9172D"/>
    <w:rsid w:val="00D97CB5"/>
    <w:rsid w:val="00D97E84"/>
    <w:rsid w:val="00DA0CB1"/>
    <w:rsid w:val="00DA2264"/>
    <w:rsid w:val="00DA5641"/>
    <w:rsid w:val="00DA7595"/>
    <w:rsid w:val="00DB0A68"/>
    <w:rsid w:val="00DC43A3"/>
    <w:rsid w:val="00DC4CF3"/>
    <w:rsid w:val="00DC4D20"/>
    <w:rsid w:val="00DC5C01"/>
    <w:rsid w:val="00DD7C09"/>
    <w:rsid w:val="00DF0EB4"/>
    <w:rsid w:val="00DF111E"/>
    <w:rsid w:val="00E0124F"/>
    <w:rsid w:val="00E17F3B"/>
    <w:rsid w:val="00E5762A"/>
    <w:rsid w:val="00E60C87"/>
    <w:rsid w:val="00E64A49"/>
    <w:rsid w:val="00E674D3"/>
    <w:rsid w:val="00E70FD0"/>
    <w:rsid w:val="00E72B2C"/>
    <w:rsid w:val="00E7309D"/>
    <w:rsid w:val="00E77C4B"/>
    <w:rsid w:val="00E83A0E"/>
    <w:rsid w:val="00E9301F"/>
    <w:rsid w:val="00E9690A"/>
    <w:rsid w:val="00E96F3D"/>
    <w:rsid w:val="00E97DC7"/>
    <w:rsid w:val="00EC3ED4"/>
    <w:rsid w:val="00F000EF"/>
    <w:rsid w:val="00F00939"/>
    <w:rsid w:val="00F05C52"/>
    <w:rsid w:val="00F2504E"/>
    <w:rsid w:val="00F2585B"/>
    <w:rsid w:val="00F4053F"/>
    <w:rsid w:val="00F50775"/>
    <w:rsid w:val="00F516E7"/>
    <w:rsid w:val="00F57BF7"/>
    <w:rsid w:val="00F6263E"/>
    <w:rsid w:val="00F627C2"/>
    <w:rsid w:val="00F736FD"/>
    <w:rsid w:val="00F84067"/>
    <w:rsid w:val="00F85499"/>
    <w:rsid w:val="00FA50B4"/>
    <w:rsid w:val="00FB6E83"/>
    <w:rsid w:val="00FC156A"/>
    <w:rsid w:val="00FC5C91"/>
    <w:rsid w:val="00FD6235"/>
    <w:rsid w:val="00FE13D1"/>
    <w:rsid w:val="00FE3DE5"/>
    <w:rsid w:val="00FE6F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ListParagraphChar">
    <w:name w:val="List Paragraph Char"/>
    <w:basedOn w:val="DefaultParagraphFont"/>
    <w:link w:val="ListParagraph"/>
    <w:uiPriority w:val="34"/>
    <w:locked/>
    <w:rsid w:val="005F669D"/>
    <w:rPr>
      <w:rFonts w:eastAsia="BatangChe"/>
      <w:sz w:val="24"/>
      <w:szCs w:val="24"/>
    </w:rPr>
  </w:style>
  <w:style w:type="paragraph" w:styleId="NormalWeb">
    <w:name w:val="Normal (Web)"/>
    <w:basedOn w:val="Normal"/>
    <w:uiPriority w:val="99"/>
    <w:unhideWhenUsed/>
    <w:rsid w:val="005F669D"/>
    <w:pPr>
      <w:spacing w:before="100" w:beforeAutospacing="1" w:after="100" w:afterAutospacing="1"/>
    </w:pPr>
    <w:rPr>
      <w:rFonts w:eastAsia="Times New Roman"/>
    </w:rPr>
  </w:style>
  <w:style w:type="character" w:customStyle="1" w:styleId="fontstyle01">
    <w:name w:val="fontstyle01"/>
    <w:basedOn w:val="DefaultParagraphFont"/>
    <w:rsid w:val="002A1FA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61350">
      <w:bodyDiv w:val="1"/>
      <w:marLeft w:val="0"/>
      <w:marRight w:val="0"/>
      <w:marTop w:val="0"/>
      <w:marBottom w:val="0"/>
      <w:divBdr>
        <w:top w:val="none" w:sz="0" w:space="0" w:color="auto"/>
        <w:left w:val="none" w:sz="0" w:space="0" w:color="auto"/>
        <w:bottom w:val="none" w:sz="0" w:space="0" w:color="auto"/>
        <w:right w:val="none" w:sz="0" w:space="0" w:color="auto"/>
      </w:divBdr>
      <w:divsChild>
        <w:div w:id="1956667900">
          <w:marLeft w:val="0"/>
          <w:marRight w:val="0"/>
          <w:marTop w:val="0"/>
          <w:marBottom w:val="0"/>
          <w:divBdr>
            <w:top w:val="none" w:sz="0" w:space="0" w:color="auto"/>
            <w:left w:val="none" w:sz="0" w:space="0" w:color="auto"/>
            <w:bottom w:val="none" w:sz="0" w:space="0" w:color="auto"/>
            <w:right w:val="none" w:sz="0" w:space="0" w:color="auto"/>
          </w:divBdr>
          <w:divsChild>
            <w:div w:id="1954824317">
              <w:marLeft w:val="0"/>
              <w:marRight w:val="0"/>
              <w:marTop w:val="0"/>
              <w:marBottom w:val="0"/>
              <w:divBdr>
                <w:top w:val="none" w:sz="0" w:space="0" w:color="auto"/>
                <w:left w:val="none" w:sz="0" w:space="0" w:color="auto"/>
                <w:bottom w:val="none" w:sz="0" w:space="0" w:color="auto"/>
                <w:right w:val="none" w:sz="0" w:space="0" w:color="auto"/>
              </w:divBdr>
              <w:divsChild>
                <w:div w:id="346518806">
                  <w:marLeft w:val="0"/>
                  <w:marRight w:val="0"/>
                  <w:marTop w:val="0"/>
                  <w:marBottom w:val="0"/>
                  <w:divBdr>
                    <w:top w:val="none" w:sz="0" w:space="0" w:color="auto"/>
                    <w:left w:val="none" w:sz="0" w:space="0" w:color="auto"/>
                    <w:bottom w:val="none" w:sz="0" w:space="0" w:color="auto"/>
                    <w:right w:val="none" w:sz="0" w:space="0" w:color="auto"/>
                  </w:divBdr>
                </w:div>
                <w:div w:id="43339444">
                  <w:marLeft w:val="0"/>
                  <w:marRight w:val="0"/>
                  <w:marTop w:val="0"/>
                  <w:marBottom w:val="0"/>
                  <w:divBdr>
                    <w:top w:val="none" w:sz="0" w:space="0" w:color="auto"/>
                    <w:left w:val="none" w:sz="0" w:space="0" w:color="auto"/>
                    <w:bottom w:val="none" w:sz="0" w:space="0" w:color="auto"/>
                    <w:right w:val="none" w:sz="0" w:space="0" w:color="auto"/>
                  </w:divBdr>
                </w:div>
              </w:divsChild>
            </w:div>
            <w:div w:id="570821173">
              <w:marLeft w:val="0"/>
              <w:marRight w:val="0"/>
              <w:marTop w:val="0"/>
              <w:marBottom w:val="0"/>
              <w:divBdr>
                <w:top w:val="none" w:sz="0" w:space="0" w:color="auto"/>
                <w:left w:val="none" w:sz="0" w:space="0" w:color="auto"/>
                <w:bottom w:val="none" w:sz="0" w:space="0" w:color="auto"/>
                <w:right w:val="none" w:sz="0" w:space="0" w:color="auto"/>
              </w:divBdr>
              <w:divsChild>
                <w:div w:id="151331726">
                  <w:marLeft w:val="0"/>
                  <w:marRight w:val="0"/>
                  <w:marTop w:val="0"/>
                  <w:marBottom w:val="0"/>
                  <w:divBdr>
                    <w:top w:val="none" w:sz="0" w:space="0" w:color="auto"/>
                    <w:left w:val="none" w:sz="0" w:space="0" w:color="auto"/>
                    <w:bottom w:val="none" w:sz="0" w:space="0" w:color="auto"/>
                    <w:right w:val="none" w:sz="0" w:space="0" w:color="auto"/>
                  </w:divBdr>
                </w:div>
                <w:div w:id="492448157">
                  <w:marLeft w:val="0"/>
                  <w:marRight w:val="0"/>
                  <w:marTop w:val="0"/>
                  <w:marBottom w:val="0"/>
                  <w:divBdr>
                    <w:top w:val="none" w:sz="0" w:space="0" w:color="auto"/>
                    <w:left w:val="none" w:sz="0" w:space="0" w:color="auto"/>
                    <w:bottom w:val="none" w:sz="0" w:space="0" w:color="auto"/>
                    <w:right w:val="none" w:sz="0" w:space="0" w:color="auto"/>
                  </w:divBdr>
                </w:div>
                <w:div w:id="146167992">
                  <w:marLeft w:val="0"/>
                  <w:marRight w:val="0"/>
                  <w:marTop w:val="0"/>
                  <w:marBottom w:val="0"/>
                  <w:divBdr>
                    <w:top w:val="none" w:sz="0" w:space="0" w:color="auto"/>
                    <w:left w:val="none" w:sz="0" w:space="0" w:color="auto"/>
                    <w:bottom w:val="none" w:sz="0" w:space="0" w:color="auto"/>
                    <w:right w:val="none" w:sz="0" w:space="0" w:color="auto"/>
                  </w:divBdr>
                </w:div>
              </w:divsChild>
            </w:div>
            <w:div w:id="1594364245">
              <w:marLeft w:val="0"/>
              <w:marRight w:val="0"/>
              <w:marTop w:val="0"/>
              <w:marBottom w:val="0"/>
              <w:divBdr>
                <w:top w:val="none" w:sz="0" w:space="0" w:color="auto"/>
                <w:left w:val="none" w:sz="0" w:space="0" w:color="auto"/>
                <w:bottom w:val="none" w:sz="0" w:space="0" w:color="auto"/>
                <w:right w:val="none" w:sz="0" w:space="0" w:color="auto"/>
              </w:divBdr>
              <w:divsChild>
                <w:div w:id="590699752">
                  <w:marLeft w:val="0"/>
                  <w:marRight w:val="0"/>
                  <w:marTop w:val="0"/>
                  <w:marBottom w:val="0"/>
                  <w:divBdr>
                    <w:top w:val="none" w:sz="0" w:space="0" w:color="auto"/>
                    <w:left w:val="none" w:sz="0" w:space="0" w:color="auto"/>
                    <w:bottom w:val="none" w:sz="0" w:space="0" w:color="auto"/>
                    <w:right w:val="none" w:sz="0" w:space="0" w:color="auto"/>
                  </w:divBdr>
                </w:div>
              </w:divsChild>
            </w:div>
            <w:div w:id="1074399830">
              <w:marLeft w:val="0"/>
              <w:marRight w:val="0"/>
              <w:marTop w:val="0"/>
              <w:marBottom w:val="0"/>
              <w:divBdr>
                <w:top w:val="none" w:sz="0" w:space="0" w:color="auto"/>
                <w:left w:val="none" w:sz="0" w:space="0" w:color="auto"/>
                <w:bottom w:val="none" w:sz="0" w:space="0" w:color="auto"/>
                <w:right w:val="none" w:sz="0" w:space="0" w:color="auto"/>
              </w:divBdr>
              <w:divsChild>
                <w:div w:id="20835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021">
      <w:bodyDiv w:val="1"/>
      <w:marLeft w:val="0"/>
      <w:marRight w:val="0"/>
      <w:marTop w:val="0"/>
      <w:marBottom w:val="0"/>
      <w:divBdr>
        <w:top w:val="none" w:sz="0" w:space="0" w:color="auto"/>
        <w:left w:val="none" w:sz="0" w:space="0" w:color="auto"/>
        <w:bottom w:val="none" w:sz="0" w:space="0" w:color="auto"/>
        <w:right w:val="none" w:sz="0" w:space="0" w:color="auto"/>
      </w:divBdr>
      <w:divsChild>
        <w:div w:id="743912977">
          <w:marLeft w:val="0"/>
          <w:marRight w:val="0"/>
          <w:marTop w:val="0"/>
          <w:marBottom w:val="0"/>
          <w:divBdr>
            <w:top w:val="none" w:sz="0" w:space="0" w:color="auto"/>
            <w:left w:val="none" w:sz="0" w:space="0" w:color="auto"/>
            <w:bottom w:val="none" w:sz="0" w:space="0" w:color="auto"/>
            <w:right w:val="none" w:sz="0" w:space="0" w:color="auto"/>
          </w:divBdr>
          <w:divsChild>
            <w:div w:id="1128666775">
              <w:marLeft w:val="0"/>
              <w:marRight w:val="0"/>
              <w:marTop w:val="0"/>
              <w:marBottom w:val="0"/>
              <w:divBdr>
                <w:top w:val="none" w:sz="0" w:space="0" w:color="auto"/>
                <w:left w:val="none" w:sz="0" w:space="0" w:color="auto"/>
                <w:bottom w:val="none" w:sz="0" w:space="0" w:color="auto"/>
                <w:right w:val="none" w:sz="0" w:space="0" w:color="auto"/>
              </w:divBdr>
              <w:divsChild>
                <w:div w:id="12229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8206">
      <w:bodyDiv w:val="1"/>
      <w:marLeft w:val="0"/>
      <w:marRight w:val="0"/>
      <w:marTop w:val="0"/>
      <w:marBottom w:val="0"/>
      <w:divBdr>
        <w:top w:val="none" w:sz="0" w:space="0" w:color="auto"/>
        <w:left w:val="none" w:sz="0" w:space="0" w:color="auto"/>
        <w:bottom w:val="none" w:sz="0" w:space="0" w:color="auto"/>
        <w:right w:val="none" w:sz="0" w:space="0" w:color="auto"/>
      </w:divBdr>
      <w:divsChild>
        <w:div w:id="437607726">
          <w:marLeft w:val="0"/>
          <w:marRight w:val="0"/>
          <w:marTop w:val="0"/>
          <w:marBottom w:val="0"/>
          <w:divBdr>
            <w:top w:val="none" w:sz="0" w:space="0" w:color="auto"/>
            <w:left w:val="none" w:sz="0" w:space="0" w:color="auto"/>
            <w:bottom w:val="none" w:sz="0" w:space="0" w:color="auto"/>
            <w:right w:val="none" w:sz="0" w:space="0" w:color="auto"/>
          </w:divBdr>
          <w:divsChild>
            <w:div w:id="61217761">
              <w:marLeft w:val="0"/>
              <w:marRight w:val="0"/>
              <w:marTop w:val="0"/>
              <w:marBottom w:val="0"/>
              <w:divBdr>
                <w:top w:val="none" w:sz="0" w:space="0" w:color="auto"/>
                <w:left w:val="none" w:sz="0" w:space="0" w:color="auto"/>
                <w:bottom w:val="none" w:sz="0" w:space="0" w:color="auto"/>
                <w:right w:val="none" w:sz="0" w:space="0" w:color="auto"/>
              </w:divBdr>
              <w:divsChild>
                <w:div w:id="722560577">
                  <w:marLeft w:val="0"/>
                  <w:marRight w:val="0"/>
                  <w:marTop w:val="0"/>
                  <w:marBottom w:val="0"/>
                  <w:divBdr>
                    <w:top w:val="none" w:sz="0" w:space="0" w:color="auto"/>
                    <w:left w:val="none" w:sz="0" w:space="0" w:color="auto"/>
                    <w:bottom w:val="none" w:sz="0" w:space="0" w:color="auto"/>
                    <w:right w:val="none" w:sz="0" w:space="0" w:color="auto"/>
                  </w:divBdr>
                  <w:divsChild>
                    <w:div w:id="11467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4273">
      <w:bodyDiv w:val="1"/>
      <w:marLeft w:val="0"/>
      <w:marRight w:val="0"/>
      <w:marTop w:val="0"/>
      <w:marBottom w:val="0"/>
      <w:divBdr>
        <w:top w:val="none" w:sz="0" w:space="0" w:color="auto"/>
        <w:left w:val="none" w:sz="0" w:space="0" w:color="auto"/>
        <w:bottom w:val="none" w:sz="0" w:space="0" w:color="auto"/>
        <w:right w:val="none" w:sz="0" w:space="0" w:color="auto"/>
      </w:divBdr>
      <w:divsChild>
        <w:div w:id="2014138610">
          <w:marLeft w:val="0"/>
          <w:marRight w:val="0"/>
          <w:marTop w:val="0"/>
          <w:marBottom w:val="0"/>
          <w:divBdr>
            <w:top w:val="none" w:sz="0" w:space="0" w:color="auto"/>
            <w:left w:val="none" w:sz="0" w:space="0" w:color="auto"/>
            <w:bottom w:val="none" w:sz="0" w:space="0" w:color="auto"/>
            <w:right w:val="none" w:sz="0" w:space="0" w:color="auto"/>
          </w:divBdr>
          <w:divsChild>
            <w:div w:id="2006667259">
              <w:marLeft w:val="0"/>
              <w:marRight w:val="0"/>
              <w:marTop w:val="0"/>
              <w:marBottom w:val="0"/>
              <w:divBdr>
                <w:top w:val="none" w:sz="0" w:space="0" w:color="auto"/>
                <w:left w:val="none" w:sz="0" w:space="0" w:color="auto"/>
                <w:bottom w:val="none" w:sz="0" w:space="0" w:color="auto"/>
                <w:right w:val="none" w:sz="0" w:space="0" w:color="auto"/>
              </w:divBdr>
              <w:divsChild>
                <w:div w:id="1679236935">
                  <w:marLeft w:val="0"/>
                  <w:marRight w:val="0"/>
                  <w:marTop w:val="0"/>
                  <w:marBottom w:val="0"/>
                  <w:divBdr>
                    <w:top w:val="none" w:sz="0" w:space="0" w:color="auto"/>
                    <w:left w:val="none" w:sz="0" w:space="0" w:color="auto"/>
                    <w:bottom w:val="none" w:sz="0" w:space="0" w:color="auto"/>
                    <w:right w:val="none" w:sz="0" w:space="0" w:color="auto"/>
                  </w:divBdr>
                  <w:divsChild>
                    <w:div w:id="2411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1005">
      <w:bodyDiv w:val="1"/>
      <w:marLeft w:val="0"/>
      <w:marRight w:val="0"/>
      <w:marTop w:val="0"/>
      <w:marBottom w:val="0"/>
      <w:divBdr>
        <w:top w:val="none" w:sz="0" w:space="0" w:color="auto"/>
        <w:left w:val="none" w:sz="0" w:space="0" w:color="auto"/>
        <w:bottom w:val="none" w:sz="0" w:space="0" w:color="auto"/>
        <w:right w:val="none" w:sz="0" w:space="0" w:color="auto"/>
      </w:divBdr>
    </w:div>
    <w:div w:id="2079863128">
      <w:bodyDiv w:val="1"/>
      <w:marLeft w:val="0"/>
      <w:marRight w:val="0"/>
      <w:marTop w:val="0"/>
      <w:marBottom w:val="0"/>
      <w:divBdr>
        <w:top w:val="none" w:sz="0" w:space="0" w:color="auto"/>
        <w:left w:val="none" w:sz="0" w:space="0" w:color="auto"/>
        <w:bottom w:val="none" w:sz="0" w:space="0" w:color="auto"/>
        <w:right w:val="none" w:sz="0" w:space="0" w:color="auto"/>
      </w:divBdr>
      <w:divsChild>
        <w:div w:id="65539243">
          <w:marLeft w:val="0"/>
          <w:marRight w:val="0"/>
          <w:marTop w:val="0"/>
          <w:marBottom w:val="0"/>
          <w:divBdr>
            <w:top w:val="none" w:sz="0" w:space="0" w:color="auto"/>
            <w:left w:val="none" w:sz="0" w:space="0" w:color="auto"/>
            <w:bottom w:val="none" w:sz="0" w:space="0" w:color="auto"/>
            <w:right w:val="none" w:sz="0" w:space="0" w:color="auto"/>
          </w:divBdr>
          <w:divsChild>
            <w:div w:id="78064570">
              <w:marLeft w:val="0"/>
              <w:marRight w:val="0"/>
              <w:marTop w:val="0"/>
              <w:marBottom w:val="0"/>
              <w:divBdr>
                <w:top w:val="none" w:sz="0" w:space="0" w:color="auto"/>
                <w:left w:val="none" w:sz="0" w:space="0" w:color="auto"/>
                <w:bottom w:val="none" w:sz="0" w:space="0" w:color="auto"/>
                <w:right w:val="none" w:sz="0" w:space="0" w:color="auto"/>
              </w:divBdr>
              <w:divsChild>
                <w:div w:id="1262496894">
                  <w:marLeft w:val="0"/>
                  <w:marRight w:val="0"/>
                  <w:marTop w:val="0"/>
                  <w:marBottom w:val="0"/>
                  <w:divBdr>
                    <w:top w:val="none" w:sz="0" w:space="0" w:color="auto"/>
                    <w:left w:val="none" w:sz="0" w:space="0" w:color="auto"/>
                    <w:bottom w:val="none" w:sz="0" w:space="0" w:color="auto"/>
                    <w:right w:val="none" w:sz="0" w:space="0" w:color="auto"/>
                  </w:divBdr>
                  <w:divsChild>
                    <w:div w:id="15263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28C9-7992-40DD-AF5E-4CEF2742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12884</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2022-08-29T05:50:00Z</dcterms:created>
  <dcterms:modified xsi:type="dcterms:W3CDTF">2022-08-29T05:50:00Z</dcterms:modified>
</cp:coreProperties>
</file>