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A7733" w:rsidRPr="00723BE9" w14:paraId="3622B744" w14:textId="77777777" w:rsidTr="00325BA9">
        <w:trPr>
          <w:cantSplit/>
          <w:trHeight w:val="288"/>
        </w:trPr>
        <w:tc>
          <w:tcPr>
            <w:tcW w:w="1399" w:type="dxa"/>
            <w:vMerge w:val="restart"/>
          </w:tcPr>
          <w:p w14:paraId="7C1D10FB" w14:textId="77777777" w:rsidR="003A7733" w:rsidRPr="00891D0B" w:rsidRDefault="003A7733" w:rsidP="00325BA9">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eastAsia="zh-CN"/>
              </w:rPr>
              <w:drawing>
                <wp:inline distT="0" distB="0" distL="0" distR="0" wp14:anchorId="5740C00E" wp14:editId="6A14BAA4">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221606D" w14:textId="77777777" w:rsidR="003A7733" w:rsidRPr="00E86131" w:rsidRDefault="003A7733" w:rsidP="00325BA9">
            <w:r w:rsidRPr="00E86131">
              <w:t>ASIA-PACIFIC TELECOMMUNITY</w:t>
            </w:r>
          </w:p>
        </w:tc>
        <w:tc>
          <w:tcPr>
            <w:tcW w:w="2160" w:type="dxa"/>
          </w:tcPr>
          <w:p w14:paraId="557CF729" w14:textId="77777777" w:rsidR="003A7733" w:rsidRPr="00723BE9" w:rsidRDefault="003A7733" w:rsidP="00325BA9">
            <w:pPr>
              <w:rPr>
                <w:b/>
                <w:sz w:val="22"/>
                <w:szCs w:val="22"/>
              </w:rPr>
            </w:pPr>
            <w:r w:rsidRPr="00723BE9">
              <w:rPr>
                <w:b/>
              </w:rPr>
              <w:t>Document No:</w:t>
            </w:r>
          </w:p>
        </w:tc>
      </w:tr>
      <w:tr w:rsidR="003A7733" w14:paraId="730DB2FC" w14:textId="77777777" w:rsidTr="00325BA9">
        <w:trPr>
          <w:cantSplit/>
          <w:trHeight w:val="504"/>
        </w:trPr>
        <w:tc>
          <w:tcPr>
            <w:tcW w:w="1399" w:type="dxa"/>
            <w:vMerge/>
          </w:tcPr>
          <w:p w14:paraId="6CDD6E3D" w14:textId="77777777" w:rsidR="003A7733" w:rsidRPr="00891D0B" w:rsidRDefault="003A7733" w:rsidP="00325BA9"/>
        </w:tc>
        <w:tc>
          <w:tcPr>
            <w:tcW w:w="5760" w:type="dxa"/>
          </w:tcPr>
          <w:p w14:paraId="05DAFF64" w14:textId="77777777" w:rsidR="003A7733" w:rsidRDefault="003A7733" w:rsidP="00325BA9">
            <w:pPr>
              <w:spacing w:line="0" w:lineRule="atLeast"/>
              <w:rPr>
                <w:b/>
              </w:rPr>
            </w:pPr>
            <w:r>
              <w:rPr>
                <w:b/>
              </w:rPr>
              <w:t>The 5th Meeting of the APT Conference Preparatory</w:t>
            </w:r>
          </w:p>
          <w:p w14:paraId="3D846217" w14:textId="77777777" w:rsidR="003A7733" w:rsidRPr="00891D0B" w:rsidRDefault="003A7733" w:rsidP="00325BA9">
            <w:pPr>
              <w:spacing w:line="0" w:lineRule="atLeast"/>
            </w:pPr>
            <w:r>
              <w:rPr>
                <w:b/>
              </w:rPr>
              <w:t>Group for WRC-23 (APG23-5)</w:t>
            </w:r>
          </w:p>
        </w:tc>
        <w:tc>
          <w:tcPr>
            <w:tcW w:w="2160" w:type="dxa"/>
          </w:tcPr>
          <w:p w14:paraId="1AB3E021" w14:textId="7EF1AF13" w:rsidR="003A7733" w:rsidRPr="00CE7799" w:rsidRDefault="003A7733" w:rsidP="00325BA9">
            <w:pPr>
              <w:rPr>
                <w:rFonts w:cstheme="minorBidi"/>
                <w:b/>
                <w:bCs/>
                <w:szCs w:val="30"/>
                <w:lang w:bidi="th-TH"/>
              </w:rPr>
            </w:pPr>
            <w:r w:rsidRPr="00C96104">
              <w:rPr>
                <w:b/>
                <w:bCs/>
                <w:lang w:val="fr-FR"/>
              </w:rPr>
              <w:t>AP</w:t>
            </w:r>
            <w:r>
              <w:rPr>
                <w:b/>
                <w:bCs/>
                <w:lang w:val="fr-FR"/>
              </w:rPr>
              <w:t>G23-5/</w:t>
            </w:r>
            <w:r w:rsidR="00A31BC0">
              <w:rPr>
                <w:rFonts w:cs="Leelawadee UI"/>
                <w:b/>
                <w:bCs/>
                <w:szCs w:val="30"/>
                <w:lang w:bidi="th-TH"/>
              </w:rPr>
              <w:t>OUT</w:t>
            </w:r>
            <w:r>
              <w:rPr>
                <w:b/>
                <w:bCs/>
                <w:lang w:val="fr-FR"/>
              </w:rPr>
              <w:t>-</w:t>
            </w:r>
            <w:r w:rsidR="00A31BC0">
              <w:rPr>
                <w:b/>
                <w:bCs/>
                <w:lang w:val="fr-FR"/>
              </w:rPr>
              <w:t>30</w:t>
            </w:r>
          </w:p>
          <w:p w14:paraId="01AA0851" w14:textId="77777777" w:rsidR="003A7733" w:rsidRDefault="003A7733" w:rsidP="00325BA9">
            <w:pPr>
              <w:spacing w:line="0" w:lineRule="atLeast"/>
              <w:rPr>
                <w:b/>
              </w:rPr>
            </w:pPr>
          </w:p>
        </w:tc>
      </w:tr>
      <w:tr w:rsidR="003A7733" w14:paraId="357B538B" w14:textId="77777777" w:rsidTr="00325BA9">
        <w:trPr>
          <w:cantSplit/>
          <w:trHeight w:val="288"/>
        </w:trPr>
        <w:tc>
          <w:tcPr>
            <w:tcW w:w="1399" w:type="dxa"/>
            <w:vMerge/>
          </w:tcPr>
          <w:p w14:paraId="6F986A27" w14:textId="77777777" w:rsidR="003A7733" w:rsidRPr="007E1FDD" w:rsidRDefault="003A7733" w:rsidP="00325BA9">
            <w:pPr>
              <w:rPr>
                <w:lang w:val="en-GB"/>
              </w:rPr>
            </w:pPr>
          </w:p>
        </w:tc>
        <w:tc>
          <w:tcPr>
            <w:tcW w:w="5760" w:type="dxa"/>
            <w:vAlign w:val="bottom"/>
          </w:tcPr>
          <w:p w14:paraId="452D423E" w14:textId="77777777" w:rsidR="003A7733" w:rsidRPr="007F0AE6" w:rsidRDefault="003A7733" w:rsidP="00325BA9">
            <w:pPr>
              <w:rPr>
                <w:bCs/>
              </w:rPr>
            </w:pPr>
            <w:r>
              <w:t>20 – 25 February 2023</w:t>
            </w:r>
            <w:r w:rsidRPr="00891D0B">
              <w:t xml:space="preserve">, </w:t>
            </w:r>
            <w:r>
              <w:t>Busan</w:t>
            </w:r>
            <w:r>
              <w:rPr>
                <w:bCs/>
              </w:rPr>
              <w:t>, Republic of Korea</w:t>
            </w:r>
          </w:p>
        </w:tc>
        <w:tc>
          <w:tcPr>
            <w:tcW w:w="2160" w:type="dxa"/>
            <w:vAlign w:val="bottom"/>
          </w:tcPr>
          <w:p w14:paraId="745329E6" w14:textId="18D659AD" w:rsidR="003A7733" w:rsidRDefault="00A31BC0" w:rsidP="003A5B7C">
            <w:r>
              <w:rPr>
                <w:bCs/>
              </w:rPr>
              <w:t xml:space="preserve">25 </w:t>
            </w:r>
            <w:r w:rsidR="003A7733">
              <w:rPr>
                <w:bCs/>
              </w:rPr>
              <w:t>February 2023</w:t>
            </w:r>
          </w:p>
        </w:tc>
      </w:tr>
    </w:tbl>
    <w:p w14:paraId="744BC6B5" w14:textId="74603008" w:rsidR="00311E8A" w:rsidRDefault="00311E8A" w:rsidP="003A7733">
      <w:pPr>
        <w:rPr>
          <w:lang w:val="en-NZ"/>
        </w:rPr>
      </w:pPr>
    </w:p>
    <w:p w14:paraId="291FA98E" w14:textId="77777777" w:rsidR="009A3CC9" w:rsidRDefault="009A3CC9" w:rsidP="0072518B">
      <w:pPr>
        <w:jc w:val="center"/>
        <w:rPr>
          <w:lang w:val="en-NZ"/>
        </w:rPr>
      </w:pPr>
    </w:p>
    <w:p w14:paraId="0758B9D0" w14:textId="0246B5EE" w:rsidR="00A31BC0" w:rsidRPr="00F00594" w:rsidRDefault="00A31BC0" w:rsidP="00A31BC0">
      <w:pPr>
        <w:jc w:val="center"/>
        <w:rPr>
          <w:lang w:eastAsia="ko-KR"/>
        </w:rPr>
      </w:pPr>
      <w:r w:rsidRPr="00F00594">
        <w:rPr>
          <w:lang w:eastAsia="ko-KR"/>
        </w:rPr>
        <w:t>Working Party 4</w:t>
      </w:r>
    </w:p>
    <w:p w14:paraId="44A5BC53" w14:textId="77777777" w:rsidR="009A3CC9" w:rsidRPr="00F00594" w:rsidRDefault="009A3CC9" w:rsidP="00B64A60">
      <w:pPr>
        <w:jc w:val="center"/>
        <w:rPr>
          <w:bCs/>
          <w:caps/>
          <w:lang w:val="en-NZ"/>
        </w:rPr>
      </w:pPr>
    </w:p>
    <w:p w14:paraId="10C124D5" w14:textId="6DBE2920" w:rsidR="00B64A60" w:rsidRPr="00F00594" w:rsidRDefault="00B64A60" w:rsidP="00B64A60">
      <w:pPr>
        <w:jc w:val="center"/>
        <w:rPr>
          <w:b/>
          <w:bCs/>
          <w:caps/>
          <w:lang w:val="en-NZ"/>
        </w:rPr>
      </w:pPr>
      <w:r w:rsidRPr="00F00594">
        <w:rPr>
          <w:b/>
          <w:bCs/>
          <w:caps/>
          <w:lang w:val="en-NZ"/>
        </w:rPr>
        <w:t>PRELIMINARY VIEWs on WRC-</w:t>
      </w:r>
      <w:r w:rsidR="007F0AE6" w:rsidRPr="00F00594">
        <w:rPr>
          <w:b/>
          <w:bCs/>
          <w:caps/>
          <w:lang w:val="en-NZ"/>
        </w:rPr>
        <w:t>23</w:t>
      </w:r>
      <w:r w:rsidRPr="00F00594">
        <w:rPr>
          <w:b/>
          <w:bCs/>
          <w:caps/>
          <w:lang w:val="en-NZ"/>
        </w:rPr>
        <w:t xml:space="preserve"> agenda item 1.</w:t>
      </w:r>
      <w:r w:rsidR="00D606EF" w:rsidRPr="00F00594">
        <w:rPr>
          <w:b/>
          <w:bCs/>
          <w:caps/>
          <w:lang w:val="en-NZ"/>
        </w:rPr>
        <w:t>18</w:t>
      </w:r>
    </w:p>
    <w:p w14:paraId="5CAEC656" w14:textId="77777777" w:rsidR="00B64A60" w:rsidRPr="00441526" w:rsidRDefault="00B64A60" w:rsidP="00264566">
      <w:pPr>
        <w:spacing w:after="120"/>
        <w:rPr>
          <w:lang w:val="en-NZ"/>
        </w:rPr>
      </w:pPr>
    </w:p>
    <w:p w14:paraId="37FBAB9B" w14:textId="55843A7A" w:rsidR="002A0111" w:rsidRPr="00441526" w:rsidRDefault="002A0111" w:rsidP="002A0111">
      <w:pPr>
        <w:spacing w:after="120"/>
        <w:jc w:val="both"/>
        <w:rPr>
          <w:lang w:val="en-NZ"/>
        </w:rPr>
      </w:pPr>
      <w:r w:rsidRPr="00441526">
        <w:rPr>
          <w:b/>
          <w:lang w:val="en-NZ"/>
        </w:rPr>
        <w:t>Agenda Item 1.</w:t>
      </w:r>
      <w:r w:rsidR="00D606EF">
        <w:rPr>
          <w:b/>
          <w:lang w:val="en-NZ"/>
        </w:rPr>
        <w:t>18</w:t>
      </w:r>
      <w:r w:rsidRPr="00441526">
        <w:rPr>
          <w:b/>
          <w:lang w:val="en-NZ"/>
        </w:rPr>
        <w:t xml:space="preserve">: </w:t>
      </w:r>
    </w:p>
    <w:p w14:paraId="2ECD8C02" w14:textId="2536A67A" w:rsidR="00D606EF" w:rsidRDefault="00D606EF" w:rsidP="00D606EF">
      <w:pPr>
        <w:snapToGrid w:val="0"/>
        <w:spacing w:after="100" w:line="264" w:lineRule="auto"/>
        <w:jc w:val="both"/>
        <w:rPr>
          <w:i/>
        </w:rPr>
      </w:pPr>
      <w:r w:rsidRPr="00037EB3">
        <w:rPr>
          <w:i/>
        </w:rPr>
        <w:t xml:space="preserve">to consider studies relating to spectrum needs and potential new allocations to the mobile-satellite service for future development of narrowband mobile-satellite systems, in accordance with Resolution </w:t>
      </w:r>
      <w:r w:rsidRPr="00037EB3">
        <w:rPr>
          <w:b/>
          <w:bCs/>
          <w:i/>
        </w:rPr>
        <w:t>248</w:t>
      </w:r>
      <w:r w:rsidRPr="00037EB3">
        <w:rPr>
          <w:i/>
        </w:rPr>
        <w:t xml:space="preserve"> </w:t>
      </w:r>
      <w:r w:rsidRPr="00037EB3">
        <w:rPr>
          <w:b/>
          <w:bCs/>
          <w:i/>
        </w:rPr>
        <w:t>(WRC</w:t>
      </w:r>
      <w:r w:rsidRPr="00037EB3">
        <w:rPr>
          <w:b/>
          <w:bCs/>
          <w:i/>
        </w:rPr>
        <w:noBreakHyphen/>
        <w:t>19</w:t>
      </w:r>
      <w:proofErr w:type="gramStart"/>
      <w:r w:rsidRPr="00037EB3">
        <w:rPr>
          <w:b/>
          <w:bCs/>
          <w:i/>
        </w:rPr>
        <w:t>)</w:t>
      </w:r>
      <w:r w:rsidRPr="00037EB3">
        <w:rPr>
          <w:i/>
        </w:rPr>
        <w:t>;</w:t>
      </w:r>
      <w:proofErr w:type="gramEnd"/>
    </w:p>
    <w:p w14:paraId="3C9D667E" w14:textId="77777777" w:rsidR="009A3CC9" w:rsidRDefault="009A3CC9" w:rsidP="00D606EF">
      <w:pPr>
        <w:snapToGrid w:val="0"/>
        <w:spacing w:after="100" w:line="264" w:lineRule="auto"/>
        <w:jc w:val="both"/>
        <w:rPr>
          <w:i/>
        </w:rPr>
      </w:pPr>
    </w:p>
    <w:p w14:paraId="21252C6F" w14:textId="77777777"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1. </w:t>
      </w:r>
      <w:r w:rsidRPr="00441526">
        <w:rPr>
          <w:b/>
          <w:lang w:val="en-NZ" w:eastAsia="ko-KR"/>
        </w:rPr>
        <w:tab/>
        <w:t>Background</w:t>
      </w:r>
    </w:p>
    <w:p w14:paraId="35FE9A17" w14:textId="77E84924" w:rsidR="00D606EF" w:rsidRPr="007D6E5E" w:rsidRDefault="00D606EF" w:rsidP="00A32DFD">
      <w:pPr>
        <w:adjustRightInd w:val="0"/>
        <w:snapToGrid w:val="0"/>
        <w:spacing w:after="100" w:line="264" w:lineRule="auto"/>
        <w:jc w:val="both"/>
        <w:rPr>
          <w:rFonts w:eastAsia="SimSun"/>
          <w:lang w:eastAsia="zh-CN"/>
        </w:rPr>
      </w:pPr>
      <w:r w:rsidRPr="00E02A35">
        <w:t>WRC-23 Agenda item 1.18 calls for WRC-23 to implement the “</w:t>
      </w:r>
      <w:r w:rsidRPr="00E02A35">
        <w:rPr>
          <w:i/>
          <w:iCs/>
        </w:rPr>
        <w:t>studies relating to spectrum needs and potential new allocations to the mobile satellite service in the frequency bands 1 695-1 710 MHz, 2 010-2 025 MHz, 3 300-3 315 MHz and 3 385-3 400 MHz for future development of narrowband mobile-satellite systems”</w:t>
      </w:r>
      <w:r w:rsidRPr="00E02A35">
        <w:rPr>
          <w:b/>
          <w:bCs/>
          <w:i/>
          <w:iCs/>
        </w:rPr>
        <w:t xml:space="preserve"> </w:t>
      </w:r>
      <w:r w:rsidRPr="00E02A35">
        <w:t>while ensuring the protection of existing primary services in those frequency bands and adjacent frequency bands</w:t>
      </w:r>
      <w:r>
        <w:t xml:space="preserve">. </w:t>
      </w:r>
    </w:p>
    <w:p w14:paraId="036A2339" w14:textId="77777777" w:rsidR="00D606EF" w:rsidRDefault="00D606EF" w:rsidP="00A32DFD">
      <w:pPr>
        <w:tabs>
          <w:tab w:val="left" w:pos="1134"/>
          <w:tab w:val="left" w:pos="1871"/>
          <w:tab w:val="left" w:pos="2268"/>
        </w:tabs>
        <w:adjustRightInd w:val="0"/>
        <w:snapToGrid w:val="0"/>
        <w:spacing w:after="100" w:line="264" w:lineRule="auto"/>
        <w:rPr>
          <w:rFonts w:eastAsia="SimSun"/>
          <w:lang w:eastAsia="zh-CN"/>
        </w:rPr>
      </w:pPr>
      <w:r>
        <w:rPr>
          <w:rFonts w:eastAsia="SimSun" w:hint="eastAsia"/>
          <w:lang w:eastAsia="zh-CN"/>
        </w:rPr>
        <w:t xml:space="preserve">According to the Resolution </w:t>
      </w:r>
      <w:r w:rsidRPr="00C005C9">
        <w:rPr>
          <w:rFonts w:eastAsia="SimSun" w:hint="eastAsia"/>
          <w:b/>
          <w:bCs/>
          <w:lang w:eastAsia="zh-CN"/>
        </w:rPr>
        <w:t>248 (WRC-19)</w:t>
      </w:r>
      <w:r>
        <w:rPr>
          <w:rFonts w:eastAsia="SimSun" w:hint="eastAsia"/>
          <w:lang w:eastAsia="zh-CN"/>
        </w:rPr>
        <w:t>, the candidate frequencies for agenda item 1.18 are as follows:</w:t>
      </w:r>
    </w:p>
    <w:p w14:paraId="19D60465" w14:textId="77777777" w:rsidR="00D606EF" w:rsidRDefault="00D606EF" w:rsidP="00A32DFD">
      <w:pPr>
        <w:numPr>
          <w:ilvl w:val="0"/>
          <w:numId w:val="23"/>
        </w:numPr>
        <w:adjustRightInd w:val="0"/>
        <w:snapToGrid w:val="0"/>
        <w:spacing w:after="100" w:line="264" w:lineRule="auto"/>
        <w:ind w:right="15" w:hanging="1134"/>
      </w:pPr>
      <w:r>
        <w:t>1 695-1 710 MHz in Region 2,</w:t>
      </w:r>
    </w:p>
    <w:p w14:paraId="4273637E" w14:textId="77777777" w:rsidR="00D606EF" w:rsidRDefault="00D606EF" w:rsidP="00A32DFD">
      <w:pPr>
        <w:numPr>
          <w:ilvl w:val="0"/>
          <w:numId w:val="23"/>
        </w:numPr>
        <w:adjustRightInd w:val="0"/>
        <w:snapToGrid w:val="0"/>
        <w:spacing w:after="100" w:line="264" w:lineRule="auto"/>
        <w:ind w:right="15" w:hanging="1134"/>
      </w:pPr>
      <w:r>
        <w:t>2 010-2 025 MHz in Region 1,</w:t>
      </w:r>
    </w:p>
    <w:p w14:paraId="5FBCB994" w14:textId="77777777" w:rsidR="00D606EF" w:rsidRDefault="00D606EF" w:rsidP="00A32DFD">
      <w:pPr>
        <w:numPr>
          <w:ilvl w:val="0"/>
          <w:numId w:val="23"/>
        </w:numPr>
        <w:adjustRightInd w:val="0"/>
        <w:snapToGrid w:val="0"/>
        <w:spacing w:after="100" w:line="264" w:lineRule="auto"/>
        <w:ind w:right="15" w:hanging="1134"/>
      </w:pPr>
      <w:r>
        <w:t xml:space="preserve">3 300-3 315 MHz, 3 385-3 400 MHz in Region </w:t>
      </w:r>
      <w:proofErr w:type="gramStart"/>
      <w:r>
        <w:t>2;</w:t>
      </w:r>
      <w:proofErr w:type="gramEnd"/>
    </w:p>
    <w:p w14:paraId="6020D47E" w14:textId="77777777" w:rsidR="002A0111" w:rsidRPr="00441526" w:rsidRDefault="002A0111" w:rsidP="00A32DFD">
      <w:pPr>
        <w:adjustRightInd w:val="0"/>
        <w:snapToGrid w:val="0"/>
        <w:spacing w:after="100" w:line="264" w:lineRule="auto"/>
        <w:ind w:left="348"/>
        <w:jc w:val="both"/>
        <w:rPr>
          <w:i/>
          <w:lang w:val="en-NZ" w:eastAsia="ko-KR"/>
        </w:rPr>
      </w:pPr>
    </w:p>
    <w:p w14:paraId="753999AF" w14:textId="77777777" w:rsidR="00BD0BE0" w:rsidRPr="00DD5227" w:rsidRDefault="00BD0BE0" w:rsidP="00BD0BE0">
      <w:pPr>
        <w:spacing w:afterLines="50" w:after="120"/>
        <w:jc w:val="both"/>
        <w:rPr>
          <w:rFonts w:eastAsiaTheme="minorEastAsia"/>
          <w:lang w:val="en-NZ" w:eastAsia="ja-JP"/>
        </w:rPr>
      </w:pPr>
      <w:r w:rsidRPr="00DD5227">
        <w:rPr>
          <w:rFonts w:eastAsia="SimSun"/>
          <w:lang w:eastAsia="zh-CN"/>
        </w:rPr>
        <w:t>WP 4C had tried to conduct the sharing and compatibility studies of the narrow band MSS with incumbent services in the frequency bands 1 695-1 710 MHz, 2 010-2 025 MHz, 3 300-3 315 MHz, and 3 385-3 400 MHz under this agenda item, however, they were not able to do so since they could not agree on the technical conditions. As a result, for the draft CPM text, they only agreed on no change (NOC), for this agenda item.</w:t>
      </w:r>
      <w:r w:rsidRPr="00DD5227">
        <w:rPr>
          <w:lang w:val="en-NZ" w:eastAsia="ja-JP"/>
        </w:rPr>
        <w:t xml:space="preserve"> </w:t>
      </w:r>
      <w:r w:rsidRPr="00DD5227">
        <w:rPr>
          <w:rFonts w:eastAsiaTheme="minorEastAsia"/>
          <w:lang w:val="en-NZ" w:eastAsia="ja-JP"/>
        </w:rPr>
        <w:t>The content below is a part of 4/1.18/1 of Doc. CPM23-2/1,</w:t>
      </w:r>
      <w:r w:rsidRPr="00DD5227">
        <w:t xml:space="preserve"> </w:t>
      </w:r>
      <w:r w:rsidRPr="00DD5227">
        <w:rPr>
          <w:rFonts w:eastAsiaTheme="minorEastAsia"/>
          <w:lang w:val="en-NZ" w:eastAsia="ja-JP"/>
        </w:rPr>
        <w:t>DRAFT CPM REPORT.</w:t>
      </w:r>
    </w:p>
    <w:p w14:paraId="3DC9D7EB" w14:textId="77777777" w:rsidR="00BD0BE0" w:rsidRPr="00DD5227" w:rsidRDefault="00BD0BE0" w:rsidP="00BD0BE0">
      <w:pPr>
        <w:tabs>
          <w:tab w:val="left" w:pos="1134"/>
          <w:tab w:val="left" w:pos="1871"/>
          <w:tab w:val="left" w:pos="2268"/>
        </w:tabs>
        <w:overflowPunct w:val="0"/>
        <w:autoSpaceDE w:val="0"/>
        <w:autoSpaceDN w:val="0"/>
        <w:adjustRightInd w:val="0"/>
        <w:spacing w:before="120"/>
        <w:textAlignment w:val="baseline"/>
        <w:rPr>
          <w:rFonts w:eastAsia="MS Mincho"/>
          <w:b/>
          <w:sz w:val="28"/>
          <w:szCs w:val="20"/>
          <w:lang w:val="en-GB" w:eastAsia="zh-CN"/>
        </w:rPr>
      </w:pPr>
    </w:p>
    <w:p w14:paraId="036D2A44" w14:textId="77777777" w:rsidR="00BD0BE0" w:rsidRPr="00DD5227" w:rsidRDefault="00BD0BE0" w:rsidP="00BD0BE0">
      <w:pPr>
        <w:tabs>
          <w:tab w:val="left" w:pos="1134"/>
          <w:tab w:val="left" w:pos="1871"/>
          <w:tab w:val="left" w:pos="2268"/>
        </w:tabs>
        <w:overflowPunct w:val="0"/>
        <w:autoSpaceDE w:val="0"/>
        <w:autoSpaceDN w:val="0"/>
        <w:adjustRightInd w:val="0"/>
        <w:spacing w:before="120"/>
        <w:textAlignment w:val="baseline"/>
        <w:rPr>
          <w:rFonts w:eastAsia="MS Mincho"/>
          <w:b/>
          <w:szCs w:val="20"/>
          <w:lang w:val="en-GB" w:eastAsia="zh-CN"/>
        </w:rPr>
      </w:pPr>
      <w:r w:rsidRPr="00DD5227">
        <w:rPr>
          <w:rFonts w:eastAsia="MS Mincho"/>
          <w:szCs w:val="20"/>
          <w:lang w:val="en-GB" w:eastAsia="zh-CN"/>
        </w:rPr>
        <w:t>There are two methods to satisfy WRC</w:t>
      </w:r>
      <w:r w:rsidRPr="00DD5227">
        <w:rPr>
          <w:rFonts w:eastAsia="MS Mincho"/>
          <w:szCs w:val="20"/>
          <w:lang w:val="en-GB" w:eastAsia="zh-CN"/>
        </w:rPr>
        <w:noBreakHyphen/>
        <w:t>23 agenda item 1.18:</w:t>
      </w:r>
    </w:p>
    <w:p w14:paraId="0DFB28A8" w14:textId="77777777" w:rsidR="00BD0BE0" w:rsidRPr="00DD5227" w:rsidRDefault="00BD0BE0" w:rsidP="00BD0BE0">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b/>
          <w:szCs w:val="20"/>
          <w:lang w:val="en-GB" w:eastAsia="zh-CN"/>
        </w:rPr>
      </w:pPr>
      <w:r w:rsidRPr="00DD5227">
        <w:rPr>
          <w:rFonts w:eastAsia="MS Mincho"/>
          <w:szCs w:val="20"/>
          <w:lang w:val="en-GB" w:eastAsia="zh-CN"/>
        </w:rPr>
        <w:t>–</w:t>
      </w:r>
      <w:r w:rsidRPr="00DD5227">
        <w:rPr>
          <w:rFonts w:eastAsia="MS Mincho"/>
          <w:szCs w:val="20"/>
          <w:lang w:val="en-GB" w:eastAsia="zh-CN"/>
        </w:rPr>
        <w:tab/>
        <w:t xml:space="preserve">Method A: No change to the Radio Regulations and suppression of Resolution </w:t>
      </w:r>
      <w:r w:rsidRPr="00DD5227">
        <w:rPr>
          <w:rFonts w:eastAsia="MS Mincho"/>
          <w:b/>
          <w:bCs/>
          <w:szCs w:val="20"/>
          <w:lang w:val="en-GB" w:eastAsia="zh-CN"/>
        </w:rPr>
        <w:t>248 (WRC</w:t>
      </w:r>
      <w:r w:rsidRPr="00DD5227">
        <w:rPr>
          <w:rFonts w:eastAsia="MS Mincho"/>
          <w:b/>
          <w:bCs/>
          <w:szCs w:val="20"/>
          <w:lang w:val="en-GB" w:eastAsia="zh-CN"/>
        </w:rPr>
        <w:noBreakHyphen/>
        <w:t>19</w:t>
      </w:r>
      <w:proofErr w:type="gramStart"/>
      <w:r w:rsidRPr="00DD5227">
        <w:rPr>
          <w:rFonts w:eastAsia="MS Mincho"/>
          <w:b/>
          <w:bCs/>
          <w:szCs w:val="20"/>
          <w:lang w:val="en-GB" w:eastAsia="zh-CN"/>
        </w:rPr>
        <w:t>)</w:t>
      </w:r>
      <w:r w:rsidRPr="00DD5227">
        <w:rPr>
          <w:rFonts w:eastAsia="MS Mincho"/>
          <w:szCs w:val="20"/>
          <w:lang w:val="en-GB" w:eastAsia="zh-CN"/>
        </w:rPr>
        <w:t>;</w:t>
      </w:r>
      <w:proofErr w:type="gramEnd"/>
    </w:p>
    <w:p w14:paraId="7753601D" w14:textId="77777777" w:rsidR="00BD0BE0" w:rsidRPr="00DD5227" w:rsidRDefault="00BD0BE0" w:rsidP="00BD0BE0">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SimSun"/>
          <w:b/>
          <w:szCs w:val="20"/>
          <w:lang w:val="en-GB" w:eastAsia="zh-CN"/>
        </w:rPr>
      </w:pPr>
      <w:r w:rsidRPr="00DD5227">
        <w:rPr>
          <w:rFonts w:eastAsia="MS Mincho"/>
          <w:szCs w:val="20"/>
          <w:lang w:val="en-GB" w:eastAsia="zh-CN"/>
        </w:rPr>
        <w:t>–</w:t>
      </w:r>
      <w:r w:rsidRPr="00DD5227">
        <w:rPr>
          <w:rFonts w:eastAsia="MS Mincho"/>
          <w:szCs w:val="20"/>
          <w:lang w:val="en-GB" w:eastAsia="zh-CN"/>
        </w:rPr>
        <w:tab/>
        <w:t xml:space="preserve">Method B: No change to any Articles of the Radio Regulations and the Appendices thereof, except revision of Resolution </w:t>
      </w:r>
      <w:r w:rsidRPr="00DD5227">
        <w:rPr>
          <w:rFonts w:eastAsia="MS Mincho"/>
          <w:b/>
          <w:bCs/>
          <w:szCs w:val="20"/>
          <w:lang w:val="en-GB" w:eastAsia="zh-CN"/>
        </w:rPr>
        <w:t>248 (WRC</w:t>
      </w:r>
      <w:r w:rsidRPr="00DD5227">
        <w:rPr>
          <w:rFonts w:eastAsia="MS Mincho"/>
          <w:b/>
          <w:bCs/>
          <w:szCs w:val="20"/>
          <w:lang w:val="en-GB" w:eastAsia="zh-CN"/>
        </w:rPr>
        <w:noBreakHyphen/>
        <w:t>19)</w:t>
      </w:r>
      <w:r w:rsidRPr="00DD5227">
        <w:rPr>
          <w:rFonts w:eastAsia="MS Mincho"/>
          <w:szCs w:val="20"/>
          <w:lang w:val="en-GB" w:eastAsia="zh-CN"/>
        </w:rPr>
        <w:t>.</w:t>
      </w:r>
    </w:p>
    <w:p w14:paraId="6684C59B" w14:textId="7D71D73F" w:rsidR="002A0111" w:rsidRDefault="002A0111" w:rsidP="00A32DFD">
      <w:pPr>
        <w:adjustRightInd w:val="0"/>
        <w:snapToGrid w:val="0"/>
        <w:spacing w:after="100" w:line="264" w:lineRule="auto"/>
        <w:jc w:val="both"/>
        <w:rPr>
          <w:lang w:val="en-GB"/>
        </w:rPr>
      </w:pPr>
    </w:p>
    <w:p w14:paraId="135B862C" w14:textId="38E1668F" w:rsidR="009A3CC9" w:rsidRDefault="009A3CC9" w:rsidP="00A32DFD">
      <w:pPr>
        <w:adjustRightInd w:val="0"/>
        <w:snapToGrid w:val="0"/>
        <w:spacing w:after="100" w:line="264" w:lineRule="auto"/>
        <w:jc w:val="both"/>
        <w:rPr>
          <w:lang w:val="en-GB"/>
        </w:rPr>
      </w:pPr>
    </w:p>
    <w:p w14:paraId="3A284947" w14:textId="77777777" w:rsidR="00F00594" w:rsidRDefault="00F00594" w:rsidP="00A32DFD">
      <w:pPr>
        <w:adjustRightInd w:val="0"/>
        <w:snapToGrid w:val="0"/>
        <w:spacing w:after="100" w:line="264" w:lineRule="auto"/>
        <w:jc w:val="both"/>
        <w:rPr>
          <w:lang w:val="en-GB"/>
        </w:rPr>
      </w:pPr>
    </w:p>
    <w:p w14:paraId="0F90D893" w14:textId="77777777" w:rsidR="009A3CC9" w:rsidRPr="00BD0BE0" w:rsidRDefault="009A3CC9" w:rsidP="00A32DFD">
      <w:pPr>
        <w:adjustRightInd w:val="0"/>
        <w:snapToGrid w:val="0"/>
        <w:spacing w:after="100" w:line="264" w:lineRule="auto"/>
        <w:jc w:val="both"/>
        <w:rPr>
          <w:lang w:val="en-GB"/>
        </w:rPr>
      </w:pPr>
    </w:p>
    <w:p w14:paraId="0E9DB15D" w14:textId="77777777"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2. </w:t>
      </w:r>
      <w:r w:rsidRPr="00441526">
        <w:rPr>
          <w:b/>
          <w:lang w:val="en-NZ" w:eastAsia="ko-KR"/>
        </w:rPr>
        <w:tab/>
        <w:t>Documents</w:t>
      </w:r>
    </w:p>
    <w:p w14:paraId="62FD4AD4" w14:textId="1F08F428" w:rsidR="00D606EF" w:rsidRDefault="00D606EF" w:rsidP="00A32DFD">
      <w:pPr>
        <w:numPr>
          <w:ilvl w:val="0"/>
          <w:numId w:val="18"/>
        </w:numPr>
        <w:adjustRightInd w:val="0"/>
        <w:snapToGrid w:val="0"/>
        <w:spacing w:after="100" w:line="264" w:lineRule="auto"/>
        <w:ind w:leftChars="145" w:left="708"/>
        <w:jc w:val="both"/>
        <w:rPr>
          <w:lang w:val="en-NZ"/>
        </w:rPr>
      </w:pPr>
      <w:r w:rsidRPr="00D606EF">
        <w:rPr>
          <w:lang w:val="en-NZ"/>
        </w:rPr>
        <w:t>Input Documents: APG23-</w:t>
      </w:r>
      <w:r w:rsidR="00417B30">
        <w:rPr>
          <w:lang w:val="en-NZ"/>
        </w:rPr>
        <w:t>5</w:t>
      </w:r>
      <w:r w:rsidRPr="00D606EF">
        <w:rPr>
          <w:lang w:val="en-NZ"/>
        </w:rPr>
        <w:t>/</w:t>
      </w:r>
      <w:r w:rsidR="00417B30" w:rsidRPr="00417B30">
        <w:rPr>
          <w:lang w:eastAsia="ja-JP"/>
        </w:rPr>
        <w:t xml:space="preserve"> </w:t>
      </w:r>
      <w:r w:rsidR="00417B30" w:rsidRPr="00B90EF8">
        <w:rPr>
          <w:lang w:eastAsia="ja-JP"/>
        </w:rPr>
        <w:t>INP-1</w:t>
      </w:r>
      <w:r w:rsidR="00417B30">
        <w:rPr>
          <w:lang w:eastAsia="ja-JP"/>
        </w:rPr>
        <w:t>7</w:t>
      </w:r>
      <w:r w:rsidR="00417B30" w:rsidRPr="00B90EF8">
        <w:rPr>
          <w:lang w:eastAsia="ja-JP"/>
        </w:rPr>
        <w:t xml:space="preserve"> (</w:t>
      </w:r>
      <w:r w:rsidR="00417B30">
        <w:rPr>
          <w:lang w:eastAsia="ja-JP"/>
        </w:rPr>
        <w:t>J</w:t>
      </w:r>
      <w:r w:rsidR="00417B30" w:rsidRPr="00B90EF8">
        <w:rPr>
          <w:lang w:eastAsia="ja-JP"/>
        </w:rPr>
        <w:t>), INP-</w:t>
      </w:r>
      <w:r w:rsidR="00417B30">
        <w:rPr>
          <w:lang w:eastAsia="ja-JP"/>
        </w:rPr>
        <w:t>35</w:t>
      </w:r>
      <w:r w:rsidR="00417B30" w:rsidRPr="00B90EF8">
        <w:rPr>
          <w:lang w:eastAsia="ja-JP"/>
        </w:rPr>
        <w:t xml:space="preserve"> </w:t>
      </w:r>
      <w:r w:rsidR="00417B30">
        <w:rPr>
          <w:lang w:eastAsia="ja-JP"/>
        </w:rPr>
        <w:t>(BGD</w:t>
      </w:r>
      <w:r w:rsidR="00417B30" w:rsidRPr="00B90EF8">
        <w:rPr>
          <w:lang w:eastAsia="ja-JP"/>
        </w:rPr>
        <w:t>), INP-</w:t>
      </w:r>
      <w:r w:rsidR="00417B30">
        <w:rPr>
          <w:lang w:eastAsia="ja-JP"/>
        </w:rPr>
        <w:t xml:space="preserve">39 </w:t>
      </w:r>
      <w:r w:rsidR="00417B30" w:rsidRPr="00B90EF8">
        <w:rPr>
          <w:lang w:eastAsia="ja-JP"/>
        </w:rPr>
        <w:t>(</w:t>
      </w:r>
      <w:r w:rsidR="00417B30">
        <w:rPr>
          <w:lang w:eastAsia="ja-JP"/>
        </w:rPr>
        <w:t>IRN</w:t>
      </w:r>
      <w:r w:rsidR="00417B30" w:rsidRPr="00B90EF8">
        <w:rPr>
          <w:lang w:eastAsia="ja-JP"/>
        </w:rPr>
        <w:t>), INP-</w:t>
      </w:r>
      <w:r w:rsidR="00417B30">
        <w:rPr>
          <w:lang w:eastAsia="ja-JP"/>
        </w:rPr>
        <w:t>55</w:t>
      </w:r>
      <w:r w:rsidR="00417B30" w:rsidRPr="00B90EF8">
        <w:rPr>
          <w:lang w:eastAsia="ja-JP"/>
        </w:rPr>
        <w:t xml:space="preserve"> (</w:t>
      </w:r>
      <w:r w:rsidR="00417B30">
        <w:rPr>
          <w:lang w:eastAsia="ja-JP"/>
        </w:rPr>
        <w:t>VTN</w:t>
      </w:r>
      <w:r w:rsidR="00417B30" w:rsidRPr="00B90EF8">
        <w:rPr>
          <w:lang w:eastAsia="ja-JP"/>
        </w:rPr>
        <w:t>)</w:t>
      </w:r>
      <w:r w:rsidR="00417B30">
        <w:rPr>
          <w:lang w:eastAsia="ja-JP"/>
        </w:rPr>
        <w:t>, INP-59 (AUS), INP-66 (KOR), INP-75(NZL), INP-91 (CHN)</w:t>
      </w:r>
    </w:p>
    <w:p w14:paraId="29865AF0" w14:textId="4C2C216F" w:rsidR="002A0111" w:rsidRPr="00D606EF" w:rsidRDefault="00D606EF" w:rsidP="00A32DFD">
      <w:pPr>
        <w:numPr>
          <w:ilvl w:val="0"/>
          <w:numId w:val="18"/>
        </w:numPr>
        <w:adjustRightInd w:val="0"/>
        <w:snapToGrid w:val="0"/>
        <w:spacing w:after="100" w:line="264" w:lineRule="auto"/>
        <w:ind w:leftChars="145" w:left="709" w:hanging="361"/>
        <w:jc w:val="both"/>
        <w:rPr>
          <w:b/>
          <w:lang w:val="en-NZ" w:eastAsia="ko-KR"/>
        </w:rPr>
      </w:pPr>
      <w:r w:rsidRPr="00D606EF">
        <w:rPr>
          <w:lang w:val="en-NZ"/>
        </w:rPr>
        <w:t>Information Documents: APG23-</w:t>
      </w:r>
      <w:r w:rsidR="00417B30">
        <w:rPr>
          <w:lang w:val="en-NZ"/>
        </w:rPr>
        <w:t>5</w:t>
      </w:r>
      <w:r w:rsidRPr="00D606EF">
        <w:rPr>
          <w:lang w:val="en-NZ"/>
        </w:rPr>
        <w:t>/</w:t>
      </w:r>
      <w:r w:rsidR="00417B30" w:rsidRPr="00417B30">
        <w:rPr>
          <w:lang w:eastAsia="ja-JP"/>
        </w:rPr>
        <w:t xml:space="preserve"> </w:t>
      </w:r>
      <w:r w:rsidR="00417B30">
        <w:rPr>
          <w:lang w:eastAsia="ja-JP"/>
        </w:rPr>
        <w:t>INF-01 (WMO),</w:t>
      </w:r>
      <w:r w:rsidR="00417B30" w:rsidRPr="00417B30">
        <w:rPr>
          <w:rFonts w:hint="eastAsia"/>
        </w:rPr>
        <w:t xml:space="preserve"> </w:t>
      </w:r>
      <w:r w:rsidR="00417B30">
        <w:rPr>
          <w:rFonts w:hint="eastAsia"/>
        </w:rPr>
        <w:t>I</w:t>
      </w:r>
      <w:r w:rsidR="00417B30">
        <w:t>NF-10 (DG Chair),</w:t>
      </w:r>
      <w:r w:rsidR="00417B30">
        <w:rPr>
          <w:lang w:eastAsia="ja-JP"/>
        </w:rPr>
        <w:t xml:space="preserve"> </w:t>
      </w:r>
      <w:r w:rsidR="00417B30" w:rsidRPr="00B90EF8">
        <w:rPr>
          <w:lang w:eastAsia="ja-JP"/>
        </w:rPr>
        <w:t>INF-</w:t>
      </w:r>
      <w:r w:rsidR="00417B30">
        <w:rPr>
          <w:lang w:eastAsia="ja-JP"/>
        </w:rPr>
        <w:t>21</w:t>
      </w:r>
      <w:r w:rsidR="00417B30" w:rsidRPr="00B90EF8">
        <w:rPr>
          <w:lang w:eastAsia="ja-JP"/>
        </w:rPr>
        <w:t xml:space="preserve"> (</w:t>
      </w:r>
      <w:r w:rsidR="00417B30">
        <w:rPr>
          <w:lang w:eastAsia="ja-JP"/>
        </w:rPr>
        <w:t>IARU</w:t>
      </w:r>
      <w:r w:rsidR="00417B30" w:rsidRPr="00B90EF8">
        <w:rPr>
          <w:lang w:eastAsia="ja-JP"/>
        </w:rPr>
        <w:t>), INF-</w:t>
      </w:r>
      <w:r w:rsidR="00417B30">
        <w:rPr>
          <w:lang w:eastAsia="ja-JP"/>
        </w:rPr>
        <w:t>39</w:t>
      </w:r>
      <w:r w:rsidR="00417B30" w:rsidRPr="00B90EF8">
        <w:rPr>
          <w:lang w:eastAsia="ja-JP"/>
        </w:rPr>
        <w:t xml:space="preserve"> (</w:t>
      </w:r>
      <w:r w:rsidR="00417B30">
        <w:rPr>
          <w:lang w:eastAsia="ja-JP"/>
        </w:rPr>
        <w:t>CEPT</w:t>
      </w:r>
      <w:r w:rsidR="00417B30" w:rsidRPr="00B90EF8">
        <w:rPr>
          <w:lang w:eastAsia="ja-JP"/>
        </w:rPr>
        <w:t>)</w:t>
      </w:r>
      <w:r w:rsidR="00417B30">
        <w:rPr>
          <w:lang w:eastAsia="ja-JP"/>
        </w:rPr>
        <w:t xml:space="preserve">, </w:t>
      </w:r>
      <w:r w:rsidR="00417B30">
        <w:rPr>
          <w:rFonts w:eastAsiaTheme="minorEastAsia" w:hint="eastAsia"/>
          <w:lang w:eastAsia="ko-KR"/>
        </w:rPr>
        <w:t>I</w:t>
      </w:r>
      <w:r w:rsidR="00417B30">
        <w:rPr>
          <w:rFonts w:eastAsiaTheme="minorEastAsia"/>
          <w:lang w:eastAsia="ko-KR"/>
        </w:rPr>
        <w:t>NF-43 (CITEL)</w:t>
      </w:r>
      <w:r w:rsidR="009A3CC9">
        <w:rPr>
          <w:rFonts w:eastAsiaTheme="minorEastAsia"/>
          <w:lang w:eastAsia="ko-KR"/>
        </w:rPr>
        <w:t>, INF-45 (RCC)</w:t>
      </w:r>
    </w:p>
    <w:p w14:paraId="26D36DDD" w14:textId="0FF96D5C" w:rsidR="005206E9" w:rsidRDefault="005206E9" w:rsidP="00A32DFD">
      <w:pPr>
        <w:adjustRightInd w:val="0"/>
        <w:snapToGrid w:val="0"/>
        <w:spacing w:after="100" w:line="264" w:lineRule="auto"/>
        <w:rPr>
          <w:b/>
          <w:lang w:val="en-NZ" w:eastAsia="ko-KR"/>
        </w:rPr>
      </w:pPr>
    </w:p>
    <w:p w14:paraId="182A6C43" w14:textId="77777777" w:rsidR="002A0111" w:rsidRPr="00441526" w:rsidRDefault="002A0111" w:rsidP="00A32DFD">
      <w:pPr>
        <w:adjustRightInd w:val="0"/>
        <w:snapToGrid w:val="0"/>
        <w:spacing w:after="100" w:line="264" w:lineRule="auto"/>
        <w:rPr>
          <w:b/>
          <w:lang w:val="en-NZ" w:eastAsia="ko-KR"/>
        </w:rPr>
      </w:pPr>
      <w:r w:rsidRPr="00441526">
        <w:rPr>
          <w:b/>
          <w:lang w:val="en-NZ" w:eastAsia="ko-KR"/>
        </w:rPr>
        <w:t xml:space="preserve">3. </w:t>
      </w:r>
      <w:r w:rsidRPr="00441526">
        <w:rPr>
          <w:b/>
          <w:lang w:val="en-NZ" w:eastAsia="ko-KR"/>
        </w:rPr>
        <w:tab/>
        <w:t>Summary of discussions</w:t>
      </w:r>
    </w:p>
    <w:p w14:paraId="696638F2" w14:textId="6EE50975" w:rsidR="002A0111" w:rsidRPr="0095406E" w:rsidRDefault="002A0111" w:rsidP="00A32DFD">
      <w:pPr>
        <w:adjustRightInd w:val="0"/>
        <w:snapToGrid w:val="0"/>
        <w:spacing w:after="100" w:line="264" w:lineRule="auto"/>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A3978D" w14:textId="39865252"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3.1.1 </w:t>
      </w:r>
      <w:r w:rsidRPr="00441526">
        <w:rPr>
          <w:b/>
          <w:lang w:val="en-NZ" w:eastAsia="ko-KR"/>
        </w:rPr>
        <w:tab/>
      </w:r>
      <w:r w:rsidR="00734D6A">
        <w:rPr>
          <w:b/>
          <w:lang w:val="en-NZ" w:eastAsia="ko-KR"/>
        </w:rPr>
        <w:t xml:space="preserve">Japan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D36175">
        <w:rPr>
          <w:b/>
          <w:lang w:val="en-NZ" w:eastAsia="ko-KR"/>
        </w:rPr>
        <w:t>5</w:t>
      </w:r>
      <w:r w:rsidRPr="00441526">
        <w:rPr>
          <w:b/>
          <w:lang w:val="en-NZ" w:eastAsia="ko-KR"/>
        </w:rPr>
        <w:t>/INP-</w:t>
      </w:r>
      <w:r w:rsidR="00734D6A">
        <w:rPr>
          <w:b/>
          <w:lang w:val="en-NZ" w:eastAsia="ko-KR"/>
        </w:rPr>
        <w:t>1</w:t>
      </w:r>
      <w:r w:rsidR="00D36175">
        <w:rPr>
          <w:b/>
          <w:lang w:val="en-NZ" w:eastAsia="ko-KR"/>
        </w:rPr>
        <w:t>7</w:t>
      </w:r>
    </w:p>
    <w:p w14:paraId="024AA627" w14:textId="77777777" w:rsidR="00D36175" w:rsidRPr="00DD5227" w:rsidRDefault="00D36175" w:rsidP="00D36175">
      <w:pPr>
        <w:jc w:val="both"/>
      </w:pPr>
      <w:r w:rsidRPr="003D5D62">
        <w:t xml:space="preserve">Japan </w:t>
      </w:r>
      <w:r>
        <w:t xml:space="preserve">is of the view that </w:t>
      </w:r>
      <w:r w:rsidRPr="00194F03">
        <w:t>the protection of the existing primary services including the protection for IMT systems deployed in the same and adjacent frequency bands for Region 3 is necessary, noting that this Agenda item addresses Regions 1 and 2 issue.</w:t>
      </w:r>
      <w:r w:rsidRPr="003D5D62">
        <w:t xml:space="preserve"> </w:t>
      </w:r>
      <w:r>
        <w:t xml:space="preserve">Since the necessary sharing and compatibility studies had not been conducted in ITU-R, Japan does not support new allocation to </w:t>
      </w:r>
      <w:r w:rsidRPr="00194F03">
        <w:rPr>
          <w:rFonts w:eastAsia="MS Mincho" w:hint="eastAsia"/>
          <w:lang w:eastAsia="ja-JP"/>
        </w:rPr>
        <w:t>t</w:t>
      </w:r>
      <w:r w:rsidRPr="00194F03">
        <w:rPr>
          <w:rFonts w:eastAsia="MS Mincho"/>
          <w:lang w:eastAsia="ja-JP"/>
        </w:rPr>
        <w:t xml:space="preserve">he </w:t>
      </w:r>
      <w:r w:rsidRPr="00194F03">
        <w:t>mobile satellite service</w:t>
      </w:r>
      <w:r>
        <w:t xml:space="preserve"> on this Agenda item.</w:t>
      </w:r>
    </w:p>
    <w:p w14:paraId="43270B19" w14:textId="77777777" w:rsidR="002A0111" w:rsidRPr="00441526" w:rsidRDefault="002A0111" w:rsidP="00A32DFD">
      <w:pPr>
        <w:adjustRightInd w:val="0"/>
        <w:snapToGrid w:val="0"/>
        <w:spacing w:after="100" w:line="264" w:lineRule="auto"/>
        <w:jc w:val="both"/>
        <w:rPr>
          <w:lang w:val="en-NZ"/>
        </w:rPr>
      </w:pPr>
    </w:p>
    <w:p w14:paraId="4BE19BD1" w14:textId="58994C7E"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3.1.2 </w:t>
      </w:r>
      <w:r w:rsidRPr="00441526">
        <w:rPr>
          <w:b/>
          <w:lang w:val="en-NZ" w:eastAsia="ko-KR"/>
        </w:rPr>
        <w:tab/>
      </w:r>
      <w:r w:rsidR="00D36175">
        <w:rPr>
          <w:b/>
          <w:lang w:val="en-NZ" w:eastAsia="ko-KR"/>
        </w:rPr>
        <w:t>Bangladesh</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D36175">
        <w:rPr>
          <w:b/>
          <w:lang w:val="en-NZ" w:eastAsia="ko-KR"/>
        </w:rPr>
        <w:t>5</w:t>
      </w:r>
      <w:r w:rsidRPr="00441526">
        <w:rPr>
          <w:b/>
          <w:lang w:val="en-NZ" w:eastAsia="ko-KR"/>
        </w:rPr>
        <w:t>/INP-</w:t>
      </w:r>
      <w:r w:rsidR="00D36175">
        <w:rPr>
          <w:b/>
          <w:lang w:val="en-NZ" w:eastAsia="ko-KR"/>
        </w:rPr>
        <w:t>35</w:t>
      </w:r>
    </w:p>
    <w:p w14:paraId="527F937C" w14:textId="2EB47969" w:rsidR="002A0111" w:rsidRDefault="00D36175" w:rsidP="00D36175">
      <w:pPr>
        <w:spacing w:after="120" w:line="264" w:lineRule="auto"/>
        <w:jc w:val="both"/>
        <w:rPr>
          <w:color w:val="000000" w:themeColor="text1"/>
        </w:rPr>
      </w:pPr>
      <w:r>
        <w:rPr>
          <w:color w:val="000000" w:themeColor="text1"/>
        </w:rPr>
        <w:t>ITU-R is not yet able to finalize the sharing and compatibility studies on this agenda item. Therefore, Bangladesh administration supports method A of the draft CPM report to WRC-2023. i.e., no change to the RR</w:t>
      </w:r>
      <w:r w:rsidRPr="00B64515">
        <w:rPr>
          <w:color w:val="000000" w:themeColor="text1"/>
        </w:rPr>
        <w:t>.</w:t>
      </w:r>
      <w:r>
        <w:rPr>
          <w:color w:val="000000" w:themeColor="text1"/>
        </w:rPr>
        <w:t xml:space="preserve"> </w:t>
      </w:r>
    </w:p>
    <w:p w14:paraId="5CA283B7" w14:textId="77777777" w:rsidR="00D36175" w:rsidRPr="00D36175" w:rsidRDefault="00D36175" w:rsidP="00D36175">
      <w:pPr>
        <w:spacing w:after="120" w:line="264" w:lineRule="auto"/>
        <w:jc w:val="both"/>
        <w:rPr>
          <w:color w:val="000000" w:themeColor="text1"/>
        </w:rPr>
      </w:pPr>
    </w:p>
    <w:p w14:paraId="0349DDC2" w14:textId="02705661"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3.1.</w:t>
      </w:r>
      <w:r w:rsidR="00734D6A">
        <w:rPr>
          <w:b/>
          <w:lang w:val="en-NZ" w:eastAsia="ko-KR"/>
        </w:rPr>
        <w:t>3</w:t>
      </w:r>
      <w:r w:rsidRPr="00441526">
        <w:rPr>
          <w:b/>
          <w:lang w:val="en-NZ" w:eastAsia="ko-KR"/>
        </w:rPr>
        <w:tab/>
      </w:r>
      <w:r w:rsidR="00734D6A">
        <w:rPr>
          <w:b/>
          <w:lang w:val="en-NZ" w:eastAsia="ko-KR"/>
        </w:rPr>
        <w:t>Iran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D36175">
        <w:rPr>
          <w:b/>
          <w:lang w:val="en-NZ" w:eastAsia="ko-KR"/>
        </w:rPr>
        <w:t>5</w:t>
      </w:r>
      <w:r w:rsidRPr="00441526">
        <w:rPr>
          <w:b/>
          <w:lang w:val="en-NZ" w:eastAsia="ko-KR"/>
        </w:rPr>
        <w:t>/INP-</w:t>
      </w:r>
      <w:r w:rsidR="00D36175">
        <w:rPr>
          <w:b/>
          <w:lang w:val="en-NZ" w:eastAsia="ko-KR"/>
        </w:rPr>
        <w:t>39</w:t>
      </w:r>
    </w:p>
    <w:p w14:paraId="532FEB8D" w14:textId="77777777" w:rsidR="00D36175" w:rsidRDefault="00D36175" w:rsidP="00D36175">
      <w:pPr>
        <w:jc w:val="both"/>
      </w:pPr>
      <w:r w:rsidRPr="00E04EA0">
        <w:t>This administration`s preliminary views are as follows</w:t>
      </w:r>
      <w:r>
        <w:t>:</w:t>
      </w:r>
    </w:p>
    <w:p w14:paraId="706C648D" w14:textId="77777777" w:rsidR="00D36175" w:rsidRDefault="00D36175" w:rsidP="00D36175">
      <w:pPr>
        <w:jc w:val="both"/>
      </w:pPr>
      <w:r>
        <w:t>No Change.</w:t>
      </w:r>
    </w:p>
    <w:p w14:paraId="095A5762" w14:textId="4BCC543F" w:rsidR="00D36175" w:rsidRDefault="00D36175" w:rsidP="00D36175">
      <w:pPr>
        <w:jc w:val="both"/>
      </w:pPr>
      <w:r w:rsidRPr="00E04EA0">
        <w:t xml:space="preserve">Various concerns were raised in ITU-R </w:t>
      </w:r>
      <w:proofErr w:type="gramStart"/>
      <w:r w:rsidRPr="00E04EA0">
        <w:t xml:space="preserve">in regard </w:t>
      </w:r>
      <w:r>
        <w:t>to</w:t>
      </w:r>
      <w:proofErr w:type="gramEnd"/>
      <w:r w:rsidRPr="00E04EA0">
        <w:t xml:space="preserve"> this agenda item as summarized below</w:t>
      </w:r>
      <w:r>
        <w:t>:</w:t>
      </w:r>
      <w:r w:rsidRPr="00E04EA0">
        <w:t xml:space="preserve"> with these studies are summarized in following paragraphs</w:t>
      </w:r>
      <w:r>
        <w:t>:</w:t>
      </w:r>
    </w:p>
    <w:p w14:paraId="69D6FC47" w14:textId="77777777" w:rsidR="00D36175" w:rsidRDefault="00D36175" w:rsidP="00D36175">
      <w:pPr>
        <w:jc w:val="both"/>
      </w:pPr>
      <w:r>
        <w:t>In Method A; it is ambiguous and unclear in Resolution 248, recognizing c), which has been referred to in the resolve, part of the Resolution, referring to non-GSO systems, and space stations which are not clarified whether one system or how many systems, one satellite or how many satellite and the value of the maximum equivalent isotopically radiated power (</w:t>
      </w:r>
      <w:proofErr w:type="spellStart"/>
      <w:r>
        <w:t>e.i.r.p</w:t>
      </w:r>
      <w:proofErr w:type="spellEnd"/>
      <w:r>
        <w:t>.) 27 (</w:t>
      </w:r>
      <w:proofErr w:type="spellStart"/>
      <w:r>
        <w:t>dBW</w:t>
      </w:r>
      <w:proofErr w:type="spellEnd"/>
      <w:r>
        <w:t>), is not implementable because we don’t know how should be applied. In addition, the technical and operational characteristics were not agreed by the responsible group.</w:t>
      </w:r>
    </w:p>
    <w:p w14:paraId="77991A0A" w14:textId="77777777" w:rsidR="00D36175" w:rsidRDefault="00D36175" w:rsidP="00D36175">
      <w:pPr>
        <w:jc w:val="both"/>
      </w:pPr>
      <w:r>
        <w:t xml:space="preserve">With respect to Method B, ITU-R including CPM is not entitled to interpret or revise the decision of any WRC. However, the objective of Method B could be </w:t>
      </w:r>
      <w:proofErr w:type="gramStart"/>
      <w:r>
        <w:t>consider</w:t>
      </w:r>
      <w:proofErr w:type="gramEnd"/>
      <w:r>
        <w:t xml:space="preserve"> by WRC-23 and agreed were appropriate. By creating a new agenda item for WRC-27, either with the same frequency bands and same objectives Resolution 248 (WRC-19), or with different frequency bands. Moreover, the language use in the Resolution should be clear and implementable and it should be included in the resolve parts directly.</w:t>
      </w:r>
    </w:p>
    <w:p w14:paraId="4D3FBC26" w14:textId="2121CFDA" w:rsidR="00734D6A" w:rsidRDefault="00734D6A" w:rsidP="00A32DFD">
      <w:pPr>
        <w:adjustRightInd w:val="0"/>
        <w:snapToGrid w:val="0"/>
        <w:spacing w:after="100" w:line="264" w:lineRule="auto"/>
        <w:jc w:val="both"/>
        <w:rPr>
          <w:lang w:val="en-NZ"/>
        </w:rPr>
      </w:pPr>
    </w:p>
    <w:p w14:paraId="261BA9CC" w14:textId="7A246E4E"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4</w:t>
      </w:r>
      <w:r w:rsidRPr="00441526">
        <w:rPr>
          <w:b/>
          <w:lang w:val="en-NZ" w:eastAsia="ko-KR"/>
        </w:rPr>
        <w:tab/>
      </w:r>
      <w:r w:rsidR="00C91A2D">
        <w:rPr>
          <w:b/>
          <w:lang w:val="en-NZ" w:eastAsia="ko-KR"/>
        </w:rPr>
        <w:t>Viet Nam</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91A2D">
        <w:rPr>
          <w:b/>
          <w:lang w:val="en-NZ" w:eastAsia="ko-KR"/>
        </w:rPr>
        <w:t>5</w:t>
      </w:r>
      <w:r w:rsidRPr="00441526">
        <w:rPr>
          <w:b/>
          <w:lang w:val="en-NZ" w:eastAsia="ko-KR"/>
        </w:rPr>
        <w:t>/INP-</w:t>
      </w:r>
      <w:r w:rsidR="00C91A2D">
        <w:rPr>
          <w:b/>
          <w:lang w:val="en-NZ" w:eastAsia="ko-KR"/>
        </w:rPr>
        <w:t>55</w:t>
      </w:r>
    </w:p>
    <w:p w14:paraId="23585E65" w14:textId="2F4ACD51" w:rsidR="00C91A2D" w:rsidRDefault="00C91A2D" w:rsidP="00C91A2D">
      <w:pPr>
        <w:jc w:val="both"/>
        <w:rPr>
          <w:rStyle w:val="fontstyle01"/>
        </w:rPr>
      </w:pPr>
      <w:r>
        <w:t xml:space="preserve">With </w:t>
      </w:r>
      <w:r w:rsidR="004352AF">
        <w:t xml:space="preserve">the </w:t>
      </w:r>
      <w:r>
        <w:t>discussions</w:t>
      </w:r>
      <w:r w:rsidR="004352AF">
        <w:t xml:space="preserve"> in Section 2 of Document APG23-5/INP-55</w:t>
      </w:r>
      <w:r>
        <w:t xml:space="preserve">, </w:t>
      </w:r>
      <w:r>
        <w:rPr>
          <w:rStyle w:val="fontstyle01"/>
        </w:rPr>
        <w:t>Viet Nam is of the view that no regulatory actions are necessary to Volumes 1, 2 and 4 of the Radio Regulations to address WRC-23 agenda item 1.18.</w:t>
      </w:r>
    </w:p>
    <w:p w14:paraId="102A0B4E" w14:textId="77777777" w:rsidR="00C91A2D" w:rsidRDefault="00C91A2D" w:rsidP="00C91A2D">
      <w:pPr>
        <w:jc w:val="both"/>
        <w:rPr>
          <w:rStyle w:val="fontstyle01"/>
        </w:rPr>
      </w:pPr>
      <w:r>
        <w:rPr>
          <w:rStyle w:val="fontstyle01"/>
        </w:rPr>
        <w:lastRenderedPageBreak/>
        <w:t>Viet Nam supports method A.</w:t>
      </w:r>
    </w:p>
    <w:p w14:paraId="71A8967C" w14:textId="77777777" w:rsidR="00734D6A" w:rsidRPr="003A7733" w:rsidRDefault="00734D6A" w:rsidP="00A32DFD">
      <w:pPr>
        <w:adjustRightInd w:val="0"/>
        <w:snapToGrid w:val="0"/>
        <w:spacing w:after="100" w:line="264" w:lineRule="auto"/>
        <w:jc w:val="both"/>
      </w:pPr>
    </w:p>
    <w:p w14:paraId="49EAEA65" w14:textId="055E5603"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5</w:t>
      </w:r>
      <w:r w:rsidRPr="00441526">
        <w:rPr>
          <w:b/>
          <w:lang w:val="en-NZ" w:eastAsia="ko-KR"/>
        </w:rPr>
        <w:tab/>
      </w:r>
      <w:r w:rsidR="00C91A2D">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91A2D">
        <w:rPr>
          <w:b/>
          <w:lang w:val="en-NZ" w:eastAsia="ko-KR"/>
        </w:rPr>
        <w:t>5</w:t>
      </w:r>
      <w:r w:rsidRPr="00441526">
        <w:rPr>
          <w:b/>
          <w:lang w:val="en-NZ" w:eastAsia="ko-KR"/>
        </w:rPr>
        <w:t>/INP-</w:t>
      </w:r>
      <w:r w:rsidR="00C91A2D">
        <w:rPr>
          <w:b/>
          <w:lang w:val="en-NZ" w:eastAsia="ko-KR"/>
        </w:rPr>
        <w:t>59</w:t>
      </w:r>
    </w:p>
    <w:p w14:paraId="7301F570" w14:textId="77777777" w:rsidR="00C91A2D" w:rsidRDefault="00C91A2D" w:rsidP="00C91A2D">
      <w:pPr>
        <w:jc w:val="both"/>
      </w:pPr>
      <w:r w:rsidRPr="00A46264">
        <w:t>Noting that this is a Region 1 and 2 issue, Australia supports sharing and compatibility studies with existing primary services to determine the suitability of new allocations to the mobile-satellite service (MSS), with a view to protecting the primary services, in the relevant frequency bands and adjacent frequency bands, without causing undue constraints on their further development.</w:t>
      </w:r>
    </w:p>
    <w:p w14:paraId="26B35C5C" w14:textId="77777777" w:rsidR="00734D6A" w:rsidRPr="00734D6A" w:rsidRDefault="00734D6A" w:rsidP="00A32DFD">
      <w:pPr>
        <w:adjustRightInd w:val="0"/>
        <w:snapToGrid w:val="0"/>
        <w:spacing w:after="100" w:line="264" w:lineRule="auto"/>
        <w:ind w:left="708"/>
        <w:jc w:val="both"/>
        <w:rPr>
          <w:lang w:val="en-NZ"/>
        </w:rPr>
      </w:pPr>
    </w:p>
    <w:p w14:paraId="0F4698FE" w14:textId="3343241C"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6</w:t>
      </w:r>
      <w:r w:rsidRPr="00441526">
        <w:rPr>
          <w:b/>
          <w:lang w:val="en-NZ" w:eastAsia="ko-KR"/>
        </w:rPr>
        <w:tab/>
      </w:r>
      <w:r w:rsidR="00C91A2D">
        <w:rPr>
          <w:b/>
          <w:lang w:val="en-NZ" w:eastAsia="ko-KR"/>
        </w:rPr>
        <w:t>Korea (Rep.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91A2D">
        <w:rPr>
          <w:b/>
          <w:lang w:val="en-NZ" w:eastAsia="ko-KR"/>
        </w:rPr>
        <w:t>5</w:t>
      </w:r>
      <w:r w:rsidRPr="00441526">
        <w:rPr>
          <w:b/>
          <w:lang w:val="en-NZ" w:eastAsia="ko-KR"/>
        </w:rPr>
        <w:t>/INP-</w:t>
      </w:r>
      <w:r w:rsidR="00C91A2D">
        <w:rPr>
          <w:b/>
          <w:lang w:val="en-NZ" w:eastAsia="ko-KR"/>
        </w:rPr>
        <w:t>66</w:t>
      </w:r>
    </w:p>
    <w:p w14:paraId="22C64486" w14:textId="77777777" w:rsidR="00C91A2D" w:rsidRDefault="00C91A2D" w:rsidP="00C91A2D">
      <w:pPr>
        <w:adjustRightInd w:val="0"/>
        <w:snapToGrid w:val="0"/>
        <w:spacing w:after="100" w:line="264" w:lineRule="auto"/>
        <w:jc w:val="both"/>
        <w:rPr>
          <w:rFonts w:cstheme="minorHAnsi"/>
        </w:rPr>
      </w:pPr>
      <w:r>
        <w:rPr>
          <w:rFonts w:cstheme="minorHAnsi"/>
        </w:rPr>
        <w:t xml:space="preserve">Based on the study results made by ITU-R, </w:t>
      </w:r>
      <w:r>
        <w:rPr>
          <w:rFonts w:cstheme="minorHAnsi" w:hint="eastAsia"/>
          <w:lang w:eastAsia="ko-KR"/>
        </w:rPr>
        <w:t>t</w:t>
      </w:r>
      <w:r>
        <w:rPr>
          <w:rFonts w:cstheme="minorHAnsi"/>
        </w:rPr>
        <w:t>he Republic of Korea supports</w:t>
      </w:r>
      <w:r w:rsidRPr="000E14EE">
        <w:rPr>
          <w:rFonts w:cstheme="minorHAnsi"/>
        </w:rPr>
        <w:t xml:space="preserve"> no </w:t>
      </w:r>
      <w:r>
        <w:rPr>
          <w:rFonts w:cstheme="minorHAnsi"/>
        </w:rPr>
        <w:t>changes</w:t>
      </w:r>
      <w:r w:rsidRPr="000E14EE">
        <w:rPr>
          <w:rFonts w:cstheme="minorHAnsi"/>
        </w:rPr>
        <w:t xml:space="preserve"> to the Radio Regulations </w:t>
      </w:r>
      <w:proofErr w:type="gramStart"/>
      <w:r w:rsidRPr="000E14EE">
        <w:rPr>
          <w:rFonts w:cstheme="minorHAnsi"/>
        </w:rPr>
        <w:t>with regard to</w:t>
      </w:r>
      <w:proofErr w:type="gramEnd"/>
      <w:r w:rsidRPr="000E14EE">
        <w:rPr>
          <w:rFonts w:cstheme="minorHAnsi"/>
        </w:rPr>
        <w:t xml:space="preserve"> this agenda item at WRC-23.</w:t>
      </w:r>
    </w:p>
    <w:p w14:paraId="2B3F8573" w14:textId="77777777" w:rsidR="00C91A2D" w:rsidRPr="004E5FFF" w:rsidRDefault="00C91A2D" w:rsidP="00C91A2D">
      <w:pPr>
        <w:adjustRightInd w:val="0"/>
        <w:snapToGrid w:val="0"/>
        <w:spacing w:after="100" w:line="264" w:lineRule="auto"/>
        <w:jc w:val="both"/>
        <w:rPr>
          <w:lang w:val="en-CA"/>
        </w:rPr>
      </w:pPr>
      <w:r>
        <w:rPr>
          <w:rFonts w:cstheme="minorHAnsi" w:hint="eastAsia"/>
          <w:lang w:eastAsia="ko-KR"/>
        </w:rPr>
        <w:t>H</w:t>
      </w:r>
      <w:r>
        <w:rPr>
          <w:rFonts w:cstheme="minorHAnsi"/>
          <w:lang w:eastAsia="ko-KR"/>
        </w:rPr>
        <w:t xml:space="preserve">owever, </w:t>
      </w:r>
      <w:proofErr w:type="gramStart"/>
      <w:r>
        <w:rPr>
          <w:rFonts w:cstheme="minorHAnsi"/>
          <w:lang w:eastAsia="ko-KR"/>
        </w:rPr>
        <w:t>taking into account</w:t>
      </w:r>
      <w:proofErr w:type="gramEnd"/>
      <w:r>
        <w:rPr>
          <w:rFonts w:cstheme="minorHAnsi"/>
          <w:lang w:eastAsia="ko-KR"/>
        </w:rPr>
        <w:t xml:space="preserve"> t</w:t>
      </w:r>
      <w:r>
        <w:t xml:space="preserve">he insufficient spectrum opportunities for satellite IoT to operate in the MSS frequency bands below 5 GHz, </w:t>
      </w:r>
      <w:r>
        <w:rPr>
          <w:rFonts w:cstheme="minorHAnsi"/>
        </w:rPr>
        <w:t xml:space="preserve">the Republic of </w:t>
      </w:r>
      <w:r>
        <w:t xml:space="preserve">Korea is of the view that it would be necessary to consider possible new primary or secondary allocations to the MSS for non-geostationary satellite systems in all Regions at WRC-27. Therefore, through the appropriate modifications to Resolution </w:t>
      </w:r>
      <w:r w:rsidRPr="003E13CD">
        <w:rPr>
          <w:b/>
          <w:bCs/>
        </w:rPr>
        <w:t>248</w:t>
      </w:r>
      <w:r>
        <w:rPr>
          <w:b/>
          <w:bCs/>
        </w:rPr>
        <w:t xml:space="preserve"> </w:t>
      </w:r>
      <w:r w:rsidRPr="003B47E6">
        <w:rPr>
          <w:rFonts w:eastAsia="SimSun" w:hint="eastAsia"/>
          <w:b/>
          <w:lang w:eastAsia="zh-CN"/>
        </w:rPr>
        <w:t>(WRC-19)</w:t>
      </w:r>
      <w:r>
        <w:t>, this issue needs to be included for the agenda items of WRC-27.</w:t>
      </w:r>
    </w:p>
    <w:p w14:paraId="2BF481A1" w14:textId="0C372F26" w:rsidR="002A0111" w:rsidRPr="00C91A2D" w:rsidRDefault="002A0111" w:rsidP="00A32DFD">
      <w:pPr>
        <w:adjustRightInd w:val="0"/>
        <w:snapToGrid w:val="0"/>
        <w:spacing w:after="100" w:line="264" w:lineRule="auto"/>
        <w:jc w:val="both"/>
        <w:rPr>
          <w:lang w:val="en-CA"/>
        </w:rPr>
      </w:pPr>
    </w:p>
    <w:p w14:paraId="0FCB8ADA" w14:textId="113784C5"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7</w:t>
      </w:r>
      <w:r w:rsidRPr="00441526">
        <w:rPr>
          <w:b/>
          <w:lang w:val="en-NZ" w:eastAsia="ko-KR"/>
        </w:rPr>
        <w:tab/>
      </w:r>
      <w:r w:rsidR="00C91A2D">
        <w:rPr>
          <w:b/>
          <w:lang w:val="en-NZ" w:eastAsia="ko-KR"/>
        </w:rPr>
        <w:t>New Zealand</w:t>
      </w:r>
      <w:r w:rsidR="00D97CB5"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91A2D">
        <w:rPr>
          <w:b/>
          <w:lang w:val="en-NZ" w:eastAsia="ko-KR"/>
        </w:rPr>
        <w:t>5</w:t>
      </w:r>
      <w:r w:rsidRPr="00441526">
        <w:rPr>
          <w:b/>
          <w:lang w:val="en-NZ" w:eastAsia="ko-KR"/>
        </w:rPr>
        <w:t>/INP-</w:t>
      </w:r>
      <w:r w:rsidR="00C91A2D">
        <w:rPr>
          <w:b/>
          <w:lang w:val="en-NZ" w:eastAsia="ko-KR"/>
        </w:rPr>
        <w:t>75</w:t>
      </w:r>
    </w:p>
    <w:p w14:paraId="73BB5D76" w14:textId="77777777" w:rsidR="00C91A2D" w:rsidRPr="000B4D7A" w:rsidRDefault="00C91A2D" w:rsidP="00C91A2D">
      <w:pPr>
        <w:jc w:val="both"/>
        <w:rPr>
          <w:rFonts w:cstheme="minorHAnsi"/>
        </w:rPr>
      </w:pPr>
      <w:r w:rsidRPr="00D624DE">
        <w:rPr>
          <w:rFonts w:cstheme="minorHAnsi"/>
        </w:rPr>
        <w:t>New Zealand supports Method A</w:t>
      </w:r>
      <w:r>
        <w:rPr>
          <w:rFonts w:cstheme="minorHAnsi"/>
        </w:rPr>
        <w:t>,</w:t>
      </w:r>
      <w:r w:rsidRPr="00D624DE">
        <w:rPr>
          <w:rFonts w:cstheme="minorHAnsi"/>
        </w:rPr>
        <w:t xml:space="preserve"> No Change and suppression of </w:t>
      </w:r>
      <w:r w:rsidRPr="00D624DE">
        <w:rPr>
          <w:lang w:eastAsia="zh-CN"/>
        </w:rPr>
        <w:t xml:space="preserve">Resolution </w:t>
      </w:r>
      <w:r w:rsidRPr="00D624DE">
        <w:rPr>
          <w:b/>
          <w:bCs/>
          <w:lang w:eastAsia="zh-CN"/>
        </w:rPr>
        <w:t>248 (WRC</w:t>
      </w:r>
      <w:r w:rsidRPr="00D624DE">
        <w:rPr>
          <w:b/>
          <w:bCs/>
          <w:lang w:eastAsia="zh-CN"/>
        </w:rPr>
        <w:noBreakHyphen/>
        <w:t xml:space="preserve">19). </w:t>
      </w:r>
      <w:r w:rsidRPr="00D624DE">
        <w:rPr>
          <w:lang w:eastAsia="zh-CN"/>
        </w:rPr>
        <w:t xml:space="preserve">While New Zealand notes that </w:t>
      </w:r>
      <w:r>
        <w:rPr>
          <w:lang w:eastAsia="zh-CN"/>
        </w:rPr>
        <w:t xml:space="preserve">while </w:t>
      </w:r>
      <w:r w:rsidRPr="00D624DE">
        <w:rPr>
          <w:lang w:eastAsia="zh-CN"/>
        </w:rPr>
        <w:t xml:space="preserve">this </w:t>
      </w:r>
      <w:r w:rsidRPr="00D624DE">
        <w:rPr>
          <w:rFonts w:cstheme="minorHAnsi"/>
        </w:rPr>
        <w:t>a Region 1 and 2 issue</w:t>
      </w:r>
      <w:r>
        <w:rPr>
          <w:rFonts w:cstheme="minorHAnsi"/>
        </w:rPr>
        <w:t xml:space="preserve"> with</w:t>
      </w:r>
      <w:r w:rsidRPr="00D624DE">
        <w:rPr>
          <w:rFonts w:cstheme="minorHAnsi"/>
        </w:rPr>
        <w:t xml:space="preserve"> Region 3 is not in scope, studies for this agenda item are incomplete. Further, New Zealand considers that any allocation to the mobile satellite service on other Regions should not have an adverse impact on existing services in </w:t>
      </w:r>
      <w:proofErr w:type="gramStart"/>
      <w:r w:rsidRPr="00D624DE">
        <w:rPr>
          <w:rFonts w:cstheme="minorHAnsi"/>
        </w:rPr>
        <w:t>Region</w:t>
      </w:r>
      <w:proofErr w:type="gramEnd"/>
      <w:r w:rsidRPr="00D624DE">
        <w:rPr>
          <w:rFonts w:cstheme="minorHAnsi"/>
        </w:rPr>
        <w:t xml:space="preserve"> 3. It is noted that s</w:t>
      </w:r>
      <w:r w:rsidRPr="00D624DE">
        <w:t xml:space="preserve">ome countries are included in RR No </w:t>
      </w:r>
      <w:r w:rsidRPr="00D624DE">
        <w:rPr>
          <w:b/>
        </w:rPr>
        <w:t>5.429</w:t>
      </w:r>
      <w:r w:rsidRPr="00D624DE">
        <w:rPr>
          <w:rFonts w:cstheme="minorHAnsi"/>
        </w:rPr>
        <w:t xml:space="preserve"> as having and additional allocation to the fixed and mobile service for the 3 300 – 3 400 MHz frequency band.</w:t>
      </w:r>
    </w:p>
    <w:p w14:paraId="3C186AF2" w14:textId="4B6C0EC9" w:rsidR="00734D6A" w:rsidRDefault="00734D6A" w:rsidP="00A32DFD">
      <w:pPr>
        <w:adjustRightInd w:val="0"/>
        <w:snapToGrid w:val="0"/>
        <w:spacing w:after="100" w:line="264" w:lineRule="auto"/>
        <w:jc w:val="both"/>
        <w:rPr>
          <w:lang w:val="en-NZ"/>
        </w:rPr>
      </w:pPr>
    </w:p>
    <w:p w14:paraId="4D6A6134" w14:textId="24E15535"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8</w:t>
      </w:r>
      <w:r w:rsidRPr="00441526">
        <w:rPr>
          <w:b/>
          <w:lang w:val="en-NZ" w:eastAsia="ko-KR"/>
        </w:rPr>
        <w:tab/>
      </w:r>
      <w:r w:rsidR="00C91A2D">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91A2D">
        <w:rPr>
          <w:b/>
          <w:lang w:val="en-NZ" w:eastAsia="ko-KR"/>
        </w:rPr>
        <w:t>5</w:t>
      </w:r>
      <w:r w:rsidRPr="00441526">
        <w:rPr>
          <w:b/>
          <w:lang w:val="en-NZ" w:eastAsia="ko-KR"/>
        </w:rPr>
        <w:t>/INP-</w:t>
      </w:r>
      <w:r w:rsidR="00C91A2D">
        <w:rPr>
          <w:b/>
          <w:lang w:val="en-NZ" w:eastAsia="ko-KR"/>
        </w:rPr>
        <w:t>91</w:t>
      </w:r>
    </w:p>
    <w:p w14:paraId="3805A9F7" w14:textId="77777777" w:rsidR="00C91A2D" w:rsidRDefault="00C91A2D" w:rsidP="00C91A2D">
      <w:pPr>
        <w:spacing w:beforeLines="50" w:before="120" w:afterLines="50" w:after="120"/>
        <w:jc w:val="both"/>
        <w:rPr>
          <w:rFonts w:eastAsia="SimSun"/>
          <w:b/>
          <w:lang w:eastAsia="zh-CN"/>
        </w:rPr>
      </w:pPr>
      <w:r>
        <w:rPr>
          <w:rFonts w:eastAsia="SimSun"/>
          <w:lang w:eastAsia="zh-CN"/>
        </w:rPr>
        <w:t>China supports Method A, No Change (NOC) to the Radio Regulations and suppression of Resolution 248 (WRC</w:t>
      </w:r>
      <w:r>
        <w:rPr>
          <w:rFonts w:eastAsia="SimSun"/>
          <w:lang w:eastAsia="zh-CN"/>
        </w:rPr>
        <w:noBreakHyphen/>
        <w:t>19)</w:t>
      </w:r>
      <w:r>
        <w:rPr>
          <w:lang w:eastAsia="zh-CN"/>
        </w:rPr>
        <w:t xml:space="preserve"> in the draft CPM text</w:t>
      </w:r>
      <w:r>
        <w:rPr>
          <w:rFonts w:eastAsia="SimSun"/>
          <w:lang w:eastAsia="zh-CN"/>
        </w:rPr>
        <w:t xml:space="preserve"> given </w:t>
      </w:r>
      <w:r>
        <w:rPr>
          <w:lang w:eastAsia="zh-CN"/>
        </w:rPr>
        <w:t>the lack of agreed technical/operational narrowband MSS characteristics and unavailability of sharing and compatibility studies.</w:t>
      </w:r>
    </w:p>
    <w:p w14:paraId="5E1DBD53" w14:textId="77777777" w:rsidR="002A0111" w:rsidRPr="00441526" w:rsidRDefault="002A0111" w:rsidP="00A32DFD">
      <w:pPr>
        <w:adjustRightInd w:val="0"/>
        <w:snapToGrid w:val="0"/>
        <w:spacing w:after="100" w:line="264" w:lineRule="auto"/>
        <w:rPr>
          <w:lang w:val="en-NZ"/>
        </w:rPr>
      </w:pPr>
    </w:p>
    <w:p w14:paraId="35F51011" w14:textId="77777777" w:rsidR="002A0111" w:rsidRPr="00441526" w:rsidRDefault="002A0111" w:rsidP="00A32DFD">
      <w:pPr>
        <w:adjustRightInd w:val="0"/>
        <w:snapToGrid w:val="0"/>
        <w:spacing w:after="100" w:line="264" w:lineRule="auto"/>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7D8CE129" w14:textId="70C24F59" w:rsidR="00155041" w:rsidRDefault="00155041" w:rsidP="00C91A2D">
      <w:pPr>
        <w:adjustRightInd w:val="0"/>
        <w:snapToGrid w:val="0"/>
        <w:spacing w:after="100" w:line="264" w:lineRule="auto"/>
        <w:jc w:val="both"/>
        <w:rPr>
          <w:color w:val="000000" w:themeColor="text1"/>
        </w:rPr>
      </w:pPr>
      <w:r>
        <w:rPr>
          <w:rStyle w:val="fontstyle01"/>
        </w:rPr>
        <w:t xml:space="preserve">Some </w:t>
      </w:r>
      <w:r w:rsidR="00235E2F">
        <w:rPr>
          <w:rStyle w:val="fontstyle01"/>
          <w:rFonts w:hint="eastAsia"/>
        </w:rPr>
        <w:t>A</w:t>
      </w:r>
      <w:r w:rsidR="00235E2F">
        <w:rPr>
          <w:rStyle w:val="fontstyle01"/>
        </w:rPr>
        <w:t xml:space="preserve">PT Members </w:t>
      </w:r>
      <w:r>
        <w:rPr>
          <w:rStyle w:val="fontstyle01"/>
        </w:rPr>
        <w:t xml:space="preserve">expressed concern that </w:t>
      </w:r>
      <w:r w:rsidR="004D675E">
        <w:rPr>
          <w:rStyle w:val="fontstyle01"/>
        </w:rPr>
        <w:t xml:space="preserve">the </w:t>
      </w:r>
      <w:r>
        <w:rPr>
          <w:color w:val="000000" w:themeColor="text1"/>
        </w:rPr>
        <w:t xml:space="preserve">ITU-R </w:t>
      </w:r>
      <w:r w:rsidR="004D675E">
        <w:rPr>
          <w:color w:val="000000" w:themeColor="text1"/>
        </w:rPr>
        <w:t xml:space="preserve">has </w:t>
      </w:r>
      <w:r>
        <w:rPr>
          <w:color w:val="000000" w:themeColor="text1"/>
        </w:rPr>
        <w:t xml:space="preserve">not yet </w:t>
      </w:r>
      <w:r w:rsidR="004D675E">
        <w:rPr>
          <w:color w:val="000000" w:themeColor="text1"/>
        </w:rPr>
        <w:t xml:space="preserve">been </w:t>
      </w:r>
      <w:r>
        <w:rPr>
          <w:color w:val="000000" w:themeColor="text1"/>
        </w:rPr>
        <w:t xml:space="preserve">able to finalize the sharing and compatibility studies since relevant technical parameters and conditions are not agreed. </w:t>
      </w:r>
    </w:p>
    <w:p w14:paraId="24CAE9D2" w14:textId="77777777" w:rsidR="002A0111" w:rsidRPr="00441526" w:rsidRDefault="002A0111" w:rsidP="00A32DFD">
      <w:pPr>
        <w:adjustRightInd w:val="0"/>
        <w:snapToGrid w:val="0"/>
        <w:spacing w:after="100" w:line="264" w:lineRule="auto"/>
        <w:jc w:val="both"/>
        <w:rPr>
          <w:lang w:val="en-NZ"/>
        </w:rPr>
      </w:pPr>
    </w:p>
    <w:p w14:paraId="17DDED04" w14:textId="2E014AF6" w:rsidR="002A0111" w:rsidRPr="00AB4150" w:rsidRDefault="002A0111" w:rsidP="00A32DFD">
      <w:pPr>
        <w:adjustRightInd w:val="0"/>
        <w:snapToGrid w:val="0"/>
        <w:spacing w:after="100" w:line="264" w:lineRule="auto"/>
        <w:jc w:val="both"/>
        <w:rPr>
          <w:b/>
          <w:lang w:val="en-NZ" w:eastAsia="ko-KR"/>
        </w:rPr>
      </w:pPr>
      <w:r w:rsidRPr="00441526">
        <w:rPr>
          <w:b/>
          <w:lang w:val="en-NZ" w:eastAsia="ko-KR"/>
        </w:rPr>
        <w:t xml:space="preserve">4. </w:t>
      </w:r>
      <w:r w:rsidRPr="00441526">
        <w:rPr>
          <w:b/>
          <w:lang w:val="en-NZ" w:eastAsia="ko-KR"/>
        </w:rPr>
        <w:tab/>
        <w:t>APT Preliminary View(s)</w:t>
      </w:r>
    </w:p>
    <w:p w14:paraId="49B228C3" w14:textId="77777777" w:rsidR="006A3ED7" w:rsidRDefault="006A3ED7" w:rsidP="006A3ED7">
      <w:pPr>
        <w:adjustRightInd w:val="0"/>
        <w:snapToGrid w:val="0"/>
        <w:spacing w:after="100" w:line="264" w:lineRule="auto"/>
        <w:rPr>
          <w:rFonts w:cstheme="minorHAnsi"/>
        </w:rPr>
      </w:pPr>
      <w:r>
        <w:rPr>
          <w:rFonts w:cstheme="minorHAnsi"/>
        </w:rPr>
        <w:t xml:space="preserve">APT Members support </w:t>
      </w:r>
      <w:r w:rsidRPr="000E14EE">
        <w:rPr>
          <w:rFonts w:cstheme="minorHAnsi"/>
        </w:rPr>
        <w:t xml:space="preserve">no </w:t>
      </w:r>
      <w:r>
        <w:rPr>
          <w:rFonts w:cstheme="minorHAnsi"/>
        </w:rPr>
        <w:t>changes</w:t>
      </w:r>
      <w:r w:rsidRPr="000E14EE">
        <w:rPr>
          <w:rFonts w:cstheme="minorHAnsi"/>
        </w:rPr>
        <w:t xml:space="preserve"> to the Radio Regulations </w:t>
      </w:r>
      <w:r>
        <w:rPr>
          <w:rFonts w:cstheme="minorHAnsi"/>
        </w:rPr>
        <w:t xml:space="preserve">and </w:t>
      </w:r>
      <w:r w:rsidRPr="00D624DE">
        <w:rPr>
          <w:rFonts w:cstheme="minorHAnsi"/>
        </w:rPr>
        <w:t xml:space="preserve">suppression of </w:t>
      </w:r>
      <w:r w:rsidRPr="00D624DE">
        <w:rPr>
          <w:lang w:eastAsia="zh-CN"/>
        </w:rPr>
        <w:t xml:space="preserve">Resolution </w:t>
      </w:r>
      <w:r w:rsidRPr="00D624DE">
        <w:rPr>
          <w:b/>
          <w:bCs/>
          <w:lang w:eastAsia="zh-CN"/>
        </w:rPr>
        <w:t>248 (WRC</w:t>
      </w:r>
      <w:r w:rsidRPr="00D624DE">
        <w:rPr>
          <w:b/>
          <w:bCs/>
          <w:lang w:eastAsia="zh-CN"/>
        </w:rPr>
        <w:noBreakHyphen/>
        <w:t>19)</w:t>
      </w:r>
      <w:r>
        <w:rPr>
          <w:b/>
          <w:bCs/>
          <w:lang w:eastAsia="zh-CN"/>
        </w:rPr>
        <w:t xml:space="preserve"> </w:t>
      </w:r>
      <w:proofErr w:type="gramStart"/>
      <w:r w:rsidRPr="000E14EE">
        <w:rPr>
          <w:rFonts w:cstheme="minorHAnsi"/>
        </w:rPr>
        <w:t>with regard to</w:t>
      </w:r>
      <w:proofErr w:type="gramEnd"/>
      <w:r w:rsidRPr="000E14EE">
        <w:rPr>
          <w:rFonts w:cstheme="minorHAnsi"/>
        </w:rPr>
        <w:t xml:space="preserve"> </w:t>
      </w:r>
      <w:r>
        <w:rPr>
          <w:rFonts w:cstheme="minorHAnsi"/>
        </w:rPr>
        <w:t>WRC-23</w:t>
      </w:r>
      <w:r w:rsidRPr="000E14EE">
        <w:rPr>
          <w:rFonts w:cstheme="minorHAnsi"/>
        </w:rPr>
        <w:t xml:space="preserve"> agenda item </w:t>
      </w:r>
      <w:r>
        <w:rPr>
          <w:rFonts w:cstheme="minorHAnsi"/>
        </w:rPr>
        <w:t>1.18</w:t>
      </w:r>
      <w:r w:rsidRPr="000E14EE">
        <w:rPr>
          <w:rFonts w:cstheme="minorHAnsi"/>
        </w:rPr>
        <w:t>.</w:t>
      </w:r>
    </w:p>
    <w:p w14:paraId="4887CDBA" w14:textId="77777777" w:rsidR="00A7012C" w:rsidRPr="00A7012C" w:rsidRDefault="00A7012C" w:rsidP="00A32DFD">
      <w:pPr>
        <w:adjustRightInd w:val="0"/>
        <w:snapToGrid w:val="0"/>
        <w:spacing w:after="100" w:line="264" w:lineRule="auto"/>
        <w:rPr>
          <w:rFonts w:cstheme="minorHAnsi"/>
        </w:rPr>
      </w:pPr>
    </w:p>
    <w:p w14:paraId="546AA041" w14:textId="77777777"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E4DE40F" w14:textId="220D56E7" w:rsidR="00147602" w:rsidRPr="002A1FAA" w:rsidRDefault="00147602" w:rsidP="00960963">
      <w:pPr>
        <w:adjustRightInd w:val="0"/>
        <w:snapToGrid w:val="0"/>
        <w:spacing w:after="100" w:line="264" w:lineRule="auto"/>
        <w:jc w:val="both"/>
      </w:pPr>
      <w:r>
        <w:lastRenderedPageBreak/>
        <w:t>None.</w:t>
      </w:r>
    </w:p>
    <w:p w14:paraId="04BED217" w14:textId="77777777" w:rsidR="005206E9" w:rsidRPr="00441526" w:rsidRDefault="005206E9" w:rsidP="00A32DFD">
      <w:pPr>
        <w:adjustRightInd w:val="0"/>
        <w:snapToGrid w:val="0"/>
        <w:spacing w:after="100" w:line="264" w:lineRule="auto"/>
        <w:rPr>
          <w:lang w:val="en-NZ"/>
        </w:rPr>
      </w:pPr>
    </w:p>
    <w:p w14:paraId="5DE1A895" w14:textId="4B01DB58" w:rsidR="002A0111" w:rsidRPr="00A32DFD" w:rsidRDefault="002A0111" w:rsidP="00A32DFD">
      <w:pPr>
        <w:adjustRightInd w:val="0"/>
        <w:snapToGrid w:val="0"/>
        <w:spacing w:after="100" w:line="264" w:lineRule="auto"/>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87C2A2F" w14:textId="28754CD4" w:rsidR="006B57F3" w:rsidRPr="0095406E" w:rsidRDefault="00960963" w:rsidP="00A32DFD">
      <w:pPr>
        <w:adjustRightInd w:val="0"/>
        <w:snapToGrid w:val="0"/>
        <w:spacing w:after="100" w:line="264" w:lineRule="auto"/>
        <w:jc w:val="both"/>
        <w:rPr>
          <w:rFonts w:eastAsia="SimSun"/>
          <w:lang w:eastAsia="zh-CN"/>
        </w:rPr>
      </w:pPr>
      <w:r>
        <w:rPr>
          <w:rFonts w:eastAsia="SimSun"/>
          <w:lang w:eastAsia="zh-CN"/>
        </w:rPr>
        <w:t xml:space="preserve">Continue to consider the relevant studies and </w:t>
      </w:r>
      <w:r w:rsidR="00AC1905">
        <w:rPr>
          <w:rFonts w:eastAsia="SimSun"/>
          <w:lang w:eastAsia="zh-CN"/>
        </w:rPr>
        <w:t xml:space="preserve">Methods </w:t>
      </w:r>
      <w:r w:rsidR="009A3CC9">
        <w:rPr>
          <w:rFonts w:eastAsia="SimSun"/>
          <w:lang w:eastAsia="zh-CN"/>
        </w:rPr>
        <w:t xml:space="preserve">of the CPM report </w:t>
      </w:r>
      <w:r w:rsidR="00AC1905">
        <w:rPr>
          <w:rFonts w:eastAsia="SimSun"/>
          <w:lang w:eastAsia="zh-CN"/>
        </w:rPr>
        <w:t>with respect to this agenda item 1.18 with reference to other APT members views.</w:t>
      </w:r>
    </w:p>
    <w:p w14:paraId="5253DB80" w14:textId="77777777" w:rsidR="0095406E" w:rsidRPr="00441526" w:rsidRDefault="0095406E" w:rsidP="0095406E">
      <w:pPr>
        <w:snapToGrid w:val="0"/>
        <w:spacing w:after="100" w:line="264" w:lineRule="auto"/>
        <w:jc w:val="both"/>
        <w:rPr>
          <w:lang w:val="en-NZ"/>
        </w:rPr>
      </w:pPr>
    </w:p>
    <w:p w14:paraId="7618AFC3" w14:textId="77777777" w:rsidR="0095406E" w:rsidRPr="006F518F" w:rsidRDefault="0095406E" w:rsidP="0095406E">
      <w:pPr>
        <w:snapToGrid w:val="0"/>
        <w:spacing w:after="100" w:line="264" w:lineRule="auto"/>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2C1BCC1E" w14:textId="77777777"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4172738A" w14:textId="0E4299BC" w:rsidR="0095406E" w:rsidRPr="006016B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sidRPr="00441526">
        <w:rPr>
          <w:b/>
          <w:lang w:val="en-NZ" w:eastAsia="ko-KR"/>
        </w:rPr>
        <w:t>Document APG</w:t>
      </w:r>
      <w:r>
        <w:rPr>
          <w:b/>
          <w:lang w:val="en-NZ" w:eastAsia="ko-KR"/>
        </w:rPr>
        <w:t>23-4</w:t>
      </w:r>
      <w:r w:rsidRPr="00441526">
        <w:rPr>
          <w:b/>
          <w:lang w:val="en-NZ" w:eastAsia="ko-KR"/>
        </w:rPr>
        <w:t>/INF-</w:t>
      </w:r>
      <w:r>
        <w:rPr>
          <w:b/>
          <w:lang w:val="en-NZ" w:eastAsia="ko-KR"/>
        </w:rPr>
        <w:t>21</w:t>
      </w:r>
    </w:p>
    <w:p w14:paraId="24001F04" w14:textId="0A63FF2B" w:rsidR="0017253F" w:rsidRDefault="0017253F" w:rsidP="006A4967">
      <w:pPr>
        <w:numPr>
          <w:ilvl w:val="0"/>
          <w:numId w:val="18"/>
        </w:numPr>
        <w:snapToGrid w:val="0"/>
        <w:spacing w:after="100" w:line="264" w:lineRule="auto"/>
        <w:ind w:leftChars="145" w:left="708"/>
        <w:jc w:val="both"/>
        <w:rPr>
          <w:lang w:val="en-NZ"/>
        </w:rPr>
      </w:pPr>
      <w:r w:rsidRPr="0017253F">
        <w:rPr>
          <w:lang w:val="en-NZ"/>
        </w:rPr>
        <w:t xml:space="preserve">Follow-up studies, however, the ASMG preliminary position is supporting no change, given the lack of agreement on the technical characteristics and operational parameters to conduct the necessary sharing and compatibility studies to ensure the protection of existing primary services in the frequency bands under study or in the adjacent bands. </w:t>
      </w:r>
    </w:p>
    <w:p w14:paraId="3940C39A" w14:textId="77777777" w:rsidR="0017253F" w:rsidRPr="0017253F" w:rsidRDefault="0017253F" w:rsidP="0017253F">
      <w:pPr>
        <w:snapToGrid w:val="0"/>
        <w:spacing w:after="100" w:line="264" w:lineRule="auto"/>
        <w:ind w:left="708"/>
        <w:rPr>
          <w:lang w:val="en-NZ"/>
        </w:rPr>
      </w:pPr>
    </w:p>
    <w:p w14:paraId="511EA579" w14:textId="412E5466" w:rsidR="0095406E" w:rsidRPr="00E86D66" w:rsidRDefault="0095406E" w:rsidP="0095406E">
      <w:pPr>
        <w:snapToGrid w:val="0"/>
        <w:spacing w:after="100" w:line="264" w:lineRule="auto"/>
        <w:ind w:left="-80"/>
        <w:jc w:val="both"/>
        <w:rPr>
          <w:b/>
          <w:lang w:val="en-NZ" w:eastAsia="ko-KR"/>
        </w:rPr>
      </w:pPr>
      <w:r w:rsidRPr="00E86D66">
        <w:rPr>
          <w:b/>
          <w:lang w:val="en-NZ" w:eastAsia="ko-KR"/>
        </w:rPr>
        <w:t>7.1.</w:t>
      </w:r>
      <w:r>
        <w:rPr>
          <w:b/>
          <w:lang w:val="en-NZ" w:eastAsia="ko-KR"/>
        </w:rPr>
        <w:t>2</w:t>
      </w:r>
      <w:r w:rsidRPr="00E86D66">
        <w:rPr>
          <w:b/>
          <w:lang w:val="en-NZ" w:eastAsia="ko-KR"/>
        </w:rPr>
        <w:t xml:space="preserve"> </w:t>
      </w:r>
      <w:r w:rsidRPr="00E86D66">
        <w:rPr>
          <w:b/>
          <w:lang w:val="en-NZ" w:eastAsia="ko-KR"/>
        </w:rPr>
        <w:tab/>
        <w:t>A</w:t>
      </w:r>
      <w:r>
        <w:rPr>
          <w:b/>
          <w:lang w:val="en-NZ" w:eastAsia="ko-KR"/>
        </w:rPr>
        <w:t>TU</w:t>
      </w:r>
      <w:r w:rsidRPr="00441526">
        <w:t xml:space="preserve"> - </w:t>
      </w:r>
      <w:r w:rsidRPr="00E86D66">
        <w:rPr>
          <w:b/>
          <w:lang w:val="en-NZ" w:eastAsia="ko-KR"/>
        </w:rPr>
        <w:t>Document APG23-</w:t>
      </w:r>
      <w:r w:rsidR="00E60C87">
        <w:rPr>
          <w:b/>
          <w:lang w:val="en-NZ" w:eastAsia="ko-KR"/>
        </w:rPr>
        <w:t>4</w:t>
      </w:r>
      <w:r w:rsidRPr="00E86D66">
        <w:rPr>
          <w:b/>
          <w:lang w:val="en-NZ" w:eastAsia="ko-KR"/>
        </w:rPr>
        <w:t>/INF-</w:t>
      </w:r>
      <w:r w:rsidR="00E60C87">
        <w:rPr>
          <w:b/>
          <w:lang w:val="en-NZ" w:eastAsia="ko-KR"/>
        </w:rPr>
        <w:t>02</w:t>
      </w:r>
    </w:p>
    <w:p w14:paraId="1EC37679" w14:textId="569F9F99" w:rsidR="0017253F" w:rsidRPr="0017253F" w:rsidRDefault="0017253F" w:rsidP="006A4967">
      <w:pPr>
        <w:numPr>
          <w:ilvl w:val="0"/>
          <w:numId w:val="18"/>
        </w:numPr>
        <w:snapToGrid w:val="0"/>
        <w:spacing w:after="100" w:line="264" w:lineRule="auto"/>
        <w:ind w:left="709"/>
        <w:jc w:val="both"/>
        <w:rPr>
          <w:lang w:val="en-NZ"/>
        </w:rPr>
      </w:pPr>
      <w:r w:rsidRPr="0017253F">
        <w:rPr>
          <w:lang w:val="en-NZ"/>
        </w:rPr>
        <w:t>Support the ongoing studies at ITU-R on this agenda item with the view of ensuring the</w:t>
      </w:r>
      <w:r>
        <w:rPr>
          <w:rFonts w:hint="eastAsia"/>
          <w:lang w:val="en-NZ"/>
        </w:rPr>
        <w:t xml:space="preserve"> </w:t>
      </w:r>
      <w:r w:rsidRPr="0017253F">
        <w:rPr>
          <w:lang w:val="en-NZ"/>
        </w:rPr>
        <w:t>protection of primary services allocated in the frequency bands 1 695-1 710 MHz in R2,</w:t>
      </w:r>
      <w:r>
        <w:rPr>
          <w:rFonts w:hint="eastAsia"/>
          <w:lang w:val="en-NZ"/>
        </w:rPr>
        <w:t xml:space="preserve"> </w:t>
      </w:r>
      <w:r w:rsidRPr="0017253F">
        <w:rPr>
          <w:lang w:val="en-NZ"/>
        </w:rPr>
        <w:t>2 010-2 025 MHz in R1, 3 300-3 315 MHz and 3 385-3 400 MHz in R2 especially the</w:t>
      </w:r>
      <w:r>
        <w:rPr>
          <w:rFonts w:hint="eastAsia"/>
          <w:lang w:val="en-NZ"/>
        </w:rPr>
        <w:t xml:space="preserve"> </w:t>
      </w:r>
      <w:r w:rsidRPr="0017253F">
        <w:rPr>
          <w:lang w:val="en-NZ"/>
        </w:rPr>
        <w:t>protection for IMT systems deployed or that may be deployed in the same and adjacent</w:t>
      </w:r>
      <w:r>
        <w:rPr>
          <w:rFonts w:hint="eastAsia"/>
          <w:lang w:val="en-NZ"/>
        </w:rPr>
        <w:t xml:space="preserve"> </w:t>
      </w:r>
      <w:r w:rsidRPr="0017253F">
        <w:rPr>
          <w:lang w:val="en-NZ"/>
        </w:rPr>
        <w:t>frequency band 2 010-2 025 MHz in R1 and to not adversely affecting the current use</w:t>
      </w:r>
      <w:r>
        <w:rPr>
          <w:rFonts w:hint="eastAsia"/>
          <w:lang w:val="en-NZ"/>
        </w:rPr>
        <w:t xml:space="preserve"> </w:t>
      </w:r>
      <w:r w:rsidRPr="0017253F">
        <w:rPr>
          <w:lang w:val="en-NZ"/>
        </w:rPr>
        <w:t>and future development of existing primary services in these frequency bands and</w:t>
      </w:r>
      <w:r>
        <w:rPr>
          <w:rFonts w:hint="eastAsia"/>
          <w:lang w:val="en-NZ"/>
        </w:rPr>
        <w:t xml:space="preserve"> </w:t>
      </w:r>
      <w:r w:rsidRPr="0017253F">
        <w:rPr>
          <w:lang w:val="en-NZ"/>
        </w:rPr>
        <w:t>adjacent frequency bands.</w:t>
      </w:r>
    </w:p>
    <w:p w14:paraId="7CDF4523" w14:textId="77777777" w:rsidR="0095406E" w:rsidRPr="00E86D66" w:rsidRDefault="0095406E" w:rsidP="0095406E">
      <w:pPr>
        <w:snapToGrid w:val="0"/>
        <w:spacing w:after="100" w:line="264" w:lineRule="auto"/>
        <w:rPr>
          <w:lang w:val="en-GB"/>
        </w:rPr>
      </w:pPr>
    </w:p>
    <w:p w14:paraId="1C6C4A86" w14:textId="701A9497"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.1.</w:t>
      </w:r>
      <w:r>
        <w:rPr>
          <w:b/>
          <w:lang w:val="en-NZ" w:eastAsia="ko-KR"/>
        </w:rPr>
        <w:t>3</w:t>
      </w:r>
      <w:r w:rsidRPr="00441526">
        <w:rPr>
          <w:b/>
          <w:lang w:val="en-NZ" w:eastAsia="ko-KR"/>
        </w:rPr>
        <w:t xml:space="preserve"> </w:t>
      </w:r>
      <w:r w:rsidRPr="00441526">
        <w:rPr>
          <w:b/>
          <w:lang w:val="en-NZ" w:eastAsia="ko-KR"/>
        </w:rPr>
        <w:tab/>
        <w:t xml:space="preserve">CEPT </w:t>
      </w:r>
      <w:r w:rsidRPr="00441526">
        <w:t xml:space="preserve">- </w:t>
      </w:r>
      <w:r w:rsidRPr="00441526">
        <w:rPr>
          <w:b/>
          <w:lang w:val="en-NZ" w:eastAsia="ko-KR"/>
        </w:rPr>
        <w:t>Document APG</w:t>
      </w:r>
      <w:r>
        <w:rPr>
          <w:b/>
          <w:lang w:val="en-NZ" w:eastAsia="ko-KR"/>
        </w:rPr>
        <w:t>23</w:t>
      </w:r>
      <w:r w:rsidRPr="00441526">
        <w:rPr>
          <w:b/>
          <w:lang w:val="en-NZ" w:eastAsia="ko-KR"/>
        </w:rPr>
        <w:t>-</w:t>
      </w:r>
      <w:r w:rsidR="00475FDD">
        <w:rPr>
          <w:b/>
          <w:lang w:val="en-NZ" w:eastAsia="ko-KR"/>
        </w:rPr>
        <w:t>5</w:t>
      </w:r>
      <w:r w:rsidRPr="00441526">
        <w:rPr>
          <w:b/>
          <w:lang w:val="en-NZ" w:eastAsia="ko-KR"/>
        </w:rPr>
        <w:t>/INF-</w:t>
      </w:r>
      <w:r w:rsidR="00475FDD">
        <w:rPr>
          <w:b/>
          <w:lang w:val="en-NZ" w:eastAsia="ko-KR"/>
        </w:rPr>
        <w:t>39</w:t>
      </w:r>
    </w:p>
    <w:p w14:paraId="758B8617" w14:textId="71BF7940" w:rsidR="007041A8" w:rsidRDefault="007041A8" w:rsidP="006A4967">
      <w:pPr>
        <w:numPr>
          <w:ilvl w:val="0"/>
          <w:numId w:val="18"/>
        </w:numPr>
        <w:snapToGrid w:val="0"/>
        <w:spacing w:after="100" w:line="264" w:lineRule="auto"/>
        <w:ind w:leftChars="145" w:left="708"/>
        <w:jc w:val="both"/>
      </w:pPr>
      <w:r>
        <w:t xml:space="preserve">CEPT supports “No Change” to the Radio Regulations for the frequency bands 1695-1710 MHz, 2010-2025 MHz, 3300-3315 </w:t>
      </w:r>
      <w:proofErr w:type="gramStart"/>
      <w:r>
        <w:t>MHz</w:t>
      </w:r>
      <w:proofErr w:type="gramEnd"/>
      <w:r>
        <w:t xml:space="preserve"> and 3385-3400 </w:t>
      </w:r>
      <w:proofErr w:type="spellStart"/>
      <w:r>
        <w:t>MHz.</w:t>
      </w:r>
      <w:proofErr w:type="spellEnd"/>
    </w:p>
    <w:p w14:paraId="4FE9D06B" w14:textId="04A424C2" w:rsidR="007041A8" w:rsidRPr="00D57893" w:rsidRDefault="007041A8" w:rsidP="006A4967">
      <w:pPr>
        <w:numPr>
          <w:ilvl w:val="0"/>
          <w:numId w:val="18"/>
        </w:numPr>
        <w:snapToGrid w:val="0"/>
        <w:spacing w:after="100" w:line="264" w:lineRule="auto"/>
        <w:ind w:leftChars="145" w:left="708"/>
        <w:jc w:val="both"/>
      </w:pPr>
      <w:r>
        <w:t>CEPT considers further the possibility for a global allocation for narrowband MSS to be addressed by WRC-27.</w:t>
      </w:r>
    </w:p>
    <w:p w14:paraId="09D8E3A8" w14:textId="77777777" w:rsidR="0095406E" w:rsidRPr="008E7842" w:rsidRDefault="0095406E" w:rsidP="0095406E">
      <w:pPr>
        <w:snapToGrid w:val="0"/>
        <w:spacing w:after="100" w:line="264" w:lineRule="auto"/>
        <w:ind w:left="708"/>
      </w:pPr>
    </w:p>
    <w:p w14:paraId="60A257E1" w14:textId="2CE56708"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.1</w:t>
      </w:r>
      <w:r>
        <w:rPr>
          <w:b/>
          <w:lang w:val="en-NZ" w:eastAsia="ko-KR"/>
        </w:rPr>
        <w:t>.4</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sidR="00475FDD">
        <w:rPr>
          <w:b/>
          <w:lang w:val="en-NZ" w:eastAsia="ko-KR"/>
        </w:rPr>
        <w:t>5</w:t>
      </w:r>
      <w:r w:rsidRPr="00441526">
        <w:rPr>
          <w:b/>
          <w:lang w:val="en-NZ" w:eastAsia="ko-KR"/>
        </w:rPr>
        <w:t>/INF-</w:t>
      </w:r>
      <w:r w:rsidR="00475FDD">
        <w:rPr>
          <w:b/>
          <w:lang w:val="en-NZ" w:eastAsia="ko-KR"/>
        </w:rPr>
        <w:t>43</w:t>
      </w:r>
    </w:p>
    <w:p w14:paraId="4525D743" w14:textId="77777777" w:rsidR="007041A8" w:rsidRPr="009A3CC9" w:rsidRDefault="007041A8" w:rsidP="009A3CC9">
      <w:pPr>
        <w:snapToGrid w:val="0"/>
        <w:spacing w:after="100" w:line="264" w:lineRule="auto"/>
        <w:ind w:left="708"/>
        <w:rPr>
          <w:b/>
          <w:bCs/>
        </w:rPr>
      </w:pPr>
      <w:r w:rsidRPr="009A3CC9">
        <w:rPr>
          <w:b/>
          <w:bCs/>
        </w:rPr>
        <w:t xml:space="preserve">Draft Inter-American Proposals </w:t>
      </w:r>
    </w:p>
    <w:p w14:paraId="02BF6C61" w14:textId="77777777" w:rsidR="007041A8" w:rsidRDefault="007041A8" w:rsidP="00D57893">
      <w:pPr>
        <w:numPr>
          <w:ilvl w:val="0"/>
          <w:numId w:val="18"/>
        </w:numPr>
        <w:snapToGrid w:val="0"/>
        <w:spacing w:after="100" w:line="264" w:lineRule="auto"/>
        <w:ind w:leftChars="145" w:left="708"/>
      </w:pPr>
      <w:r>
        <w:t xml:space="preserve">Some administrations support the proposals below: </w:t>
      </w:r>
    </w:p>
    <w:p w14:paraId="522AA7A0" w14:textId="63670889" w:rsidR="007041A8" w:rsidRDefault="007041A8" w:rsidP="00D57893">
      <w:pPr>
        <w:numPr>
          <w:ilvl w:val="0"/>
          <w:numId w:val="18"/>
        </w:numPr>
        <w:snapToGrid w:val="0"/>
        <w:spacing w:after="100" w:line="264" w:lineRule="auto"/>
        <w:ind w:leftChars="145" w:left="708"/>
      </w:pPr>
      <w:r>
        <w:t xml:space="preserve">NOC Radio Regulations Volumes 1, 2 and 4 </w:t>
      </w:r>
    </w:p>
    <w:p w14:paraId="0206A067" w14:textId="77777777" w:rsidR="007041A8" w:rsidRDefault="007041A8" w:rsidP="00D57893">
      <w:pPr>
        <w:numPr>
          <w:ilvl w:val="0"/>
          <w:numId w:val="18"/>
        </w:numPr>
        <w:snapToGrid w:val="0"/>
        <w:spacing w:after="100" w:line="264" w:lineRule="auto"/>
        <w:ind w:leftChars="145" w:left="708"/>
      </w:pPr>
      <w:r>
        <w:t>SUP RESOLUTION 248 (WRC-19)</w:t>
      </w:r>
    </w:p>
    <w:p w14:paraId="587742AD" w14:textId="77777777" w:rsidR="0095406E" w:rsidRPr="00D57893" w:rsidRDefault="0095406E" w:rsidP="0095406E">
      <w:pPr>
        <w:snapToGrid w:val="0"/>
        <w:spacing w:after="100" w:line="264" w:lineRule="auto"/>
        <w:jc w:val="both"/>
        <w:rPr>
          <w:b/>
          <w:lang w:eastAsia="ko-KR"/>
        </w:rPr>
      </w:pPr>
    </w:p>
    <w:p w14:paraId="7245BEE3" w14:textId="51462C54"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.1.</w:t>
      </w:r>
      <w:r>
        <w:rPr>
          <w:b/>
          <w:lang w:val="en-NZ" w:eastAsia="ko-KR"/>
        </w:rPr>
        <w:t>5</w:t>
      </w:r>
      <w:r w:rsidRPr="00441526">
        <w:rPr>
          <w:b/>
          <w:lang w:val="en-NZ" w:eastAsia="ko-KR"/>
        </w:rPr>
        <w:t xml:space="preserve">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sidR="007041A8">
        <w:rPr>
          <w:b/>
          <w:lang w:val="en-NZ" w:eastAsia="ko-KR"/>
        </w:rPr>
        <w:t>5</w:t>
      </w:r>
      <w:r w:rsidRPr="00441526">
        <w:rPr>
          <w:b/>
          <w:lang w:val="en-NZ" w:eastAsia="ko-KR"/>
        </w:rPr>
        <w:t>/INF-</w:t>
      </w:r>
      <w:r w:rsidR="007041A8">
        <w:rPr>
          <w:b/>
          <w:lang w:val="en-NZ" w:eastAsia="ko-KR"/>
        </w:rPr>
        <w:t>45</w:t>
      </w:r>
    </w:p>
    <w:p w14:paraId="70D823D2" w14:textId="77777777" w:rsidR="007041A8" w:rsidRDefault="007041A8" w:rsidP="006A4967">
      <w:pPr>
        <w:numPr>
          <w:ilvl w:val="0"/>
          <w:numId w:val="18"/>
        </w:numPr>
        <w:snapToGrid w:val="0"/>
        <w:spacing w:after="100" w:line="264" w:lineRule="auto"/>
        <w:ind w:leftChars="145" w:left="708"/>
        <w:jc w:val="both"/>
      </w:pPr>
      <w:r>
        <w:lastRenderedPageBreak/>
        <w:t xml:space="preserve">The RCC Administrations consider that new MSS allocation in the band 2010-2025 MHz could be acceptable under certain regulatory conditions allowing the exclusion of unacceptable interference to the incumbent systems operating in the same and adjacent frequency bands. </w:t>
      </w:r>
    </w:p>
    <w:p w14:paraId="6555B593" w14:textId="1C63B590" w:rsidR="007041A8" w:rsidRPr="007E55ED" w:rsidRDefault="007041A8" w:rsidP="007E55ED">
      <w:pPr>
        <w:numPr>
          <w:ilvl w:val="0"/>
          <w:numId w:val="18"/>
        </w:numPr>
        <w:snapToGrid w:val="0"/>
        <w:spacing w:after="100" w:line="264" w:lineRule="auto"/>
        <w:ind w:leftChars="145" w:left="708"/>
      </w:pPr>
      <w:r>
        <w:t>RCC administrations does not support the Methods set out in the draft CPM Report under agenda item 1.18 of WRC-23</w:t>
      </w:r>
    </w:p>
    <w:p w14:paraId="6A90D9D5" w14:textId="77777777" w:rsidR="0095406E" w:rsidRPr="00441526" w:rsidRDefault="0095406E" w:rsidP="0095406E">
      <w:pPr>
        <w:snapToGrid w:val="0"/>
        <w:spacing w:after="100" w:line="264" w:lineRule="auto"/>
        <w:rPr>
          <w:lang w:val="en-NZ"/>
        </w:rPr>
      </w:pPr>
    </w:p>
    <w:p w14:paraId="5201B9FD" w14:textId="77777777"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3058458F" w14:textId="282056DB" w:rsidR="005C1525" w:rsidRPr="009A3CC9" w:rsidRDefault="0095406E" w:rsidP="009A3CC9">
      <w:pPr>
        <w:snapToGrid w:val="0"/>
        <w:spacing w:after="100" w:line="264" w:lineRule="auto"/>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r w:rsidRPr="00441526">
        <w:t xml:space="preserve">- </w:t>
      </w:r>
      <w:r w:rsidRPr="00441526">
        <w:rPr>
          <w:b/>
          <w:lang w:val="en-NZ" w:eastAsia="ko-KR"/>
        </w:rPr>
        <w:t>Document APG</w:t>
      </w:r>
      <w:r>
        <w:rPr>
          <w:b/>
          <w:lang w:val="en-NZ" w:eastAsia="ko-KR"/>
        </w:rPr>
        <w:t>23</w:t>
      </w:r>
      <w:r w:rsidRPr="00441526">
        <w:rPr>
          <w:b/>
          <w:lang w:val="en-NZ" w:eastAsia="ko-KR"/>
        </w:rPr>
        <w:t>-</w:t>
      </w:r>
      <w:r w:rsidR="00475FDD">
        <w:rPr>
          <w:b/>
          <w:lang w:val="en-NZ" w:eastAsia="ko-KR"/>
        </w:rPr>
        <w:t>5</w:t>
      </w:r>
      <w:r w:rsidRPr="00441526">
        <w:rPr>
          <w:b/>
          <w:lang w:val="en-NZ" w:eastAsia="ko-KR"/>
        </w:rPr>
        <w:t>/INF-</w:t>
      </w:r>
      <w:r w:rsidR="00475FDD">
        <w:rPr>
          <w:b/>
          <w:lang w:val="en-NZ" w:eastAsia="ko-KR"/>
        </w:rPr>
        <w:t>21</w:t>
      </w:r>
    </w:p>
    <w:p w14:paraId="4E770BC9" w14:textId="5CDDD728" w:rsidR="005C1525" w:rsidRPr="009A3CC9" w:rsidRDefault="005C1525" w:rsidP="009A3CC9">
      <w:pPr>
        <w:numPr>
          <w:ilvl w:val="0"/>
          <w:numId w:val="18"/>
        </w:numPr>
        <w:snapToGrid w:val="0"/>
        <w:spacing w:after="100" w:line="264" w:lineRule="auto"/>
        <w:ind w:leftChars="145" w:left="708"/>
        <w:rPr>
          <w:lang w:val="en-NZ"/>
        </w:rPr>
      </w:pPr>
      <w:r w:rsidRPr="009A3CC9">
        <w:rPr>
          <w:lang w:val="en-NZ"/>
        </w:rPr>
        <w:t>The IARU supports retention of the amateur secondary allocation of 3 300-3 400 MHz in Regions 2 and 3.</w:t>
      </w:r>
    </w:p>
    <w:p w14:paraId="41E69AC3" w14:textId="7417F65C" w:rsidR="005C1525" w:rsidRPr="009A3CC9" w:rsidRDefault="005C1525" w:rsidP="009A3CC9">
      <w:pPr>
        <w:numPr>
          <w:ilvl w:val="0"/>
          <w:numId w:val="18"/>
        </w:numPr>
        <w:snapToGrid w:val="0"/>
        <w:spacing w:after="100" w:line="264" w:lineRule="auto"/>
        <w:ind w:leftChars="145" w:left="708"/>
        <w:rPr>
          <w:lang w:val="en-NZ"/>
        </w:rPr>
      </w:pPr>
      <w:r w:rsidRPr="009A3CC9">
        <w:rPr>
          <w:rFonts w:hint="eastAsia"/>
          <w:lang w:val="en-NZ"/>
        </w:rPr>
        <w:t>I</w:t>
      </w:r>
      <w:r w:rsidRPr="009A3CC9">
        <w:rPr>
          <w:lang w:val="en-NZ"/>
        </w:rPr>
        <w:t xml:space="preserve">ARU prefers Method A (No change) in a draft CPM Report. </w:t>
      </w:r>
    </w:p>
    <w:p w14:paraId="633DD4AA" w14:textId="77777777" w:rsidR="0095406E" w:rsidRPr="00441526" w:rsidRDefault="0095406E" w:rsidP="0095406E">
      <w:pPr>
        <w:snapToGrid w:val="0"/>
        <w:spacing w:after="100" w:line="264" w:lineRule="auto"/>
        <w:rPr>
          <w:lang w:val="en-NZ"/>
        </w:rPr>
      </w:pPr>
    </w:p>
    <w:p w14:paraId="5576A25E" w14:textId="56532CB8" w:rsidR="005C1525" w:rsidRPr="009A3CC9" w:rsidRDefault="0095406E" w:rsidP="009A3CC9">
      <w:pPr>
        <w:snapToGrid w:val="0"/>
        <w:spacing w:after="100" w:line="264" w:lineRule="auto"/>
        <w:jc w:val="both"/>
        <w:rPr>
          <w:b/>
          <w:lang w:val="en-NZ" w:eastAsia="ko-KR"/>
        </w:rPr>
      </w:pPr>
      <w:r>
        <w:rPr>
          <w:b/>
          <w:lang w:val="en-NZ" w:eastAsia="ko-KR"/>
        </w:rPr>
        <w:t>7</w:t>
      </w:r>
      <w:r w:rsidRPr="00441526">
        <w:rPr>
          <w:b/>
          <w:lang w:val="en-NZ" w:eastAsia="ko-KR"/>
        </w:rPr>
        <w:t xml:space="preserve">.2.1 </w:t>
      </w:r>
      <w:r w:rsidRPr="00441526">
        <w:rPr>
          <w:b/>
          <w:lang w:val="en-NZ" w:eastAsia="ko-KR"/>
        </w:rPr>
        <w:tab/>
      </w:r>
      <w:r>
        <w:rPr>
          <w:b/>
          <w:lang w:val="en-NZ" w:eastAsia="ko-KR"/>
        </w:rPr>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475FDD">
        <w:rPr>
          <w:b/>
          <w:lang w:val="en-NZ" w:eastAsia="ko-KR"/>
        </w:rPr>
        <w:t>5</w:t>
      </w:r>
      <w:r w:rsidRPr="00441526">
        <w:rPr>
          <w:b/>
          <w:lang w:val="en-NZ" w:eastAsia="ko-KR"/>
        </w:rPr>
        <w:t>/INF-</w:t>
      </w:r>
      <w:r>
        <w:rPr>
          <w:b/>
          <w:lang w:val="en-NZ" w:eastAsia="ko-KR"/>
        </w:rPr>
        <w:t>0</w:t>
      </w:r>
      <w:r w:rsidR="00475FDD">
        <w:rPr>
          <w:b/>
          <w:lang w:val="en-NZ" w:eastAsia="ko-KR"/>
        </w:rPr>
        <w:t>1</w:t>
      </w:r>
    </w:p>
    <w:p w14:paraId="4A6AE97A" w14:textId="1EFC708D" w:rsidR="005C1525" w:rsidRPr="009A3CC9" w:rsidRDefault="005C1525" w:rsidP="009A3CC9">
      <w:pPr>
        <w:snapToGrid w:val="0"/>
        <w:spacing w:after="100" w:line="264" w:lineRule="auto"/>
        <w:ind w:left="348"/>
        <w:rPr>
          <w:lang w:val="en-NZ"/>
        </w:rPr>
      </w:pPr>
      <w:r w:rsidRPr="009A3CC9">
        <w:rPr>
          <w:lang w:val="en-NZ"/>
        </w:rPr>
        <w:t>WMO does not support any RR modifications under this WRC-23 agenda item due to the absence of ITU-R studies, addressing the protection of:</w:t>
      </w:r>
    </w:p>
    <w:p w14:paraId="028BCE5B" w14:textId="77777777" w:rsidR="005C1525" w:rsidRPr="009A3CC9" w:rsidRDefault="005C1525" w:rsidP="006A4967">
      <w:pPr>
        <w:numPr>
          <w:ilvl w:val="0"/>
          <w:numId w:val="18"/>
        </w:numPr>
        <w:snapToGrid w:val="0"/>
        <w:spacing w:after="100" w:line="264" w:lineRule="auto"/>
        <w:ind w:leftChars="145" w:left="708"/>
        <w:jc w:val="both"/>
        <w:rPr>
          <w:lang w:val="en-NZ"/>
        </w:rPr>
      </w:pPr>
      <w:r w:rsidRPr="009A3CC9">
        <w:rPr>
          <w:lang w:val="en-NZ"/>
        </w:rPr>
        <w:t xml:space="preserve">current and future </w:t>
      </w:r>
      <w:proofErr w:type="spellStart"/>
      <w:r w:rsidRPr="009A3CC9">
        <w:rPr>
          <w:lang w:val="en-NZ"/>
        </w:rPr>
        <w:t>MetSat</w:t>
      </w:r>
      <w:proofErr w:type="spellEnd"/>
      <w:r w:rsidRPr="009A3CC9">
        <w:rPr>
          <w:lang w:val="en-NZ"/>
        </w:rPr>
        <w:t xml:space="preserve"> operations in the band 1 695-1 710 MHz and in the adjacent band 1 670-1 695 MHz from narrow-band MSS systems. It is important to ensure the protection of the downlink of the measured data as well as the global dissemination of the data directly to user,</w:t>
      </w:r>
    </w:p>
    <w:p w14:paraId="686FBD26" w14:textId="48783527" w:rsidR="005C1525" w:rsidRPr="00E86D66" w:rsidRDefault="005C1525" w:rsidP="009A3CC9">
      <w:pPr>
        <w:numPr>
          <w:ilvl w:val="0"/>
          <w:numId w:val="18"/>
        </w:numPr>
        <w:snapToGrid w:val="0"/>
        <w:spacing w:after="100" w:line="264" w:lineRule="auto"/>
        <w:ind w:leftChars="145" w:left="708"/>
        <w:rPr>
          <w:lang w:val="en-NZ"/>
        </w:rPr>
      </w:pPr>
      <w:r w:rsidRPr="009A3CC9">
        <w:rPr>
          <w:lang w:val="en-NZ"/>
        </w:rPr>
        <w:t xml:space="preserve">EESS and SOS in the adjacent band 2 025-2 110 </w:t>
      </w:r>
      <w:proofErr w:type="spellStart"/>
      <w:r w:rsidRPr="009A3CC9">
        <w:rPr>
          <w:lang w:val="en-NZ"/>
        </w:rPr>
        <w:t>MHz.</w:t>
      </w:r>
      <w:proofErr w:type="spellEnd"/>
    </w:p>
    <w:p w14:paraId="487388DC" w14:textId="77777777" w:rsidR="002A0111" w:rsidRPr="00441526" w:rsidRDefault="002A0111" w:rsidP="002A0111">
      <w:pPr>
        <w:rPr>
          <w:lang w:val="en-NZ"/>
        </w:rPr>
      </w:pPr>
    </w:p>
    <w:p w14:paraId="13562E73" w14:textId="77777777" w:rsidR="002A0111" w:rsidRPr="00441526" w:rsidRDefault="002A0111" w:rsidP="002A0111">
      <w:pPr>
        <w:jc w:val="both"/>
        <w:rPr>
          <w:lang w:val="en-NZ"/>
        </w:rPr>
      </w:pPr>
    </w:p>
    <w:p w14:paraId="6C40B30A" w14:textId="77777777" w:rsidR="002A0111" w:rsidRPr="00441526" w:rsidRDefault="002A0111" w:rsidP="002A0111">
      <w:pPr>
        <w:rPr>
          <w:b/>
          <w:lang w:val="en-NZ"/>
        </w:rPr>
      </w:pPr>
    </w:p>
    <w:p w14:paraId="0921687E" w14:textId="77777777" w:rsidR="002A0111" w:rsidRPr="00710333" w:rsidRDefault="002A0111" w:rsidP="002A0111">
      <w:pPr>
        <w:jc w:val="center"/>
        <w:rPr>
          <w:snapToGrid w:val="0"/>
          <w:lang w:val="en-NZ"/>
        </w:rPr>
      </w:pPr>
      <w:r w:rsidRPr="00441526">
        <w:rPr>
          <w:lang w:val="en-NZ"/>
        </w:rPr>
        <w:t>____________</w:t>
      </w:r>
    </w:p>
    <w:p w14:paraId="61B265F0" w14:textId="77777777" w:rsidR="002A0111" w:rsidRPr="007673CA" w:rsidRDefault="002A0111" w:rsidP="002A0111">
      <w:pPr>
        <w:jc w:val="both"/>
        <w:rPr>
          <w:lang w:val="en-NZ"/>
        </w:rPr>
      </w:pPr>
    </w:p>
    <w:sectPr w:rsidR="002A0111" w:rsidRPr="007673CA" w:rsidSect="004D675E">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E4855" w14:textId="77777777" w:rsidR="00120937" w:rsidRDefault="00120937">
      <w:r>
        <w:separator/>
      </w:r>
    </w:p>
  </w:endnote>
  <w:endnote w:type="continuationSeparator" w:id="0">
    <w:p w14:paraId="360D6FA2" w14:textId="77777777" w:rsidR="00120937" w:rsidRDefault="00120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7AC18581"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475FDD">
      <w:rPr>
        <w:lang w:eastAsia="ko-KR"/>
      </w:rPr>
      <w:t>5</w:t>
    </w:r>
    <w:r w:rsidR="002A0111">
      <w:rPr>
        <w:lang w:eastAsia="ko-KR"/>
      </w:rPr>
      <w:t>/</w:t>
    </w:r>
    <w:r w:rsidR="00F00594">
      <w:rPr>
        <w:lang w:eastAsia="ko-KR"/>
      </w:rPr>
      <w:t>OUT</w:t>
    </w:r>
    <w:r>
      <w:rPr>
        <w:lang w:eastAsia="ko-KR"/>
      </w:rPr>
      <w:t>-</w:t>
    </w:r>
    <w:r w:rsidR="00F00594">
      <w:rPr>
        <w:rStyle w:val="PageNumber"/>
      </w:rPr>
      <w:t>30</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A5B7C">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A5B7C">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jc w:val="center"/>
      <w:tblLayout w:type="fixed"/>
      <w:tblCellMar>
        <w:left w:w="57" w:type="dxa"/>
        <w:right w:w="57" w:type="dxa"/>
      </w:tblCellMar>
      <w:tblLook w:val="0000" w:firstRow="0" w:lastRow="0" w:firstColumn="0" w:lastColumn="0" w:noHBand="0" w:noVBand="0"/>
    </w:tblPr>
    <w:tblGrid>
      <w:gridCol w:w="1276"/>
      <w:gridCol w:w="3544"/>
      <w:gridCol w:w="4252"/>
    </w:tblGrid>
    <w:tr w:rsidR="00AC7F6C" w14:paraId="1D2E7AD2" w14:textId="77777777" w:rsidTr="00433923">
      <w:trPr>
        <w:cantSplit/>
        <w:trHeight w:val="204"/>
        <w:jc w:val="center"/>
      </w:trPr>
      <w:tc>
        <w:tcPr>
          <w:tcW w:w="1276" w:type="dxa"/>
          <w:tcBorders>
            <w:top w:val="single" w:sz="12" w:space="0" w:color="auto"/>
          </w:tcBorders>
        </w:tcPr>
        <w:p w14:paraId="14719B2D" w14:textId="77777777" w:rsidR="00AC7F6C" w:rsidRPr="00155F6B" w:rsidRDefault="00AC7F6C" w:rsidP="00AC7F6C">
          <w:pPr>
            <w:rPr>
              <w:b/>
              <w:bCs/>
            </w:rPr>
          </w:pPr>
          <w:r w:rsidRPr="00155F6B">
            <w:rPr>
              <w:b/>
              <w:bCs/>
            </w:rPr>
            <w:t>Contact:</w:t>
          </w:r>
        </w:p>
      </w:tc>
      <w:tc>
        <w:tcPr>
          <w:tcW w:w="3544" w:type="dxa"/>
          <w:tcBorders>
            <w:top w:val="single" w:sz="12" w:space="0" w:color="auto"/>
          </w:tcBorders>
        </w:tcPr>
        <w:p w14:paraId="655AC2D8" w14:textId="77777777" w:rsidR="00AC7F6C" w:rsidRDefault="00AC7F6C" w:rsidP="00AC7F6C">
          <w:pPr>
            <w:pStyle w:val="Equation"/>
            <w:tabs>
              <w:tab w:val="clear" w:pos="4820"/>
              <w:tab w:val="clear" w:pos="9639"/>
              <w:tab w:val="left" w:pos="1191"/>
              <w:tab w:val="left" w:pos="1588"/>
              <w:tab w:val="left" w:pos="1985"/>
            </w:tabs>
            <w:spacing w:beforeLines="0" w:before="0"/>
            <w:rPr>
              <w:rFonts w:eastAsia="Batang"/>
              <w:szCs w:val="24"/>
              <w:lang w:eastAsia="ko-KR"/>
            </w:rPr>
          </w:pPr>
          <w:r>
            <w:rPr>
              <w:rFonts w:eastAsia="Batang"/>
              <w:szCs w:val="24"/>
              <w:lang w:eastAsia="ko-KR"/>
            </w:rPr>
            <w:t>Fenhong CHENG</w:t>
          </w:r>
        </w:p>
        <w:p w14:paraId="65F1CCD5" w14:textId="77777777" w:rsidR="00AC7F6C" w:rsidRPr="00155F6B" w:rsidRDefault="00AC7F6C" w:rsidP="00AC7F6C">
          <w:pPr>
            <w:pStyle w:val="Equation"/>
            <w:tabs>
              <w:tab w:val="clear" w:pos="4820"/>
              <w:tab w:val="clear" w:pos="9639"/>
              <w:tab w:val="left" w:pos="1191"/>
              <w:tab w:val="left" w:pos="1588"/>
              <w:tab w:val="left" w:pos="1985"/>
            </w:tabs>
            <w:spacing w:beforeLines="0" w:before="0"/>
            <w:rPr>
              <w:rFonts w:eastAsia="Batang"/>
              <w:szCs w:val="24"/>
              <w:lang w:eastAsia="ko-KR"/>
            </w:rPr>
          </w:pPr>
          <w:r w:rsidRPr="00DB6303">
            <w:t xml:space="preserve">Mrunmaya </w:t>
          </w:r>
          <w:r>
            <w:t>Pattanaik</w:t>
          </w:r>
        </w:p>
        <w:p w14:paraId="084BE498" w14:textId="77777777" w:rsidR="00AC7F6C" w:rsidRPr="00155F6B" w:rsidRDefault="00AC7F6C" w:rsidP="00AC7F6C">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Co-Chairs, WP4</w:t>
          </w:r>
        </w:p>
      </w:tc>
      <w:tc>
        <w:tcPr>
          <w:tcW w:w="4252" w:type="dxa"/>
          <w:tcBorders>
            <w:top w:val="single" w:sz="12" w:space="0" w:color="auto"/>
          </w:tcBorders>
        </w:tcPr>
        <w:p w14:paraId="628D4D32" w14:textId="77777777" w:rsidR="00AC7F6C" w:rsidRDefault="00AC7F6C" w:rsidP="00AC7F6C">
          <w:pPr>
            <w:ind w:leftChars="35" w:left="281" w:hanging="197"/>
          </w:pPr>
          <w:r w:rsidRPr="00E50679">
            <w:rPr>
              <w:b/>
              <w:bCs/>
            </w:rPr>
            <w:t>Email</w:t>
          </w:r>
          <w:r w:rsidRPr="00E50679">
            <w:rPr>
              <w:rFonts w:hint="eastAsia"/>
              <w:b/>
              <w:bCs/>
            </w:rPr>
            <w:t>:</w:t>
          </w:r>
          <w:r>
            <w:t xml:space="preserve"> </w:t>
          </w:r>
          <w:hyperlink r:id="rId1" w:history="1">
            <w:r w:rsidRPr="00083138">
              <w:rPr>
                <w:rStyle w:val="Hyperlink"/>
              </w:rPr>
              <w:t>chengfenhong@chinasatcom.com</w:t>
            </w:r>
          </w:hyperlink>
          <w:r>
            <w:t xml:space="preserve"> </w:t>
          </w:r>
        </w:p>
        <w:p w14:paraId="61D756EC" w14:textId="77777777" w:rsidR="00AC7F6C" w:rsidRPr="00155F6B" w:rsidRDefault="00AC7F6C" w:rsidP="00AC7F6C">
          <w:pPr>
            <w:rPr>
              <w:lang w:eastAsia="ja-JP"/>
            </w:rPr>
          </w:pPr>
          <w:r>
            <w:rPr>
              <w:lang w:eastAsia="ja-JP"/>
            </w:rPr>
            <w:t xml:space="preserve">              </w:t>
          </w:r>
          <w:hyperlink r:id="rId2" w:history="1">
            <w:r w:rsidRPr="00083138">
              <w:rPr>
                <w:rStyle w:val="Hyperlink"/>
                <w:lang w:eastAsia="ja-JP"/>
              </w:rPr>
              <w:t>pattanaik.mr@gov.in</w:t>
            </w:r>
          </w:hyperlink>
          <w:r>
            <w:rPr>
              <w:lang w:eastAsia="ja-JP"/>
            </w:rPr>
            <w:t xml:space="preserve"> </w:t>
          </w:r>
        </w:p>
      </w:tc>
    </w:tr>
  </w:tbl>
  <w:p w14:paraId="227B978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60D5" w14:textId="77777777" w:rsidR="00120937" w:rsidRDefault="00120937">
      <w:r>
        <w:separator/>
      </w:r>
    </w:p>
  </w:footnote>
  <w:footnote w:type="continuationSeparator" w:id="0">
    <w:p w14:paraId="0BD68556" w14:textId="77777777" w:rsidR="00120937" w:rsidRDefault="00120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6020"/>
    <w:multiLevelType w:val="hybridMultilevel"/>
    <w:tmpl w:val="E11C6C8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90F2E16"/>
    <w:multiLevelType w:val="multilevel"/>
    <w:tmpl w:val="390F2E16"/>
    <w:lvl w:ilvl="0">
      <w:start w:val="1"/>
      <w:numFmt w:val="bullet"/>
      <w:lvlText w:val="–"/>
      <w:lvlJc w:val="left"/>
      <w:pPr>
        <w:ind w:left="142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3" w15:restartNumberingAfterBreak="0">
    <w:nsid w:val="3B1720ED"/>
    <w:multiLevelType w:val="hybridMultilevel"/>
    <w:tmpl w:val="89981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6E9716B"/>
    <w:multiLevelType w:val="hybridMultilevel"/>
    <w:tmpl w:val="B3CC084A"/>
    <w:lvl w:ilvl="0" w:tplc="5302D9CC">
      <w:start w:val="5"/>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207642511">
    <w:abstractNumId w:val="10"/>
  </w:num>
  <w:num w:numId="2" w16cid:durableId="1418475836">
    <w:abstractNumId w:val="6"/>
  </w:num>
  <w:num w:numId="3" w16cid:durableId="1530020829">
    <w:abstractNumId w:val="5"/>
  </w:num>
  <w:num w:numId="4" w16cid:durableId="147864007">
    <w:abstractNumId w:val="19"/>
  </w:num>
  <w:num w:numId="5" w16cid:durableId="1414544603">
    <w:abstractNumId w:val="9"/>
  </w:num>
  <w:num w:numId="6" w16cid:durableId="514420022">
    <w:abstractNumId w:val="11"/>
  </w:num>
  <w:num w:numId="7" w16cid:durableId="418869266">
    <w:abstractNumId w:val="3"/>
  </w:num>
  <w:num w:numId="8" w16cid:durableId="941034896">
    <w:abstractNumId w:val="2"/>
  </w:num>
  <w:num w:numId="9" w16cid:durableId="1884824079">
    <w:abstractNumId w:val="22"/>
  </w:num>
  <w:num w:numId="10" w16cid:durableId="2070106899">
    <w:abstractNumId w:val="18"/>
  </w:num>
  <w:num w:numId="11" w16cid:durableId="80377249">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2566769">
    <w:abstractNumId w:val="15"/>
  </w:num>
  <w:num w:numId="13" w16cid:durableId="845559425">
    <w:abstractNumId w:val="1"/>
  </w:num>
  <w:num w:numId="14" w16cid:durableId="12313815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9134013">
    <w:abstractNumId w:val="7"/>
  </w:num>
  <w:num w:numId="16" w16cid:durableId="1713918309">
    <w:abstractNumId w:val="23"/>
  </w:num>
  <w:num w:numId="17" w16cid:durableId="1299342202">
    <w:abstractNumId w:val="17"/>
  </w:num>
  <w:num w:numId="18" w16cid:durableId="956915875">
    <w:abstractNumId w:val="14"/>
  </w:num>
  <w:num w:numId="19" w16cid:durableId="629439235">
    <w:abstractNumId w:val="21"/>
  </w:num>
  <w:num w:numId="20" w16cid:durableId="1114861176">
    <w:abstractNumId w:val="8"/>
  </w:num>
  <w:num w:numId="21" w16cid:durableId="107511302">
    <w:abstractNumId w:val="20"/>
  </w:num>
  <w:num w:numId="22" w16cid:durableId="86195203">
    <w:abstractNumId w:val="24"/>
  </w:num>
  <w:num w:numId="23" w16cid:durableId="2029259239">
    <w:abstractNumId w:val="12"/>
  </w:num>
  <w:num w:numId="24" w16cid:durableId="1285237284">
    <w:abstractNumId w:val="0"/>
  </w:num>
  <w:num w:numId="25" w16cid:durableId="1816528531">
    <w:abstractNumId w:val="16"/>
  </w:num>
  <w:num w:numId="26" w16cid:durableId="4803863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3A3E"/>
    <w:rsid w:val="0003595B"/>
    <w:rsid w:val="00036517"/>
    <w:rsid w:val="00036CC9"/>
    <w:rsid w:val="00040149"/>
    <w:rsid w:val="0004672F"/>
    <w:rsid w:val="00070642"/>
    <w:rsid w:val="000713CF"/>
    <w:rsid w:val="00075C14"/>
    <w:rsid w:val="000822B5"/>
    <w:rsid w:val="00094B87"/>
    <w:rsid w:val="000A012B"/>
    <w:rsid w:val="000A5418"/>
    <w:rsid w:val="000B765D"/>
    <w:rsid w:val="000D47FB"/>
    <w:rsid w:val="000D61F4"/>
    <w:rsid w:val="000E1FE3"/>
    <w:rsid w:val="000E3D7C"/>
    <w:rsid w:val="000E710F"/>
    <w:rsid w:val="000F345F"/>
    <w:rsid w:val="000F517C"/>
    <w:rsid w:val="000F5540"/>
    <w:rsid w:val="000F5F06"/>
    <w:rsid w:val="00105F1A"/>
    <w:rsid w:val="00120937"/>
    <w:rsid w:val="00124C15"/>
    <w:rsid w:val="00125FBD"/>
    <w:rsid w:val="00131B45"/>
    <w:rsid w:val="001409B2"/>
    <w:rsid w:val="00147602"/>
    <w:rsid w:val="00152636"/>
    <w:rsid w:val="001539DD"/>
    <w:rsid w:val="00155041"/>
    <w:rsid w:val="00156782"/>
    <w:rsid w:val="00165F01"/>
    <w:rsid w:val="0017253F"/>
    <w:rsid w:val="001731F4"/>
    <w:rsid w:val="001916F2"/>
    <w:rsid w:val="001930A7"/>
    <w:rsid w:val="00196568"/>
    <w:rsid w:val="00197C18"/>
    <w:rsid w:val="001A2F16"/>
    <w:rsid w:val="001B1804"/>
    <w:rsid w:val="001B18C2"/>
    <w:rsid w:val="001B6FF7"/>
    <w:rsid w:val="001C25C5"/>
    <w:rsid w:val="001C443F"/>
    <w:rsid w:val="001C61A5"/>
    <w:rsid w:val="001C6707"/>
    <w:rsid w:val="001D5D7E"/>
    <w:rsid w:val="001E6D61"/>
    <w:rsid w:val="001F5947"/>
    <w:rsid w:val="00202410"/>
    <w:rsid w:val="00214A0C"/>
    <w:rsid w:val="0021588B"/>
    <w:rsid w:val="002161B6"/>
    <w:rsid w:val="002216AC"/>
    <w:rsid w:val="0023212E"/>
    <w:rsid w:val="00235E2F"/>
    <w:rsid w:val="002475E2"/>
    <w:rsid w:val="00250291"/>
    <w:rsid w:val="002506D2"/>
    <w:rsid w:val="00250DE2"/>
    <w:rsid w:val="00254A1B"/>
    <w:rsid w:val="0026064A"/>
    <w:rsid w:val="00264566"/>
    <w:rsid w:val="0028454D"/>
    <w:rsid w:val="00291C9E"/>
    <w:rsid w:val="002926D4"/>
    <w:rsid w:val="0029734E"/>
    <w:rsid w:val="00297C61"/>
    <w:rsid w:val="002A0111"/>
    <w:rsid w:val="002A1FAA"/>
    <w:rsid w:val="002A3CF5"/>
    <w:rsid w:val="002A5F7C"/>
    <w:rsid w:val="002B06A3"/>
    <w:rsid w:val="002B435C"/>
    <w:rsid w:val="002B447F"/>
    <w:rsid w:val="002B4EDE"/>
    <w:rsid w:val="002C07DA"/>
    <w:rsid w:val="002C2A49"/>
    <w:rsid w:val="002C7EA9"/>
    <w:rsid w:val="002E14E1"/>
    <w:rsid w:val="002F575D"/>
    <w:rsid w:val="003113D7"/>
    <w:rsid w:val="00311E8A"/>
    <w:rsid w:val="00342F20"/>
    <w:rsid w:val="00345252"/>
    <w:rsid w:val="00350306"/>
    <w:rsid w:val="00360377"/>
    <w:rsid w:val="00366548"/>
    <w:rsid w:val="00371A1B"/>
    <w:rsid w:val="0038005B"/>
    <w:rsid w:val="003809C7"/>
    <w:rsid w:val="0038236C"/>
    <w:rsid w:val="00393DCD"/>
    <w:rsid w:val="00395B40"/>
    <w:rsid w:val="003A2006"/>
    <w:rsid w:val="003A5B7C"/>
    <w:rsid w:val="003A6568"/>
    <w:rsid w:val="003A7733"/>
    <w:rsid w:val="003B4FD1"/>
    <w:rsid w:val="003B6263"/>
    <w:rsid w:val="003C29E6"/>
    <w:rsid w:val="003C64A7"/>
    <w:rsid w:val="003D1128"/>
    <w:rsid w:val="003D1671"/>
    <w:rsid w:val="003D3D47"/>
    <w:rsid w:val="003D3FDA"/>
    <w:rsid w:val="003D51DE"/>
    <w:rsid w:val="003D6D00"/>
    <w:rsid w:val="003E166F"/>
    <w:rsid w:val="003E586D"/>
    <w:rsid w:val="003E61E6"/>
    <w:rsid w:val="003F307E"/>
    <w:rsid w:val="004001E5"/>
    <w:rsid w:val="0041313C"/>
    <w:rsid w:val="00417B30"/>
    <w:rsid w:val="00420822"/>
    <w:rsid w:val="00420C74"/>
    <w:rsid w:val="004352AF"/>
    <w:rsid w:val="00441526"/>
    <w:rsid w:val="004465AA"/>
    <w:rsid w:val="00446A5E"/>
    <w:rsid w:val="0045458F"/>
    <w:rsid w:val="0046056B"/>
    <w:rsid w:val="004633B4"/>
    <w:rsid w:val="00475FDD"/>
    <w:rsid w:val="00495CED"/>
    <w:rsid w:val="004A2F96"/>
    <w:rsid w:val="004A4BDF"/>
    <w:rsid w:val="004B3553"/>
    <w:rsid w:val="004B3F4B"/>
    <w:rsid w:val="004D675E"/>
    <w:rsid w:val="004E1FCA"/>
    <w:rsid w:val="004E47D6"/>
    <w:rsid w:val="00503189"/>
    <w:rsid w:val="005165CB"/>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A63EB"/>
    <w:rsid w:val="005B0876"/>
    <w:rsid w:val="005C1525"/>
    <w:rsid w:val="005C33B6"/>
    <w:rsid w:val="005D6202"/>
    <w:rsid w:val="005D6E98"/>
    <w:rsid w:val="005E1210"/>
    <w:rsid w:val="005F5E1A"/>
    <w:rsid w:val="005F669D"/>
    <w:rsid w:val="00607E18"/>
    <w:rsid w:val="00607E2B"/>
    <w:rsid w:val="006139D6"/>
    <w:rsid w:val="00616D1B"/>
    <w:rsid w:val="00623CE1"/>
    <w:rsid w:val="00627880"/>
    <w:rsid w:val="0063062B"/>
    <w:rsid w:val="00633552"/>
    <w:rsid w:val="00634A82"/>
    <w:rsid w:val="00637351"/>
    <w:rsid w:val="006407EC"/>
    <w:rsid w:val="00646166"/>
    <w:rsid w:val="00652BDD"/>
    <w:rsid w:val="00654896"/>
    <w:rsid w:val="006621F0"/>
    <w:rsid w:val="006647BA"/>
    <w:rsid w:val="00667229"/>
    <w:rsid w:val="00682BE5"/>
    <w:rsid w:val="00683846"/>
    <w:rsid w:val="00690FED"/>
    <w:rsid w:val="006939A5"/>
    <w:rsid w:val="006A3ED7"/>
    <w:rsid w:val="006A4967"/>
    <w:rsid w:val="006B09DB"/>
    <w:rsid w:val="006B57F3"/>
    <w:rsid w:val="006C3AE5"/>
    <w:rsid w:val="006D3172"/>
    <w:rsid w:val="006D5223"/>
    <w:rsid w:val="006D5970"/>
    <w:rsid w:val="006E12FC"/>
    <w:rsid w:val="006F0F24"/>
    <w:rsid w:val="006F2B2E"/>
    <w:rsid w:val="006F3B5E"/>
    <w:rsid w:val="006F6A5C"/>
    <w:rsid w:val="00703F6F"/>
    <w:rsid w:val="007041A8"/>
    <w:rsid w:val="007052B3"/>
    <w:rsid w:val="00705962"/>
    <w:rsid w:val="00707C21"/>
    <w:rsid w:val="00712451"/>
    <w:rsid w:val="00717DE9"/>
    <w:rsid w:val="0072518B"/>
    <w:rsid w:val="00731041"/>
    <w:rsid w:val="007329E4"/>
    <w:rsid w:val="00732F08"/>
    <w:rsid w:val="007342F0"/>
    <w:rsid w:val="00734D6A"/>
    <w:rsid w:val="0074190C"/>
    <w:rsid w:val="00750F1D"/>
    <w:rsid w:val="007516E3"/>
    <w:rsid w:val="0075493D"/>
    <w:rsid w:val="00762576"/>
    <w:rsid w:val="007673CA"/>
    <w:rsid w:val="00791060"/>
    <w:rsid w:val="007926EA"/>
    <w:rsid w:val="007B5626"/>
    <w:rsid w:val="007B6124"/>
    <w:rsid w:val="007D3C53"/>
    <w:rsid w:val="007E3A0F"/>
    <w:rsid w:val="007E55ED"/>
    <w:rsid w:val="007F0AE6"/>
    <w:rsid w:val="007F2628"/>
    <w:rsid w:val="007F2BC5"/>
    <w:rsid w:val="007F2FBA"/>
    <w:rsid w:val="00800C3A"/>
    <w:rsid w:val="0080570B"/>
    <w:rsid w:val="008148E1"/>
    <w:rsid w:val="00816A7B"/>
    <w:rsid w:val="00822B33"/>
    <w:rsid w:val="008319BF"/>
    <w:rsid w:val="008415F0"/>
    <w:rsid w:val="008433C2"/>
    <w:rsid w:val="00844457"/>
    <w:rsid w:val="008454C8"/>
    <w:rsid w:val="00851D78"/>
    <w:rsid w:val="0087122A"/>
    <w:rsid w:val="008A016F"/>
    <w:rsid w:val="008A1A0D"/>
    <w:rsid w:val="008A72E1"/>
    <w:rsid w:val="008A76ED"/>
    <w:rsid w:val="008B3C72"/>
    <w:rsid w:val="008B78E9"/>
    <w:rsid w:val="008C5FED"/>
    <w:rsid w:val="008D0265"/>
    <w:rsid w:val="008D0E09"/>
    <w:rsid w:val="008D3E14"/>
    <w:rsid w:val="00903007"/>
    <w:rsid w:val="00923816"/>
    <w:rsid w:val="0092727B"/>
    <w:rsid w:val="0093074B"/>
    <w:rsid w:val="00930E64"/>
    <w:rsid w:val="00943CF9"/>
    <w:rsid w:val="0095406E"/>
    <w:rsid w:val="00956F8C"/>
    <w:rsid w:val="00960963"/>
    <w:rsid w:val="00961D57"/>
    <w:rsid w:val="00975322"/>
    <w:rsid w:val="00976716"/>
    <w:rsid w:val="0097693B"/>
    <w:rsid w:val="00993355"/>
    <w:rsid w:val="009963F7"/>
    <w:rsid w:val="009A11CB"/>
    <w:rsid w:val="009A3CC9"/>
    <w:rsid w:val="009A4A6D"/>
    <w:rsid w:val="009B44DD"/>
    <w:rsid w:val="009B7E42"/>
    <w:rsid w:val="009C7235"/>
    <w:rsid w:val="009D46CE"/>
    <w:rsid w:val="009D4ADA"/>
    <w:rsid w:val="009E13DD"/>
    <w:rsid w:val="009F547A"/>
    <w:rsid w:val="00A03D78"/>
    <w:rsid w:val="00A0503B"/>
    <w:rsid w:val="00A059CD"/>
    <w:rsid w:val="00A13265"/>
    <w:rsid w:val="00A14900"/>
    <w:rsid w:val="00A2159F"/>
    <w:rsid w:val="00A23C16"/>
    <w:rsid w:val="00A31BC0"/>
    <w:rsid w:val="00A324FF"/>
    <w:rsid w:val="00A32DFD"/>
    <w:rsid w:val="00A529BC"/>
    <w:rsid w:val="00A5346C"/>
    <w:rsid w:val="00A53F51"/>
    <w:rsid w:val="00A562F0"/>
    <w:rsid w:val="00A564FB"/>
    <w:rsid w:val="00A614C1"/>
    <w:rsid w:val="00A61EA6"/>
    <w:rsid w:val="00A63BA2"/>
    <w:rsid w:val="00A657BF"/>
    <w:rsid w:val="00A7012C"/>
    <w:rsid w:val="00A71136"/>
    <w:rsid w:val="00A7113D"/>
    <w:rsid w:val="00A92578"/>
    <w:rsid w:val="00AA474C"/>
    <w:rsid w:val="00AB4150"/>
    <w:rsid w:val="00AB57E2"/>
    <w:rsid w:val="00AC1905"/>
    <w:rsid w:val="00AC35EF"/>
    <w:rsid w:val="00AC4D5B"/>
    <w:rsid w:val="00AC7F6C"/>
    <w:rsid w:val="00AD1DDB"/>
    <w:rsid w:val="00AD2697"/>
    <w:rsid w:val="00AD7E5F"/>
    <w:rsid w:val="00AE3066"/>
    <w:rsid w:val="00AF68E4"/>
    <w:rsid w:val="00B00A87"/>
    <w:rsid w:val="00B01AA1"/>
    <w:rsid w:val="00B06025"/>
    <w:rsid w:val="00B30C81"/>
    <w:rsid w:val="00B30DA1"/>
    <w:rsid w:val="00B368D7"/>
    <w:rsid w:val="00B4793B"/>
    <w:rsid w:val="00B56099"/>
    <w:rsid w:val="00B64A60"/>
    <w:rsid w:val="00B661AC"/>
    <w:rsid w:val="00B8468D"/>
    <w:rsid w:val="00B937D7"/>
    <w:rsid w:val="00B96B67"/>
    <w:rsid w:val="00BB0EA4"/>
    <w:rsid w:val="00BC57EF"/>
    <w:rsid w:val="00BC69DB"/>
    <w:rsid w:val="00BD0BE0"/>
    <w:rsid w:val="00BD63BD"/>
    <w:rsid w:val="00BE6B6B"/>
    <w:rsid w:val="00BF25F9"/>
    <w:rsid w:val="00C005C9"/>
    <w:rsid w:val="00C00B04"/>
    <w:rsid w:val="00C13FD5"/>
    <w:rsid w:val="00C15633"/>
    <w:rsid w:val="00C15799"/>
    <w:rsid w:val="00C30B8C"/>
    <w:rsid w:val="00C32E84"/>
    <w:rsid w:val="00C35415"/>
    <w:rsid w:val="00C357AD"/>
    <w:rsid w:val="00C516C7"/>
    <w:rsid w:val="00C51C5F"/>
    <w:rsid w:val="00C554CC"/>
    <w:rsid w:val="00C6069C"/>
    <w:rsid w:val="00C70477"/>
    <w:rsid w:val="00C72AD4"/>
    <w:rsid w:val="00C74283"/>
    <w:rsid w:val="00C74745"/>
    <w:rsid w:val="00C85119"/>
    <w:rsid w:val="00C91A2D"/>
    <w:rsid w:val="00C95C48"/>
    <w:rsid w:val="00CA41E7"/>
    <w:rsid w:val="00CA420A"/>
    <w:rsid w:val="00CB6C81"/>
    <w:rsid w:val="00CD170C"/>
    <w:rsid w:val="00CD320B"/>
    <w:rsid w:val="00CD3F37"/>
    <w:rsid w:val="00CD5431"/>
    <w:rsid w:val="00CE4B93"/>
    <w:rsid w:val="00CF2491"/>
    <w:rsid w:val="00CF3963"/>
    <w:rsid w:val="00D1252E"/>
    <w:rsid w:val="00D13D9D"/>
    <w:rsid w:val="00D14AFE"/>
    <w:rsid w:val="00D2190A"/>
    <w:rsid w:val="00D36175"/>
    <w:rsid w:val="00D416A3"/>
    <w:rsid w:val="00D459A2"/>
    <w:rsid w:val="00D530FF"/>
    <w:rsid w:val="00D53688"/>
    <w:rsid w:val="00D5407A"/>
    <w:rsid w:val="00D57772"/>
    <w:rsid w:val="00D57893"/>
    <w:rsid w:val="00D606EF"/>
    <w:rsid w:val="00D65FD5"/>
    <w:rsid w:val="00D72AE3"/>
    <w:rsid w:val="00D75A4D"/>
    <w:rsid w:val="00D8478B"/>
    <w:rsid w:val="00D86151"/>
    <w:rsid w:val="00D9172D"/>
    <w:rsid w:val="00D96296"/>
    <w:rsid w:val="00D97CB5"/>
    <w:rsid w:val="00D97E84"/>
    <w:rsid w:val="00DA0CB1"/>
    <w:rsid w:val="00DA2264"/>
    <w:rsid w:val="00DA549F"/>
    <w:rsid w:val="00DA5641"/>
    <w:rsid w:val="00DA7595"/>
    <w:rsid w:val="00DB0A68"/>
    <w:rsid w:val="00DC43A3"/>
    <w:rsid w:val="00DC4CF3"/>
    <w:rsid w:val="00DC4D20"/>
    <w:rsid w:val="00DC5C01"/>
    <w:rsid w:val="00DD7C09"/>
    <w:rsid w:val="00DF0EB4"/>
    <w:rsid w:val="00DF111E"/>
    <w:rsid w:val="00E0124F"/>
    <w:rsid w:val="00E17F3B"/>
    <w:rsid w:val="00E5762A"/>
    <w:rsid w:val="00E60C87"/>
    <w:rsid w:val="00E64A49"/>
    <w:rsid w:val="00E674D3"/>
    <w:rsid w:val="00E70FD0"/>
    <w:rsid w:val="00E72B2C"/>
    <w:rsid w:val="00E7309D"/>
    <w:rsid w:val="00E77C4B"/>
    <w:rsid w:val="00E83A0E"/>
    <w:rsid w:val="00E9301F"/>
    <w:rsid w:val="00E9690A"/>
    <w:rsid w:val="00E96F3D"/>
    <w:rsid w:val="00E97DC7"/>
    <w:rsid w:val="00EC3ED4"/>
    <w:rsid w:val="00ED3B8E"/>
    <w:rsid w:val="00EF0B61"/>
    <w:rsid w:val="00F000EF"/>
    <w:rsid w:val="00F00594"/>
    <w:rsid w:val="00F00939"/>
    <w:rsid w:val="00F05C52"/>
    <w:rsid w:val="00F2504E"/>
    <w:rsid w:val="00F2585B"/>
    <w:rsid w:val="00F4053F"/>
    <w:rsid w:val="00F44A6F"/>
    <w:rsid w:val="00F50775"/>
    <w:rsid w:val="00F516E7"/>
    <w:rsid w:val="00F57BF7"/>
    <w:rsid w:val="00F6263E"/>
    <w:rsid w:val="00F627C2"/>
    <w:rsid w:val="00F736FD"/>
    <w:rsid w:val="00F84067"/>
    <w:rsid w:val="00F85499"/>
    <w:rsid w:val="00FA50B4"/>
    <w:rsid w:val="00FB6E83"/>
    <w:rsid w:val="00FC156A"/>
    <w:rsid w:val="00FC5C91"/>
    <w:rsid w:val="00FD6235"/>
    <w:rsid w:val="00FE13D1"/>
    <w:rsid w:val="00FE3DE5"/>
    <w:rsid w:val="00FE6F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5F669D"/>
    <w:rPr>
      <w:rFonts w:eastAsia="BatangChe"/>
      <w:sz w:val="24"/>
      <w:szCs w:val="24"/>
    </w:rPr>
  </w:style>
  <w:style w:type="paragraph" w:styleId="NormalWeb">
    <w:name w:val="Normal (Web)"/>
    <w:basedOn w:val="Normal"/>
    <w:uiPriority w:val="99"/>
    <w:unhideWhenUsed/>
    <w:rsid w:val="005F669D"/>
    <w:pPr>
      <w:spacing w:before="100" w:beforeAutospacing="1" w:after="100" w:afterAutospacing="1"/>
    </w:pPr>
    <w:rPr>
      <w:rFonts w:eastAsia="Times New Roman"/>
    </w:rPr>
  </w:style>
  <w:style w:type="character" w:customStyle="1" w:styleId="fontstyle01">
    <w:name w:val="fontstyle01"/>
    <w:basedOn w:val="DefaultParagraphFont"/>
    <w:rsid w:val="002A1FAA"/>
    <w:rPr>
      <w:rFonts w:ascii="TimesNewRomanPSMT" w:hAnsi="TimesNewRomanPSMT" w:hint="default"/>
      <w:b w:val="0"/>
      <w:bCs w:val="0"/>
      <w:i w:val="0"/>
      <w:iCs w:val="0"/>
      <w:color w:val="000000"/>
      <w:sz w:val="24"/>
      <w:szCs w:val="24"/>
    </w:rPr>
  </w:style>
  <w:style w:type="paragraph" w:customStyle="1" w:styleId="Paragraph">
    <w:name w:val="Paragraph"/>
    <w:basedOn w:val="Normal"/>
    <w:qFormat/>
    <w:rsid w:val="005C1525"/>
    <w:pPr>
      <w:spacing w:before="120"/>
      <w:jc w:val="both"/>
    </w:pPr>
    <w:rPr>
      <w:rFonts w:eastAsia="Times New Roman"/>
      <w:sz w:val="22"/>
      <w:szCs w:val="22"/>
      <w:lang w:val="en-GB" w:eastAsia="fr-FR"/>
    </w:rPr>
  </w:style>
  <w:style w:type="character" w:styleId="LineNumber">
    <w:name w:val="line number"/>
    <w:basedOn w:val="DefaultParagraphFont"/>
    <w:semiHidden/>
    <w:unhideWhenUsed/>
    <w:rsid w:val="006D3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97454">
      <w:bodyDiv w:val="1"/>
      <w:marLeft w:val="0"/>
      <w:marRight w:val="0"/>
      <w:marTop w:val="0"/>
      <w:marBottom w:val="0"/>
      <w:divBdr>
        <w:top w:val="none" w:sz="0" w:space="0" w:color="auto"/>
        <w:left w:val="none" w:sz="0" w:space="0" w:color="auto"/>
        <w:bottom w:val="none" w:sz="0" w:space="0" w:color="auto"/>
        <w:right w:val="none" w:sz="0" w:space="0" w:color="auto"/>
      </w:divBdr>
    </w:div>
    <w:div w:id="861361350">
      <w:bodyDiv w:val="1"/>
      <w:marLeft w:val="0"/>
      <w:marRight w:val="0"/>
      <w:marTop w:val="0"/>
      <w:marBottom w:val="0"/>
      <w:divBdr>
        <w:top w:val="none" w:sz="0" w:space="0" w:color="auto"/>
        <w:left w:val="none" w:sz="0" w:space="0" w:color="auto"/>
        <w:bottom w:val="none" w:sz="0" w:space="0" w:color="auto"/>
        <w:right w:val="none" w:sz="0" w:space="0" w:color="auto"/>
      </w:divBdr>
      <w:divsChild>
        <w:div w:id="1956667900">
          <w:marLeft w:val="0"/>
          <w:marRight w:val="0"/>
          <w:marTop w:val="0"/>
          <w:marBottom w:val="0"/>
          <w:divBdr>
            <w:top w:val="none" w:sz="0" w:space="0" w:color="auto"/>
            <w:left w:val="none" w:sz="0" w:space="0" w:color="auto"/>
            <w:bottom w:val="none" w:sz="0" w:space="0" w:color="auto"/>
            <w:right w:val="none" w:sz="0" w:space="0" w:color="auto"/>
          </w:divBdr>
          <w:divsChild>
            <w:div w:id="1954824317">
              <w:marLeft w:val="0"/>
              <w:marRight w:val="0"/>
              <w:marTop w:val="0"/>
              <w:marBottom w:val="0"/>
              <w:divBdr>
                <w:top w:val="none" w:sz="0" w:space="0" w:color="auto"/>
                <w:left w:val="none" w:sz="0" w:space="0" w:color="auto"/>
                <w:bottom w:val="none" w:sz="0" w:space="0" w:color="auto"/>
                <w:right w:val="none" w:sz="0" w:space="0" w:color="auto"/>
              </w:divBdr>
              <w:divsChild>
                <w:div w:id="346518806">
                  <w:marLeft w:val="0"/>
                  <w:marRight w:val="0"/>
                  <w:marTop w:val="0"/>
                  <w:marBottom w:val="0"/>
                  <w:divBdr>
                    <w:top w:val="none" w:sz="0" w:space="0" w:color="auto"/>
                    <w:left w:val="none" w:sz="0" w:space="0" w:color="auto"/>
                    <w:bottom w:val="none" w:sz="0" w:space="0" w:color="auto"/>
                    <w:right w:val="none" w:sz="0" w:space="0" w:color="auto"/>
                  </w:divBdr>
                </w:div>
                <w:div w:id="43339444">
                  <w:marLeft w:val="0"/>
                  <w:marRight w:val="0"/>
                  <w:marTop w:val="0"/>
                  <w:marBottom w:val="0"/>
                  <w:divBdr>
                    <w:top w:val="none" w:sz="0" w:space="0" w:color="auto"/>
                    <w:left w:val="none" w:sz="0" w:space="0" w:color="auto"/>
                    <w:bottom w:val="none" w:sz="0" w:space="0" w:color="auto"/>
                    <w:right w:val="none" w:sz="0" w:space="0" w:color="auto"/>
                  </w:divBdr>
                </w:div>
              </w:divsChild>
            </w:div>
            <w:div w:id="570821173">
              <w:marLeft w:val="0"/>
              <w:marRight w:val="0"/>
              <w:marTop w:val="0"/>
              <w:marBottom w:val="0"/>
              <w:divBdr>
                <w:top w:val="none" w:sz="0" w:space="0" w:color="auto"/>
                <w:left w:val="none" w:sz="0" w:space="0" w:color="auto"/>
                <w:bottom w:val="none" w:sz="0" w:space="0" w:color="auto"/>
                <w:right w:val="none" w:sz="0" w:space="0" w:color="auto"/>
              </w:divBdr>
              <w:divsChild>
                <w:div w:id="151331726">
                  <w:marLeft w:val="0"/>
                  <w:marRight w:val="0"/>
                  <w:marTop w:val="0"/>
                  <w:marBottom w:val="0"/>
                  <w:divBdr>
                    <w:top w:val="none" w:sz="0" w:space="0" w:color="auto"/>
                    <w:left w:val="none" w:sz="0" w:space="0" w:color="auto"/>
                    <w:bottom w:val="none" w:sz="0" w:space="0" w:color="auto"/>
                    <w:right w:val="none" w:sz="0" w:space="0" w:color="auto"/>
                  </w:divBdr>
                </w:div>
                <w:div w:id="492448157">
                  <w:marLeft w:val="0"/>
                  <w:marRight w:val="0"/>
                  <w:marTop w:val="0"/>
                  <w:marBottom w:val="0"/>
                  <w:divBdr>
                    <w:top w:val="none" w:sz="0" w:space="0" w:color="auto"/>
                    <w:left w:val="none" w:sz="0" w:space="0" w:color="auto"/>
                    <w:bottom w:val="none" w:sz="0" w:space="0" w:color="auto"/>
                    <w:right w:val="none" w:sz="0" w:space="0" w:color="auto"/>
                  </w:divBdr>
                </w:div>
                <w:div w:id="146167992">
                  <w:marLeft w:val="0"/>
                  <w:marRight w:val="0"/>
                  <w:marTop w:val="0"/>
                  <w:marBottom w:val="0"/>
                  <w:divBdr>
                    <w:top w:val="none" w:sz="0" w:space="0" w:color="auto"/>
                    <w:left w:val="none" w:sz="0" w:space="0" w:color="auto"/>
                    <w:bottom w:val="none" w:sz="0" w:space="0" w:color="auto"/>
                    <w:right w:val="none" w:sz="0" w:space="0" w:color="auto"/>
                  </w:divBdr>
                </w:div>
              </w:divsChild>
            </w:div>
            <w:div w:id="1594364245">
              <w:marLeft w:val="0"/>
              <w:marRight w:val="0"/>
              <w:marTop w:val="0"/>
              <w:marBottom w:val="0"/>
              <w:divBdr>
                <w:top w:val="none" w:sz="0" w:space="0" w:color="auto"/>
                <w:left w:val="none" w:sz="0" w:space="0" w:color="auto"/>
                <w:bottom w:val="none" w:sz="0" w:space="0" w:color="auto"/>
                <w:right w:val="none" w:sz="0" w:space="0" w:color="auto"/>
              </w:divBdr>
              <w:divsChild>
                <w:div w:id="590699752">
                  <w:marLeft w:val="0"/>
                  <w:marRight w:val="0"/>
                  <w:marTop w:val="0"/>
                  <w:marBottom w:val="0"/>
                  <w:divBdr>
                    <w:top w:val="none" w:sz="0" w:space="0" w:color="auto"/>
                    <w:left w:val="none" w:sz="0" w:space="0" w:color="auto"/>
                    <w:bottom w:val="none" w:sz="0" w:space="0" w:color="auto"/>
                    <w:right w:val="none" w:sz="0" w:space="0" w:color="auto"/>
                  </w:divBdr>
                </w:div>
              </w:divsChild>
            </w:div>
            <w:div w:id="1074399830">
              <w:marLeft w:val="0"/>
              <w:marRight w:val="0"/>
              <w:marTop w:val="0"/>
              <w:marBottom w:val="0"/>
              <w:divBdr>
                <w:top w:val="none" w:sz="0" w:space="0" w:color="auto"/>
                <w:left w:val="none" w:sz="0" w:space="0" w:color="auto"/>
                <w:bottom w:val="none" w:sz="0" w:space="0" w:color="auto"/>
                <w:right w:val="none" w:sz="0" w:space="0" w:color="auto"/>
              </w:divBdr>
              <w:divsChild>
                <w:div w:id="208352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259021">
      <w:bodyDiv w:val="1"/>
      <w:marLeft w:val="0"/>
      <w:marRight w:val="0"/>
      <w:marTop w:val="0"/>
      <w:marBottom w:val="0"/>
      <w:divBdr>
        <w:top w:val="none" w:sz="0" w:space="0" w:color="auto"/>
        <w:left w:val="none" w:sz="0" w:space="0" w:color="auto"/>
        <w:bottom w:val="none" w:sz="0" w:space="0" w:color="auto"/>
        <w:right w:val="none" w:sz="0" w:space="0" w:color="auto"/>
      </w:divBdr>
      <w:divsChild>
        <w:div w:id="743912977">
          <w:marLeft w:val="0"/>
          <w:marRight w:val="0"/>
          <w:marTop w:val="0"/>
          <w:marBottom w:val="0"/>
          <w:divBdr>
            <w:top w:val="none" w:sz="0" w:space="0" w:color="auto"/>
            <w:left w:val="none" w:sz="0" w:space="0" w:color="auto"/>
            <w:bottom w:val="none" w:sz="0" w:space="0" w:color="auto"/>
            <w:right w:val="none" w:sz="0" w:space="0" w:color="auto"/>
          </w:divBdr>
          <w:divsChild>
            <w:div w:id="1128666775">
              <w:marLeft w:val="0"/>
              <w:marRight w:val="0"/>
              <w:marTop w:val="0"/>
              <w:marBottom w:val="0"/>
              <w:divBdr>
                <w:top w:val="none" w:sz="0" w:space="0" w:color="auto"/>
                <w:left w:val="none" w:sz="0" w:space="0" w:color="auto"/>
                <w:bottom w:val="none" w:sz="0" w:space="0" w:color="auto"/>
                <w:right w:val="none" w:sz="0" w:space="0" w:color="auto"/>
              </w:divBdr>
              <w:divsChild>
                <w:div w:id="12229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178206">
      <w:bodyDiv w:val="1"/>
      <w:marLeft w:val="0"/>
      <w:marRight w:val="0"/>
      <w:marTop w:val="0"/>
      <w:marBottom w:val="0"/>
      <w:divBdr>
        <w:top w:val="none" w:sz="0" w:space="0" w:color="auto"/>
        <w:left w:val="none" w:sz="0" w:space="0" w:color="auto"/>
        <w:bottom w:val="none" w:sz="0" w:space="0" w:color="auto"/>
        <w:right w:val="none" w:sz="0" w:space="0" w:color="auto"/>
      </w:divBdr>
      <w:divsChild>
        <w:div w:id="437607726">
          <w:marLeft w:val="0"/>
          <w:marRight w:val="0"/>
          <w:marTop w:val="0"/>
          <w:marBottom w:val="0"/>
          <w:divBdr>
            <w:top w:val="none" w:sz="0" w:space="0" w:color="auto"/>
            <w:left w:val="none" w:sz="0" w:space="0" w:color="auto"/>
            <w:bottom w:val="none" w:sz="0" w:space="0" w:color="auto"/>
            <w:right w:val="none" w:sz="0" w:space="0" w:color="auto"/>
          </w:divBdr>
          <w:divsChild>
            <w:div w:id="61217761">
              <w:marLeft w:val="0"/>
              <w:marRight w:val="0"/>
              <w:marTop w:val="0"/>
              <w:marBottom w:val="0"/>
              <w:divBdr>
                <w:top w:val="none" w:sz="0" w:space="0" w:color="auto"/>
                <w:left w:val="none" w:sz="0" w:space="0" w:color="auto"/>
                <w:bottom w:val="none" w:sz="0" w:space="0" w:color="auto"/>
                <w:right w:val="none" w:sz="0" w:space="0" w:color="auto"/>
              </w:divBdr>
              <w:divsChild>
                <w:div w:id="722560577">
                  <w:marLeft w:val="0"/>
                  <w:marRight w:val="0"/>
                  <w:marTop w:val="0"/>
                  <w:marBottom w:val="0"/>
                  <w:divBdr>
                    <w:top w:val="none" w:sz="0" w:space="0" w:color="auto"/>
                    <w:left w:val="none" w:sz="0" w:space="0" w:color="auto"/>
                    <w:bottom w:val="none" w:sz="0" w:space="0" w:color="auto"/>
                    <w:right w:val="none" w:sz="0" w:space="0" w:color="auto"/>
                  </w:divBdr>
                  <w:divsChild>
                    <w:div w:id="114670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4273">
      <w:bodyDiv w:val="1"/>
      <w:marLeft w:val="0"/>
      <w:marRight w:val="0"/>
      <w:marTop w:val="0"/>
      <w:marBottom w:val="0"/>
      <w:divBdr>
        <w:top w:val="none" w:sz="0" w:space="0" w:color="auto"/>
        <w:left w:val="none" w:sz="0" w:space="0" w:color="auto"/>
        <w:bottom w:val="none" w:sz="0" w:space="0" w:color="auto"/>
        <w:right w:val="none" w:sz="0" w:space="0" w:color="auto"/>
      </w:divBdr>
      <w:divsChild>
        <w:div w:id="2014138610">
          <w:marLeft w:val="0"/>
          <w:marRight w:val="0"/>
          <w:marTop w:val="0"/>
          <w:marBottom w:val="0"/>
          <w:divBdr>
            <w:top w:val="none" w:sz="0" w:space="0" w:color="auto"/>
            <w:left w:val="none" w:sz="0" w:space="0" w:color="auto"/>
            <w:bottom w:val="none" w:sz="0" w:space="0" w:color="auto"/>
            <w:right w:val="none" w:sz="0" w:space="0" w:color="auto"/>
          </w:divBdr>
          <w:divsChild>
            <w:div w:id="2006667259">
              <w:marLeft w:val="0"/>
              <w:marRight w:val="0"/>
              <w:marTop w:val="0"/>
              <w:marBottom w:val="0"/>
              <w:divBdr>
                <w:top w:val="none" w:sz="0" w:space="0" w:color="auto"/>
                <w:left w:val="none" w:sz="0" w:space="0" w:color="auto"/>
                <w:bottom w:val="none" w:sz="0" w:space="0" w:color="auto"/>
                <w:right w:val="none" w:sz="0" w:space="0" w:color="auto"/>
              </w:divBdr>
              <w:divsChild>
                <w:div w:id="1679236935">
                  <w:marLeft w:val="0"/>
                  <w:marRight w:val="0"/>
                  <w:marTop w:val="0"/>
                  <w:marBottom w:val="0"/>
                  <w:divBdr>
                    <w:top w:val="none" w:sz="0" w:space="0" w:color="auto"/>
                    <w:left w:val="none" w:sz="0" w:space="0" w:color="auto"/>
                    <w:bottom w:val="none" w:sz="0" w:space="0" w:color="auto"/>
                    <w:right w:val="none" w:sz="0" w:space="0" w:color="auto"/>
                  </w:divBdr>
                  <w:divsChild>
                    <w:div w:id="24118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791005">
      <w:bodyDiv w:val="1"/>
      <w:marLeft w:val="0"/>
      <w:marRight w:val="0"/>
      <w:marTop w:val="0"/>
      <w:marBottom w:val="0"/>
      <w:divBdr>
        <w:top w:val="none" w:sz="0" w:space="0" w:color="auto"/>
        <w:left w:val="none" w:sz="0" w:space="0" w:color="auto"/>
        <w:bottom w:val="none" w:sz="0" w:space="0" w:color="auto"/>
        <w:right w:val="none" w:sz="0" w:space="0" w:color="auto"/>
      </w:divBdr>
    </w:div>
    <w:div w:id="2079863128">
      <w:bodyDiv w:val="1"/>
      <w:marLeft w:val="0"/>
      <w:marRight w:val="0"/>
      <w:marTop w:val="0"/>
      <w:marBottom w:val="0"/>
      <w:divBdr>
        <w:top w:val="none" w:sz="0" w:space="0" w:color="auto"/>
        <w:left w:val="none" w:sz="0" w:space="0" w:color="auto"/>
        <w:bottom w:val="none" w:sz="0" w:space="0" w:color="auto"/>
        <w:right w:val="none" w:sz="0" w:space="0" w:color="auto"/>
      </w:divBdr>
      <w:divsChild>
        <w:div w:id="65539243">
          <w:marLeft w:val="0"/>
          <w:marRight w:val="0"/>
          <w:marTop w:val="0"/>
          <w:marBottom w:val="0"/>
          <w:divBdr>
            <w:top w:val="none" w:sz="0" w:space="0" w:color="auto"/>
            <w:left w:val="none" w:sz="0" w:space="0" w:color="auto"/>
            <w:bottom w:val="none" w:sz="0" w:space="0" w:color="auto"/>
            <w:right w:val="none" w:sz="0" w:space="0" w:color="auto"/>
          </w:divBdr>
          <w:divsChild>
            <w:div w:id="78064570">
              <w:marLeft w:val="0"/>
              <w:marRight w:val="0"/>
              <w:marTop w:val="0"/>
              <w:marBottom w:val="0"/>
              <w:divBdr>
                <w:top w:val="none" w:sz="0" w:space="0" w:color="auto"/>
                <w:left w:val="none" w:sz="0" w:space="0" w:color="auto"/>
                <w:bottom w:val="none" w:sz="0" w:space="0" w:color="auto"/>
                <w:right w:val="none" w:sz="0" w:space="0" w:color="auto"/>
              </w:divBdr>
              <w:divsChild>
                <w:div w:id="1262496894">
                  <w:marLeft w:val="0"/>
                  <w:marRight w:val="0"/>
                  <w:marTop w:val="0"/>
                  <w:marBottom w:val="0"/>
                  <w:divBdr>
                    <w:top w:val="none" w:sz="0" w:space="0" w:color="auto"/>
                    <w:left w:val="none" w:sz="0" w:space="0" w:color="auto"/>
                    <w:bottom w:val="none" w:sz="0" w:space="0" w:color="auto"/>
                    <w:right w:val="none" w:sz="0" w:space="0" w:color="auto"/>
                  </w:divBdr>
                  <w:divsChild>
                    <w:div w:id="152636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9F604-5B37-41C9-860D-B432C1198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1481</Words>
  <Characters>8446</Characters>
  <Application>Microsoft Office Word</Application>
  <DocSecurity>0</DocSecurity>
  <Lines>70</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2015-02-02T07:28:00Z</cp:lastPrinted>
  <dcterms:created xsi:type="dcterms:W3CDTF">2023-03-13T02:56:00Z</dcterms:created>
  <dcterms:modified xsi:type="dcterms:W3CDTF">2023-03-13T02:57:00Z</dcterms:modified>
</cp:coreProperties>
</file>