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B4D1E" w:rsidRPr="00723BE9" w14:paraId="0C823664" w14:textId="77777777" w:rsidTr="00940A5F">
        <w:trPr>
          <w:cantSplit/>
          <w:trHeight w:val="288"/>
        </w:trPr>
        <w:tc>
          <w:tcPr>
            <w:tcW w:w="1399" w:type="dxa"/>
            <w:vMerge w:val="restart"/>
          </w:tcPr>
          <w:p w14:paraId="15C5AA66" w14:textId="77777777" w:rsidR="00FB4D1E" w:rsidRPr="00891D0B" w:rsidRDefault="00FB4D1E" w:rsidP="00940A5F">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04C525E0" wp14:editId="1A4ABC99">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B26BCA8" w14:textId="77777777" w:rsidR="00FB4D1E" w:rsidRPr="00E86131" w:rsidRDefault="00FB4D1E" w:rsidP="00940A5F">
            <w:r w:rsidRPr="00E86131">
              <w:t>ASIA-PACIFIC TELECOMMUNITY</w:t>
            </w:r>
          </w:p>
        </w:tc>
        <w:tc>
          <w:tcPr>
            <w:tcW w:w="2160" w:type="dxa"/>
          </w:tcPr>
          <w:p w14:paraId="78205C4F" w14:textId="77777777" w:rsidR="00FB4D1E" w:rsidRPr="00723BE9" w:rsidRDefault="00FB4D1E" w:rsidP="00940A5F">
            <w:pPr>
              <w:rPr>
                <w:b/>
                <w:sz w:val="22"/>
                <w:szCs w:val="22"/>
              </w:rPr>
            </w:pPr>
            <w:r w:rsidRPr="00723BE9">
              <w:rPr>
                <w:b/>
              </w:rPr>
              <w:t>Document No:</w:t>
            </w:r>
          </w:p>
        </w:tc>
      </w:tr>
      <w:tr w:rsidR="00FB4D1E" w14:paraId="4CF9876A" w14:textId="77777777" w:rsidTr="00940A5F">
        <w:trPr>
          <w:cantSplit/>
          <w:trHeight w:val="504"/>
        </w:trPr>
        <w:tc>
          <w:tcPr>
            <w:tcW w:w="1399" w:type="dxa"/>
            <w:vMerge/>
          </w:tcPr>
          <w:p w14:paraId="7A6D5F2F" w14:textId="77777777" w:rsidR="00FB4D1E" w:rsidRPr="00891D0B" w:rsidRDefault="00FB4D1E" w:rsidP="00940A5F"/>
        </w:tc>
        <w:tc>
          <w:tcPr>
            <w:tcW w:w="5760" w:type="dxa"/>
          </w:tcPr>
          <w:p w14:paraId="50E98B81" w14:textId="77777777" w:rsidR="00FB4D1E" w:rsidRDefault="00FB4D1E" w:rsidP="00940A5F">
            <w:pPr>
              <w:spacing w:line="0" w:lineRule="atLeast"/>
              <w:rPr>
                <w:b/>
              </w:rPr>
            </w:pPr>
            <w:r>
              <w:rPr>
                <w:b/>
              </w:rPr>
              <w:t>The 5th Meeting of the APT Conference Preparatory</w:t>
            </w:r>
          </w:p>
          <w:p w14:paraId="2A99B067" w14:textId="77777777" w:rsidR="00FB4D1E" w:rsidRPr="00891D0B" w:rsidRDefault="00FB4D1E" w:rsidP="00940A5F">
            <w:pPr>
              <w:spacing w:line="0" w:lineRule="atLeast"/>
            </w:pPr>
            <w:r>
              <w:rPr>
                <w:b/>
              </w:rPr>
              <w:t>Group for WRC-23 (APG23-5)</w:t>
            </w:r>
          </w:p>
        </w:tc>
        <w:tc>
          <w:tcPr>
            <w:tcW w:w="2160" w:type="dxa"/>
          </w:tcPr>
          <w:p w14:paraId="65111F68" w14:textId="076F4A05" w:rsidR="00FB4D1E" w:rsidRPr="00CE7799" w:rsidRDefault="00FB4D1E" w:rsidP="00940A5F">
            <w:pPr>
              <w:rPr>
                <w:rFonts w:cstheme="minorBidi"/>
                <w:b/>
                <w:bCs/>
                <w:szCs w:val="30"/>
                <w:lang w:bidi="th-TH"/>
              </w:rPr>
            </w:pPr>
            <w:r w:rsidRPr="00C96104">
              <w:rPr>
                <w:b/>
                <w:bCs/>
                <w:lang w:val="fr-FR"/>
              </w:rPr>
              <w:t>AP</w:t>
            </w:r>
            <w:r>
              <w:rPr>
                <w:b/>
                <w:bCs/>
                <w:lang w:val="fr-FR"/>
              </w:rPr>
              <w:t>G23-5/</w:t>
            </w:r>
            <w:r w:rsidR="002C10D3">
              <w:rPr>
                <w:b/>
                <w:bCs/>
                <w:lang w:val="fr-FR"/>
              </w:rPr>
              <w:t>OUT</w:t>
            </w:r>
            <w:r>
              <w:rPr>
                <w:b/>
                <w:bCs/>
                <w:lang w:val="fr-FR"/>
              </w:rPr>
              <w:t>-0</w:t>
            </w:r>
            <w:r w:rsidR="002C10D3">
              <w:rPr>
                <w:rFonts w:cstheme="minorBidi"/>
                <w:b/>
                <w:bCs/>
                <w:szCs w:val="30"/>
                <w:lang w:bidi="th-TH"/>
              </w:rPr>
              <w:t>8</w:t>
            </w:r>
          </w:p>
          <w:p w14:paraId="5CEEB744" w14:textId="77777777" w:rsidR="00FB4D1E" w:rsidRDefault="00FB4D1E" w:rsidP="00940A5F">
            <w:pPr>
              <w:spacing w:line="0" w:lineRule="atLeast"/>
              <w:rPr>
                <w:b/>
              </w:rPr>
            </w:pPr>
          </w:p>
        </w:tc>
      </w:tr>
      <w:tr w:rsidR="00FB4D1E" w14:paraId="015A4A68" w14:textId="77777777" w:rsidTr="00940A5F">
        <w:trPr>
          <w:cantSplit/>
          <w:trHeight w:val="288"/>
        </w:trPr>
        <w:tc>
          <w:tcPr>
            <w:tcW w:w="1399" w:type="dxa"/>
            <w:vMerge/>
          </w:tcPr>
          <w:p w14:paraId="1BCCD3F0" w14:textId="77777777" w:rsidR="00FB4D1E" w:rsidRPr="007E1FDD" w:rsidRDefault="00FB4D1E" w:rsidP="00940A5F">
            <w:pPr>
              <w:rPr>
                <w:lang w:val="en-GB"/>
              </w:rPr>
            </w:pPr>
          </w:p>
        </w:tc>
        <w:tc>
          <w:tcPr>
            <w:tcW w:w="5760" w:type="dxa"/>
            <w:vAlign w:val="bottom"/>
          </w:tcPr>
          <w:p w14:paraId="1BEB5D48" w14:textId="77777777" w:rsidR="00FB4D1E" w:rsidRPr="007F0AE6" w:rsidRDefault="00FB4D1E" w:rsidP="00940A5F">
            <w:pPr>
              <w:rPr>
                <w:bCs/>
              </w:rPr>
            </w:pPr>
            <w:r>
              <w:t>20 – 25 February 2023</w:t>
            </w:r>
            <w:r w:rsidRPr="00891D0B">
              <w:t xml:space="preserve">, </w:t>
            </w:r>
            <w:r>
              <w:t>Busan</w:t>
            </w:r>
            <w:r>
              <w:rPr>
                <w:bCs/>
              </w:rPr>
              <w:t>, Republic of Korea</w:t>
            </w:r>
          </w:p>
        </w:tc>
        <w:tc>
          <w:tcPr>
            <w:tcW w:w="2160" w:type="dxa"/>
            <w:vAlign w:val="bottom"/>
          </w:tcPr>
          <w:p w14:paraId="2F664463" w14:textId="27152D22" w:rsidR="00FB4D1E" w:rsidRDefault="00FB4D1E" w:rsidP="00940A5F">
            <w:r>
              <w:rPr>
                <w:bCs/>
              </w:rPr>
              <w:t>2</w:t>
            </w:r>
            <w:r w:rsidR="002C10D3">
              <w:rPr>
                <w:bCs/>
              </w:rPr>
              <w:t>4</w:t>
            </w:r>
            <w:r>
              <w:rPr>
                <w:bCs/>
              </w:rPr>
              <w:t xml:space="preserve"> February 2023</w:t>
            </w:r>
          </w:p>
        </w:tc>
      </w:tr>
    </w:tbl>
    <w:p w14:paraId="7FE53358" w14:textId="77777777" w:rsidR="00FB4D1E" w:rsidRDefault="00FB4D1E" w:rsidP="00FB4D1E">
      <w:pPr>
        <w:rPr>
          <w:lang w:val="en-NZ"/>
        </w:rPr>
      </w:pPr>
    </w:p>
    <w:p w14:paraId="16EFC6AF" w14:textId="77777777" w:rsidR="00FB4D1E" w:rsidRDefault="00FB4D1E" w:rsidP="00FB4D1E">
      <w:pPr>
        <w:jc w:val="center"/>
        <w:rPr>
          <w:lang w:val="en-NZ" w:eastAsia="ko-KR"/>
        </w:rPr>
      </w:pPr>
    </w:p>
    <w:p w14:paraId="07A5F56E" w14:textId="786B28FD" w:rsidR="00FB4D1E" w:rsidRPr="002A0111" w:rsidRDefault="002C10D3" w:rsidP="00FB4D1E">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42106FB7"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25197">
        <w:rPr>
          <w:b/>
          <w:bCs/>
          <w:caps/>
          <w:lang w:val="en-NZ"/>
        </w:rPr>
        <w:t>5</w:t>
      </w:r>
    </w:p>
    <w:p w14:paraId="18056C90" w14:textId="77777777" w:rsidR="00B64A60" w:rsidRPr="00441526" w:rsidRDefault="00B64A60" w:rsidP="00264566">
      <w:pPr>
        <w:spacing w:after="120"/>
        <w:rPr>
          <w:lang w:val="en-NZ"/>
        </w:rPr>
      </w:pPr>
    </w:p>
    <w:p w14:paraId="23228B95" w14:textId="160090CB" w:rsidR="002A0111" w:rsidRPr="00441526" w:rsidRDefault="002A0111" w:rsidP="002A0111">
      <w:pPr>
        <w:spacing w:after="120"/>
        <w:jc w:val="both"/>
        <w:rPr>
          <w:lang w:val="en-NZ"/>
        </w:rPr>
      </w:pPr>
      <w:r w:rsidRPr="00441526">
        <w:rPr>
          <w:b/>
          <w:lang w:val="en-NZ"/>
        </w:rPr>
        <w:t>Agenda Item 1.</w:t>
      </w:r>
      <w:r w:rsidR="00925197">
        <w:rPr>
          <w:b/>
          <w:lang w:val="en-NZ"/>
        </w:rPr>
        <w:t>5</w:t>
      </w:r>
      <w:r w:rsidRPr="00441526">
        <w:rPr>
          <w:b/>
          <w:lang w:val="en-NZ"/>
        </w:rPr>
        <w:t xml:space="preserve">: </w:t>
      </w:r>
    </w:p>
    <w:p w14:paraId="1057F58F" w14:textId="77777777" w:rsidR="00925197" w:rsidRPr="003E0AFE" w:rsidRDefault="00925197" w:rsidP="006C5616">
      <w:pPr>
        <w:pStyle w:val="ListParagraph"/>
        <w:ind w:left="0"/>
        <w:jc w:val="both"/>
        <w:rPr>
          <w:rFonts w:ascii="Calibri" w:eastAsia="Batang" w:hAnsi="Calibri" w:cs="Calibri"/>
          <w:lang w:eastAsia="nl-NL"/>
        </w:rPr>
      </w:pPr>
      <w:r w:rsidRPr="009D055C">
        <w:rPr>
          <w:i/>
          <w:lang w:val="en-NZ"/>
        </w:rPr>
        <w:t xml:space="preserve">to review the </w:t>
      </w:r>
      <w:proofErr w:type="gramStart"/>
      <w:r w:rsidRPr="009D055C">
        <w:rPr>
          <w:i/>
          <w:lang w:val="en-NZ"/>
        </w:rPr>
        <w:t>spectrum</w:t>
      </w:r>
      <w:proofErr w:type="gramEnd"/>
      <w:r w:rsidRPr="009D055C">
        <w:rPr>
          <w:i/>
          <w:lang w:val="en-NZ"/>
        </w:rPr>
        <w:t xml:space="preserve"> use and spectrum needs of existing services in the frequency band 470-960 MHz in Region 1 and consider possible regulatory actions in the frequency band 470</w:t>
      </w:r>
      <w:r w:rsidRPr="009D055C">
        <w:rPr>
          <w:i/>
          <w:lang w:val="en-NZ"/>
        </w:rPr>
        <w:noBreakHyphen/>
        <w:t xml:space="preserve">694 MHz in Region 1 on the basis of the review in accordance with Resolution </w:t>
      </w:r>
      <w:r w:rsidRPr="00A767AF">
        <w:rPr>
          <w:b/>
          <w:i/>
          <w:lang w:val="en-NZ"/>
        </w:rPr>
        <w:t>235 (WRC</w:t>
      </w:r>
      <w:r w:rsidRPr="00A767AF">
        <w:rPr>
          <w:b/>
          <w:i/>
          <w:lang w:val="en-NZ"/>
        </w:rPr>
        <w:noBreakHyphen/>
        <w:t>15)</w:t>
      </w:r>
      <w:r w:rsidRPr="009D055C">
        <w:rPr>
          <w:i/>
          <w:lang w:val="en-NZ"/>
        </w:rPr>
        <w:t>;</w:t>
      </w:r>
    </w:p>
    <w:p w14:paraId="20149A04" w14:textId="77777777" w:rsidR="005C568F" w:rsidRDefault="005C568F" w:rsidP="00B40853">
      <w:pPr>
        <w:spacing w:before="120" w:after="120"/>
        <w:jc w:val="both"/>
        <w:outlineLvl w:val="0"/>
        <w:rPr>
          <w:b/>
          <w:lang w:val="en-NZ" w:eastAsia="ko-KR"/>
        </w:rPr>
      </w:pPr>
    </w:p>
    <w:p w14:paraId="6B4E33B5" w14:textId="3E60530E" w:rsidR="002A0111" w:rsidRPr="00441526" w:rsidRDefault="002A0111" w:rsidP="00B40853">
      <w:pPr>
        <w:spacing w:before="120" w:after="120"/>
        <w:jc w:val="both"/>
        <w:outlineLvl w:val="0"/>
        <w:rPr>
          <w:b/>
          <w:lang w:val="en-NZ" w:eastAsia="ko-KR"/>
        </w:rPr>
      </w:pPr>
      <w:r w:rsidRPr="00441526">
        <w:rPr>
          <w:b/>
          <w:lang w:val="en-NZ" w:eastAsia="ko-KR"/>
        </w:rPr>
        <w:t>1.</w:t>
      </w:r>
      <w:r w:rsidRPr="00441526">
        <w:rPr>
          <w:b/>
          <w:lang w:val="en-NZ" w:eastAsia="ko-KR"/>
        </w:rPr>
        <w:tab/>
        <w:t>Background</w:t>
      </w:r>
    </w:p>
    <w:p w14:paraId="29A1E731" w14:textId="4FA4F291" w:rsidR="00206A33" w:rsidRDefault="008B3E43" w:rsidP="00206A33">
      <w:pPr>
        <w:spacing w:before="120"/>
        <w:jc w:val="both"/>
        <w:rPr>
          <w:bCs/>
          <w:lang w:val="en-GB" w:eastAsia="zh-CN"/>
        </w:rPr>
      </w:pPr>
      <w:r>
        <w:rPr>
          <w:rFonts w:hint="eastAsia"/>
          <w:bCs/>
          <w:lang w:val="en-GB" w:eastAsia="ko-KR"/>
        </w:rPr>
        <w:t>The</w:t>
      </w:r>
      <w:r>
        <w:rPr>
          <w:bCs/>
          <w:lang w:val="en-GB" w:eastAsia="zh-CN"/>
        </w:rPr>
        <w:t xml:space="preserve"> </w:t>
      </w:r>
      <w:r>
        <w:rPr>
          <w:rFonts w:hint="eastAsia"/>
          <w:bCs/>
          <w:lang w:val="en-GB" w:eastAsia="ko-KR"/>
        </w:rPr>
        <w:t>s</w:t>
      </w:r>
      <w:r w:rsidR="00206A33" w:rsidRPr="00152A11">
        <w:rPr>
          <w:bCs/>
          <w:lang w:val="en-GB" w:eastAsia="zh-CN"/>
        </w:rPr>
        <w:t>pectrum below 1 GHz is exceptionally well suited for</w:t>
      </w:r>
      <w:r w:rsidR="00206A33">
        <w:rPr>
          <w:bCs/>
          <w:lang w:val="en-GB" w:eastAsia="zh-CN"/>
        </w:rPr>
        <w:t xml:space="preserve"> mobile broadband applications.</w:t>
      </w:r>
      <w:r w:rsidR="00206A33" w:rsidRPr="00152A11">
        <w:rPr>
          <w:bCs/>
          <w:lang w:val="en-GB" w:eastAsia="zh-CN"/>
        </w:rPr>
        <w:t xml:space="preserve"> In particular, the unique propagation characteristics of the bands below 1 GHz allow for wider area coverage, which in turn requires fewer infrastructures and facilitates service delivery to rural or sparsely populated areas.</w:t>
      </w:r>
    </w:p>
    <w:p w14:paraId="432F0437" w14:textId="7D7F720B" w:rsidR="00206A33" w:rsidRDefault="00206A33" w:rsidP="00206A33">
      <w:pPr>
        <w:autoSpaceDE w:val="0"/>
        <w:autoSpaceDN w:val="0"/>
        <w:adjustRightInd w:val="0"/>
        <w:spacing w:before="120"/>
        <w:jc w:val="both"/>
        <w:rPr>
          <w:rFonts w:eastAsiaTheme="minorEastAsia"/>
          <w:lang w:val="en-NZ" w:eastAsia="zh-CN"/>
        </w:rPr>
      </w:pPr>
      <w:r>
        <w:t xml:space="preserve">During </w:t>
      </w:r>
      <w:r w:rsidRPr="00113916">
        <w:rPr>
          <w:bCs/>
        </w:rPr>
        <w:t>WRC-15</w:t>
      </w:r>
      <w:r>
        <w:t xml:space="preserve">, after </w:t>
      </w:r>
      <w:r w:rsidR="008B3E43">
        <w:rPr>
          <w:rFonts w:hint="eastAsia"/>
          <w:lang w:eastAsia="ko-KR"/>
        </w:rPr>
        <w:t>a</w:t>
      </w:r>
      <w:r w:rsidR="008B3E43">
        <w:t xml:space="preserve"> </w:t>
      </w:r>
      <w:r>
        <w:t xml:space="preserve">proposal of </w:t>
      </w:r>
      <w:r w:rsidRPr="00113916">
        <w:rPr>
          <w:bCs/>
        </w:rPr>
        <w:t>WRC-19</w:t>
      </w:r>
      <w:r>
        <w:t xml:space="preserve"> agenda item by multiple Region 1 administrations for studying Region 1 identification of 470-694/698 MHz for IMT and consequent Plenary-session </w:t>
      </w:r>
      <w:r w:rsidRPr="003E0724">
        <w:rPr>
          <w:lang w:val="en-NZ"/>
        </w:rPr>
        <w:t>discussions</w:t>
      </w:r>
      <w:r>
        <w:t xml:space="preserve">, an agenda item was proposed for </w:t>
      </w:r>
      <w:r w:rsidRPr="00113916">
        <w:rPr>
          <w:bCs/>
        </w:rPr>
        <w:t>WRC-23</w:t>
      </w:r>
      <w:r w:rsidRPr="00730AE5">
        <w:t>,</w:t>
      </w:r>
      <w:r>
        <w:rPr>
          <w:b/>
          <w:bCs/>
        </w:rPr>
        <w:t xml:space="preserve"> </w:t>
      </w:r>
      <w:r>
        <w:t xml:space="preserve">as item </w:t>
      </w:r>
      <w:r w:rsidRPr="00113916">
        <w:rPr>
          <w:bCs/>
        </w:rPr>
        <w:t>2.5</w:t>
      </w:r>
      <w:r>
        <w:t xml:space="preserve"> in the Resolution </w:t>
      </w:r>
      <w:r w:rsidRPr="00F551FB">
        <w:rPr>
          <w:b/>
          <w:bCs/>
        </w:rPr>
        <w:t>810 (WRC-15)</w:t>
      </w:r>
      <w:r>
        <w:t xml:space="preserve">. This proposal was approved in </w:t>
      </w:r>
      <w:r w:rsidRPr="00113916">
        <w:rPr>
          <w:bCs/>
        </w:rPr>
        <w:t>WRC-19</w:t>
      </w:r>
      <w:r>
        <w:t xml:space="preserve"> as </w:t>
      </w:r>
      <w:r w:rsidR="00BE5007">
        <w:t>a</w:t>
      </w:r>
      <w:r>
        <w:t xml:space="preserve">genda </w:t>
      </w:r>
      <w:r w:rsidR="00BE5007">
        <w:t>i</w:t>
      </w:r>
      <w:r>
        <w:t xml:space="preserve">tem </w:t>
      </w:r>
      <w:r>
        <w:rPr>
          <w:bCs/>
        </w:rPr>
        <w:t>1.5</w:t>
      </w:r>
      <w:r>
        <w:t xml:space="preserve"> and the relevant Resolution </w:t>
      </w:r>
      <w:r w:rsidRPr="00A631BD">
        <w:rPr>
          <w:b/>
          <w:bCs/>
        </w:rPr>
        <w:t>235</w:t>
      </w:r>
      <w:r>
        <w:t xml:space="preserve"> </w:t>
      </w:r>
      <w:r w:rsidRPr="00A32668">
        <w:rPr>
          <w:b/>
          <w:bCs/>
        </w:rPr>
        <w:t>(WRC-15)</w:t>
      </w:r>
      <w:r w:rsidR="008B3E43" w:rsidRPr="0067757F">
        <w:t xml:space="preserve"> </w:t>
      </w:r>
      <w:r w:rsidR="008B3E43" w:rsidRPr="0067757F">
        <w:rPr>
          <w:lang w:eastAsia="ko-KR"/>
        </w:rPr>
        <w:t>was</w:t>
      </w:r>
      <w:r>
        <w:t xml:space="preserve"> kept intact.</w:t>
      </w:r>
      <w:r w:rsidRPr="004C34AF">
        <w:rPr>
          <w:rFonts w:eastAsiaTheme="minorEastAsia"/>
          <w:lang w:val="en-NZ" w:eastAsia="zh-CN"/>
        </w:rPr>
        <w:t xml:space="preserve"> </w:t>
      </w:r>
    </w:p>
    <w:p w14:paraId="7DC17B68" w14:textId="05FA9765" w:rsidR="00206A33" w:rsidRPr="00A00FFB" w:rsidRDefault="00206A33" w:rsidP="00206A33">
      <w:pPr>
        <w:autoSpaceDE w:val="0"/>
        <w:autoSpaceDN w:val="0"/>
        <w:adjustRightInd w:val="0"/>
        <w:spacing w:before="120"/>
        <w:jc w:val="both"/>
        <w:rPr>
          <w:lang w:val="en-NZ"/>
        </w:rPr>
      </w:pPr>
      <w:r>
        <w:t xml:space="preserve">Resolution </w:t>
      </w:r>
      <w:r w:rsidRPr="00A631BD">
        <w:rPr>
          <w:b/>
          <w:bCs/>
        </w:rPr>
        <w:t>235</w:t>
      </w:r>
      <w:r>
        <w:t xml:space="preserve"> </w:t>
      </w:r>
      <w:r w:rsidRPr="00A32668">
        <w:rPr>
          <w:b/>
          <w:bCs/>
        </w:rPr>
        <w:t>(WRC-15)</w:t>
      </w:r>
      <w:r w:rsidRPr="00F23CD1">
        <w:t xml:space="preserve"> invites </w:t>
      </w:r>
      <w:r>
        <w:t xml:space="preserve">ITU-R </w:t>
      </w:r>
      <w:r w:rsidRPr="001050A7">
        <w:rPr>
          <w:lang w:val="en-NZ"/>
        </w:rPr>
        <w:t>to review the spectrum use and study the spectrum needs of existing services within the frequency band 470-960 MHz in Region 1, in particular the spectrum requirements of the broadcasting and mobile, except aeronautical mobile, services</w:t>
      </w:r>
      <w:r>
        <w:rPr>
          <w:lang w:val="en-NZ"/>
        </w:rPr>
        <w:t xml:space="preserve">. Furthermore, </w:t>
      </w:r>
      <w:r>
        <w:t>ITU-R</w:t>
      </w:r>
      <w:r w:rsidR="008F29F6">
        <w:t xml:space="preserve"> </w:t>
      </w:r>
      <w:r w:rsidR="008F29F6">
        <w:rPr>
          <w:rFonts w:hint="eastAsia"/>
          <w:lang w:eastAsia="ko-KR"/>
        </w:rPr>
        <w:t>is</w:t>
      </w:r>
      <w:r>
        <w:t xml:space="preserve"> invited </w:t>
      </w:r>
      <w:r w:rsidRPr="001050A7">
        <w:rPr>
          <w:lang w:val="en-NZ"/>
        </w:rPr>
        <w:t>to carry out sharing and compatibility studies, as appropriate, in the frequency band 470</w:t>
      </w:r>
      <w:r w:rsidRPr="001050A7">
        <w:rPr>
          <w:lang w:val="en-NZ"/>
        </w:rPr>
        <w:noBreakHyphen/>
        <w:t xml:space="preserve">694 MHz in Region 1 between the broadcasting and mobile, except aeronautical mobile, services, </w:t>
      </w:r>
      <w:r>
        <w:rPr>
          <w:lang w:val="en-NZ"/>
        </w:rPr>
        <w:t xml:space="preserve">as well as </w:t>
      </w:r>
      <w:r w:rsidRPr="001050A7">
        <w:rPr>
          <w:lang w:val="en-NZ"/>
        </w:rPr>
        <w:t>to conduct sharing and compatibility studies, as appropriate, in order to provide relevant protection of systems of other exis</w:t>
      </w:r>
      <w:r>
        <w:rPr>
          <w:lang w:val="en-NZ"/>
        </w:rPr>
        <w:t xml:space="preserve">ting services. At the end, this Resolution limits WRC-23 to take </w:t>
      </w:r>
      <w:r w:rsidRPr="00A00FFB">
        <w:rPr>
          <w:lang w:val="en-NZ"/>
        </w:rPr>
        <w:t>possible regulatory actions in the frequency band 470-694 MHz in Region 1, as</w:t>
      </w:r>
      <w:r>
        <w:rPr>
          <w:lang w:val="en-NZ"/>
        </w:rPr>
        <w:t xml:space="preserve"> </w:t>
      </w:r>
      <w:r w:rsidRPr="00A00FFB">
        <w:rPr>
          <w:lang w:val="en-NZ"/>
        </w:rPr>
        <w:t>appropriate,</w:t>
      </w:r>
      <w:r>
        <w:rPr>
          <w:lang w:val="en-NZ"/>
        </w:rPr>
        <w:t xml:space="preserve"> </w:t>
      </w:r>
      <w:r w:rsidRPr="00A00FFB">
        <w:rPr>
          <w:lang w:val="en-NZ"/>
        </w:rPr>
        <w:t>based on the results of</w:t>
      </w:r>
      <w:r w:rsidR="008F29F6">
        <w:rPr>
          <w:lang w:val="en-NZ"/>
        </w:rPr>
        <w:t xml:space="preserve"> </w:t>
      </w:r>
      <w:r w:rsidR="008F29F6">
        <w:rPr>
          <w:rFonts w:hint="eastAsia"/>
          <w:lang w:val="en-NZ" w:eastAsia="ko-KR"/>
        </w:rPr>
        <w:t>the</w:t>
      </w:r>
      <w:r w:rsidRPr="00A00FFB">
        <w:rPr>
          <w:lang w:val="en-NZ"/>
        </w:rPr>
        <w:t xml:space="preserve"> </w:t>
      </w:r>
      <w:r>
        <w:rPr>
          <w:lang w:val="en-NZ"/>
        </w:rPr>
        <w:t xml:space="preserve">completed </w:t>
      </w:r>
      <w:r w:rsidRPr="00A00FFB">
        <w:rPr>
          <w:lang w:val="en-NZ"/>
        </w:rPr>
        <w:t>studies above</w:t>
      </w:r>
      <w:r>
        <w:rPr>
          <w:lang w:val="en-NZ"/>
        </w:rPr>
        <w:t>.</w:t>
      </w:r>
    </w:p>
    <w:p w14:paraId="00873639" w14:textId="490354C2" w:rsidR="00206A33" w:rsidRDefault="00206A33" w:rsidP="00CE0237">
      <w:pPr>
        <w:autoSpaceDE w:val="0"/>
        <w:autoSpaceDN w:val="0"/>
        <w:jc w:val="both"/>
        <w:rPr>
          <w:bCs/>
        </w:rPr>
      </w:pPr>
      <w:r w:rsidRPr="00936C98">
        <w:rPr>
          <w:lang w:val="en-NZ"/>
        </w:rPr>
        <w:t xml:space="preserve">Task Group 6/1 (TG 6/1) was established by </w:t>
      </w:r>
      <w:hyperlink r:id="rId9" w:history="1">
        <w:r w:rsidRPr="00936C98">
          <w:rPr>
            <w:rStyle w:val="Hyperlink"/>
            <w:lang w:val="en-NZ"/>
          </w:rPr>
          <w:t>CPM23-1</w:t>
        </w:r>
      </w:hyperlink>
      <w:r w:rsidRPr="00936C98">
        <w:rPr>
          <w:lang w:val="en-NZ"/>
        </w:rPr>
        <w:t xml:space="preserve"> to be responsible group for conduction of </w:t>
      </w:r>
      <w:r w:rsidR="00C97143">
        <w:rPr>
          <w:lang w:val="en-NZ"/>
        </w:rPr>
        <w:t>a</w:t>
      </w:r>
      <w:r w:rsidRPr="00936C98">
        <w:rPr>
          <w:lang w:val="en-NZ"/>
        </w:rPr>
        <w:t xml:space="preserve">genda </w:t>
      </w:r>
      <w:r w:rsidR="00C97143">
        <w:rPr>
          <w:lang w:val="en-NZ"/>
        </w:rPr>
        <w:t>i</w:t>
      </w:r>
      <w:r w:rsidRPr="00936C98">
        <w:rPr>
          <w:lang w:val="en-NZ"/>
        </w:rPr>
        <w:t xml:space="preserve">tem 1.5 work. </w:t>
      </w:r>
      <w:r>
        <w:rPr>
          <w:lang w:val="en-NZ"/>
        </w:rPr>
        <w:t xml:space="preserve">Three </w:t>
      </w:r>
      <w:r w:rsidR="00AB33E4">
        <w:rPr>
          <w:lang w:val="en-NZ"/>
        </w:rPr>
        <w:t xml:space="preserve">following </w:t>
      </w:r>
      <w:r>
        <w:rPr>
          <w:lang w:val="en-NZ"/>
        </w:rPr>
        <w:t xml:space="preserve">working groups (WGS) </w:t>
      </w:r>
      <w:r w:rsidR="008F29F6">
        <w:rPr>
          <w:rFonts w:hint="eastAsia"/>
          <w:lang w:val="en-NZ" w:eastAsia="ko-KR"/>
        </w:rPr>
        <w:t>were</w:t>
      </w:r>
      <w:r w:rsidR="008F29F6">
        <w:rPr>
          <w:lang w:val="en-NZ"/>
        </w:rPr>
        <w:t xml:space="preserve"> </w:t>
      </w:r>
      <w:r>
        <w:rPr>
          <w:lang w:val="en-NZ"/>
        </w:rPr>
        <w:t xml:space="preserve">established from the beginning, and </w:t>
      </w:r>
      <w:r w:rsidR="00AB33E4">
        <w:rPr>
          <w:lang w:val="en-NZ"/>
        </w:rPr>
        <w:t>handled duty</w:t>
      </w:r>
      <w:r>
        <w:rPr>
          <w:lang w:val="en-NZ"/>
        </w:rPr>
        <w:t xml:space="preserve"> </w:t>
      </w:r>
      <w:r w:rsidR="00AB33E4">
        <w:rPr>
          <w:lang w:val="en-NZ"/>
        </w:rPr>
        <w:t xml:space="preserve">of </w:t>
      </w:r>
      <w:r w:rsidRPr="00E42517">
        <w:t>TG 6/1</w:t>
      </w:r>
      <w:r w:rsidR="00AB33E4">
        <w:rPr>
          <w:bCs/>
        </w:rPr>
        <w:t>:</w:t>
      </w:r>
    </w:p>
    <w:p w14:paraId="06BC05EC" w14:textId="77777777" w:rsidR="00AB33E4" w:rsidRPr="00F067E1" w:rsidRDefault="00AB33E4" w:rsidP="00AB33E4">
      <w:pPr>
        <w:pStyle w:val="enumlev1"/>
        <w:tabs>
          <w:tab w:val="clear" w:pos="1134"/>
          <w:tab w:val="clear" w:pos="1871"/>
        </w:tabs>
        <w:spacing w:before="40"/>
        <w:ind w:left="720" w:hanging="418"/>
      </w:pPr>
      <w:r w:rsidRPr="00F067E1">
        <w:t>–</w:t>
      </w:r>
      <w:r w:rsidRPr="00F067E1">
        <w:tab/>
      </w:r>
      <w:r w:rsidRPr="00CE0237">
        <w:rPr>
          <w:b/>
          <w:bCs/>
        </w:rPr>
        <w:t>WG 1</w:t>
      </w:r>
      <w:r w:rsidRPr="00F067E1">
        <w:t xml:space="preserve"> – Spectrum use and needs of all existing services in the band 470-960 MHz;  </w:t>
      </w:r>
    </w:p>
    <w:p w14:paraId="763BDE3C" w14:textId="77777777" w:rsidR="00AB33E4" w:rsidRPr="00F067E1" w:rsidRDefault="00AB33E4" w:rsidP="00AB33E4">
      <w:pPr>
        <w:pStyle w:val="enumlev1"/>
        <w:tabs>
          <w:tab w:val="clear" w:pos="1134"/>
          <w:tab w:val="clear" w:pos="1871"/>
          <w:tab w:val="clear" w:pos="2608"/>
          <w:tab w:val="left" w:pos="1170"/>
        </w:tabs>
        <w:spacing w:before="40"/>
        <w:ind w:left="720" w:hanging="418"/>
      </w:pPr>
      <w:r w:rsidRPr="00F067E1">
        <w:t>–</w:t>
      </w:r>
      <w:r w:rsidRPr="00F067E1">
        <w:tab/>
      </w:r>
      <w:r w:rsidRPr="00CE0237">
        <w:rPr>
          <w:b/>
          <w:bCs/>
        </w:rPr>
        <w:t>WG 2</w:t>
      </w:r>
      <w:r w:rsidRPr="00F067E1">
        <w:t xml:space="preserve"> – Sharing and compatibility studies in the band 470-694 MHz;</w:t>
      </w:r>
    </w:p>
    <w:p w14:paraId="71C9AA24" w14:textId="77777777" w:rsidR="00AB33E4" w:rsidRPr="00F067E1" w:rsidRDefault="00AB33E4" w:rsidP="00AB33E4">
      <w:pPr>
        <w:pStyle w:val="enumlev1"/>
        <w:tabs>
          <w:tab w:val="clear" w:pos="1134"/>
          <w:tab w:val="clear" w:pos="1871"/>
        </w:tabs>
        <w:spacing w:before="40"/>
        <w:ind w:left="720" w:hanging="418"/>
      </w:pPr>
      <w:r w:rsidRPr="00F067E1">
        <w:t>–</w:t>
      </w:r>
      <w:r w:rsidRPr="00F067E1">
        <w:tab/>
      </w:r>
      <w:r w:rsidRPr="00CE0237">
        <w:rPr>
          <w:b/>
          <w:bCs/>
        </w:rPr>
        <w:t>WG 3</w:t>
      </w:r>
      <w:r w:rsidRPr="00F067E1">
        <w:t xml:space="preserve"> – Development of draft CPM text including regulatory aspects.</w:t>
      </w:r>
    </w:p>
    <w:p w14:paraId="28BB8C14" w14:textId="77777777" w:rsidR="00E47D99" w:rsidRDefault="00E47D99" w:rsidP="00E47D99">
      <w:pPr>
        <w:autoSpaceDE w:val="0"/>
        <w:autoSpaceDN w:val="0"/>
        <w:spacing w:before="120" w:after="120"/>
        <w:jc w:val="both"/>
      </w:pPr>
      <w:r>
        <w:t xml:space="preserve">At the fifth meeting (last TG 6/1 meeting) which was held physically </w:t>
      </w:r>
      <w:r w:rsidRPr="00683EE5">
        <w:rPr>
          <w:bCs/>
          <w:lang w:eastAsia="zh-CN"/>
        </w:rPr>
        <w:t>with remote participation 5 to 16 September</w:t>
      </w:r>
      <w:r w:rsidRPr="00F10867">
        <w:t xml:space="preserve"> </w:t>
      </w:r>
      <w:r w:rsidRPr="00683EE5">
        <w:rPr>
          <w:bCs/>
          <w:lang w:eastAsia="zh-CN"/>
        </w:rPr>
        <w:t>2022, draft CPM text was finalized and submitted to the CPM23-2</w:t>
      </w:r>
      <w:r w:rsidRPr="00683EE5">
        <w:rPr>
          <w:i/>
          <w:lang w:val="en-GB"/>
        </w:rPr>
        <w:t xml:space="preserve"> </w:t>
      </w:r>
      <w:r>
        <w:t>(D</w:t>
      </w:r>
      <w:r w:rsidRPr="00F10867">
        <w:t xml:space="preserve">ocument </w:t>
      </w:r>
      <w:hyperlink r:id="rId10" w:history="1">
        <w:r w:rsidRPr="0007575D">
          <w:rPr>
            <w:rStyle w:val="Hyperlink"/>
            <w:lang w:eastAsia="zh-CN"/>
          </w:rPr>
          <w:t>6-1/106 Annex 01</w:t>
        </w:r>
      </w:hyperlink>
      <w:r w:rsidRPr="00F10867">
        <w:rPr>
          <w:lang w:eastAsia="zh-CN"/>
        </w:rPr>
        <w:t>)</w:t>
      </w:r>
      <w:r w:rsidRPr="00683EE5">
        <w:rPr>
          <w:bCs/>
          <w:lang w:eastAsia="zh-CN"/>
        </w:rPr>
        <w:t>. Studies and working documents in different groups were finalized, however, due to the time constraints it was not possible to either fully address or agree on all proposals</w:t>
      </w:r>
      <w:r>
        <w:rPr>
          <w:bCs/>
          <w:lang w:eastAsia="zh-CN"/>
        </w:rPr>
        <w:t xml:space="preserve"> </w:t>
      </w:r>
      <w:r>
        <w:rPr>
          <w:bCs/>
          <w:lang w:eastAsia="zh-CN"/>
        </w:rPr>
        <w:lastRenderedPageBreak/>
        <w:t>(</w:t>
      </w:r>
      <w:r>
        <w:t>D</w:t>
      </w:r>
      <w:r w:rsidRPr="00F10867">
        <w:t>ocument</w:t>
      </w:r>
      <w:r>
        <w:t>s</w:t>
      </w:r>
      <w:r w:rsidRPr="00F10867">
        <w:t xml:space="preserve"> </w:t>
      </w:r>
      <w:hyperlink r:id="rId11" w:history="1">
        <w:r w:rsidRPr="0007575D">
          <w:rPr>
            <w:rStyle w:val="Hyperlink"/>
            <w:lang w:eastAsia="zh-CN"/>
          </w:rPr>
          <w:t>6-1/106 Annex 02</w:t>
        </w:r>
      </w:hyperlink>
      <w:r w:rsidRPr="0007575D">
        <w:t xml:space="preserve"> </w:t>
      </w:r>
      <w:r>
        <w:t xml:space="preserve">and </w:t>
      </w:r>
      <w:hyperlink r:id="rId12" w:history="1">
        <w:r w:rsidRPr="0007575D">
          <w:rPr>
            <w:rStyle w:val="Hyperlink"/>
            <w:lang w:eastAsia="zh-CN"/>
          </w:rPr>
          <w:t>6-1/106 Annex 0</w:t>
        </w:r>
        <w:r>
          <w:rPr>
            <w:rStyle w:val="Hyperlink"/>
            <w:lang w:eastAsia="zh-CN"/>
          </w:rPr>
          <w:t>3</w:t>
        </w:r>
      </w:hyperlink>
      <w:r>
        <w:rPr>
          <w:bCs/>
          <w:lang w:eastAsia="zh-CN"/>
        </w:rPr>
        <w:t>)</w:t>
      </w:r>
      <w:r w:rsidRPr="00683EE5">
        <w:rPr>
          <w:bCs/>
          <w:lang w:eastAsia="zh-CN"/>
        </w:rPr>
        <w:t xml:space="preserve">. Therefore, diverging views remained on several parts of the texts and as consensus on some parts of the working document could not be reached, the disclaimer was included in the document. </w:t>
      </w:r>
      <w:r w:rsidRPr="00683EE5">
        <w:rPr>
          <w:iCs/>
          <w:lang w:val="en-GB"/>
        </w:rPr>
        <w:t>Regarding to the Draft CPM Text for WRC-23 agenda item 1.5</w:t>
      </w:r>
      <w:r>
        <w:rPr>
          <w:lang w:eastAsia="zh-CN"/>
        </w:rPr>
        <w:t>, following matters to be noted:</w:t>
      </w:r>
    </w:p>
    <w:p w14:paraId="3DF99BA1" w14:textId="77777777" w:rsidR="00E47D99" w:rsidRDefault="00E47D99" w:rsidP="00E47D99">
      <w:pPr>
        <w:pStyle w:val="enumlev1"/>
        <w:numPr>
          <w:ilvl w:val="0"/>
          <w:numId w:val="39"/>
        </w:numPr>
        <w:tabs>
          <w:tab w:val="clear" w:pos="1134"/>
          <w:tab w:val="clear" w:pos="1871"/>
        </w:tabs>
        <w:spacing w:before="40"/>
        <w:ind w:left="360"/>
        <w:jc w:val="both"/>
      </w:pPr>
      <w:r>
        <w:rPr>
          <w:lang w:val="en-US"/>
        </w:rPr>
        <w:t xml:space="preserve">In the preamble, </w:t>
      </w:r>
      <w:r>
        <w:t xml:space="preserve">there is diverging views on scope of agenda item 1.5 </w:t>
      </w:r>
      <w:r w:rsidRPr="00683EE5">
        <w:t xml:space="preserve">includes or not consideration of </w:t>
      </w:r>
      <w:r w:rsidRPr="0007575D">
        <w:t>secondary services</w:t>
      </w:r>
    </w:p>
    <w:p w14:paraId="2BD44A74" w14:textId="77777777" w:rsidR="00E47D99" w:rsidRDefault="00E47D99" w:rsidP="00E47D99">
      <w:pPr>
        <w:pStyle w:val="enumlev1"/>
        <w:numPr>
          <w:ilvl w:val="0"/>
          <w:numId w:val="39"/>
        </w:numPr>
        <w:tabs>
          <w:tab w:val="clear" w:pos="1134"/>
          <w:tab w:val="clear" w:pos="1871"/>
        </w:tabs>
        <w:spacing w:before="40"/>
        <w:ind w:left="360"/>
        <w:jc w:val="both"/>
      </w:pPr>
      <w:r>
        <w:rPr>
          <w:lang w:val="en-US"/>
        </w:rPr>
        <w:t xml:space="preserve">In the preamble, </w:t>
      </w:r>
      <w:r>
        <w:t>there is diverging views</w:t>
      </w:r>
      <w:r w:rsidRPr="00683EE5">
        <w:t xml:space="preserve"> regarding whether the scope of Resolution </w:t>
      </w:r>
      <w:r w:rsidRPr="00683EE5">
        <w:rPr>
          <w:b/>
          <w:bCs/>
        </w:rPr>
        <w:t>235 (WRC-15)</w:t>
      </w:r>
      <w:r w:rsidRPr="00683EE5">
        <w:t xml:space="preserve"> includes or not consideration of </w:t>
      </w:r>
      <w:r w:rsidRPr="0007575D">
        <w:t>interference from the incumbent services to the mobile service as well as consideration of interference among systems of the same service</w:t>
      </w:r>
    </w:p>
    <w:p w14:paraId="0A390B40" w14:textId="77777777" w:rsidR="00E47D99" w:rsidRDefault="00E47D99" w:rsidP="00E47D99">
      <w:pPr>
        <w:pStyle w:val="enumlev1"/>
        <w:numPr>
          <w:ilvl w:val="0"/>
          <w:numId w:val="39"/>
        </w:numPr>
        <w:tabs>
          <w:tab w:val="clear" w:pos="1134"/>
          <w:tab w:val="clear" w:pos="1871"/>
        </w:tabs>
        <w:spacing w:before="40"/>
        <w:ind w:left="360"/>
        <w:jc w:val="both"/>
      </w:pPr>
      <w:r>
        <w:t xml:space="preserve">In the section 1/1.5/1, </w:t>
      </w:r>
      <w:r w:rsidRPr="00827F62">
        <w:t>following methods have been developed to satisfy this agenda item, applying only to Region 1 countries:</w:t>
      </w:r>
    </w:p>
    <w:p w14:paraId="49715830" w14:textId="77777777" w:rsidR="00E47D99" w:rsidRDefault="00E47D99" w:rsidP="00E47D99">
      <w:pPr>
        <w:pStyle w:val="enumlev1"/>
        <w:tabs>
          <w:tab w:val="clear" w:pos="1134"/>
          <w:tab w:val="clear" w:pos="1871"/>
        </w:tabs>
        <w:spacing w:before="40"/>
        <w:ind w:left="1440" w:hanging="1080"/>
        <w:jc w:val="both"/>
      </w:pPr>
      <w:r w:rsidRPr="00827F62">
        <w:rPr>
          <w:b/>
          <w:bCs/>
        </w:rPr>
        <w:t>Method A</w:t>
      </w:r>
      <w:r>
        <w:t xml:space="preserve">: </w:t>
      </w:r>
      <w:r w:rsidRPr="008D7D9D">
        <w:t>No Change</w:t>
      </w:r>
      <w:r>
        <w:t xml:space="preserve"> (</w:t>
      </w:r>
      <w:r w:rsidRPr="008D7D9D">
        <w:t>two alternatives</w:t>
      </w:r>
      <w:r>
        <w:t>)</w:t>
      </w:r>
      <w:r w:rsidRPr="008D7D9D">
        <w:t>.</w:t>
      </w:r>
    </w:p>
    <w:p w14:paraId="1C50FD49" w14:textId="77777777" w:rsidR="00E47D99" w:rsidRDefault="00E47D99" w:rsidP="00E47D99">
      <w:pPr>
        <w:pStyle w:val="enumlev1"/>
        <w:tabs>
          <w:tab w:val="clear" w:pos="1134"/>
          <w:tab w:val="clear" w:pos="1871"/>
        </w:tabs>
        <w:spacing w:before="40"/>
        <w:ind w:left="1440" w:hanging="1080"/>
        <w:jc w:val="both"/>
      </w:pPr>
      <w:r w:rsidRPr="00827F62">
        <w:rPr>
          <w:b/>
          <w:bCs/>
        </w:rPr>
        <w:t>Method B</w:t>
      </w:r>
      <w:r>
        <w:t xml:space="preserve">: </w:t>
      </w:r>
      <w:r w:rsidRPr="008D7D9D">
        <w:t xml:space="preserve">Primary allocation to the mobile service in the frequency band 470-694 MHz with or without identification to IMT in the frequency band 470-694 MHz or parts thereof in </w:t>
      </w:r>
      <w:proofErr w:type="gramStart"/>
      <w:r w:rsidRPr="008D7D9D">
        <w:t>Region</w:t>
      </w:r>
      <w:proofErr w:type="gramEnd"/>
      <w:r w:rsidRPr="008D7D9D">
        <w:t xml:space="preserve"> 1</w:t>
      </w:r>
      <w:r>
        <w:t xml:space="preserve"> (</w:t>
      </w:r>
      <w:r w:rsidRPr="008D7D9D">
        <w:t>three alternatives</w:t>
      </w:r>
      <w:r>
        <w:t>)</w:t>
      </w:r>
      <w:r w:rsidRPr="008D7D9D">
        <w:t>.</w:t>
      </w:r>
    </w:p>
    <w:p w14:paraId="6A1196CF" w14:textId="77777777" w:rsidR="00E47D99" w:rsidRDefault="00E47D99" w:rsidP="00E47D99">
      <w:pPr>
        <w:pStyle w:val="enumlev1"/>
        <w:tabs>
          <w:tab w:val="clear" w:pos="1134"/>
          <w:tab w:val="clear" w:pos="1871"/>
        </w:tabs>
        <w:spacing w:before="40"/>
        <w:ind w:left="1440" w:hanging="1080"/>
        <w:jc w:val="both"/>
      </w:pPr>
      <w:r w:rsidRPr="00827F62">
        <w:rPr>
          <w:b/>
          <w:bCs/>
        </w:rPr>
        <w:t>Method C</w:t>
      </w:r>
      <w:r>
        <w:t xml:space="preserve">: </w:t>
      </w:r>
      <w:r w:rsidRPr="008D7D9D">
        <w:t>Primary allocation to the mobile, except aeronautical mobile, service in the frequency band 470-694 MHz and identification to IMT in the frequency band 470</w:t>
      </w:r>
      <w:r w:rsidRPr="008D7D9D">
        <w:noBreakHyphen/>
        <w:t xml:space="preserve">694 MHz or parts thereof in </w:t>
      </w:r>
      <w:proofErr w:type="gramStart"/>
      <w:r w:rsidRPr="008D7D9D">
        <w:t>Region</w:t>
      </w:r>
      <w:proofErr w:type="gramEnd"/>
      <w:r w:rsidRPr="008D7D9D">
        <w:t xml:space="preserve"> 1</w:t>
      </w:r>
      <w:r>
        <w:t xml:space="preserve"> (nine</w:t>
      </w:r>
      <w:r w:rsidRPr="008D7D9D">
        <w:t xml:space="preserve"> alternatives</w:t>
      </w:r>
      <w:r>
        <w:t>)</w:t>
      </w:r>
      <w:r w:rsidRPr="008D7D9D">
        <w:t>.</w:t>
      </w:r>
    </w:p>
    <w:p w14:paraId="3FD3735E" w14:textId="77777777" w:rsidR="00E47D99" w:rsidRDefault="00E47D99" w:rsidP="00E47D99">
      <w:pPr>
        <w:pStyle w:val="enumlev1"/>
        <w:tabs>
          <w:tab w:val="clear" w:pos="1134"/>
          <w:tab w:val="clear" w:pos="1871"/>
        </w:tabs>
        <w:spacing w:before="40"/>
        <w:ind w:left="1440" w:hanging="1080"/>
        <w:jc w:val="both"/>
      </w:pPr>
      <w:r w:rsidRPr="00827F62">
        <w:rPr>
          <w:b/>
          <w:bCs/>
        </w:rPr>
        <w:t>Method D</w:t>
      </w:r>
      <w:r>
        <w:t xml:space="preserve">: </w:t>
      </w:r>
      <w:r w:rsidRPr="008D7D9D">
        <w:t>Primary allocation to the mobile, except aeronautical mobile, service within the band 470-694</w:t>
      </w:r>
      <w:r>
        <w:t xml:space="preserve"> MHz without IMT identification (five</w:t>
      </w:r>
      <w:r w:rsidRPr="008D7D9D">
        <w:t xml:space="preserve"> alternatives</w:t>
      </w:r>
      <w:r>
        <w:t>)</w:t>
      </w:r>
      <w:r w:rsidRPr="008D7D9D">
        <w:t>.</w:t>
      </w:r>
    </w:p>
    <w:p w14:paraId="2DFDB3C4" w14:textId="77777777" w:rsidR="00E47D99" w:rsidRDefault="00E47D99" w:rsidP="00E47D99">
      <w:pPr>
        <w:pStyle w:val="enumlev1"/>
        <w:tabs>
          <w:tab w:val="clear" w:pos="1134"/>
          <w:tab w:val="clear" w:pos="1871"/>
        </w:tabs>
        <w:spacing w:before="40"/>
        <w:ind w:left="1440" w:hanging="1080"/>
        <w:jc w:val="both"/>
      </w:pPr>
      <w:r w:rsidRPr="00827F62">
        <w:rPr>
          <w:b/>
          <w:bCs/>
        </w:rPr>
        <w:t>Method E</w:t>
      </w:r>
      <w:r>
        <w:t xml:space="preserve">: </w:t>
      </w:r>
      <w:r w:rsidRPr="008D7D9D">
        <w:t>Primary allocation to the mobile, except aeronautical mobile, service of the band 470-694 MHz in Region 1 with technical condition limiting mobile operations to downlink in this band.</w:t>
      </w:r>
    </w:p>
    <w:p w14:paraId="78E63F24" w14:textId="77777777" w:rsidR="00E47D99" w:rsidRDefault="00E47D99" w:rsidP="00E47D99">
      <w:pPr>
        <w:pStyle w:val="enumlev1"/>
        <w:tabs>
          <w:tab w:val="clear" w:pos="1134"/>
          <w:tab w:val="clear" w:pos="1871"/>
        </w:tabs>
        <w:spacing w:before="40"/>
        <w:ind w:left="1440" w:hanging="1080"/>
        <w:jc w:val="both"/>
      </w:pPr>
      <w:r w:rsidRPr="00827F62">
        <w:rPr>
          <w:b/>
          <w:bCs/>
        </w:rPr>
        <w:t>Method F</w:t>
      </w:r>
      <w:r>
        <w:t xml:space="preserve">: </w:t>
      </w:r>
      <w:r w:rsidRPr="008D7D9D">
        <w:t>Secondary allocation to mobile, except aeronautical mobile, service in the band 470-694 MHz in Region 1.</w:t>
      </w:r>
    </w:p>
    <w:p w14:paraId="34113939" w14:textId="77777777" w:rsidR="00E47D99" w:rsidRDefault="00E47D99" w:rsidP="00E47D99">
      <w:pPr>
        <w:pStyle w:val="enumlev1"/>
        <w:tabs>
          <w:tab w:val="clear" w:pos="1134"/>
          <w:tab w:val="clear" w:pos="1871"/>
        </w:tabs>
        <w:spacing w:before="40"/>
        <w:ind w:left="1440" w:hanging="1080"/>
        <w:jc w:val="both"/>
      </w:pPr>
      <w:r w:rsidRPr="00827F62">
        <w:rPr>
          <w:b/>
          <w:bCs/>
        </w:rPr>
        <w:t>Method G</w:t>
      </w:r>
      <w:r>
        <w:t xml:space="preserve">: </w:t>
      </w:r>
      <w:r w:rsidRPr="008D7D9D">
        <w:t>In conjunction with Methods B, C, D and E, upgrade of the radio astronomy allocation to primary status.</w:t>
      </w:r>
    </w:p>
    <w:p w14:paraId="2ADD5F0A" w14:textId="77777777" w:rsidR="00E47D99" w:rsidRDefault="00E47D99" w:rsidP="00E47D99">
      <w:pPr>
        <w:autoSpaceDE w:val="0"/>
        <w:autoSpaceDN w:val="0"/>
        <w:adjustRightInd w:val="0"/>
        <w:spacing w:before="120"/>
        <w:ind w:left="360"/>
        <w:jc w:val="both"/>
      </w:pPr>
      <w:r>
        <w:t>Moreover, i</w:t>
      </w:r>
      <w:r w:rsidRPr="008D7D9D">
        <w:t>n conjunction with Methods B, C, D and E,</w:t>
      </w:r>
      <w:r>
        <w:t xml:space="preserve"> </w:t>
      </w:r>
      <w:r w:rsidRPr="008D7D9D">
        <w:t xml:space="preserve">Suppression of Resolution </w:t>
      </w:r>
      <w:r w:rsidRPr="008D7D9D">
        <w:rPr>
          <w:b/>
          <w:bCs/>
        </w:rPr>
        <w:t>235 (WRC-15)</w:t>
      </w:r>
      <w:r w:rsidRPr="008D7D9D">
        <w:t>.</w:t>
      </w:r>
      <w:r>
        <w:br/>
        <w:t xml:space="preserve">However, there are views about these methods in section 1/1.5/4 that related </w:t>
      </w:r>
      <w:r w:rsidRPr="00801AD0">
        <w:t xml:space="preserve">to the ambiguous and to some extent misleading terms </w:t>
      </w:r>
      <w:r>
        <w:rPr>
          <w:i/>
          <w:iCs/>
        </w:rPr>
        <w:t>"</w:t>
      </w:r>
      <w:r w:rsidRPr="008D7D9D">
        <w:rPr>
          <w:i/>
          <w:iCs/>
        </w:rPr>
        <w:t>possible regulatory actions …, as appropriate.”</w:t>
      </w:r>
      <w:r w:rsidRPr="00801AD0">
        <w:t xml:space="preserve"> in Res. </w:t>
      </w:r>
      <w:r w:rsidRPr="00801AD0">
        <w:rPr>
          <w:b/>
          <w:bCs/>
        </w:rPr>
        <w:t>235 (WRC-15)</w:t>
      </w:r>
      <w:r w:rsidRPr="00801AD0">
        <w:t>. Some Members are of the view that these terms refer to the identification of the band to IMT while other</w:t>
      </w:r>
      <w:r>
        <w:t>s</w:t>
      </w:r>
      <w:r w:rsidRPr="00801AD0">
        <w:t xml:space="preserve"> are of the view that do not refer to the identification of the band if upgraded to primary status for mobile allocation, partially or totally.</w:t>
      </w:r>
      <w:r>
        <w:t xml:space="preserve"> Also, there is a view that </w:t>
      </w:r>
      <w:r w:rsidRPr="00801AD0">
        <w:t>there is no reference to allocation or upgrading the existing allocation nor to and identification.</w:t>
      </w:r>
    </w:p>
    <w:p w14:paraId="531A5531" w14:textId="77777777" w:rsidR="00373DC4" w:rsidRDefault="00373DC4" w:rsidP="00373DC4">
      <w:pPr>
        <w:pStyle w:val="enumlev1"/>
        <w:numPr>
          <w:ilvl w:val="0"/>
          <w:numId w:val="39"/>
        </w:numPr>
        <w:tabs>
          <w:tab w:val="clear" w:pos="1134"/>
          <w:tab w:val="clear" w:pos="1871"/>
        </w:tabs>
        <w:spacing w:before="40"/>
        <w:ind w:left="360"/>
        <w:jc w:val="both"/>
      </w:pPr>
      <w:r>
        <w:t xml:space="preserve">In the section 1/1.5/3, there are two divergent views </w:t>
      </w:r>
      <w:r w:rsidRPr="00683EE5">
        <w:t>regarding whether the</w:t>
      </w:r>
      <w:r>
        <w:t xml:space="preserve"> conducted studies (where</w:t>
      </w:r>
      <w:r w:rsidRPr="003F1B6D">
        <w:t xml:space="preserve"> no common conclusion </w:t>
      </w:r>
      <w:r>
        <w:t xml:space="preserve">was possible </w:t>
      </w:r>
      <w:r w:rsidRPr="003F1B6D">
        <w:t>for all studies due to the different results obtained from the studies</w:t>
      </w:r>
      <w:r>
        <w:t>), are eligible without ITU-R SG6 approval or not.</w:t>
      </w:r>
    </w:p>
    <w:p w14:paraId="344322E6" w14:textId="13FB6A1D" w:rsidR="00373DC4" w:rsidRDefault="00373DC4" w:rsidP="00373DC4">
      <w:pPr>
        <w:pStyle w:val="enumlev1"/>
        <w:numPr>
          <w:ilvl w:val="0"/>
          <w:numId w:val="39"/>
        </w:numPr>
        <w:tabs>
          <w:tab w:val="clear" w:pos="1134"/>
          <w:tab w:val="clear" w:pos="1871"/>
        </w:tabs>
        <w:spacing w:before="40"/>
        <w:ind w:left="360"/>
        <w:jc w:val="both"/>
        <w:rPr>
          <w:rtl/>
          <w:lang w:eastAsia="ru-RU"/>
        </w:rPr>
      </w:pPr>
      <w:r w:rsidRPr="00B82530">
        <w:rPr>
          <w:lang w:eastAsia="ru-RU"/>
        </w:rPr>
        <w:t xml:space="preserve">In the section </w:t>
      </w:r>
      <w:r>
        <w:rPr>
          <w:lang w:eastAsia="ru-RU"/>
        </w:rPr>
        <w:t>1/1.5/</w:t>
      </w:r>
      <w:r w:rsidRPr="00B82530">
        <w:rPr>
          <w:lang w:eastAsia="ru-RU"/>
        </w:rPr>
        <w:t>3.3</w:t>
      </w:r>
      <w:r>
        <w:rPr>
          <w:lang w:eastAsia="ru-RU"/>
        </w:rPr>
        <w:t>,</w:t>
      </w:r>
      <w:r w:rsidRPr="00B82530">
        <w:rPr>
          <w:lang w:eastAsia="ru-RU"/>
        </w:rPr>
        <w:t xml:space="preserve"> </w:t>
      </w:r>
      <w:r>
        <w:rPr>
          <w:lang w:eastAsia="ru-RU"/>
        </w:rPr>
        <w:t>t</w:t>
      </w:r>
      <w:r w:rsidRPr="00B82530">
        <w:rPr>
          <w:lang w:eastAsia="ru-RU"/>
        </w:rPr>
        <w:t xml:space="preserve">he various studies submitted in response to Resolution </w:t>
      </w:r>
      <w:r w:rsidRPr="00B82530">
        <w:rPr>
          <w:b/>
          <w:bCs/>
          <w:lang w:eastAsia="ru-RU"/>
        </w:rPr>
        <w:t>235 (WRC-15)</w:t>
      </w:r>
      <w:r w:rsidRPr="00B82530">
        <w:rPr>
          <w:lang w:eastAsia="ru-RU"/>
        </w:rPr>
        <w:t xml:space="preserve"> are summarized in this section have used different assumptions based on the input contributions received and have therefore come to different conclusions and these assumptions should be taken into account when assessing the results of the various studies. Given this situation, it is not possible to draw an overall conclusion regarding </w:t>
      </w:r>
      <w:r>
        <w:rPr>
          <w:lang w:eastAsia="ru-RU"/>
        </w:rPr>
        <w:t>the feasibility of coexistence.</w:t>
      </w:r>
    </w:p>
    <w:p w14:paraId="0E9EB331" w14:textId="249EB46D" w:rsidR="00373DC4" w:rsidRPr="00E01A32" w:rsidRDefault="00373DC4" w:rsidP="00CE0237">
      <w:pPr>
        <w:pStyle w:val="enumlev1"/>
        <w:numPr>
          <w:ilvl w:val="0"/>
          <w:numId w:val="39"/>
        </w:numPr>
        <w:tabs>
          <w:tab w:val="clear" w:pos="1134"/>
          <w:tab w:val="clear" w:pos="1871"/>
        </w:tabs>
        <w:spacing w:before="40"/>
        <w:ind w:left="360"/>
        <w:jc w:val="both"/>
        <w:rPr>
          <w:lang w:val="en-US"/>
        </w:rPr>
      </w:pPr>
      <w:r w:rsidRPr="00B82530">
        <w:rPr>
          <w:lang w:eastAsia="ru-RU"/>
        </w:rPr>
        <w:t xml:space="preserve">In the </w:t>
      </w:r>
      <w:r>
        <w:rPr>
          <w:lang w:eastAsia="ru-RU"/>
        </w:rPr>
        <w:t>sub-</w:t>
      </w:r>
      <w:r w:rsidRPr="00B82530">
        <w:rPr>
          <w:lang w:eastAsia="ru-RU"/>
        </w:rPr>
        <w:t>section</w:t>
      </w:r>
      <w:r>
        <w:rPr>
          <w:lang w:eastAsia="ru-RU"/>
        </w:rPr>
        <w:t>s</w:t>
      </w:r>
      <w:r w:rsidRPr="00B82530">
        <w:rPr>
          <w:lang w:eastAsia="ru-RU"/>
        </w:rPr>
        <w:t xml:space="preserve"> </w:t>
      </w:r>
      <w:r>
        <w:rPr>
          <w:lang w:eastAsia="ru-RU"/>
        </w:rPr>
        <w:t>under the section 1/1.5/</w:t>
      </w:r>
      <w:r w:rsidRPr="00B82530">
        <w:rPr>
          <w:lang w:eastAsia="ru-RU"/>
        </w:rPr>
        <w:t>3.3</w:t>
      </w:r>
      <w:r>
        <w:rPr>
          <w:lang w:eastAsia="ru-RU"/>
        </w:rPr>
        <w:t xml:space="preserve">, summary of studies and geographical separations </w:t>
      </w:r>
      <w:r>
        <w:t xml:space="preserve">between </w:t>
      </w:r>
      <w:r>
        <w:rPr>
          <w:lang w:val="en-US"/>
        </w:rPr>
        <w:t xml:space="preserve">IMT BS&amp;UE and DTTB, DTTB and PPDR, DTTB and non-IMT trunked ad hoc mobile systems, wind profiler radar and LMS, RAS and LMS, SAB/SAP and </w:t>
      </w:r>
      <w:r>
        <w:rPr>
          <w:lang w:val="en-US"/>
        </w:rPr>
        <w:lastRenderedPageBreak/>
        <w:t>IMT were provided under different assumptions. Several views presented by proponents and opponents of results.</w:t>
      </w:r>
    </w:p>
    <w:p w14:paraId="0E862018" w14:textId="77777777" w:rsidR="00373DC4" w:rsidRDefault="00373DC4" w:rsidP="00CE0237">
      <w:pPr>
        <w:pStyle w:val="enumlev1"/>
        <w:tabs>
          <w:tab w:val="clear" w:pos="1134"/>
          <w:tab w:val="clear" w:pos="1871"/>
        </w:tabs>
        <w:spacing w:before="40"/>
        <w:ind w:left="360" w:firstLine="0"/>
        <w:jc w:val="both"/>
      </w:pPr>
    </w:p>
    <w:p w14:paraId="11FCA26E" w14:textId="3F732DA1" w:rsidR="00206A33" w:rsidRDefault="00206A33" w:rsidP="00373DC4">
      <w:pPr>
        <w:autoSpaceDE w:val="0"/>
        <w:autoSpaceDN w:val="0"/>
        <w:adjustRightInd w:val="0"/>
        <w:spacing w:before="120"/>
        <w:jc w:val="both"/>
        <w:rPr>
          <w:rFonts w:eastAsia="SimSun"/>
          <w:lang w:eastAsia="zh-CN"/>
        </w:rPr>
      </w:pPr>
      <w:r w:rsidRPr="004B3317">
        <w:t xml:space="preserve">Region 3 already has a primary mobile allocation within the 470 – 694 MHz frequency band. Some Region 3 countries are included in RR No. </w:t>
      </w:r>
      <w:r w:rsidRPr="004B3317">
        <w:rPr>
          <w:b/>
        </w:rPr>
        <w:t>5.296A</w:t>
      </w:r>
      <w:r w:rsidRPr="004B3317">
        <w:t xml:space="preserve"> as having identification to International Mobile Telecommunications (IMT)</w:t>
      </w:r>
      <w:r>
        <w:t xml:space="preserve">. </w:t>
      </w:r>
      <w:r w:rsidRPr="0007176D">
        <w:rPr>
          <w:lang w:val="en-GB" w:eastAsia="zh-CN"/>
        </w:rPr>
        <w:t xml:space="preserve">In addition, </w:t>
      </w:r>
      <w:r>
        <w:rPr>
          <w:lang w:val="en-GB" w:eastAsia="zh-CN"/>
        </w:rPr>
        <w:t>several countries</w:t>
      </w:r>
      <w:r w:rsidRPr="00C6514F">
        <w:rPr>
          <w:lang w:val="en-GB" w:eastAsia="zh-CN"/>
        </w:rPr>
        <w:t xml:space="preserve"> </w:t>
      </w:r>
      <w:r>
        <w:rPr>
          <w:lang w:val="en-GB" w:eastAsia="zh-CN"/>
        </w:rPr>
        <w:t>i</w:t>
      </w:r>
      <w:r w:rsidRPr="006A31AA">
        <w:rPr>
          <w:lang w:val="en-GB" w:eastAsia="zh-CN"/>
        </w:rPr>
        <w:t>n Region 2</w:t>
      </w:r>
      <w:r>
        <w:rPr>
          <w:lang w:val="en-GB" w:eastAsia="zh-CN"/>
        </w:rPr>
        <w:t xml:space="preserve"> also identified portions of this band for IMT through footnotes</w:t>
      </w:r>
      <w:r w:rsidRPr="006A31AA">
        <w:rPr>
          <w:lang w:val="en-GB" w:eastAsia="zh-CN"/>
        </w:rPr>
        <w:t xml:space="preserve"> </w:t>
      </w:r>
      <w:r w:rsidRPr="006A31AA">
        <w:rPr>
          <w:b/>
          <w:lang w:val="en-GB" w:eastAsia="zh-CN"/>
        </w:rPr>
        <w:t xml:space="preserve">5.295 </w:t>
      </w:r>
      <w:r w:rsidRPr="006A31AA">
        <w:rPr>
          <w:lang w:val="en-GB" w:eastAsia="zh-CN"/>
        </w:rPr>
        <w:t>and</w:t>
      </w:r>
      <w:r w:rsidRPr="00152A11">
        <w:rPr>
          <w:lang w:val="en-GB" w:eastAsia="zh-CN"/>
        </w:rPr>
        <w:t xml:space="preserve"> </w:t>
      </w:r>
      <w:r w:rsidRPr="00152A11">
        <w:rPr>
          <w:b/>
          <w:lang w:val="en-GB" w:eastAsia="zh-CN"/>
        </w:rPr>
        <w:t>5.308A</w:t>
      </w:r>
      <w:r w:rsidRPr="00152A11">
        <w:rPr>
          <w:lang w:val="en-GB" w:eastAsia="zh-CN"/>
        </w:rPr>
        <w:t>.</w:t>
      </w:r>
    </w:p>
    <w:p w14:paraId="23F01713" w14:textId="72E37617" w:rsidR="00206A33" w:rsidRDefault="00206A33" w:rsidP="000B0087">
      <w:pPr>
        <w:autoSpaceDE w:val="0"/>
        <w:autoSpaceDN w:val="0"/>
        <w:adjustRightInd w:val="0"/>
        <w:spacing w:before="120"/>
        <w:jc w:val="both"/>
        <w:rPr>
          <w:rFonts w:eastAsia="SimSun"/>
          <w:lang w:eastAsia="zh-CN"/>
        </w:rPr>
      </w:pPr>
      <w:r>
        <w:rPr>
          <w:rFonts w:eastAsia="SimSun"/>
          <w:lang w:eastAsia="zh-CN"/>
        </w:rPr>
        <w:t>Some Region 3 administrations</w:t>
      </w:r>
      <w:r>
        <w:rPr>
          <w:rFonts w:eastAsia="SimSun" w:hint="eastAsia"/>
          <w:lang w:eastAsia="zh-CN"/>
        </w:rPr>
        <w:t xml:space="preserve"> currently use the frequency band </w:t>
      </w:r>
      <w:r>
        <w:rPr>
          <w:rFonts w:eastAsia="SimSun"/>
          <w:lang w:eastAsia="zh-CN"/>
        </w:rPr>
        <w:t xml:space="preserve">of this agenda item </w:t>
      </w:r>
      <w:r>
        <w:rPr>
          <w:rFonts w:eastAsia="SimSun" w:hint="eastAsia"/>
          <w:lang w:eastAsia="zh-CN"/>
        </w:rPr>
        <w:t xml:space="preserve">for </w:t>
      </w:r>
      <w:r>
        <w:rPr>
          <w:rFonts w:eastAsia="SimSun"/>
          <w:lang w:eastAsia="zh-CN"/>
        </w:rPr>
        <w:t>broadcasting</w:t>
      </w:r>
      <w:r>
        <w:rPr>
          <w:rFonts w:eastAsia="SimSun" w:hint="eastAsia"/>
          <w:lang w:eastAsia="zh-CN"/>
        </w:rPr>
        <w:t xml:space="preserve"> service. It is very important to ensure </w:t>
      </w:r>
      <w:r>
        <w:t>protection of existing services and systems as well as their future use from harmful interference of possible Region 1 primary mobile service</w:t>
      </w:r>
      <w:r>
        <w:rPr>
          <w:rFonts w:eastAsia="SimSun" w:hint="eastAsia"/>
          <w:lang w:eastAsia="zh-CN"/>
        </w:rPr>
        <w:t xml:space="preserve"> when considering that </w:t>
      </w:r>
      <w:r>
        <w:rPr>
          <w:rFonts w:eastAsia="SimSun"/>
          <w:lang w:eastAsia="zh-CN"/>
        </w:rPr>
        <w:t xml:space="preserve">Region </w:t>
      </w:r>
      <w:r w:rsidR="000B0087">
        <w:rPr>
          <w:rFonts w:eastAsia="SimSun"/>
          <w:lang w:eastAsia="zh-CN"/>
        </w:rPr>
        <w:t>3</w:t>
      </w:r>
      <w:r>
        <w:rPr>
          <w:rFonts w:eastAsia="SimSun" w:hint="eastAsia"/>
          <w:lang w:eastAsia="zh-CN"/>
        </w:rPr>
        <w:t xml:space="preserve"> has a long </w:t>
      </w:r>
      <w:r>
        <w:rPr>
          <w:rFonts w:eastAsia="SimSun"/>
          <w:lang w:eastAsia="zh-CN"/>
        </w:rPr>
        <w:t>border</w:t>
      </w:r>
      <w:r>
        <w:rPr>
          <w:rFonts w:eastAsia="SimSun" w:hint="eastAsia"/>
          <w:lang w:eastAsia="zh-CN"/>
        </w:rPr>
        <w:t xml:space="preserve"> with </w:t>
      </w:r>
      <w:r>
        <w:rPr>
          <w:rFonts w:eastAsia="SimSun"/>
          <w:lang w:eastAsia="zh-CN"/>
        </w:rPr>
        <w:t>several</w:t>
      </w:r>
      <w:r>
        <w:rPr>
          <w:rFonts w:eastAsia="SimSun" w:hint="eastAsia"/>
          <w:lang w:eastAsia="zh-CN"/>
        </w:rPr>
        <w:t xml:space="preserve"> Region 1 countries.</w:t>
      </w:r>
    </w:p>
    <w:p w14:paraId="4CB207D2" w14:textId="65C9E9B0" w:rsidR="00206A33" w:rsidRPr="006F7CB6" w:rsidRDefault="00206A33" w:rsidP="00EC0D32">
      <w:pPr>
        <w:autoSpaceDE w:val="0"/>
        <w:autoSpaceDN w:val="0"/>
        <w:adjustRightInd w:val="0"/>
        <w:spacing w:before="120"/>
        <w:jc w:val="both"/>
        <w:rPr>
          <w:rFonts w:eastAsia="SimSun"/>
          <w:lang w:eastAsia="zh-CN"/>
        </w:rPr>
      </w:pPr>
      <w:r>
        <w:rPr>
          <w:rFonts w:eastAsia="SimSun"/>
          <w:lang w:eastAsia="zh-CN"/>
        </w:rPr>
        <w:t xml:space="preserve">AWG has developed and published the </w:t>
      </w:r>
      <w:hyperlink r:id="rId13" w:history="1">
        <w:r w:rsidRPr="00334F39">
          <w:rPr>
            <w:rStyle w:val="Hyperlink"/>
            <w:rFonts w:eastAsia="SimSun"/>
            <w:lang w:eastAsia="zh-CN"/>
          </w:rPr>
          <w:t>APT/AWG/REP-79</w:t>
        </w:r>
      </w:hyperlink>
      <w:r>
        <w:rPr>
          <w:rFonts w:eastAsia="SimSun"/>
          <w:lang w:eastAsia="zh-CN"/>
        </w:rPr>
        <w:t xml:space="preserve"> “</w:t>
      </w:r>
      <w:r w:rsidRPr="00842471">
        <w:rPr>
          <w:rFonts w:eastAsia="SimSun"/>
          <w:lang w:eastAsia="zh-CN"/>
        </w:rPr>
        <w:t>APT Report on Frequency Arrangements for IMT in the Band 470-698 MHz</w:t>
      </w:r>
      <w:r>
        <w:rPr>
          <w:rFonts w:eastAsia="SimSun"/>
          <w:lang w:eastAsia="zh-CN"/>
        </w:rPr>
        <w:t>”</w:t>
      </w:r>
      <w:r w:rsidR="00EC0D32">
        <w:rPr>
          <w:rFonts w:eastAsia="SimSun"/>
          <w:lang w:eastAsia="zh-CN"/>
        </w:rPr>
        <w:t xml:space="preserve"> and </w:t>
      </w:r>
      <w:r w:rsidR="00B93D6A">
        <w:rPr>
          <w:rFonts w:eastAsia="SimSun"/>
          <w:lang w:eastAsia="zh-CN"/>
        </w:rPr>
        <w:t xml:space="preserve">this report </w:t>
      </w:r>
      <w:r w:rsidR="00EC0D32">
        <w:rPr>
          <w:rFonts w:eastAsia="SimSun"/>
          <w:lang w:eastAsia="zh-CN"/>
        </w:rPr>
        <w:t>would be revised and finalized in AWG next meeting in September.</w:t>
      </w:r>
    </w:p>
    <w:p w14:paraId="5A8C1BB3" w14:textId="77777777" w:rsidR="005C568F" w:rsidRPr="009A064B" w:rsidRDefault="005C568F" w:rsidP="009A064B"/>
    <w:p w14:paraId="7C513529" w14:textId="105F28B0" w:rsidR="002A0111" w:rsidRPr="00441526" w:rsidRDefault="002A0111" w:rsidP="00FD3995">
      <w:pPr>
        <w:spacing w:before="120"/>
        <w:jc w:val="both"/>
        <w:outlineLvl w:val="0"/>
        <w:rPr>
          <w:b/>
          <w:lang w:val="en-NZ" w:eastAsia="ko-KR"/>
        </w:rPr>
      </w:pPr>
      <w:r w:rsidRPr="00441526">
        <w:rPr>
          <w:b/>
          <w:lang w:val="en-NZ" w:eastAsia="ko-KR"/>
        </w:rPr>
        <w:t>2.</w:t>
      </w:r>
      <w:r w:rsidRPr="00441526">
        <w:rPr>
          <w:b/>
          <w:lang w:val="en-NZ" w:eastAsia="ko-KR"/>
        </w:rPr>
        <w:tab/>
        <w:t>Documents</w:t>
      </w:r>
    </w:p>
    <w:p w14:paraId="6C39E784" w14:textId="77777777" w:rsidR="005A51D3" w:rsidRPr="002D5119" w:rsidRDefault="005A51D3" w:rsidP="005A51D3">
      <w:pPr>
        <w:numPr>
          <w:ilvl w:val="0"/>
          <w:numId w:val="18"/>
        </w:numPr>
        <w:ind w:leftChars="145" w:left="708"/>
        <w:jc w:val="both"/>
        <w:rPr>
          <w:lang w:val="en-NZ"/>
        </w:rPr>
      </w:pPr>
      <w:r w:rsidRPr="00D92077">
        <w:rPr>
          <w:lang w:val="en-NZ"/>
        </w:rPr>
        <w:t xml:space="preserve">Input Documents </w:t>
      </w:r>
      <w:r w:rsidRPr="00D92077">
        <w:t>APG23-2/</w:t>
      </w:r>
      <w:hyperlink r:id="rId14" w:history="1">
        <w:r w:rsidRPr="00D92077">
          <w:rPr>
            <w:rStyle w:val="Hyperlink"/>
            <w:rFonts w:eastAsia="MS Mincho"/>
            <w:lang w:eastAsia="ja-JP"/>
          </w:rPr>
          <w:t>INP-24</w:t>
        </w:r>
      </w:hyperlink>
      <w:r w:rsidRPr="00D92077">
        <w:rPr>
          <w:rFonts w:eastAsia="MS Mincho"/>
          <w:lang w:eastAsia="ja-JP"/>
        </w:rPr>
        <w:t xml:space="preserve"> (AUS), </w:t>
      </w:r>
      <w:hyperlink r:id="rId15" w:history="1">
        <w:r w:rsidRPr="00D92077">
          <w:rPr>
            <w:rStyle w:val="Hyperlink"/>
            <w:rFonts w:eastAsia="MS Mincho"/>
            <w:lang w:eastAsia="ja-JP"/>
          </w:rPr>
          <w:t>INP-50</w:t>
        </w:r>
      </w:hyperlink>
      <w:r w:rsidRPr="00D92077">
        <w:rPr>
          <w:rFonts w:eastAsia="MS Mincho"/>
          <w:lang w:eastAsia="ja-JP"/>
        </w:rPr>
        <w:t xml:space="preserve"> (VTN), </w:t>
      </w:r>
      <w:hyperlink r:id="rId16" w:history="1">
        <w:r w:rsidRPr="00D92077">
          <w:rPr>
            <w:rStyle w:val="Hyperlink"/>
            <w:rFonts w:eastAsia="MS Mincho"/>
            <w:lang w:eastAsia="ja-JP"/>
          </w:rPr>
          <w:t>INP-53</w:t>
        </w:r>
      </w:hyperlink>
      <w:r w:rsidRPr="00D92077">
        <w:rPr>
          <w:rFonts w:eastAsia="MS Mincho"/>
          <w:lang w:eastAsia="ja-JP"/>
        </w:rPr>
        <w:t xml:space="preserve"> (AWG)</w:t>
      </w:r>
    </w:p>
    <w:p w14:paraId="04739976" w14:textId="77777777" w:rsidR="005A51D3" w:rsidRPr="00D92077" w:rsidRDefault="005A51D3" w:rsidP="005A51D3">
      <w:pPr>
        <w:numPr>
          <w:ilvl w:val="0"/>
          <w:numId w:val="18"/>
        </w:numPr>
        <w:ind w:leftChars="145" w:left="708"/>
        <w:rPr>
          <w:lang w:val="en-NZ"/>
        </w:rPr>
      </w:pPr>
      <w:r w:rsidRPr="00D92077">
        <w:rPr>
          <w:lang w:val="en-NZ"/>
        </w:rPr>
        <w:t xml:space="preserve">Input Documents </w:t>
      </w:r>
      <w:r w:rsidRPr="00D92077">
        <w:t>APG23-</w:t>
      </w:r>
      <w:r>
        <w:t>3</w:t>
      </w:r>
      <w:r w:rsidRPr="00D92077">
        <w:t>/</w:t>
      </w:r>
      <w:hyperlink r:id="rId17" w:history="1">
        <w:r w:rsidRPr="00E82E0F">
          <w:rPr>
            <w:rStyle w:val="Hyperlink"/>
            <w:rFonts w:eastAsia="MS Mincho"/>
            <w:lang w:eastAsia="ja-JP"/>
          </w:rPr>
          <w:t>INP-07</w:t>
        </w:r>
      </w:hyperlink>
      <w:r w:rsidRPr="00D92077">
        <w:rPr>
          <w:rFonts w:eastAsia="MS Mincho"/>
          <w:lang w:eastAsia="ja-JP"/>
        </w:rPr>
        <w:t xml:space="preserve"> (AUS), </w:t>
      </w:r>
      <w:hyperlink r:id="rId18" w:history="1">
        <w:r w:rsidRPr="00E87F5A">
          <w:rPr>
            <w:rStyle w:val="Hyperlink"/>
            <w:rFonts w:eastAsia="MS Mincho"/>
            <w:lang w:eastAsia="ja-JP"/>
          </w:rPr>
          <w:t>INP-20</w:t>
        </w:r>
      </w:hyperlink>
      <w:r w:rsidRPr="004971D8">
        <w:rPr>
          <w:rFonts w:eastAsia="MS Mincho"/>
          <w:lang w:eastAsia="ja-JP"/>
        </w:rPr>
        <w:t xml:space="preserve"> (</w:t>
      </w:r>
      <w:r>
        <w:rPr>
          <w:rFonts w:eastAsia="MS Mincho"/>
          <w:lang w:eastAsia="ja-JP"/>
        </w:rPr>
        <w:t>NZL</w:t>
      </w:r>
      <w:r w:rsidRPr="004971D8">
        <w:rPr>
          <w:rFonts w:eastAsia="MS Mincho"/>
          <w:lang w:eastAsia="ja-JP"/>
        </w:rPr>
        <w:t>),</w:t>
      </w:r>
      <w:r>
        <w:rPr>
          <w:rFonts w:eastAsia="MS Mincho"/>
          <w:lang w:eastAsia="ja-JP"/>
        </w:rPr>
        <w:t xml:space="preserve"> </w:t>
      </w:r>
      <w:hyperlink r:id="rId19" w:history="1">
        <w:r w:rsidRPr="008B44A7">
          <w:rPr>
            <w:rStyle w:val="Hyperlink"/>
            <w:rFonts w:eastAsia="MS Mincho"/>
            <w:lang w:eastAsia="ja-JP"/>
          </w:rPr>
          <w:t>INP-40</w:t>
        </w:r>
      </w:hyperlink>
      <w:r>
        <w:rPr>
          <w:rFonts w:eastAsia="MS Mincho"/>
          <w:lang w:eastAsia="ja-JP"/>
        </w:rPr>
        <w:t xml:space="preserve"> (SMO), </w:t>
      </w:r>
      <w:r>
        <w:rPr>
          <w:rFonts w:eastAsia="MS Mincho"/>
          <w:lang w:eastAsia="ja-JP"/>
        </w:rPr>
        <w:br/>
      </w:r>
      <w:hyperlink r:id="rId20" w:history="1">
        <w:r w:rsidRPr="00C00381">
          <w:rPr>
            <w:rStyle w:val="Hyperlink"/>
            <w:rFonts w:eastAsia="MS Mincho"/>
            <w:lang w:eastAsia="ja-JP"/>
          </w:rPr>
          <w:t>INP-46</w:t>
        </w:r>
      </w:hyperlink>
      <w:r>
        <w:rPr>
          <w:rFonts w:eastAsia="MS Mincho"/>
          <w:lang w:eastAsia="ja-JP"/>
        </w:rPr>
        <w:t xml:space="preserve"> (IRN), </w:t>
      </w:r>
      <w:hyperlink r:id="rId21" w:history="1">
        <w:r w:rsidRPr="00F4742D">
          <w:rPr>
            <w:rStyle w:val="Hyperlink"/>
            <w:rFonts w:eastAsia="MS Mincho"/>
            <w:lang w:val="en-GB" w:eastAsia="ja-JP"/>
          </w:rPr>
          <w:t>INP-51</w:t>
        </w:r>
      </w:hyperlink>
      <w:r>
        <w:rPr>
          <w:rFonts w:eastAsia="MS Mincho"/>
          <w:lang w:val="en-GB" w:eastAsia="ja-JP"/>
        </w:rPr>
        <w:t xml:space="preserve"> (VTN)</w:t>
      </w:r>
    </w:p>
    <w:p w14:paraId="59900523" w14:textId="2EB11FDD" w:rsidR="002A0111" w:rsidRPr="00D92077" w:rsidRDefault="002A0111" w:rsidP="002518A8">
      <w:pPr>
        <w:numPr>
          <w:ilvl w:val="0"/>
          <w:numId w:val="18"/>
        </w:numPr>
        <w:ind w:leftChars="145" w:left="708"/>
        <w:rPr>
          <w:lang w:val="en-NZ"/>
        </w:rPr>
      </w:pPr>
      <w:r w:rsidRPr="00D92077">
        <w:rPr>
          <w:lang w:val="en-NZ"/>
        </w:rPr>
        <w:t xml:space="preserve">Input Documents </w:t>
      </w:r>
      <w:r w:rsidR="004644BE" w:rsidRPr="004971D8">
        <w:rPr>
          <w:lang w:val="en-NZ"/>
        </w:rPr>
        <w:t>APG23-</w:t>
      </w:r>
      <w:r w:rsidR="004644BE">
        <w:rPr>
          <w:lang w:val="en-NZ"/>
        </w:rPr>
        <w:t>4</w:t>
      </w:r>
      <w:r w:rsidR="004644BE" w:rsidRPr="004971D8">
        <w:rPr>
          <w:lang w:val="en-NZ"/>
        </w:rPr>
        <w:t>/</w:t>
      </w:r>
      <w:hyperlink r:id="rId22" w:history="1">
        <w:r w:rsidR="004644BE" w:rsidRPr="00D06988">
          <w:rPr>
            <w:rStyle w:val="Hyperlink"/>
            <w:iCs/>
            <w:lang w:val="en-NZ"/>
          </w:rPr>
          <w:t>INP-07</w:t>
        </w:r>
      </w:hyperlink>
      <w:r w:rsidR="004644BE">
        <w:rPr>
          <w:rFonts w:eastAsia="MS Mincho"/>
          <w:lang w:eastAsia="ja-JP"/>
        </w:rPr>
        <w:t xml:space="preserve"> (J), </w:t>
      </w:r>
      <w:hyperlink r:id="rId23" w:history="1">
        <w:r w:rsidR="00852D8A" w:rsidRPr="00DF74FC">
          <w:rPr>
            <w:rStyle w:val="Hyperlink"/>
            <w:lang w:val="en-NZ"/>
          </w:rPr>
          <w:t>INP-</w:t>
        </w:r>
        <w:r w:rsidR="00852D8A" w:rsidRPr="00DF74FC">
          <w:rPr>
            <w:rStyle w:val="Hyperlink"/>
          </w:rPr>
          <w:t>14</w:t>
        </w:r>
      </w:hyperlink>
      <w:r w:rsidR="00852D8A" w:rsidRPr="004971D8">
        <w:rPr>
          <w:lang w:val="en-NZ"/>
        </w:rPr>
        <w:t xml:space="preserve"> (</w:t>
      </w:r>
      <w:r w:rsidR="00852D8A">
        <w:rPr>
          <w:lang w:val="en-NZ"/>
        </w:rPr>
        <w:t>AUS</w:t>
      </w:r>
      <w:r w:rsidR="00852D8A" w:rsidRPr="004971D8">
        <w:rPr>
          <w:lang w:val="en-NZ"/>
        </w:rPr>
        <w:t>),</w:t>
      </w:r>
      <w:r w:rsidR="001050A7" w:rsidRPr="00D92077">
        <w:rPr>
          <w:rFonts w:eastAsia="MS Mincho"/>
          <w:lang w:eastAsia="ja-JP"/>
        </w:rPr>
        <w:t xml:space="preserve"> </w:t>
      </w:r>
      <w:hyperlink r:id="rId24" w:history="1">
        <w:r w:rsidR="003F4BD4" w:rsidRPr="003F4BD4">
          <w:rPr>
            <w:rStyle w:val="Hyperlink"/>
            <w:rFonts w:eastAsia="MS Mincho"/>
            <w:lang w:eastAsia="ja-JP"/>
          </w:rPr>
          <w:t>INP-23</w:t>
        </w:r>
      </w:hyperlink>
      <w:r w:rsidR="003F4BD4">
        <w:rPr>
          <w:rFonts w:eastAsia="MS Mincho"/>
          <w:lang w:eastAsia="ja-JP"/>
        </w:rPr>
        <w:t xml:space="preserve"> (IRN),</w:t>
      </w:r>
      <w:r w:rsidR="008A3E21">
        <w:rPr>
          <w:rFonts w:eastAsia="MS Mincho"/>
          <w:lang w:eastAsia="ja-JP"/>
        </w:rPr>
        <w:t xml:space="preserve"> </w:t>
      </w:r>
      <w:hyperlink r:id="rId25" w:history="1">
        <w:r w:rsidR="008A3E21" w:rsidRPr="004C27B5">
          <w:rPr>
            <w:rStyle w:val="Hyperlink"/>
            <w:rFonts w:eastAsia="MS Mincho"/>
            <w:lang w:eastAsia="ja-JP"/>
          </w:rPr>
          <w:t>INP-40</w:t>
        </w:r>
      </w:hyperlink>
      <w:r w:rsidR="008A3E21">
        <w:rPr>
          <w:rFonts w:eastAsia="MS Mincho"/>
          <w:lang w:eastAsia="ja-JP"/>
        </w:rPr>
        <w:t xml:space="preserve"> (CHN), </w:t>
      </w:r>
      <w:r w:rsidR="003F4BD4">
        <w:rPr>
          <w:rFonts w:eastAsia="MS Mincho"/>
          <w:lang w:eastAsia="ja-JP"/>
        </w:rPr>
        <w:t xml:space="preserve"> </w:t>
      </w:r>
      <w:hyperlink r:id="rId26" w:history="1">
        <w:r w:rsidR="00093CE0" w:rsidRPr="00E87F5A">
          <w:rPr>
            <w:rStyle w:val="Hyperlink"/>
            <w:rFonts w:eastAsia="MS Mincho"/>
            <w:lang w:eastAsia="ja-JP"/>
          </w:rPr>
          <w:t>INP-</w:t>
        </w:r>
      </w:hyperlink>
      <w:r w:rsidR="00FA791D">
        <w:rPr>
          <w:rStyle w:val="Hyperlink"/>
          <w:rFonts w:eastAsia="MS Mincho"/>
          <w:lang w:eastAsia="ja-JP"/>
        </w:rPr>
        <w:t>51</w:t>
      </w:r>
      <w:r w:rsidR="00093CE0" w:rsidRPr="004971D8">
        <w:rPr>
          <w:rFonts w:eastAsia="MS Mincho"/>
          <w:lang w:eastAsia="ja-JP"/>
        </w:rPr>
        <w:t xml:space="preserve"> (</w:t>
      </w:r>
      <w:r w:rsidR="00093CE0">
        <w:rPr>
          <w:rFonts w:eastAsia="MS Mincho"/>
          <w:lang w:eastAsia="ja-JP"/>
        </w:rPr>
        <w:t>NZL</w:t>
      </w:r>
      <w:r w:rsidR="00093CE0" w:rsidRPr="004971D8">
        <w:rPr>
          <w:rFonts w:eastAsia="MS Mincho"/>
          <w:lang w:eastAsia="ja-JP"/>
        </w:rPr>
        <w:t>),</w:t>
      </w:r>
      <w:r w:rsidR="00093CE0">
        <w:rPr>
          <w:rFonts w:eastAsia="MS Mincho"/>
          <w:lang w:eastAsia="ja-JP"/>
        </w:rPr>
        <w:t xml:space="preserve"> </w:t>
      </w:r>
      <w:hyperlink r:id="rId27" w:history="1">
        <w:r w:rsidR="008B44A7" w:rsidRPr="008B44A7">
          <w:rPr>
            <w:rStyle w:val="Hyperlink"/>
            <w:rFonts w:eastAsia="MS Mincho"/>
            <w:lang w:eastAsia="ja-JP"/>
          </w:rPr>
          <w:t>INP-</w:t>
        </w:r>
      </w:hyperlink>
      <w:r w:rsidR="006F4ED8">
        <w:rPr>
          <w:rStyle w:val="Hyperlink"/>
          <w:rFonts w:eastAsia="MS Mincho"/>
          <w:lang w:eastAsia="ja-JP"/>
        </w:rPr>
        <w:t>59</w:t>
      </w:r>
      <w:r w:rsidR="008B44A7">
        <w:rPr>
          <w:rFonts w:eastAsia="MS Mincho"/>
          <w:lang w:eastAsia="ja-JP"/>
        </w:rPr>
        <w:t xml:space="preserve"> (SMO),</w:t>
      </w:r>
      <w:r w:rsidR="00CB011E">
        <w:rPr>
          <w:rFonts w:eastAsia="MS Mincho"/>
          <w:lang w:eastAsia="ja-JP"/>
        </w:rPr>
        <w:t xml:space="preserve"> </w:t>
      </w:r>
      <w:hyperlink r:id="rId28" w:history="1">
        <w:r w:rsidR="00CB011E" w:rsidRPr="00CB011E">
          <w:rPr>
            <w:rStyle w:val="Hyperlink"/>
            <w:rFonts w:eastAsia="MS Mincho"/>
            <w:lang w:eastAsia="ja-JP"/>
          </w:rPr>
          <w:t>INP-61</w:t>
        </w:r>
      </w:hyperlink>
      <w:r w:rsidR="00CB011E">
        <w:rPr>
          <w:rFonts w:eastAsia="MS Mincho"/>
          <w:lang w:eastAsia="ja-JP"/>
        </w:rPr>
        <w:t xml:space="preserve"> (IND),</w:t>
      </w:r>
      <w:r w:rsidR="008B44A7">
        <w:rPr>
          <w:rFonts w:eastAsia="MS Mincho"/>
          <w:lang w:eastAsia="ja-JP"/>
        </w:rPr>
        <w:t xml:space="preserve"> </w:t>
      </w:r>
      <w:hyperlink r:id="rId29" w:history="1">
        <w:r w:rsidR="002518A8" w:rsidRPr="00F4742D">
          <w:rPr>
            <w:rStyle w:val="Hyperlink"/>
            <w:rFonts w:eastAsia="MS Mincho"/>
            <w:lang w:val="en-GB" w:eastAsia="ja-JP"/>
          </w:rPr>
          <w:t>INP-</w:t>
        </w:r>
      </w:hyperlink>
      <w:r w:rsidR="002518A8">
        <w:rPr>
          <w:rStyle w:val="Hyperlink"/>
          <w:rFonts w:eastAsia="MS Mincho"/>
          <w:lang w:val="en-GB" w:eastAsia="ja-JP"/>
        </w:rPr>
        <w:t>74</w:t>
      </w:r>
      <w:r w:rsidR="002518A8">
        <w:rPr>
          <w:rFonts w:eastAsia="MS Mincho"/>
          <w:lang w:val="en-GB" w:eastAsia="ja-JP"/>
        </w:rPr>
        <w:t xml:space="preserve"> (VTN)</w:t>
      </w:r>
    </w:p>
    <w:p w14:paraId="252C9782" w14:textId="6348D9D0" w:rsidR="00425988" w:rsidRPr="00425988" w:rsidRDefault="00425988" w:rsidP="00425988">
      <w:pPr>
        <w:numPr>
          <w:ilvl w:val="0"/>
          <w:numId w:val="18"/>
        </w:numPr>
        <w:ind w:leftChars="145" w:left="708"/>
        <w:rPr>
          <w:lang w:val="en-NZ" w:eastAsia="ko-KR"/>
        </w:rPr>
      </w:pPr>
      <w:r w:rsidRPr="00425988">
        <w:rPr>
          <w:lang w:val="en-NZ"/>
        </w:rPr>
        <w:t>Input Documents APG23-5/</w:t>
      </w:r>
      <w:hyperlink r:id="rId30" w:history="1">
        <w:r w:rsidRPr="00425988">
          <w:rPr>
            <w:rStyle w:val="Hyperlink"/>
            <w:iCs/>
            <w:lang w:val="en-NZ"/>
          </w:rPr>
          <w:t>INP-14</w:t>
        </w:r>
      </w:hyperlink>
      <w:r w:rsidRPr="00425988">
        <w:rPr>
          <w:lang w:val="en-NZ"/>
        </w:rPr>
        <w:t xml:space="preserve"> (J), </w:t>
      </w:r>
      <w:hyperlink r:id="rId31" w:history="1">
        <w:r w:rsidRPr="00425988">
          <w:rPr>
            <w:rStyle w:val="Hyperlink"/>
            <w:iCs/>
            <w:lang w:val="en-NZ"/>
          </w:rPr>
          <w:t>INP-26</w:t>
        </w:r>
      </w:hyperlink>
      <w:r w:rsidRPr="00425988">
        <w:rPr>
          <w:lang w:val="en-NZ"/>
        </w:rPr>
        <w:t xml:space="preserve"> (IND), </w:t>
      </w:r>
      <w:hyperlink r:id="rId32" w:history="1">
        <w:r w:rsidRPr="00425988">
          <w:rPr>
            <w:rStyle w:val="Hyperlink"/>
            <w:iCs/>
            <w:lang w:val="en-NZ"/>
          </w:rPr>
          <w:t>INP-36</w:t>
        </w:r>
      </w:hyperlink>
      <w:r w:rsidRPr="00425988">
        <w:rPr>
          <w:lang w:val="en-NZ"/>
        </w:rPr>
        <w:t xml:space="preserve"> (IRN), </w:t>
      </w:r>
      <w:hyperlink r:id="rId33" w:history="1">
        <w:r w:rsidRPr="00425988">
          <w:rPr>
            <w:rStyle w:val="Hyperlink"/>
          </w:rPr>
          <w:t>INP-52</w:t>
        </w:r>
      </w:hyperlink>
      <w:r w:rsidRPr="00425988">
        <w:rPr>
          <w:lang w:val="en-NZ"/>
        </w:rPr>
        <w:t xml:space="preserve"> (VTN), </w:t>
      </w:r>
      <w:hyperlink r:id="rId34" w:history="1">
        <w:r w:rsidRPr="00425988">
          <w:rPr>
            <w:rStyle w:val="Hyperlink"/>
          </w:rPr>
          <w:t>INP-56</w:t>
        </w:r>
      </w:hyperlink>
      <w:r w:rsidRPr="00425988">
        <w:rPr>
          <w:lang w:val="en-NZ"/>
        </w:rPr>
        <w:t xml:space="preserve"> (AUS), </w:t>
      </w:r>
      <w:hyperlink r:id="rId35" w:history="1">
        <w:r w:rsidRPr="007A5245">
          <w:rPr>
            <w:rStyle w:val="Hyperlink"/>
            <w:iCs/>
            <w:lang w:val="en-NZ"/>
          </w:rPr>
          <w:t>INP-73</w:t>
        </w:r>
        <w:r w:rsidR="007A5245" w:rsidRPr="007A5245">
          <w:rPr>
            <w:rStyle w:val="Hyperlink"/>
            <w:iCs/>
            <w:lang w:val="en-NZ"/>
          </w:rPr>
          <w:t>(Rev.1)</w:t>
        </w:r>
      </w:hyperlink>
      <w:r w:rsidRPr="00425988">
        <w:rPr>
          <w:lang w:val="en-NZ"/>
        </w:rPr>
        <w:t xml:space="preserve"> (NZL), </w:t>
      </w:r>
      <w:hyperlink r:id="rId36" w:history="1">
        <w:r w:rsidRPr="00425988">
          <w:rPr>
            <w:rStyle w:val="Hyperlink"/>
            <w:iCs/>
            <w:lang w:val="en-NZ"/>
          </w:rPr>
          <w:t>INP-88</w:t>
        </w:r>
      </w:hyperlink>
      <w:r w:rsidRPr="00425988">
        <w:rPr>
          <w:lang w:val="en-NZ"/>
        </w:rPr>
        <w:t xml:space="preserve"> (CHN)</w:t>
      </w:r>
      <w:r w:rsidR="00541E66">
        <w:rPr>
          <w:lang w:val="en-NZ"/>
        </w:rPr>
        <w:t xml:space="preserve">, </w:t>
      </w:r>
      <w:hyperlink r:id="rId37" w:history="1">
        <w:r w:rsidR="00541E66" w:rsidRPr="00541E66">
          <w:rPr>
            <w:rStyle w:val="Hyperlink"/>
            <w:lang w:val="en-NZ"/>
          </w:rPr>
          <w:t>INP-105</w:t>
        </w:r>
      </w:hyperlink>
      <w:r w:rsidR="00541E66">
        <w:rPr>
          <w:lang w:val="en-NZ"/>
        </w:rPr>
        <w:t xml:space="preserve"> (SMO)</w:t>
      </w:r>
    </w:p>
    <w:p w14:paraId="3799484F" w14:textId="6E834BB2" w:rsidR="002D5119" w:rsidRPr="002D5119" w:rsidRDefault="002D5119" w:rsidP="00541998">
      <w:pPr>
        <w:numPr>
          <w:ilvl w:val="0"/>
          <w:numId w:val="18"/>
        </w:numPr>
        <w:ind w:leftChars="145" w:left="708"/>
        <w:rPr>
          <w:lang w:val="en-NZ" w:eastAsia="ko-KR"/>
        </w:rPr>
      </w:pPr>
      <w:r w:rsidRPr="00D92077">
        <w:rPr>
          <w:lang w:val="en-NZ"/>
        </w:rPr>
        <w:t xml:space="preserve">Information Documents </w:t>
      </w:r>
      <w:r w:rsidRPr="00D92077">
        <w:t>APG23-2/</w:t>
      </w:r>
      <w:hyperlink r:id="rId38" w:history="1">
        <w:r w:rsidRPr="00D92077">
          <w:rPr>
            <w:rStyle w:val="Hyperlink"/>
            <w:rFonts w:eastAsia="MS Mincho"/>
            <w:lang w:eastAsia="ja-JP"/>
          </w:rPr>
          <w:t>INF-12</w:t>
        </w:r>
      </w:hyperlink>
      <w:r w:rsidRPr="00D92077">
        <w:rPr>
          <w:rFonts w:eastAsia="MS Mincho"/>
          <w:lang w:eastAsia="ja-JP"/>
        </w:rPr>
        <w:t xml:space="preserve"> (DG Chair), </w:t>
      </w:r>
      <w:hyperlink r:id="rId39" w:history="1">
        <w:r w:rsidRPr="00D92077">
          <w:rPr>
            <w:rStyle w:val="Hyperlink"/>
            <w:rFonts w:eastAsia="MS Mincho"/>
            <w:lang w:eastAsia="ja-JP"/>
          </w:rPr>
          <w:t>INF-25</w:t>
        </w:r>
      </w:hyperlink>
      <w:r w:rsidRPr="00D92077">
        <w:rPr>
          <w:rFonts w:eastAsia="MS Mincho"/>
          <w:lang w:eastAsia="ja-JP"/>
        </w:rPr>
        <w:t xml:space="preserve"> (ASMG), </w:t>
      </w:r>
      <w:r w:rsidR="00541998">
        <w:rPr>
          <w:rFonts w:eastAsia="MS Mincho"/>
          <w:lang w:eastAsia="ja-JP"/>
        </w:rPr>
        <w:br/>
      </w:r>
      <w:hyperlink r:id="rId40" w:history="1">
        <w:r w:rsidRPr="00D92077">
          <w:rPr>
            <w:rStyle w:val="Hyperlink"/>
            <w:lang w:val="en-NZ"/>
          </w:rPr>
          <w:t>INF-30</w:t>
        </w:r>
      </w:hyperlink>
      <w:r w:rsidRPr="00D92077">
        <w:rPr>
          <w:lang w:val="en-NZ"/>
        </w:rPr>
        <w:t xml:space="preserve"> (GSMA), </w:t>
      </w:r>
      <w:hyperlink r:id="rId41" w:history="1">
        <w:r w:rsidRPr="00D92077">
          <w:rPr>
            <w:rStyle w:val="Hyperlink"/>
            <w:rFonts w:eastAsia="MS Mincho"/>
            <w:lang w:eastAsia="ja-JP"/>
          </w:rPr>
          <w:t>INF-34</w:t>
        </w:r>
      </w:hyperlink>
      <w:r w:rsidRPr="00D92077">
        <w:rPr>
          <w:rFonts w:eastAsia="MS Mincho"/>
          <w:lang w:eastAsia="ja-JP"/>
        </w:rPr>
        <w:t xml:space="preserve"> (CITEL), </w:t>
      </w:r>
      <w:hyperlink r:id="rId42" w:history="1">
        <w:r w:rsidRPr="00D92077">
          <w:rPr>
            <w:rStyle w:val="Hyperlink"/>
            <w:rFonts w:eastAsia="MS Mincho"/>
            <w:lang w:eastAsia="ja-JP"/>
          </w:rPr>
          <w:t>INF-36</w:t>
        </w:r>
      </w:hyperlink>
      <w:r w:rsidRPr="00D92077">
        <w:rPr>
          <w:rFonts w:eastAsia="MS Mincho"/>
          <w:lang w:eastAsia="ja-JP"/>
        </w:rPr>
        <w:t xml:space="preserve"> (RCC)</w:t>
      </w:r>
    </w:p>
    <w:p w14:paraId="123FFA9B" w14:textId="7CE74125" w:rsidR="005206E9" w:rsidRPr="00DC3222" w:rsidRDefault="002A0111" w:rsidP="004263DA">
      <w:pPr>
        <w:numPr>
          <w:ilvl w:val="0"/>
          <w:numId w:val="18"/>
        </w:numPr>
        <w:ind w:leftChars="145" w:left="708"/>
        <w:rPr>
          <w:lang w:val="en-NZ" w:eastAsia="ko-KR"/>
        </w:rPr>
      </w:pPr>
      <w:r w:rsidRPr="00D92077">
        <w:rPr>
          <w:lang w:val="en-NZ"/>
        </w:rPr>
        <w:t xml:space="preserve">Information Documents </w:t>
      </w:r>
      <w:r w:rsidR="001050A7" w:rsidRPr="00D92077">
        <w:t>APG23-</w:t>
      </w:r>
      <w:r w:rsidR="00E227A3">
        <w:t>3</w:t>
      </w:r>
      <w:r w:rsidR="001050A7" w:rsidRPr="00D92077">
        <w:t>/</w:t>
      </w:r>
      <w:hyperlink r:id="rId43" w:history="1">
        <w:r w:rsidR="004263DA" w:rsidRPr="00F4742D">
          <w:rPr>
            <w:rStyle w:val="Hyperlink"/>
            <w:rFonts w:eastAsia="MS Mincho" w:hint="eastAsia"/>
            <w:lang w:val="en-GB" w:eastAsia="ja-JP"/>
          </w:rPr>
          <w:t>I</w:t>
        </w:r>
        <w:r w:rsidR="004263DA" w:rsidRPr="00F4742D">
          <w:rPr>
            <w:rStyle w:val="Hyperlink"/>
            <w:rFonts w:eastAsia="MS Mincho"/>
            <w:lang w:val="en-GB" w:eastAsia="ja-JP"/>
          </w:rPr>
          <w:t>NF-01</w:t>
        </w:r>
      </w:hyperlink>
      <w:r w:rsidR="004263DA">
        <w:rPr>
          <w:rFonts w:eastAsia="MS Mincho"/>
          <w:lang w:val="en-GB" w:eastAsia="ja-JP"/>
        </w:rPr>
        <w:t xml:space="preserve"> (WMO), </w:t>
      </w:r>
      <w:hyperlink r:id="rId44" w:history="1">
        <w:r w:rsidR="004263DA" w:rsidRPr="00F4742D">
          <w:rPr>
            <w:rStyle w:val="Hyperlink"/>
            <w:rFonts w:eastAsia="MS Mincho"/>
            <w:lang w:val="en-GB" w:eastAsia="ja-JP"/>
          </w:rPr>
          <w:t>INF-18</w:t>
        </w:r>
      </w:hyperlink>
      <w:r w:rsidR="004263DA">
        <w:rPr>
          <w:rFonts w:eastAsia="MS Mincho"/>
          <w:lang w:val="en-GB" w:eastAsia="ja-JP"/>
        </w:rPr>
        <w:t xml:space="preserve"> (GSMA Hong Kong), </w:t>
      </w:r>
      <w:r w:rsidR="004263DA">
        <w:rPr>
          <w:rFonts w:eastAsia="MS Mincho"/>
          <w:lang w:val="en-GB" w:eastAsia="ja-JP"/>
        </w:rPr>
        <w:br/>
      </w:r>
      <w:hyperlink r:id="rId45" w:history="1">
        <w:r w:rsidR="004263DA" w:rsidRPr="00F4742D">
          <w:rPr>
            <w:rStyle w:val="Hyperlink"/>
            <w:rFonts w:eastAsia="MS Mincho"/>
            <w:lang w:val="en-GB" w:eastAsia="ja-JP"/>
          </w:rPr>
          <w:t>INF-20</w:t>
        </w:r>
      </w:hyperlink>
      <w:r w:rsidR="004263DA">
        <w:rPr>
          <w:rFonts w:eastAsia="MS Mincho"/>
          <w:lang w:val="en-GB" w:eastAsia="ja-JP"/>
        </w:rPr>
        <w:t xml:space="preserve"> (CEPT), </w:t>
      </w:r>
      <w:hyperlink r:id="rId46" w:history="1">
        <w:r w:rsidR="004263DA" w:rsidRPr="00F4742D">
          <w:rPr>
            <w:rStyle w:val="Hyperlink"/>
            <w:rFonts w:eastAsia="MS Mincho"/>
            <w:lang w:val="en-GB" w:eastAsia="ja-JP"/>
          </w:rPr>
          <w:t>INF-22</w:t>
        </w:r>
      </w:hyperlink>
      <w:r w:rsidR="004263DA">
        <w:rPr>
          <w:rFonts w:eastAsia="MS Mincho"/>
          <w:lang w:val="en-GB" w:eastAsia="ja-JP"/>
        </w:rPr>
        <w:t xml:space="preserve"> (DG Chair)</w:t>
      </w:r>
      <w:r w:rsidR="00590324">
        <w:rPr>
          <w:rFonts w:eastAsia="MS Mincho"/>
          <w:lang w:val="en-GB" w:eastAsia="ja-JP"/>
        </w:rPr>
        <w:t xml:space="preserve">, </w:t>
      </w:r>
      <w:hyperlink r:id="rId47" w:history="1">
        <w:r w:rsidR="00590324" w:rsidRPr="00590324">
          <w:rPr>
            <w:rStyle w:val="Hyperlink"/>
            <w:lang w:val="en-NZ"/>
          </w:rPr>
          <w:t>INF-37</w:t>
        </w:r>
      </w:hyperlink>
      <w:r w:rsidR="00590324" w:rsidRPr="00590324">
        <w:rPr>
          <w:lang w:val="en-NZ"/>
        </w:rPr>
        <w:t xml:space="preserve"> (ASMG)</w:t>
      </w:r>
      <w:r w:rsidR="00AE79A6">
        <w:rPr>
          <w:rFonts w:eastAsia="MS Mincho"/>
          <w:lang w:val="en-GB" w:eastAsia="ja-JP"/>
        </w:rPr>
        <w:t xml:space="preserve">, </w:t>
      </w:r>
      <w:hyperlink r:id="rId48" w:history="1">
        <w:r w:rsidR="00AE79A6" w:rsidRPr="005E5079">
          <w:rPr>
            <w:rStyle w:val="Hyperlink"/>
            <w:rFonts w:eastAsia="MS Mincho"/>
            <w:lang w:val="en-GB" w:eastAsia="ja-JP"/>
          </w:rPr>
          <w:t>INF-39</w:t>
        </w:r>
      </w:hyperlink>
      <w:r w:rsidR="00AE79A6">
        <w:rPr>
          <w:rFonts w:eastAsia="MS Mincho"/>
          <w:lang w:val="en-GB" w:eastAsia="ja-JP"/>
        </w:rPr>
        <w:t xml:space="preserve"> (ATU)</w:t>
      </w:r>
    </w:p>
    <w:p w14:paraId="00FF9225" w14:textId="57F592DB" w:rsidR="00DC3222" w:rsidRDefault="00DC3222" w:rsidP="00CE57BB">
      <w:pPr>
        <w:numPr>
          <w:ilvl w:val="0"/>
          <w:numId w:val="18"/>
        </w:numPr>
        <w:ind w:leftChars="145" w:left="708"/>
        <w:rPr>
          <w:lang w:val="en-NZ" w:eastAsia="ko-KR"/>
        </w:rPr>
      </w:pPr>
      <w:r w:rsidRPr="00D92077">
        <w:rPr>
          <w:lang w:val="en-NZ"/>
        </w:rPr>
        <w:t xml:space="preserve">Information Documents </w:t>
      </w:r>
      <w:r w:rsidRPr="00D92077">
        <w:t>APG23-</w:t>
      </w:r>
      <w:r>
        <w:t>4</w:t>
      </w:r>
      <w:r w:rsidRPr="00D92077">
        <w:t>/</w:t>
      </w:r>
      <w:hyperlink r:id="rId49" w:history="1">
        <w:r w:rsidR="00A034C0" w:rsidRPr="00A034C0">
          <w:rPr>
            <w:rStyle w:val="Hyperlink"/>
          </w:rPr>
          <w:t>INF-02</w:t>
        </w:r>
      </w:hyperlink>
      <w:r w:rsidR="00A034C0">
        <w:t xml:space="preserve"> (ATU), </w:t>
      </w:r>
      <w:hyperlink r:id="rId50" w:history="1">
        <w:r w:rsidR="00D40AA4" w:rsidRPr="00A357BA">
          <w:rPr>
            <w:rStyle w:val="Hyperlink"/>
            <w:lang w:val="en-NZ"/>
          </w:rPr>
          <w:t>INF-03</w:t>
        </w:r>
      </w:hyperlink>
      <w:r w:rsidR="00D40AA4">
        <w:rPr>
          <w:lang w:val="en-NZ"/>
        </w:rPr>
        <w:t xml:space="preserve"> (WMO), </w:t>
      </w:r>
      <w:hyperlink r:id="rId51" w:history="1">
        <w:r w:rsidR="00801513" w:rsidRPr="00801513">
          <w:rPr>
            <w:rStyle w:val="Hyperlink"/>
            <w:lang w:val="en-NZ"/>
          </w:rPr>
          <w:t>INF-</w:t>
        </w:r>
        <w:r w:rsidR="00055BCB">
          <w:rPr>
            <w:rStyle w:val="Hyperlink"/>
            <w:lang w:val="en-NZ"/>
          </w:rPr>
          <w:t>17</w:t>
        </w:r>
      </w:hyperlink>
      <w:r w:rsidR="00801513">
        <w:rPr>
          <w:lang w:val="en-NZ"/>
        </w:rPr>
        <w:t xml:space="preserve"> (DG Chair), </w:t>
      </w:r>
      <w:hyperlink r:id="rId52" w:history="1">
        <w:r w:rsidR="00ED5BB5" w:rsidRPr="00815454">
          <w:rPr>
            <w:rStyle w:val="Hyperlink"/>
            <w:lang w:val="en-NZ"/>
          </w:rPr>
          <w:t>INF-</w:t>
        </w:r>
        <w:r w:rsidR="00FB0BF5">
          <w:rPr>
            <w:rStyle w:val="Hyperlink"/>
            <w:lang w:val="en-NZ"/>
          </w:rPr>
          <w:t>21</w:t>
        </w:r>
      </w:hyperlink>
      <w:r w:rsidR="00ED5BB5">
        <w:rPr>
          <w:lang w:val="en-NZ"/>
        </w:rPr>
        <w:t xml:space="preserve"> (ASMG),</w:t>
      </w:r>
      <w:r w:rsidR="00C45D4C">
        <w:rPr>
          <w:lang w:val="en-NZ"/>
        </w:rPr>
        <w:t xml:space="preserve"> </w:t>
      </w:r>
      <w:hyperlink r:id="rId53" w:history="1">
        <w:r w:rsidR="00C45D4C" w:rsidRPr="00B87216">
          <w:rPr>
            <w:rStyle w:val="Hyperlink"/>
            <w:lang w:val="en-NZ"/>
          </w:rPr>
          <w:t>INF-28</w:t>
        </w:r>
      </w:hyperlink>
      <w:r w:rsidR="00C45D4C">
        <w:rPr>
          <w:lang w:val="en-NZ"/>
        </w:rPr>
        <w:t xml:space="preserve"> (CITEL),</w:t>
      </w:r>
      <w:r w:rsidR="004104FB">
        <w:rPr>
          <w:lang w:val="en-NZ"/>
        </w:rPr>
        <w:t xml:space="preserve"> </w:t>
      </w:r>
      <w:hyperlink r:id="rId54" w:history="1">
        <w:r w:rsidR="004104FB" w:rsidRPr="00D64CCE">
          <w:rPr>
            <w:rStyle w:val="Hyperlink"/>
            <w:lang w:val="en-NZ"/>
          </w:rPr>
          <w:t>INF-30</w:t>
        </w:r>
      </w:hyperlink>
      <w:r w:rsidR="004104FB">
        <w:rPr>
          <w:lang w:val="en-NZ"/>
        </w:rPr>
        <w:t xml:space="preserve"> (GSA),</w:t>
      </w:r>
      <w:r w:rsidR="000105AA">
        <w:rPr>
          <w:lang w:val="en-NZ"/>
        </w:rPr>
        <w:t xml:space="preserve"> </w:t>
      </w:r>
      <w:hyperlink r:id="rId55" w:history="1">
        <w:r w:rsidR="000105AA" w:rsidRPr="000105AA">
          <w:rPr>
            <w:rStyle w:val="Hyperlink"/>
            <w:lang w:val="en-NZ"/>
          </w:rPr>
          <w:t>INF-3</w:t>
        </w:r>
        <w:r w:rsidR="00266E68">
          <w:rPr>
            <w:rStyle w:val="Hyperlink"/>
            <w:lang w:val="en-NZ"/>
          </w:rPr>
          <w:t>3</w:t>
        </w:r>
      </w:hyperlink>
      <w:r w:rsidR="000105AA">
        <w:rPr>
          <w:lang w:val="en-NZ"/>
        </w:rPr>
        <w:t xml:space="preserve"> (GSMA),</w:t>
      </w:r>
      <w:r w:rsidR="00266E68">
        <w:rPr>
          <w:lang w:val="en-NZ"/>
        </w:rPr>
        <w:t xml:space="preserve"> </w:t>
      </w:r>
      <w:hyperlink r:id="rId56" w:history="1">
        <w:r w:rsidR="001061EE" w:rsidRPr="001061EE">
          <w:rPr>
            <w:rStyle w:val="Hyperlink"/>
            <w:lang w:val="en-NZ"/>
          </w:rPr>
          <w:t>INF-44</w:t>
        </w:r>
      </w:hyperlink>
      <w:r w:rsidR="001061EE">
        <w:rPr>
          <w:lang w:val="en-NZ"/>
        </w:rPr>
        <w:t xml:space="preserve"> (RCC)</w:t>
      </w:r>
      <w:r w:rsidR="00AC2ED5">
        <w:rPr>
          <w:lang w:val="en-NZ"/>
        </w:rPr>
        <w:t xml:space="preserve">, </w:t>
      </w:r>
      <w:hyperlink r:id="rId57" w:history="1">
        <w:r w:rsidR="00AC2ED5" w:rsidRPr="005A5457">
          <w:rPr>
            <w:rStyle w:val="Hyperlink"/>
            <w:lang w:val="en-NZ"/>
          </w:rPr>
          <w:t>INF-</w:t>
        </w:r>
        <w:r w:rsidR="00AC2ED5" w:rsidRPr="005A5457">
          <w:rPr>
            <w:rStyle w:val="Hyperlink"/>
            <w:rFonts w:eastAsia="MS Mincho" w:hint="eastAsia"/>
            <w:lang w:val="en-NZ" w:eastAsia="ja-JP"/>
          </w:rPr>
          <w:t>4</w:t>
        </w:r>
        <w:r w:rsidR="00AC2ED5" w:rsidRPr="005A5457">
          <w:rPr>
            <w:rStyle w:val="Hyperlink"/>
            <w:rFonts w:eastAsia="MS Mincho"/>
            <w:lang w:val="en-NZ" w:eastAsia="ja-JP"/>
          </w:rPr>
          <w:t>8</w:t>
        </w:r>
      </w:hyperlink>
      <w:r w:rsidR="00AC2ED5">
        <w:rPr>
          <w:lang w:val="en-NZ"/>
        </w:rPr>
        <w:t xml:space="preserve"> (CEPT)</w:t>
      </w:r>
    </w:p>
    <w:p w14:paraId="7547CACC" w14:textId="47777EF5" w:rsidR="00425988" w:rsidRPr="00D92077" w:rsidRDefault="00E037D1" w:rsidP="002E0284">
      <w:pPr>
        <w:numPr>
          <w:ilvl w:val="0"/>
          <w:numId w:val="18"/>
        </w:numPr>
        <w:ind w:leftChars="145" w:left="708"/>
        <w:rPr>
          <w:lang w:val="en-NZ" w:eastAsia="ko-KR"/>
        </w:rPr>
      </w:pPr>
      <w:r w:rsidRPr="00D92077">
        <w:rPr>
          <w:lang w:val="en-NZ"/>
        </w:rPr>
        <w:t xml:space="preserve">Information Documents </w:t>
      </w:r>
      <w:r w:rsidRPr="00D92077">
        <w:t>APG23-</w:t>
      </w:r>
      <w:r>
        <w:t>5</w:t>
      </w:r>
      <w:r w:rsidRPr="004971D8">
        <w:rPr>
          <w:lang w:val="en-NZ"/>
        </w:rPr>
        <w:t>/</w:t>
      </w:r>
      <w:r>
        <w:rPr>
          <w:lang w:val="en-NZ"/>
        </w:rPr>
        <w:t xml:space="preserve"> </w:t>
      </w:r>
      <w:hyperlink r:id="rId58" w:history="1">
        <w:r w:rsidRPr="00B20ED8">
          <w:rPr>
            <w:rStyle w:val="Hyperlink"/>
            <w:bCs/>
            <w:lang w:val="en-NZ"/>
          </w:rPr>
          <w:t>INF-01</w:t>
        </w:r>
      </w:hyperlink>
      <w:r>
        <w:rPr>
          <w:lang w:val="en-NZ"/>
        </w:rPr>
        <w:t xml:space="preserve"> (WMO), </w:t>
      </w:r>
      <w:hyperlink r:id="rId59" w:history="1">
        <w:r w:rsidR="001F2E6D" w:rsidRPr="00875F48">
          <w:rPr>
            <w:rStyle w:val="Hyperlink"/>
            <w:bCs/>
            <w:lang w:val="en-NZ" w:eastAsia="ko-KR"/>
          </w:rPr>
          <w:t>INF-21</w:t>
        </w:r>
      </w:hyperlink>
      <w:r w:rsidR="001F2E6D">
        <w:rPr>
          <w:lang w:val="en-NZ"/>
        </w:rPr>
        <w:t xml:space="preserve"> (IARU)</w:t>
      </w:r>
      <w:r w:rsidR="004500EC">
        <w:rPr>
          <w:lang w:val="en-NZ"/>
        </w:rPr>
        <w:t xml:space="preserve">, </w:t>
      </w:r>
      <w:hyperlink r:id="rId60" w:history="1">
        <w:r w:rsidR="004500EC" w:rsidRPr="004500EC">
          <w:rPr>
            <w:rStyle w:val="Hyperlink"/>
            <w:lang w:val="en-NZ"/>
          </w:rPr>
          <w:t>INF-24</w:t>
        </w:r>
      </w:hyperlink>
      <w:r w:rsidR="004500EC" w:rsidRPr="004500EC">
        <w:rPr>
          <w:lang w:val="en-NZ"/>
        </w:rPr>
        <w:t xml:space="preserve"> </w:t>
      </w:r>
      <w:r w:rsidR="004500EC">
        <w:rPr>
          <w:lang w:val="en-NZ"/>
        </w:rPr>
        <w:t xml:space="preserve">(GSMA), </w:t>
      </w:r>
      <w:hyperlink r:id="rId61" w:history="1">
        <w:r w:rsidR="00B81F8C" w:rsidRPr="00FC641B">
          <w:rPr>
            <w:rStyle w:val="Hyperlink"/>
            <w:lang w:val="en-NZ"/>
          </w:rPr>
          <w:t>INF-</w:t>
        </w:r>
        <w:r w:rsidR="00B81F8C">
          <w:rPr>
            <w:rStyle w:val="Hyperlink"/>
            <w:lang w:val="en-NZ"/>
          </w:rPr>
          <w:t>3</w:t>
        </w:r>
        <w:r w:rsidR="005055F2">
          <w:rPr>
            <w:rStyle w:val="Hyperlink"/>
            <w:lang w:val="en-NZ"/>
          </w:rPr>
          <w:t>0(Rev.</w:t>
        </w:r>
        <w:r w:rsidR="002E0284">
          <w:rPr>
            <w:rStyle w:val="Hyperlink"/>
            <w:lang w:val="en-NZ"/>
          </w:rPr>
          <w:t>2</w:t>
        </w:r>
        <w:r w:rsidR="005055F2">
          <w:rPr>
            <w:rStyle w:val="Hyperlink"/>
            <w:lang w:val="en-NZ"/>
          </w:rPr>
          <w:t>)</w:t>
        </w:r>
      </w:hyperlink>
      <w:r w:rsidR="00B81F8C">
        <w:rPr>
          <w:lang w:val="en-NZ"/>
        </w:rPr>
        <w:t xml:space="preserve"> (DG Chair), </w:t>
      </w:r>
      <w:hyperlink r:id="rId62" w:history="1">
        <w:r w:rsidR="00BF1BC2" w:rsidRPr="00BF1BC2">
          <w:rPr>
            <w:rStyle w:val="Hyperlink"/>
            <w:lang w:val="en-NZ"/>
          </w:rPr>
          <w:t>INF-</w:t>
        </w:r>
        <w:r w:rsidR="00BF1BC2" w:rsidRPr="00BF1BC2">
          <w:rPr>
            <w:rStyle w:val="Hyperlink"/>
            <w:rFonts w:eastAsia="MS Mincho"/>
            <w:lang w:val="en-NZ" w:eastAsia="ja-JP"/>
          </w:rPr>
          <w:t>39</w:t>
        </w:r>
      </w:hyperlink>
      <w:r w:rsidR="00BF1BC2">
        <w:rPr>
          <w:lang w:val="en-NZ"/>
        </w:rPr>
        <w:t xml:space="preserve"> (CEPT)</w:t>
      </w:r>
      <w:r w:rsidR="00EB0660">
        <w:rPr>
          <w:lang w:val="en-NZ"/>
        </w:rPr>
        <w:t xml:space="preserve">, </w:t>
      </w:r>
      <w:hyperlink r:id="rId63" w:history="1">
        <w:r w:rsidR="00EB0660" w:rsidRPr="00EB0660">
          <w:rPr>
            <w:rStyle w:val="Hyperlink"/>
            <w:lang w:val="en-NZ"/>
          </w:rPr>
          <w:t>INF-43</w:t>
        </w:r>
      </w:hyperlink>
      <w:r w:rsidR="00EB0660">
        <w:rPr>
          <w:lang w:val="en-NZ"/>
        </w:rPr>
        <w:t xml:space="preserve"> (CITEL)</w:t>
      </w:r>
      <w:r w:rsidR="000D5A5C">
        <w:rPr>
          <w:lang w:val="en-NZ"/>
        </w:rPr>
        <w:t xml:space="preserve">, </w:t>
      </w:r>
      <w:hyperlink r:id="rId64" w:history="1">
        <w:r w:rsidR="000D5A5C" w:rsidRPr="003E3900">
          <w:rPr>
            <w:rStyle w:val="Hyperlink"/>
            <w:lang w:val="en-NZ"/>
          </w:rPr>
          <w:t>INF-45</w:t>
        </w:r>
      </w:hyperlink>
      <w:r w:rsidR="000D5A5C">
        <w:rPr>
          <w:lang w:val="en-NZ"/>
        </w:rPr>
        <w:t xml:space="preserve"> (RCC)</w:t>
      </w:r>
    </w:p>
    <w:p w14:paraId="6F1D8465" w14:textId="77777777" w:rsidR="005C568F" w:rsidRDefault="005C568F" w:rsidP="009A064B">
      <w:pPr>
        <w:rPr>
          <w:b/>
          <w:lang w:val="en-NZ" w:eastAsia="ko-KR"/>
        </w:rPr>
      </w:pPr>
    </w:p>
    <w:p w14:paraId="3B7DC375" w14:textId="419D0FBD" w:rsidR="002A0111" w:rsidRPr="00441526" w:rsidRDefault="002A0111" w:rsidP="00FC6A43">
      <w:pPr>
        <w:spacing w:before="120" w:after="120"/>
        <w:jc w:val="both"/>
        <w:outlineLvl w:val="0"/>
        <w:rPr>
          <w:b/>
          <w:lang w:val="en-NZ" w:eastAsia="ko-KR"/>
        </w:rPr>
      </w:pPr>
      <w:r w:rsidRPr="00441526">
        <w:rPr>
          <w:b/>
          <w:lang w:val="en-NZ" w:eastAsia="ko-KR"/>
        </w:rPr>
        <w:t>3.</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444F027" w14:textId="5D65E9DD" w:rsidR="004644BE" w:rsidRPr="009A064B" w:rsidRDefault="002A0111" w:rsidP="009A064B">
      <w:pPr>
        <w:spacing w:before="120" w:after="120"/>
        <w:jc w:val="both"/>
        <w:outlineLvl w:val="2"/>
        <w:rPr>
          <w:b/>
          <w:bCs/>
        </w:rPr>
      </w:pPr>
      <w:r w:rsidRPr="009A064B">
        <w:rPr>
          <w:b/>
          <w:bCs/>
        </w:rPr>
        <w:t>3.1.1</w:t>
      </w:r>
      <w:r w:rsidR="00D073C8" w:rsidRPr="009A064B">
        <w:rPr>
          <w:b/>
          <w:bCs/>
        </w:rPr>
        <w:tab/>
      </w:r>
      <w:r w:rsidR="008E4918" w:rsidRPr="009A064B">
        <w:rPr>
          <w:b/>
          <w:bCs/>
        </w:rPr>
        <w:t xml:space="preserve">Japan – </w:t>
      </w:r>
      <w:r w:rsidR="008E4918" w:rsidRPr="00E87F5A">
        <w:rPr>
          <w:b/>
          <w:bCs/>
        </w:rPr>
        <w:t>Document</w:t>
      </w:r>
      <w:r w:rsidR="008E4918" w:rsidRPr="009A064B">
        <w:rPr>
          <w:b/>
          <w:bCs/>
        </w:rPr>
        <w:t xml:space="preserve"> APG23-5/</w:t>
      </w:r>
      <w:hyperlink r:id="rId65" w:history="1">
        <w:r w:rsidR="008E4918" w:rsidRPr="009A064B">
          <w:rPr>
            <w:b/>
            <w:bCs/>
            <w:color w:val="0000FF"/>
            <w:u w:val="single"/>
          </w:rPr>
          <w:t>INP-14</w:t>
        </w:r>
      </w:hyperlink>
    </w:p>
    <w:p w14:paraId="1FCD34DB" w14:textId="77777777" w:rsidR="008E4918" w:rsidRPr="008E4918" w:rsidRDefault="008E4918" w:rsidP="009A064B">
      <w:pPr>
        <w:spacing w:beforeLines="50" w:before="120"/>
        <w:jc w:val="both"/>
        <w:rPr>
          <w:rFonts w:eastAsia="MS Mincho"/>
          <w:lang w:eastAsia="ja-JP"/>
        </w:rPr>
      </w:pPr>
      <w:r w:rsidRPr="008E4918">
        <w:rPr>
          <w:rFonts w:eastAsia="MS Mincho"/>
          <w:lang w:eastAsia="ja-JP"/>
        </w:rPr>
        <w:t>Japan has realized that the results of the ITU-R studies on the spectrum use and spectrum needs of existing services in the frequency band 470-694 MHz in Region 1 showed that most of the countries in Region 1 wish to continue using the frequency band for the broadcasting service and that most of the results of the ITU-R studies on sharing and compatibility between the existing and mobile services indicated difficulty in coexistence of the broadcasting and mobile services although different conclusions were drawn due to different assumptions used.</w:t>
      </w:r>
    </w:p>
    <w:p w14:paraId="29C99B7A" w14:textId="56973381" w:rsidR="008E4918" w:rsidRDefault="008E4918" w:rsidP="008E4918">
      <w:pPr>
        <w:spacing w:beforeLines="50" w:before="120"/>
        <w:jc w:val="both"/>
        <w:rPr>
          <w:rFonts w:eastAsia="MS Mincho"/>
          <w:lang w:eastAsia="ja-JP"/>
        </w:rPr>
      </w:pPr>
      <w:r w:rsidRPr="008E4918">
        <w:rPr>
          <w:rFonts w:eastAsia="MS Mincho"/>
          <w:lang w:eastAsia="ja-JP"/>
        </w:rPr>
        <w:t xml:space="preserve">Taking into account the results of the studies, Japan supports Method A (NOC) in order that any changes of procedural or regulatory provisions in </w:t>
      </w:r>
      <w:proofErr w:type="gramStart"/>
      <w:r w:rsidRPr="008E4918">
        <w:rPr>
          <w:rFonts w:eastAsia="MS Mincho"/>
          <w:lang w:eastAsia="ja-JP"/>
        </w:rPr>
        <w:t>Region</w:t>
      </w:r>
      <w:proofErr w:type="gramEnd"/>
      <w:r w:rsidRPr="008E4918">
        <w:rPr>
          <w:rFonts w:eastAsia="MS Mincho"/>
          <w:lang w:eastAsia="ja-JP"/>
        </w:rPr>
        <w:t xml:space="preserve"> 1 shall no way adversely affect existing services, in particular the broadcasting service, in Region 3.</w:t>
      </w:r>
    </w:p>
    <w:p w14:paraId="019FB628" w14:textId="77777777" w:rsidR="002F7FE5" w:rsidRDefault="002F7FE5" w:rsidP="008E4918">
      <w:pPr>
        <w:spacing w:beforeLines="50" w:before="120"/>
        <w:jc w:val="both"/>
        <w:rPr>
          <w:rFonts w:eastAsia="MS Mincho"/>
          <w:lang w:eastAsia="ja-JP"/>
        </w:rPr>
      </w:pPr>
    </w:p>
    <w:p w14:paraId="4BACCF31" w14:textId="77777777" w:rsidR="00744545" w:rsidRPr="006C0050" w:rsidRDefault="00744545" w:rsidP="009A064B">
      <w:pPr>
        <w:spacing w:before="120" w:after="120"/>
        <w:jc w:val="both"/>
        <w:outlineLvl w:val="2"/>
        <w:rPr>
          <w:b/>
          <w:bCs/>
          <w:iCs/>
          <w:lang w:val="en-NZ"/>
        </w:rPr>
      </w:pPr>
      <w:r w:rsidRPr="009A064B">
        <w:rPr>
          <w:b/>
          <w:bCs/>
        </w:rPr>
        <w:t>3.1.2</w:t>
      </w:r>
      <w:r w:rsidRPr="009A064B">
        <w:rPr>
          <w:b/>
          <w:bCs/>
        </w:rPr>
        <w:tab/>
        <w:t>India – Document APG23-5/</w:t>
      </w:r>
      <w:hyperlink r:id="rId66" w:history="1">
        <w:r w:rsidRPr="009A064B">
          <w:rPr>
            <w:b/>
            <w:bCs/>
            <w:color w:val="0000FF"/>
            <w:u w:val="single"/>
          </w:rPr>
          <w:t>INP-26</w:t>
        </w:r>
      </w:hyperlink>
    </w:p>
    <w:p w14:paraId="7D37A65C" w14:textId="77777777" w:rsidR="00744545" w:rsidRPr="00744545" w:rsidRDefault="00744545" w:rsidP="009A064B">
      <w:pPr>
        <w:spacing w:beforeLines="50" w:before="120"/>
        <w:jc w:val="both"/>
        <w:rPr>
          <w:rFonts w:eastAsia="MS Mincho"/>
          <w:lang w:eastAsia="ja-JP"/>
        </w:rPr>
      </w:pPr>
      <w:r w:rsidRPr="00744545">
        <w:rPr>
          <w:rFonts w:eastAsia="MS Mincho"/>
          <w:lang w:eastAsia="ja-JP"/>
        </w:rPr>
        <w:t xml:space="preserve">India is of the view that any changes made to Radio Regulations for Region 1 shall not impact existing and planned usages in this band in Region 3 and also shall not impose any procedural or regulatory constraints on existing services in Region 3. </w:t>
      </w:r>
    </w:p>
    <w:p w14:paraId="70B5BA1A" w14:textId="2AA24D27" w:rsidR="00744545" w:rsidRDefault="00744545" w:rsidP="00744545">
      <w:pPr>
        <w:spacing w:beforeLines="50" w:before="120"/>
        <w:jc w:val="both"/>
        <w:rPr>
          <w:rFonts w:eastAsia="MS Mincho"/>
          <w:lang w:eastAsia="ja-JP"/>
        </w:rPr>
      </w:pPr>
      <w:r w:rsidRPr="00744545">
        <w:rPr>
          <w:rFonts w:eastAsia="MS Mincho"/>
          <w:lang w:eastAsia="ja-JP"/>
        </w:rPr>
        <w:t>India has identified part of band 470-960 MHz for IMT, and supports primary allocation to mobile services and identification of IMT services in Region 1.</w:t>
      </w:r>
    </w:p>
    <w:p w14:paraId="45C42C1E" w14:textId="0E7CA797" w:rsidR="00744545" w:rsidRDefault="00A078D8" w:rsidP="009A064B">
      <w:pPr>
        <w:spacing w:before="120" w:after="120"/>
        <w:jc w:val="both"/>
        <w:outlineLvl w:val="2"/>
        <w:rPr>
          <w:b/>
          <w:bCs/>
          <w:iCs/>
          <w:lang w:val="en-NZ"/>
        </w:rPr>
      </w:pPr>
      <w:r w:rsidRPr="009A064B">
        <w:rPr>
          <w:b/>
          <w:bCs/>
        </w:rPr>
        <w:t>3.1.3</w:t>
      </w:r>
      <w:r w:rsidRPr="009A064B">
        <w:rPr>
          <w:b/>
          <w:bCs/>
        </w:rPr>
        <w:tab/>
        <w:t>Iran (Islamic Republic of) – Document APG23-5/</w:t>
      </w:r>
      <w:hyperlink r:id="rId67" w:history="1">
        <w:r w:rsidRPr="009A064B">
          <w:rPr>
            <w:b/>
            <w:bCs/>
            <w:color w:val="0000FF"/>
            <w:u w:val="single"/>
          </w:rPr>
          <w:t>INP-36</w:t>
        </w:r>
      </w:hyperlink>
    </w:p>
    <w:p w14:paraId="1CC2FA72" w14:textId="77777777" w:rsidR="00284038" w:rsidRPr="00B67BBF" w:rsidRDefault="00284038" w:rsidP="009A064B">
      <w:pPr>
        <w:spacing w:beforeLines="50" w:before="120"/>
        <w:jc w:val="both"/>
      </w:pPr>
      <w:r w:rsidRPr="00B67BBF">
        <w:t xml:space="preserve">The Islamic Republic of Iran is of the view that the Agenda Item 1.5 does not basically address the allocation of the band for </w:t>
      </w:r>
      <w:r w:rsidRPr="00D306D9">
        <w:rPr>
          <w:rFonts w:eastAsia="MS Mincho"/>
          <w:lang w:eastAsia="ja-JP"/>
        </w:rPr>
        <w:t>mobile</w:t>
      </w:r>
      <w:r w:rsidRPr="00B67BBF">
        <w:t xml:space="preserve"> service nor IMT identification.  Furthermore, the frequency band 470 – 694 MHz has been </w:t>
      </w:r>
      <w:r w:rsidRPr="00284038">
        <w:rPr>
          <w:rFonts w:eastAsia="MS Mincho"/>
          <w:lang w:eastAsia="ja-JP"/>
        </w:rPr>
        <w:t>extensively</w:t>
      </w:r>
      <w:r w:rsidRPr="00B67BBF">
        <w:t xml:space="preserve"> used for broadcasting services in many countries in Region 1 and Iran (see the result of the survey made by ITU-R SG6 as reflected in the Report BT.2302). </w:t>
      </w:r>
    </w:p>
    <w:p w14:paraId="5E854EC4" w14:textId="7F0EA6E0" w:rsidR="00A078D8" w:rsidRDefault="00284038" w:rsidP="00D306D9">
      <w:pPr>
        <w:spacing w:beforeLines="50" w:before="120"/>
        <w:jc w:val="both"/>
        <w:rPr>
          <w:b/>
          <w:bCs/>
          <w:iCs/>
          <w:lang w:val="en-NZ"/>
        </w:rPr>
      </w:pPr>
      <w:r w:rsidRPr="00B67BBF">
        <w:t xml:space="preserve">Sharing and </w:t>
      </w:r>
      <w:r w:rsidRPr="00D306D9">
        <w:rPr>
          <w:rFonts w:eastAsia="MS Mincho"/>
          <w:lang w:eastAsia="ja-JP"/>
        </w:rPr>
        <w:t>compatibility</w:t>
      </w:r>
      <w:r w:rsidRPr="00B67BBF">
        <w:t xml:space="preserve"> studies show that the two services cannot share the band in the same geographic area and very large separation distance is required. Therefore, this Administration as a member of GE06 </w:t>
      </w:r>
      <w:r w:rsidRPr="00284038">
        <w:rPr>
          <w:rFonts w:eastAsia="MS Mincho"/>
          <w:lang w:eastAsia="ja-JP"/>
        </w:rPr>
        <w:t>agreement</w:t>
      </w:r>
      <w:r w:rsidRPr="00B67BBF">
        <w:t xml:space="preserve"> and mostly affected country in Region 3 by this agenda item supports No Change method in the framework of APT common position.</w:t>
      </w:r>
    </w:p>
    <w:p w14:paraId="7BB583DC" w14:textId="77777777" w:rsidR="008B4523" w:rsidRPr="00DB5358" w:rsidRDefault="008B4523" w:rsidP="008B4523">
      <w:pPr>
        <w:spacing w:before="120" w:after="120"/>
        <w:jc w:val="both"/>
        <w:outlineLvl w:val="2"/>
        <w:rPr>
          <w:b/>
          <w:bCs/>
        </w:rPr>
      </w:pPr>
      <w:r w:rsidRPr="00DB5358">
        <w:rPr>
          <w:b/>
          <w:bCs/>
        </w:rPr>
        <w:t>3.1.</w:t>
      </w:r>
      <w:r>
        <w:rPr>
          <w:b/>
          <w:bCs/>
        </w:rPr>
        <w:t>4</w:t>
      </w:r>
      <w:r w:rsidRPr="00DB5358">
        <w:rPr>
          <w:b/>
          <w:bCs/>
        </w:rPr>
        <w:tab/>
      </w:r>
      <w:r>
        <w:rPr>
          <w:b/>
          <w:bCs/>
        </w:rPr>
        <w:t>Viet Nam</w:t>
      </w:r>
      <w:r w:rsidRPr="00DB5358">
        <w:rPr>
          <w:b/>
          <w:bCs/>
        </w:rPr>
        <w:t xml:space="preserve"> </w:t>
      </w:r>
      <w:r w:rsidRPr="00736550">
        <w:rPr>
          <w:b/>
          <w:lang w:val="en-NZ" w:eastAsia="ko-KR"/>
        </w:rPr>
        <w:t>(Socialist Republic of)</w:t>
      </w:r>
      <w:r>
        <w:rPr>
          <w:b/>
          <w:lang w:val="en-NZ" w:eastAsia="ko-KR"/>
        </w:rPr>
        <w:t xml:space="preserve"> </w:t>
      </w:r>
      <w:r w:rsidRPr="00DB5358">
        <w:rPr>
          <w:b/>
          <w:bCs/>
        </w:rPr>
        <w:t>– Document APG23-</w:t>
      </w:r>
      <w:r>
        <w:rPr>
          <w:b/>
          <w:bCs/>
        </w:rPr>
        <w:t>5</w:t>
      </w:r>
      <w:r w:rsidRPr="00DB5358">
        <w:rPr>
          <w:b/>
          <w:bCs/>
        </w:rPr>
        <w:t>/</w:t>
      </w:r>
      <w:hyperlink r:id="rId68" w:history="1">
        <w:r w:rsidRPr="00BF0BD0">
          <w:rPr>
            <w:rStyle w:val="Hyperlink"/>
            <w:b/>
            <w:bCs/>
          </w:rPr>
          <w:t>INP-52</w:t>
        </w:r>
      </w:hyperlink>
    </w:p>
    <w:p w14:paraId="4DDB0BC3" w14:textId="77777777" w:rsidR="00D306D9" w:rsidRDefault="00D306D9" w:rsidP="00D306D9">
      <w:pPr>
        <w:spacing w:beforeLines="50" w:before="120"/>
        <w:jc w:val="both"/>
      </w:pPr>
      <w:r>
        <w:t>Viet Nam</w:t>
      </w:r>
      <w:r w:rsidRPr="00E9639C">
        <w:t xml:space="preserve"> supports</w:t>
      </w:r>
      <w:r>
        <w:t xml:space="preserve"> sharing and compatibility studies in ITU-R, as appropriate, in the frequency band 470-694 MHz in Region 1 between the </w:t>
      </w:r>
      <w:r w:rsidRPr="00D306D9">
        <w:rPr>
          <w:rFonts w:eastAsia="MS Mincho"/>
          <w:lang w:eastAsia="ja-JP"/>
        </w:rPr>
        <w:t>broadcasting</w:t>
      </w:r>
      <w:r>
        <w:t xml:space="preserve"> and mobile, except aeronautical mobile, services, taking into account relevant ITU-R studies, Recommendations and Reports.</w:t>
      </w:r>
    </w:p>
    <w:p w14:paraId="2C907EA7" w14:textId="675F1EF0" w:rsidR="008B4523" w:rsidRDefault="00D306D9" w:rsidP="00D306D9">
      <w:pPr>
        <w:spacing w:beforeLines="50" w:before="120"/>
        <w:jc w:val="both"/>
        <w:rPr>
          <w:b/>
          <w:bCs/>
          <w:iCs/>
          <w:lang w:val="en-NZ"/>
        </w:rPr>
      </w:pPr>
      <w:r>
        <w:t xml:space="preserve">Taking into account above studies as well as </w:t>
      </w:r>
      <w:r w:rsidRPr="00E9639C">
        <w:t xml:space="preserve">the interest of global harmonization and economies of scale, </w:t>
      </w:r>
      <w:r>
        <w:t>Viet Nam supports</w:t>
      </w:r>
      <w:r w:rsidRPr="00AF5FCE">
        <w:rPr>
          <w:color w:val="201F1E"/>
          <w:shd w:val="clear" w:color="auto" w:fill="FFFFFF"/>
        </w:rPr>
        <w:t xml:space="preserve"> </w:t>
      </w:r>
      <w:r w:rsidRPr="00D306D9">
        <w:rPr>
          <w:rFonts w:eastAsia="MS Mincho"/>
          <w:lang w:eastAsia="ja-JP"/>
        </w:rPr>
        <w:t>appropriate</w:t>
      </w:r>
      <w:r w:rsidRPr="00AF5FCE">
        <w:rPr>
          <w:color w:val="201F1E"/>
          <w:shd w:val="clear" w:color="auto" w:fill="FFFFFF"/>
        </w:rPr>
        <w:t xml:space="preserve"> action at WRC-23</w:t>
      </w:r>
      <w:r>
        <w:rPr>
          <w:color w:val="201F1E"/>
          <w:shd w:val="clear" w:color="auto" w:fill="FFFFFF"/>
        </w:rPr>
        <w:t xml:space="preserve"> including potential identifications of </w:t>
      </w:r>
      <w:r w:rsidRPr="00205298">
        <w:rPr>
          <w:color w:val="201F1E"/>
          <w:shd w:val="clear" w:color="auto" w:fill="FFFFFF"/>
        </w:rPr>
        <w:t xml:space="preserve">the frequency </w:t>
      </w:r>
      <w:r>
        <w:rPr>
          <w:color w:val="201F1E"/>
          <w:shd w:val="clear" w:color="auto" w:fill="FFFFFF"/>
        </w:rPr>
        <w:t>band 470-694 MHz to IMT in Region 1. Therefore, method C is preferred.</w:t>
      </w:r>
    </w:p>
    <w:p w14:paraId="46EE48AC" w14:textId="063A1FAF" w:rsidR="00BC62C7" w:rsidRDefault="00BC62C7" w:rsidP="009A064B">
      <w:pPr>
        <w:spacing w:before="120" w:after="120"/>
        <w:jc w:val="both"/>
        <w:outlineLvl w:val="2"/>
        <w:rPr>
          <w:b/>
          <w:bCs/>
        </w:rPr>
      </w:pPr>
      <w:r>
        <w:rPr>
          <w:b/>
          <w:bCs/>
        </w:rPr>
        <w:t>3.1.5</w:t>
      </w:r>
      <w:r>
        <w:rPr>
          <w:b/>
          <w:bCs/>
        </w:rPr>
        <w:tab/>
      </w:r>
      <w:r w:rsidRPr="00DF74FC">
        <w:rPr>
          <w:b/>
          <w:bCs/>
        </w:rPr>
        <w:t>Australia</w:t>
      </w:r>
      <w:r>
        <w:rPr>
          <w:b/>
          <w:bCs/>
        </w:rPr>
        <w:t xml:space="preserve"> – Document APG23-5/</w:t>
      </w:r>
      <w:hyperlink r:id="rId69" w:history="1">
        <w:r w:rsidRPr="009A064B">
          <w:rPr>
            <w:b/>
            <w:bCs/>
            <w:color w:val="0000FF"/>
            <w:u w:val="single"/>
          </w:rPr>
          <w:t>INP-56</w:t>
        </w:r>
      </w:hyperlink>
    </w:p>
    <w:p w14:paraId="60E86C0E" w14:textId="77777777" w:rsidR="00BC62C7" w:rsidRDefault="00BC62C7" w:rsidP="009A064B">
      <w:pPr>
        <w:spacing w:beforeLines="50" w:before="120"/>
        <w:jc w:val="both"/>
      </w:pPr>
      <w:r>
        <w:t xml:space="preserve">Australia notes that this is a Region 1 issue, and possible regulatory actions focus on Region 1. While studies may assist, where these have implications in other regions in the frequency band 470-694 MHz, possible regulatory actions in Region 1 under this agenda item should </w:t>
      </w:r>
      <w:proofErr w:type="spellStart"/>
      <w:r>
        <w:t>recognise</w:t>
      </w:r>
      <w:proofErr w:type="spellEnd"/>
      <w:r>
        <w:t xml:space="preserve"> existing provisions in Region 3. </w:t>
      </w:r>
    </w:p>
    <w:p w14:paraId="263C28DE" w14:textId="6AB480E7" w:rsidR="00BC62C7" w:rsidRDefault="00BC62C7" w:rsidP="00BC62C7">
      <w:pPr>
        <w:spacing w:beforeLines="50" w:before="120"/>
        <w:jc w:val="both"/>
      </w:pPr>
      <w:r>
        <w:t>Australia supports the APT Preliminary View for this agenda item, as developed at APG23-4.</w:t>
      </w:r>
    </w:p>
    <w:p w14:paraId="7EFA14E9" w14:textId="21C8D128" w:rsidR="00284DBF" w:rsidRPr="009A064B" w:rsidRDefault="00284DBF" w:rsidP="009A064B">
      <w:pPr>
        <w:spacing w:before="120" w:after="120"/>
        <w:jc w:val="both"/>
        <w:outlineLvl w:val="2"/>
        <w:rPr>
          <w:b/>
          <w:bCs/>
        </w:rPr>
      </w:pPr>
      <w:r>
        <w:rPr>
          <w:b/>
          <w:bCs/>
        </w:rPr>
        <w:t>3.1.6</w:t>
      </w:r>
      <w:r>
        <w:rPr>
          <w:b/>
          <w:bCs/>
        </w:rPr>
        <w:tab/>
      </w:r>
      <w:r w:rsidRPr="00E87F5A">
        <w:rPr>
          <w:b/>
          <w:bCs/>
        </w:rPr>
        <w:t>New Zealand</w:t>
      </w:r>
      <w:r w:rsidRPr="009A064B">
        <w:rPr>
          <w:b/>
          <w:bCs/>
        </w:rPr>
        <w:t xml:space="preserve"> – Document APG23-5/</w:t>
      </w:r>
      <w:hyperlink r:id="rId70" w:history="1">
        <w:r w:rsidR="007A5245" w:rsidRPr="009A064B">
          <w:rPr>
            <w:b/>
            <w:bCs/>
            <w:color w:val="0000FF"/>
            <w:u w:val="single"/>
          </w:rPr>
          <w:t>INP-73(Rev.1)</w:t>
        </w:r>
      </w:hyperlink>
    </w:p>
    <w:p w14:paraId="684F45F9" w14:textId="27034C61" w:rsidR="007A5245" w:rsidRDefault="007A5245" w:rsidP="009A064B">
      <w:pPr>
        <w:spacing w:beforeLines="50" w:before="120"/>
        <w:jc w:val="both"/>
      </w:pPr>
      <w:r w:rsidRPr="007A5245">
        <w:t xml:space="preserve">New Zealand notes that this is a Region 1 issue and that Region 3 has an existing primary allocation to the mobile service the 470-694 MHz frequency band. New Zealand notes that several Region 3 countries are included in RR No </w:t>
      </w:r>
      <w:r w:rsidRPr="007A5245">
        <w:rPr>
          <w:b/>
          <w:bCs/>
        </w:rPr>
        <w:t>5.296A</w:t>
      </w:r>
      <w:r w:rsidRPr="007A5245">
        <w:t xml:space="preserve"> as having an identification to International Mobile Telecommunications (IMT) in portions of the 470 – 694 MHz or 610-698 MHz frequency bands. New Zealand notes an allocation to the Mobile service in Region 1 and IMT identification (e.g. for some countries through footnote) would be comparable to the current situation for Region 3.</w:t>
      </w:r>
    </w:p>
    <w:p w14:paraId="19FC5523" w14:textId="34D3D233" w:rsidR="008A3E21" w:rsidRPr="009A064B" w:rsidRDefault="008A3E21" w:rsidP="009A064B">
      <w:pPr>
        <w:spacing w:before="120" w:after="120"/>
        <w:jc w:val="both"/>
        <w:outlineLvl w:val="2"/>
        <w:rPr>
          <w:b/>
          <w:bCs/>
        </w:rPr>
      </w:pPr>
      <w:r w:rsidRPr="009A064B">
        <w:rPr>
          <w:b/>
          <w:bCs/>
        </w:rPr>
        <w:t>3.1.</w:t>
      </w:r>
      <w:r w:rsidR="00C269FD" w:rsidRPr="009A064B">
        <w:rPr>
          <w:b/>
          <w:bCs/>
        </w:rPr>
        <w:t>7</w:t>
      </w:r>
      <w:r w:rsidRPr="009A064B">
        <w:rPr>
          <w:b/>
          <w:bCs/>
        </w:rPr>
        <w:tab/>
      </w:r>
      <w:r>
        <w:rPr>
          <w:b/>
          <w:bCs/>
        </w:rPr>
        <w:t>China</w:t>
      </w:r>
      <w:r w:rsidRPr="006143BD">
        <w:rPr>
          <w:b/>
          <w:bCs/>
        </w:rPr>
        <w:t xml:space="preserve"> (People's Republic of)</w:t>
      </w:r>
      <w:r w:rsidRPr="009A064B">
        <w:rPr>
          <w:b/>
          <w:bCs/>
        </w:rPr>
        <w:t xml:space="preserve"> – Document APG23-</w:t>
      </w:r>
      <w:r w:rsidR="00C269FD" w:rsidRPr="009A064B">
        <w:rPr>
          <w:b/>
          <w:bCs/>
        </w:rPr>
        <w:t>5</w:t>
      </w:r>
      <w:r w:rsidRPr="009A064B">
        <w:rPr>
          <w:b/>
          <w:bCs/>
        </w:rPr>
        <w:t>/</w:t>
      </w:r>
      <w:hyperlink r:id="rId71" w:history="1">
        <w:r w:rsidRPr="009A064B">
          <w:rPr>
            <w:b/>
            <w:bCs/>
            <w:color w:val="0000FF"/>
            <w:u w:val="single"/>
          </w:rPr>
          <w:t>INP-</w:t>
        </w:r>
        <w:r w:rsidR="00C269FD" w:rsidRPr="009A064B">
          <w:rPr>
            <w:b/>
            <w:bCs/>
            <w:color w:val="0000FF"/>
            <w:u w:val="single"/>
          </w:rPr>
          <w:t>88</w:t>
        </w:r>
      </w:hyperlink>
    </w:p>
    <w:p w14:paraId="218BFA68" w14:textId="41921991" w:rsidR="00C269FD" w:rsidRPr="00C269FD" w:rsidRDefault="00C269FD" w:rsidP="009A064B">
      <w:pPr>
        <w:jc w:val="both"/>
        <w:rPr>
          <w:rFonts w:eastAsia="SimSun"/>
          <w:lang w:eastAsia="zh-CN"/>
        </w:rPr>
      </w:pPr>
      <w:r w:rsidRPr="00C269FD">
        <w:rPr>
          <w:rFonts w:eastAsia="SimSun"/>
          <w:lang w:eastAsia="zh-CN"/>
        </w:rPr>
        <w:t>China is of the view that allocation of the frequency band 470-694/698 MHz, or portions thereof, to any form of primary mobile service in Region 1, shall be subject to protection of existing services and systems of Region 3 countries neighboring to Region 1 and the outcome of this agenda item in no way impacts Region 3 member states.</w:t>
      </w:r>
    </w:p>
    <w:p w14:paraId="7F7C27C7" w14:textId="12121D5C" w:rsidR="00C269FD" w:rsidRDefault="00C269FD" w:rsidP="00C269FD">
      <w:pPr>
        <w:spacing w:before="120"/>
        <w:jc w:val="both"/>
        <w:rPr>
          <w:rFonts w:eastAsia="SimSun"/>
          <w:lang w:eastAsia="zh-CN"/>
        </w:rPr>
      </w:pPr>
      <w:r w:rsidRPr="00C269FD">
        <w:rPr>
          <w:rFonts w:eastAsia="SimSun"/>
          <w:lang w:eastAsia="zh-CN"/>
        </w:rPr>
        <w:lastRenderedPageBreak/>
        <w:t>Sharing and compatibility studies show that the broadcasting and IMT services cannot coexist and it requires a large separation distance within the same band. Therefore, China supports No Change method, namely Alternative A1 of Method A in draft CPM text for WRC-23 agenda item 1.5.</w:t>
      </w:r>
    </w:p>
    <w:p w14:paraId="0A7A85DA" w14:textId="79D4CA2A" w:rsidR="008B44A7" w:rsidRPr="00EA5422" w:rsidRDefault="006F4ED8" w:rsidP="00541E66">
      <w:pPr>
        <w:spacing w:before="120" w:after="120"/>
        <w:jc w:val="both"/>
        <w:outlineLvl w:val="2"/>
        <w:rPr>
          <w:rStyle w:val="Hyperlink"/>
          <w:rFonts w:eastAsia="MS Mincho"/>
          <w:b/>
          <w:lang w:eastAsia="ja-JP"/>
        </w:rPr>
      </w:pPr>
      <w:r w:rsidRPr="00EA5422">
        <w:rPr>
          <w:b/>
          <w:bCs/>
        </w:rPr>
        <w:t>3.1.</w:t>
      </w:r>
      <w:r w:rsidR="00541E66" w:rsidRPr="00EA5422">
        <w:rPr>
          <w:b/>
          <w:bCs/>
        </w:rPr>
        <w:t>8</w:t>
      </w:r>
      <w:r w:rsidRPr="00EA5422">
        <w:rPr>
          <w:b/>
          <w:bCs/>
        </w:rPr>
        <w:tab/>
      </w:r>
      <w:r w:rsidR="008B44A7" w:rsidRPr="00EA5422">
        <w:rPr>
          <w:b/>
          <w:bCs/>
        </w:rPr>
        <w:t>Samoa (Independent State of)</w:t>
      </w:r>
      <w:r w:rsidR="008B44A7" w:rsidRPr="00EA5422">
        <w:rPr>
          <w:b/>
          <w:lang w:val="en-NZ" w:eastAsia="ko-KR"/>
        </w:rPr>
        <w:t xml:space="preserve"> </w:t>
      </w:r>
      <w:r w:rsidR="008B44A7" w:rsidRPr="00EA5422">
        <w:t xml:space="preserve">- </w:t>
      </w:r>
      <w:r w:rsidR="008B44A7" w:rsidRPr="00EA5422">
        <w:rPr>
          <w:b/>
          <w:lang w:val="en-NZ" w:eastAsia="ko-KR"/>
        </w:rPr>
        <w:t>Document APG23-</w:t>
      </w:r>
      <w:r w:rsidR="00541E66" w:rsidRPr="00EA5422">
        <w:rPr>
          <w:b/>
          <w:lang w:val="en-NZ" w:eastAsia="ko-KR"/>
        </w:rPr>
        <w:t>5</w:t>
      </w:r>
      <w:r w:rsidR="008B44A7" w:rsidRPr="00EA5422">
        <w:rPr>
          <w:b/>
          <w:lang w:val="en-NZ" w:eastAsia="ko-KR"/>
        </w:rPr>
        <w:t>/</w:t>
      </w:r>
      <w:hyperlink r:id="rId72" w:history="1">
        <w:r w:rsidR="008B44A7" w:rsidRPr="00EA5422">
          <w:rPr>
            <w:rStyle w:val="Hyperlink"/>
            <w:rFonts w:eastAsia="MS Mincho"/>
            <w:b/>
            <w:lang w:eastAsia="ja-JP"/>
          </w:rPr>
          <w:t>INP-</w:t>
        </w:r>
        <w:r w:rsidR="00541E66" w:rsidRPr="00EA5422">
          <w:rPr>
            <w:rStyle w:val="Hyperlink"/>
            <w:rFonts w:eastAsia="MS Mincho"/>
            <w:b/>
            <w:lang w:eastAsia="ja-JP"/>
          </w:rPr>
          <w:t>105</w:t>
        </w:r>
      </w:hyperlink>
    </w:p>
    <w:p w14:paraId="4AFA3952" w14:textId="77777777" w:rsidR="00EA5422" w:rsidRPr="00EA5422" w:rsidRDefault="00EA5422" w:rsidP="00EA5422">
      <w:pPr>
        <w:spacing w:before="120"/>
        <w:jc w:val="both"/>
        <w:rPr>
          <w:iCs/>
          <w:lang w:val="en-NZ"/>
        </w:rPr>
      </w:pPr>
      <w:r w:rsidRPr="00EA5422">
        <w:rPr>
          <w:iCs/>
          <w:lang w:val="en-NZ"/>
        </w:rPr>
        <w:t xml:space="preserve">Given the complexity of the issues on </w:t>
      </w:r>
      <w:r w:rsidRPr="00EA5422">
        <w:rPr>
          <w:rFonts w:eastAsia="SimSun"/>
          <w:lang w:eastAsia="zh-CN"/>
        </w:rPr>
        <w:t>this</w:t>
      </w:r>
      <w:r w:rsidRPr="00EA5422">
        <w:rPr>
          <w:iCs/>
          <w:lang w:val="en-NZ"/>
        </w:rPr>
        <w:t xml:space="preserve"> agenda item 1.5, it is expected that TG6/1 tasked with managing the workload may find difficulties given the commitment many developing Island states make to implementing DTT. </w:t>
      </w:r>
    </w:p>
    <w:p w14:paraId="509143D3" w14:textId="5F7292A3" w:rsidR="00EA5422" w:rsidRPr="00EA5422" w:rsidRDefault="00EA5422" w:rsidP="00EA5422">
      <w:pPr>
        <w:spacing w:before="120"/>
        <w:jc w:val="both"/>
        <w:rPr>
          <w:iCs/>
          <w:lang w:val="en-NZ"/>
        </w:rPr>
      </w:pPr>
      <w:r w:rsidRPr="00EA5422">
        <w:rPr>
          <w:iCs/>
          <w:lang w:val="en-NZ"/>
        </w:rPr>
        <w:t>Th</w:t>
      </w:r>
      <w:r w:rsidR="00215F6A">
        <w:rPr>
          <w:rFonts w:eastAsia="MS Mincho" w:hint="eastAsia"/>
          <w:iCs/>
          <w:lang w:val="en-NZ" w:eastAsia="ja-JP"/>
        </w:rPr>
        <w:t>i</w:t>
      </w:r>
      <w:r w:rsidR="00215F6A">
        <w:rPr>
          <w:rFonts w:eastAsia="MS Mincho"/>
          <w:iCs/>
          <w:lang w:val="en-NZ" w:eastAsia="ja-JP"/>
        </w:rPr>
        <w:t>s</w:t>
      </w:r>
      <w:r w:rsidRPr="00EA5422">
        <w:rPr>
          <w:iCs/>
          <w:lang w:val="en-NZ"/>
        </w:rPr>
        <w:t xml:space="preserve"> Administration supports the preliminary view held by APG23-4 that `WRC-23 decisions shall in no way adversely affect Region 3 frequency allocations and existing and future use of the relevant frequency band nor subject Region 3 to any changes procedural or regulatory provisions.</w:t>
      </w:r>
    </w:p>
    <w:p w14:paraId="3C0BC437" w14:textId="0D6B3F76" w:rsidR="00EA5422" w:rsidRDefault="00EA5422" w:rsidP="00EA5422">
      <w:pPr>
        <w:spacing w:before="120"/>
        <w:jc w:val="both"/>
        <w:rPr>
          <w:iCs/>
          <w:highlight w:val="yellow"/>
          <w:lang w:val="en-NZ"/>
        </w:rPr>
      </w:pPr>
      <w:r w:rsidRPr="00EA5422">
        <w:rPr>
          <w:iCs/>
          <w:lang w:val="en-NZ"/>
        </w:rPr>
        <w:t>Th</w:t>
      </w:r>
      <w:r w:rsidR="00215F6A">
        <w:rPr>
          <w:iCs/>
          <w:lang w:val="en-NZ"/>
        </w:rPr>
        <w:t xml:space="preserve">is </w:t>
      </w:r>
      <w:r w:rsidRPr="00EA5422">
        <w:rPr>
          <w:iCs/>
          <w:lang w:val="en-NZ"/>
        </w:rPr>
        <w:t>Administration do</w:t>
      </w:r>
      <w:r w:rsidR="00215F6A">
        <w:rPr>
          <w:iCs/>
          <w:lang w:val="en-NZ"/>
        </w:rPr>
        <w:t>es</w:t>
      </w:r>
      <w:r w:rsidRPr="00EA5422">
        <w:rPr>
          <w:iCs/>
          <w:lang w:val="en-NZ"/>
        </w:rPr>
        <w:t xml:space="preserve"> not support any changes to the regulatory conditions for using the 470 -694 MHz frequency band in Region 1 under this WRC-23 agenda item due to the existing services' current and future intensive use of these frequency bands globally by SIDs and Developing countries and therefore supports Method A for no change to the RR of the draft CPM report.</w:t>
      </w:r>
    </w:p>
    <w:p w14:paraId="3BCCEDAA" w14:textId="4BFEB4B1" w:rsidR="002A0111" w:rsidRPr="00895E7A" w:rsidRDefault="002A0111" w:rsidP="00ED52FE">
      <w:pPr>
        <w:pStyle w:val="ListParagraph"/>
        <w:numPr>
          <w:ilvl w:val="1"/>
          <w:numId w:val="32"/>
        </w:numPr>
        <w:spacing w:before="120" w:after="120"/>
        <w:ind w:left="720" w:hanging="720"/>
        <w:jc w:val="both"/>
        <w:outlineLvl w:val="1"/>
        <w:rPr>
          <w:b/>
          <w:lang w:val="en-NZ"/>
        </w:rPr>
      </w:pPr>
      <w:r w:rsidRPr="00895E7A">
        <w:rPr>
          <w:b/>
          <w:lang w:val="en-NZ"/>
        </w:rPr>
        <w:t>S</w:t>
      </w:r>
      <w:r w:rsidRPr="00895E7A">
        <w:rPr>
          <w:b/>
          <w:lang w:val="en-NZ" w:eastAsia="ko-KR"/>
        </w:rPr>
        <w:t>ummary of issues raised du</w:t>
      </w:r>
      <w:r w:rsidRPr="00895E7A">
        <w:rPr>
          <w:b/>
          <w:lang w:val="en-NZ"/>
        </w:rPr>
        <w:t>ring the meeting</w:t>
      </w:r>
    </w:p>
    <w:p w14:paraId="1F14F98A" w14:textId="1FD77809" w:rsidR="005C568F" w:rsidRDefault="005E1C54" w:rsidP="005144FF">
      <w:pPr>
        <w:rPr>
          <w:bCs/>
          <w:lang w:val="en-NZ" w:eastAsia="ko-KR"/>
        </w:rPr>
      </w:pPr>
      <w:r w:rsidRPr="00CE0237">
        <w:rPr>
          <w:bCs/>
          <w:lang w:val="en-NZ" w:eastAsia="ko-KR"/>
        </w:rPr>
        <w:t xml:space="preserve">There </w:t>
      </w:r>
      <w:r>
        <w:rPr>
          <w:bCs/>
          <w:lang w:val="en-NZ" w:eastAsia="ko-KR"/>
        </w:rPr>
        <w:t xml:space="preserve">was </w:t>
      </w:r>
      <w:r w:rsidR="009A064B">
        <w:rPr>
          <w:rFonts w:eastAsia="MS Mincho" w:hint="eastAsia"/>
          <w:bCs/>
          <w:lang w:val="en-NZ" w:eastAsia="ja-JP"/>
        </w:rPr>
        <w:t>a</w:t>
      </w:r>
      <w:r w:rsidR="009A064B">
        <w:rPr>
          <w:rFonts w:eastAsia="MS Mincho"/>
          <w:bCs/>
          <w:lang w:val="en-NZ" w:eastAsia="ja-JP"/>
        </w:rPr>
        <w:t xml:space="preserve"> </w:t>
      </w:r>
      <w:r>
        <w:rPr>
          <w:bCs/>
          <w:lang w:val="en-NZ" w:eastAsia="ko-KR"/>
        </w:rPr>
        <w:t xml:space="preserve">discussion on the appropriate CPM </w:t>
      </w:r>
      <w:r w:rsidR="00CE0237">
        <w:rPr>
          <w:bCs/>
          <w:lang w:val="en-NZ" w:eastAsia="ko-KR"/>
        </w:rPr>
        <w:t>M</w:t>
      </w:r>
      <w:r>
        <w:rPr>
          <w:bCs/>
          <w:lang w:val="en-NZ" w:eastAsia="ko-KR"/>
        </w:rPr>
        <w:t xml:space="preserve">ethod or alternative to address concerns of some APT </w:t>
      </w:r>
      <w:r w:rsidR="001215B7">
        <w:rPr>
          <w:bCs/>
          <w:lang w:val="en-NZ" w:eastAsia="ko-KR"/>
        </w:rPr>
        <w:t>M</w:t>
      </w:r>
      <w:r>
        <w:rPr>
          <w:bCs/>
          <w:lang w:val="en-NZ" w:eastAsia="ko-KR"/>
        </w:rPr>
        <w:t>embers on protection of existing and planned services within and adjacent frequency bands under agenda item 1.5.</w:t>
      </w:r>
    </w:p>
    <w:p w14:paraId="76C06927" w14:textId="77777777" w:rsidR="005E1C54" w:rsidRPr="005144FF" w:rsidRDefault="005E1C54" w:rsidP="005144FF"/>
    <w:p w14:paraId="603E6548" w14:textId="5DD4A0B4" w:rsidR="002A0111" w:rsidRPr="00441526" w:rsidRDefault="002A0111" w:rsidP="00507266">
      <w:pPr>
        <w:spacing w:before="120" w:after="120"/>
        <w:jc w:val="both"/>
        <w:outlineLvl w:val="0"/>
        <w:rPr>
          <w:b/>
          <w:lang w:val="en-NZ" w:eastAsia="ko-KR"/>
        </w:rPr>
      </w:pPr>
      <w:r w:rsidRPr="00441526">
        <w:rPr>
          <w:b/>
          <w:lang w:val="en-NZ" w:eastAsia="ko-KR"/>
        </w:rPr>
        <w:t>4.</w:t>
      </w:r>
      <w:r w:rsidRPr="00441526">
        <w:rPr>
          <w:b/>
          <w:lang w:val="en-NZ" w:eastAsia="ko-KR"/>
        </w:rPr>
        <w:tab/>
        <w:t>APT Preliminary View(s)</w:t>
      </w:r>
    </w:p>
    <w:p w14:paraId="3D88B781" w14:textId="23AB2436" w:rsidR="00206A33" w:rsidRDefault="00625462" w:rsidP="00625462">
      <w:pPr>
        <w:spacing w:before="120"/>
        <w:jc w:val="both"/>
        <w:rPr>
          <w:iCs/>
          <w:lang w:val="en-NZ"/>
        </w:rPr>
      </w:pPr>
      <w:r w:rsidRPr="00CE0237">
        <w:t xml:space="preserve">APT Members </w:t>
      </w:r>
      <w:r w:rsidRPr="00CE0237">
        <w:rPr>
          <w:rFonts w:eastAsia="SimSun"/>
          <w:lang w:eastAsia="zh-CN"/>
        </w:rPr>
        <w:t>are of the view that</w:t>
      </w:r>
      <w:r w:rsidRPr="00CE0237">
        <w:t xml:space="preserve"> </w:t>
      </w:r>
      <w:r w:rsidR="00726342">
        <w:t xml:space="preserve">the </w:t>
      </w:r>
      <w:r w:rsidRPr="00CE0237">
        <w:t xml:space="preserve">conclusion to be reached on </w:t>
      </w:r>
      <w:r w:rsidR="00BE5007">
        <w:t>a</w:t>
      </w:r>
      <w:r w:rsidRPr="00CE0237">
        <w:t xml:space="preserve">genda </w:t>
      </w:r>
      <w:r w:rsidR="00BE5007">
        <w:t>i</w:t>
      </w:r>
      <w:r w:rsidRPr="00CE0237">
        <w:t>tem 1.5 is a Region 1 issue</w:t>
      </w:r>
      <w:r w:rsidR="000A631E" w:rsidRPr="00CE0237">
        <w:rPr>
          <w:rFonts w:hint="eastAsia"/>
          <w:lang w:eastAsia="ko-KR"/>
        </w:rPr>
        <w:t>,</w:t>
      </w:r>
      <w:r w:rsidRPr="00CE0237">
        <w:t xml:space="preserve"> and WRC-23 decisions shall in no way adversely affect Region 3 frequency allocations and existing and future use of the relevant frequency band</w:t>
      </w:r>
      <w:r w:rsidRPr="00CE0237">
        <w:rPr>
          <w:iCs/>
          <w:lang w:val="en-NZ"/>
        </w:rPr>
        <w:t>.</w:t>
      </w:r>
    </w:p>
    <w:p w14:paraId="3F9429BA" w14:textId="77777777" w:rsidR="005C568F" w:rsidRPr="005144FF" w:rsidRDefault="005C568F" w:rsidP="005144FF"/>
    <w:p w14:paraId="5D009D7C" w14:textId="4125FE05" w:rsidR="002A0111" w:rsidRPr="00441526" w:rsidRDefault="002A0111" w:rsidP="0045047C">
      <w:pPr>
        <w:spacing w:before="120" w:after="120"/>
        <w:jc w:val="both"/>
        <w:outlineLvl w:val="0"/>
        <w:rPr>
          <w:b/>
          <w:lang w:val="en-NZ" w:eastAsia="ko-KR"/>
        </w:rPr>
      </w:pPr>
      <w:r w:rsidRPr="00441526">
        <w:rPr>
          <w:b/>
          <w:lang w:val="en-NZ" w:eastAsia="ko-KR"/>
        </w:rPr>
        <w:t>5.</w:t>
      </w:r>
      <w:r w:rsidRPr="00441526">
        <w:rPr>
          <w:b/>
          <w:lang w:val="en-NZ" w:eastAsia="ko-KR"/>
        </w:rPr>
        <w:tab/>
        <w:t>Other View(s)</w:t>
      </w:r>
      <w:r>
        <w:rPr>
          <w:b/>
          <w:lang w:val="en-NZ" w:eastAsia="ko-KR"/>
        </w:rPr>
        <w:t xml:space="preserve"> from APT Members</w:t>
      </w:r>
    </w:p>
    <w:p w14:paraId="37FD1248" w14:textId="77777777" w:rsidR="009A064B" w:rsidRDefault="00657073" w:rsidP="00A5413A">
      <w:pPr>
        <w:spacing w:afterLines="50" w:after="120"/>
        <w:rPr>
          <w:lang w:eastAsia="ko-KR"/>
        </w:rPr>
      </w:pPr>
      <w:r w:rsidRPr="00CE0237">
        <w:rPr>
          <w:lang w:eastAsia="ko-KR"/>
        </w:rPr>
        <w:t>With </w:t>
      </w:r>
      <w:r w:rsidRPr="00CE0237">
        <w:t>respect</w:t>
      </w:r>
      <w:r w:rsidRPr="00CE0237">
        <w:rPr>
          <w:lang w:eastAsia="ko-KR"/>
        </w:rPr>
        <w:t xml:space="preserve"> to the GE06 regional agreement, one</w:t>
      </w:r>
      <w:r w:rsidR="00C27C2C" w:rsidRPr="00CE0237">
        <w:rPr>
          <w:lang w:eastAsia="ko-KR"/>
        </w:rPr>
        <w:t xml:space="preserve"> APT Member</w:t>
      </w:r>
      <w:r w:rsidRPr="00CE0237">
        <w:rPr>
          <w:lang w:eastAsia="ko-KR"/>
        </w:rPr>
        <w:t xml:space="preserve">, part of GE06 agreement in </w:t>
      </w:r>
      <w:proofErr w:type="gramStart"/>
      <w:r w:rsidRPr="00CE0237">
        <w:rPr>
          <w:lang w:eastAsia="ko-KR"/>
        </w:rPr>
        <w:t>Region</w:t>
      </w:r>
      <w:proofErr w:type="gramEnd"/>
      <w:r w:rsidRPr="00CE0237">
        <w:rPr>
          <w:lang w:eastAsia="ko-KR"/>
        </w:rPr>
        <w:t xml:space="preserve"> 3, is of the view that technical, operational</w:t>
      </w:r>
      <w:r w:rsidR="000A631E" w:rsidRPr="00CE0237">
        <w:rPr>
          <w:rFonts w:hint="eastAsia"/>
          <w:lang w:eastAsia="ko-KR"/>
        </w:rPr>
        <w:t>,</w:t>
      </w:r>
      <w:r w:rsidRPr="00CE0237">
        <w:rPr>
          <w:lang w:eastAsia="ko-KR"/>
        </w:rPr>
        <w:t xml:space="preserve"> and regulatory conditions resulted from the ITU-R sha</w:t>
      </w:r>
      <w:r w:rsidR="008D0A52" w:rsidRPr="00CE0237">
        <w:rPr>
          <w:lang w:eastAsia="ko-KR"/>
        </w:rPr>
        <w:t xml:space="preserve">ring and compatibility studies </w:t>
      </w:r>
      <w:r w:rsidRPr="00CE0237">
        <w:rPr>
          <w:lang w:eastAsia="ko-KR"/>
        </w:rPr>
        <w:t>shal</w:t>
      </w:r>
      <w:r w:rsidR="008D0A52" w:rsidRPr="00CE0237">
        <w:rPr>
          <w:lang w:eastAsia="ko-KR"/>
        </w:rPr>
        <w:t xml:space="preserve">l in no way undermine or reduce protection of and conditions under which this agreement </w:t>
      </w:r>
      <w:r w:rsidRPr="00CE0237">
        <w:rPr>
          <w:lang w:eastAsia="ko-KR"/>
        </w:rPr>
        <w:t>made.</w:t>
      </w:r>
    </w:p>
    <w:p w14:paraId="377E2F1E" w14:textId="77777777" w:rsidR="009A064B" w:rsidRDefault="00CE0237" w:rsidP="00A5413A">
      <w:pPr>
        <w:spacing w:afterLines="50" w:after="120"/>
        <w:rPr>
          <w:lang w:eastAsia="ko-KR"/>
        </w:rPr>
      </w:pPr>
      <w:r w:rsidRPr="00CE0237">
        <w:rPr>
          <w:lang w:eastAsia="ko-KR"/>
        </w:rPr>
        <w:t xml:space="preserve">Some APT Members are of the view that there should be no adverse impact to the existing services in Region 3 and </w:t>
      </w:r>
      <w:r w:rsidRPr="00CE0237">
        <w:t xml:space="preserve">the CPM </w:t>
      </w:r>
      <w:r w:rsidRPr="00A5413A">
        <w:t>Method A</w:t>
      </w:r>
      <w:r w:rsidRPr="00CE0237">
        <w:t xml:space="preserve"> (No Change) provided in the “</w:t>
      </w:r>
      <w:hyperlink r:id="rId73" w:history="1">
        <w:r w:rsidRPr="00726342">
          <w:rPr>
            <w:rStyle w:val="Hyperlink"/>
            <w:bCs/>
            <w:i/>
            <w:iCs/>
          </w:rPr>
          <w:t>Draft CPM text</w:t>
        </w:r>
      </w:hyperlink>
      <w:r w:rsidRPr="00726342">
        <w:rPr>
          <w:bCs/>
          <w:i/>
          <w:iCs/>
        </w:rPr>
        <w:t>”</w:t>
      </w:r>
      <w:r w:rsidRPr="00CE0237">
        <w:t xml:space="preserve"> is the preferred </w:t>
      </w:r>
      <w:r w:rsidRPr="00726342">
        <w:rPr>
          <w:color w:val="201F1E"/>
          <w:shd w:val="clear" w:color="auto" w:fill="FFFFFF"/>
        </w:rPr>
        <w:t>method</w:t>
      </w:r>
      <w:r w:rsidRPr="00CE0237">
        <w:t>.</w:t>
      </w:r>
    </w:p>
    <w:p w14:paraId="05BC648A" w14:textId="280734B8" w:rsidR="009A064B" w:rsidRPr="009A064B" w:rsidRDefault="00CE0237" w:rsidP="00A5413A">
      <w:pPr>
        <w:spacing w:afterLines="50" w:after="120"/>
        <w:rPr>
          <w:lang w:eastAsia="ko-KR"/>
        </w:rPr>
      </w:pPr>
      <w:r>
        <w:rPr>
          <w:lang w:eastAsia="ko-KR"/>
        </w:rPr>
        <w:t>T</w:t>
      </w:r>
      <w:r w:rsidRPr="00B72F1F">
        <w:t xml:space="preserve">aking into account </w:t>
      </w:r>
      <w:r>
        <w:t>ITU-R</w:t>
      </w:r>
      <w:r w:rsidRPr="00B72F1F">
        <w:t xml:space="preserve"> studies as well as the interest of global harmonization and econom</w:t>
      </w:r>
      <w:r>
        <w:t>y</w:t>
      </w:r>
      <w:r w:rsidRPr="00B72F1F">
        <w:t xml:space="preserve"> of scale,</w:t>
      </w:r>
      <w:r>
        <w:t xml:space="preserve"> </w:t>
      </w:r>
      <w:r>
        <w:rPr>
          <w:lang w:eastAsia="ko-KR"/>
        </w:rPr>
        <w:t xml:space="preserve">some APT Members are considering to </w:t>
      </w:r>
      <w:r w:rsidRPr="00726342">
        <w:rPr>
          <w:lang w:val="en-NZ"/>
        </w:rPr>
        <w:t>support</w:t>
      </w:r>
      <w:r w:rsidRPr="00726342">
        <w:rPr>
          <w:color w:val="201F1E"/>
          <w:shd w:val="clear" w:color="auto" w:fill="FFFFFF"/>
        </w:rPr>
        <w:t xml:space="preserve"> appropriate action at WRC-23</w:t>
      </w:r>
      <w:r w:rsidRPr="00726342">
        <w:rPr>
          <w:rFonts w:hint="eastAsia"/>
          <w:color w:val="201F1E"/>
          <w:shd w:val="clear" w:color="auto" w:fill="FFFFFF"/>
          <w:lang w:eastAsia="ko-KR"/>
        </w:rPr>
        <w:t>,</w:t>
      </w:r>
      <w:r w:rsidRPr="00726342">
        <w:rPr>
          <w:color w:val="201F1E"/>
          <w:shd w:val="clear" w:color="auto" w:fill="FFFFFF"/>
        </w:rPr>
        <w:t xml:space="preserve"> including potential identifications in parts of the frequency band 470-694 MHz to IMT in Region 1.</w:t>
      </w:r>
    </w:p>
    <w:p w14:paraId="3B4A5AC8" w14:textId="42BE3ED5" w:rsidR="00CE0237" w:rsidRPr="00CE0237" w:rsidRDefault="00CE0237" w:rsidP="00A5413A">
      <w:pPr>
        <w:rPr>
          <w:lang w:eastAsia="ko-KR"/>
        </w:rPr>
      </w:pPr>
      <w:r>
        <w:rPr>
          <w:lang w:eastAsia="ko-KR"/>
        </w:rPr>
        <w:t xml:space="preserve">Some APT Members are of the view that </w:t>
      </w:r>
      <w:proofErr w:type="spellStart"/>
      <w:r w:rsidRPr="00B67BBF">
        <w:t>t</w:t>
      </w:r>
      <w:r w:rsidR="00BE5007">
        <w:t>a</w:t>
      </w:r>
      <w:r w:rsidRPr="00B67BBF">
        <w:t>genda</w:t>
      </w:r>
      <w:proofErr w:type="spellEnd"/>
      <w:r w:rsidRPr="00B67BBF">
        <w:t xml:space="preserve"> </w:t>
      </w:r>
      <w:r w:rsidR="00BE5007">
        <w:t>i</w:t>
      </w:r>
      <w:r w:rsidRPr="00B67BBF">
        <w:t xml:space="preserve">tem 1.5 does not basically address the allocation of the band for </w:t>
      </w:r>
      <w:r w:rsidRPr="00726342">
        <w:rPr>
          <w:rFonts w:eastAsia="MS Mincho"/>
          <w:lang w:eastAsia="ja-JP"/>
        </w:rPr>
        <w:t>mobile</w:t>
      </w:r>
      <w:r w:rsidRPr="00B67BBF">
        <w:t xml:space="preserve"> service nor IMT identification.</w:t>
      </w:r>
    </w:p>
    <w:p w14:paraId="3D822644" w14:textId="77777777" w:rsidR="0017688D" w:rsidRPr="009A064B" w:rsidRDefault="0017688D" w:rsidP="009A064B"/>
    <w:p w14:paraId="647ADB18" w14:textId="49B4F0AE" w:rsidR="002A0111" w:rsidRPr="00441526" w:rsidRDefault="002A0111" w:rsidP="00D1772E">
      <w:pPr>
        <w:spacing w:before="120" w:after="120"/>
        <w:jc w:val="both"/>
        <w:outlineLvl w:val="0"/>
        <w:rPr>
          <w:b/>
          <w:lang w:val="en-NZ" w:eastAsia="ko-KR"/>
        </w:rPr>
      </w:pPr>
      <w:r>
        <w:rPr>
          <w:b/>
          <w:lang w:val="en-NZ" w:eastAsia="ko-KR"/>
        </w:rPr>
        <w:t>6</w:t>
      </w:r>
      <w:r w:rsidR="00ED52FE">
        <w:rPr>
          <w:b/>
          <w:lang w:val="en-NZ" w:eastAsia="ko-KR"/>
        </w:rPr>
        <w:t>.</w:t>
      </w:r>
      <w:r w:rsidRPr="00441526">
        <w:rPr>
          <w:b/>
          <w:lang w:val="en-NZ" w:eastAsia="ko-KR"/>
        </w:rPr>
        <w:tab/>
        <w:t>Issues for Consideration at Next APG Meeting</w:t>
      </w:r>
    </w:p>
    <w:p w14:paraId="0783ACCD" w14:textId="19C03243" w:rsidR="00D92077" w:rsidRPr="0011253E" w:rsidRDefault="00D92077" w:rsidP="00CE0237">
      <w:pPr>
        <w:spacing w:before="120" w:after="120"/>
        <w:jc w:val="both"/>
        <w:rPr>
          <w:rFonts w:eastAsia="SimSun"/>
          <w:lang w:eastAsia="zh-CN"/>
        </w:rPr>
      </w:pPr>
      <w:r w:rsidRPr="00FF4C74">
        <w:rPr>
          <w:rFonts w:eastAsia="SimSun"/>
          <w:lang w:eastAsia="zh-CN"/>
        </w:rPr>
        <w:t>APT Members are encouraged to submit their contributions for further considerations in the next APG23-</w:t>
      </w:r>
      <w:r w:rsidR="00CE0237">
        <w:rPr>
          <w:rFonts w:eastAsia="SimSun"/>
          <w:lang w:eastAsia="zh-CN"/>
        </w:rPr>
        <w:t>6</w:t>
      </w:r>
      <w:r w:rsidRPr="00FF4C74">
        <w:rPr>
          <w:rFonts w:eastAsia="SimSun"/>
          <w:lang w:eastAsia="zh-CN"/>
        </w:rPr>
        <w:t xml:space="preserve"> meeting, taking into account </w:t>
      </w:r>
      <w:r w:rsidR="005E1C54">
        <w:rPr>
          <w:rFonts w:eastAsia="SimSun"/>
          <w:lang w:eastAsia="zh-CN"/>
        </w:rPr>
        <w:t>outcome of second CPM</w:t>
      </w:r>
      <w:r w:rsidR="00BE5007">
        <w:rPr>
          <w:rFonts w:eastAsia="SimSun"/>
          <w:lang w:eastAsia="zh-CN"/>
        </w:rPr>
        <w:t>-23</w:t>
      </w:r>
      <w:r w:rsidR="005E1C54">
        <w:rPr>
          <w:rFonts w:eastAsia="SimSun"/>
          <w:lang w:eastAsia="zh-CN"/>
        </w:rPr>
        <w:t>.</w:t>
      </w:r>
    </w:p>
    <w:p w14:paraId="30AF9F0C" w14:textId="77777777" w:rsidR="005C568F" w:rsidRPr="009A064B" w:rsidRDefault="005C568F" w:rsidP="009A064B"/>
    <w:p w14:paraId="21A0C766" w14:textId="04EA6EF7" w:rsidR="002A0111" w:rsidRPr="006F518F" w:rsidRDefault="002A0111" w:rsidP="0045047C">
      <w:pPr>
        <w:spacing w:after="120"/>
        <w:jc w:val="both"/>
        <w:outlineLvl w:val="0"/>
        <w:rPr>
          <w:lang w:val="en-NZ"/>
        </w:rPr>
      </w:pPr>
      <w:r>
        <w:rPr>
          <w:b/>
          <w:lang w:val="en-NZ" w:eastAsia="ko-KR"/>
        </w:rPr>
        <w:t>7</w:t>
      </w:r>
      <w:r w:rsidRPr="00441526">
        <w:rPr>
          <w:b/>
          <w:lang w:val="en-NZ" w:eastAsia="ko-KR"/>
        </w:rPr>
        <w:t>.</w:t>
      </w:r>
      <w:r w:rsidRPr="00441526">
        <w:rPr>
          <w:b/>
          <w:lang w:val="en-NZ"/>
        </w:rPr>
        <w:tab/>
        <w:t>Views from Other Organisations</w:t>
      </w:r>
    </w:p>
    <w:p w14:paraId="0623E42D" w14:textId="3176CBD1" w:rsidR="002A0111" w:rsidRPr="000F3C18" w:rsidRDefault="009A064B" w:rsidP="009A064B">
      <w:pPr>
        <w:spacing w:after="120"/>
        <w:jc w:val="both"/>
        <w:outlineLvl w:val="1"/>
        <w:rPr>
          <w:b/>
          <w:lang w:val="en-NZ" w:eastAsia="ko-KR"/>
        </w:rPr>
      </w:pPr>
      <w:r>
        <w:rPr>
          <w:b/>
          <w:lang w:val="en-NZ" w:eastAsia="ko-KR"/>
        </w:rPr>
        <w:t>7.1</w:t>
      </w:r>
      <w:r>
        <w:rPr>
          <w:b/>
          <w:lang w:val="en-NZ" w:eastAsia="ko-KR"/>
        </w:rPr>
        <w:tab/>
      </w:r>
      <w:r w:rsidR="002A0111" w:rsidRPr="000F3C18">
        <w:rPr>
          <w:b/>
          <w:lang w:val="en-NZ" w:eastAsia="ko-KR"/>
        </w:rPr>
        <w:t>Regional Groups</w:t>
      </w:r>
    </w:p>
    <w:p w14:paraId="54308F3A" w14:textId="08DAEB5A" w:rsidR="000F3C18" w:rsidRPr="000F3C18" w:rsidRDefault="000F3C18" w:rsidP="009A064B">
      <w:pPr>
        <w:spacing w:after="120"/>
        <w:jc w:val="both"/>
        <w:outlineLvl w:val="2"/>
        <w:rPr>
          <w:b/>
          <w:lang w:val="en-NZ" w:eastAsia="ko-KR"/>
        </w:rPr>
      </w:pPr>
      <w:r>
        <w:rPr>
          <w:b/>
          <w:lang w:val="en-NZ" w:eastAsia="ko-KR"/>
        </w:rPr>
        <w:t>7.1.1</w:t>
      </w:r>
      <w:r>
        <w:rPr>
          <w:b/>
          <w:lang w:val="en-NZ" w:eastAsia="ko-KR"/>
        </w:rPr>
        <w:tab/>
      </w:r>
      <w:r w:rsidRPr="000F3C18">
        <w:rPr>
          <w:b/>
          <w:lang w:val="en-NZ" w:eastAsia="ko-KR"/>
        </w:rPr>
        <w:t xml:space="preserve">ATU </w:t>
      </w:r>
      <w:r w:rsidRPr="009A064B">
        <w:rPr>
          <w:b/>
          <w:lang w:val="en-NZ" w:eastAsia="ko-KR"/>
        </w:rPr>
        <w:t xml:space="preserve">- </w:t>
      </w:r>
      <w:r w:rsidRPr="000F3C18">
        <w:rPr>
          <w:b/>
          <w:lang w:val="en-NZ" w:eastAsia="ko-KR"/>
        </w:rPr>
        <w:t>Document APG23-</w:t>
      </w:r>
      <w:r w:rsidR="004F761F">
        <w:rPr>
          <w:b/>
          <w:lang w:val="en-NZ" w:eastAsia="ko-KR"/>
        </w:rPr>
        <w:t>4</w:t>
      </w:r>
      <w:r w:rsidRPr="000F3C18">
        <w:rPr>
          <w:b/>
          <w:lang w:val="en-NZ" w:eastAsia="ko-KR"/>
        </w:rPr>
        <w:t>/</w:t>
      </w:r>
      <w:hyperlink r:id="rId74" w:history="1">
        <w:r w:rsidRPr="009A064B">
          <w:rPr>
            <w:b/>
            <w:color w:val="0000FF"/>
            <w:u w:val="single"/>
            <w:lang w:val="en-NZ" w:eastAsia="ko-KR"/>
          </w:rPr>
          <w:t>INF-02</w:t>
        </w:r>
      </w:hyperlink>
    </w:p>
    <w:p w14:paraId="53056ECD" w14:textId="77777777" w:rsidR="004F761F" w:rsidRPr="00B00DCA" w:rsidRDefault="004F761F" w:rsidP="00FB0BF5">
      <w:pPr>
        <w:pStyle w:val="ListParagraph"/>
        <w:numPr>
          <w:ilvl w:val="0"/>
          <w:numId w:val="34"/>
        </w:numPr>
        <w:spacing w:before="60"/>
        <w:ind w:left="446"/>
        <w:jc w:val="both"/>
      </w:pPr>
      <w:r w:rsidRPr="00601AB0">
        <w:rPr>
          <w:rFonts w:cs="Calibri"/>
          <w:b/>
        </w:rPr>
        <w:t>Develop</w:t>
      </w:r>
      <w:r>
        <w:rPr>
          <w:rFonts w:cs="Calibri"/>
        </w:rPr>
        <w:t xml:space="preserve"> a position on this agenda item once studies have sufficiently progressed in accordance with </w:t>
      </w:r>
      <w:r w:rsidRPr="00FB0BF5">
        <w:rPr>
          <w:rFonts w:cs="Calibri"/>
        </w:rPr>
        <w:t>Resolution</w:t>
      </w:r>
      <w:r>
        <w:rPr>
          <w:rFonts w:cs="Calibri"/>
        </w:rPr>
        <w:t xml:space="preserve"> 235 (WRC-15).</w:t>
      </w:r>
    </w:p>
    <w:p w14:paraId="127893EE" w14:textId="77777777" w:rsidR="004F761F" w:rsidRDefault="004F761F" w:rsidP="00FB0BF5">
      <w:pPr>
        <w:pStyle w:val="ListParagraph"/>
        <w:numPr>
          <w:ilvl w:val="0"/>
          <w:numId w:val="34"/>
        </w:numPr>
        <w:spacing w:before="60"/>
        <w:ind w:left="446"/>
        <w:jc w:val="both"/>
        <w:rPr>
          <w:rFonts w:cs="Calibri"/>
        </w:rPr>
      </w:pPr>
      <w:r w:rsidRPr="005E449D">
        <w:rPr>
          <w:rFonts w:cs="Calibri"/>
          <w:b/>
        </w:rPr>
        <w:t xml:space="preserve">Consider </w:t>
      </w:r>
      <w:r>
        <w:rPr>
          <w:rFonts w:cs="Calibri"/>
        </w:rPr>
        <w:t xml:space="preserve">the </w:t>
      </w:r>
      <w:r w:rsidRPr="00B00DCA">
        <w:t>inclusion</w:t>
      </w:r>
      <w:r>
        <w:rPr>
          <w:rFonts w:cs="Calibri"/>
        </w:rPr>
        <w:t xml:space="preserve"> of the information on spectrum </w:t>
      </w:r>
      <w:proofErr w:type="spellStart"/>
      <w:r>
        <w:rPr>
          <w:rFonts w:cs="Calibri"/>
        </w:rPr>
        <w:t>utilisation</w:t>
      </w:r>
      <w:proofErr w:type="spellEnd"/>
      <w:r>
        <w:rPr>
          <w:rFonts w:cs="Calibri"/>
        </w:rPr>
        <w:t xml:space="preserve"> and needs submitted by </w:t>
      </w:r>
      <w:r w:rsidRPr="004F761F">
        <w:t>member</w:t>
      </w:r>
      <w:r>
        <w:rPr>
          <w:rFonts w:cs="Calibri"/>
        </w:rPr>
        <w:t xml:space="preserve"> states in the contribution to be submitted to TG 6/1.</w:t>
      </w:r>
    </w:p>
    <w:p w14:paraId="36CFC2B1" w14:textId="77777777" w:rsidR="004F761F" w:rsidRPr="00D9394E" w:rsidRDefault="004F761F" w:rsidP="00FB0BF5">
      <w:pPr>
        <w:pStyle w:val="ListParagraph"/>
        <w:numPr>
          <w:ilvl w:val="0"/>
          <w:numId w:val="34"/>
        </w:numPr>
        <w:spacing w:before="60" w:after="120"/>
        <w:ind w:left="446"/>
        <w:jc w:val="both"/>
      </w:pPr>
      <w:r w:rsidRPr="005E449D">
        <w:rPr>
          <w:rFonts w:cs="Calibri"/>
          <w:b/>
        </w:rPr>
        <w:t>Contribute</w:t>
      </w:r>
      <w:r>
        <w:rPr>
          <w:rFonts w:cs="Calibri"/>
        </w:rPr>
        <w:t xml:space="preserve"> </w:t>
      </w:r>
      <w:r w:rsidRPr="005E449D">
        <w:rPr>
          <w:rFonts w:cs="Calibri"/>
          <w:b/>
        </w:rPr>
        <w:t>to</w:t>
      </w:r>
      <w:r>
        <w:rPr>
          <w:rFonts w:cs="Calibri"/>
          <w:b/>
        </w:rPr>
        <w:t xml:space="preserve"> and actively participate </w:t>
      </w:r>
      <w:r>
        <w:rPr>
          <w:rFonts w:cs="Calibri"/>
        </w:rPr>
        <w:t xml:space="preserve">in sharing and compatibility studies once the ITU legal advisor </w:t>
      </w:r>
      <w:r w:rsidRPr="004F761F">
        <w:t>has</w:t>
      </w:r>
      <w:r>
        <w:rPr>
          <w:rFonts w:cs="Calibri"/>
        </w:rPr>
        <w:t xml:space="preserve"> provided feedback on the questions submitted by TG 6/1.</w:t>
      </w:r>
    </w:p>
    <w:p w14:paraId="29F53F88" w14:textId="3824901A" w:rsidR="002A0111" w:rsidRPr="00441526" w:rsidRDefault="005206E9" w:rsidP="00FB0BF5">
      <w:pPr>
        <w:spacing w:after="120"/>
        <w:jc w:val="both"/>
        <w:outlineLvl w:val="2"/>
        <w:rPr>
          <w:b/>
          <w:lang w:val="en-NZ" w:eastAsia="ko-KR"/>
        </w:rPr>
      </w:pPr>
      <w:r>
        <w:rPr>
          <w:b/>
          <w:lang w:val="en-NZ" w:eastAsia="ko-KR"/>
        </w:rPr>
        <w:t>7</w:t>
      </w:r>
      <w:r w:rsidR="00ED52FE">
        <w:rPr>
          <w:b/>
          <w:lang w:val="en-NZ" w:eastAsia="ko-KR"/>
        </w:rPr>
        <w:t>.1.</w:t>
      </w:r>
      <w:r w:rsidR="009A064B">
        <w:rPr>
          <w:b/>
          <w:lang w:val="en-NZ" w:eastAsia="ko-KR"/>
        </w:rPr>
        <w:t>2</w:t>
      </w:r>
      <w:r w:rsidR="002A0111" w:rsidRPr="00441526">
        <w:rPr>
          <w:b/>
          <w:lang w:val="en-NZ" w:eastAsia="ko-KR"/>
        </w:rPr>
        <w:tab/>
        <w:t>ASMG</w:t>
      </w:r>
      <w:r w:rsidR="002A0111" w:rsidRPr="00441526">
        <w:t xml:space="preserve"> - </w:t>
      </w:r>
      <w:r w:rsidR="002462DB" w:rsidRPr="00441526">
        <w:rPr>
          <w:b/>
          <w:lang w:val="en-NZ" w:eastAsia="ko-KR"/>
        </w:rPr>
        <w:t>Document APG</w:t>
      </w:r>
      <w:r w:rsidR="002462DB">
        <w:rPr>
          <w:b/>
          <w:lang w:val="en-NZ" w:eastAsia="ko-KR"/>
        </w:rPr>
        <w:t>23</w:t>
      </w:r>
      <w:r w:rsidR="002462DB" w:rsidRPr="00441526">
        <w:rPr>
          <w:b/>
          <w:lang w:val="en-NZ" w:eastAsia="ko-KR"/>
        </w:rPr>
        <w:t>-</w:t>
      </w:r>
      <w:r w:rsidR="00FB0BF5">
        <w:rPr>
          <w:b/>
          <w:lang w:val="en-NZ" w:eastAsia="ko-KR"/>
        </w:rPr>
        <w:t>4</w:t>
      </w:r>
      <w:r w:rsidR="002462DB">
        <w:rPr>
          <w:b/>
          <w:lang w:val="en-NZ" w:eastAsia="ko-KR"/>
        </w:rPr>
        <w:t>/</w:t>
      </w:r>
      <w:hyperlink r:id="rId75" w:history="1">
        <w:r w:rsidR="002B01F7" w:rsidRPr="002B01F7">
          <w:rPr>
            <w:rStyle w:val="Hyperlink"/>
            <w:b/>
            <w:bCs/>
            <w:lang w:val="en-NZ"/>
          </w:rPr>
          <w:t>INF-21</w:t>
        </w:r>
      </w:hyperlink>
    </w:p>
    <w:p w14:paraId="10DFDD79" w14:textId="32B8F376" w:rsidR="00FB0BF5" w:rsidRDefault="00FB0BF5" w:rsidP="00FB0BF5">
      <w:pPr>
        <w:pStyle w:val="ListParagraph"/>
        <w:numPr>
          <w:ilvl w:val="0"/>
          <w:numId w:val="34"/>
        </w:numPr>
        <w:spacing w:before="60"/>
        <w:ind w:left="446"/>
        <w:jc w:val="both"/>
      </w:pPr>
      <w:r w:rsidRPr="00FB0BF5">
        <w:t>To emphasis on the protection of existing services and systems, especially the broadcasting service, and not affecting them, and studying the possibility of allocating the band (470-694 MHz) or part of it (example: 614-694 MHz) for the mobile service and identifying it for applications of International Mobile Telecommunications (IMT) by the interested administrations in order to provide future flexibility in the utilization of the band by all services and to take a decision in this regard at the next World Radiocommunication Conference in 2023.</w:t>
      </w:r>
    </w:p>
    <w:p w14:paraId="06921D7F" w14:textId="776FEA34" w:rsidR="00FF7C13" w:rsidRPr="00FF7C13" w:rsidRDefault="00FF7C13" w:rsidP="00EB0660">
      <w:pPr>
        <w:spacing w:before="120" w:after="120"/>
        <w:jc w:val="both"/>
        <w:outlineLvl w:val="2"/>
        <w:rPr>
          <w:b/>
          <w:lang w:val="en-NZ" w:eastAsia="ko-KR"/>
        </w:rPr>
      </w:pPr>
      <w:r w:rsidRPr="00FF7C13">
        <w:rPr>
          <w:b/>
          <w:lang w:val="en-NZ" w:eastAsia="ko-KR"/>
        </w:rPr>
        <w:t>7.1.</w:t>
      </w:r>
      <w:r w:rsidR="009A064B">
        <w:rPr>
          <w:b/>
          <w:lang w:val="en-NZ" w:eastAsia="ko-KR"/>
        </w:rPr>
        <w:t>3</w:t>
      </w:r>
      <w:r w:rsidRPr="00FF7C13">
        <w:rPr>
          <w:b/>
          <w:lang w:val="en-NZ" w:eastAsia="ko-KR"/>
        </w:rPr>
        <w:tab/>
        <w:t>CITEL</w:t>
      </w:r>
      <w:r>
        <w:rPr>
          <w:b/>
          <w:lang w:val="en-NZ" w:eastAsia="ko-KR"/>
        </w:rPr>
        <w:t xml:space="preserve"> – </w:t>
      </w:r>
      <w:r w:rsidRPr="00441526">
        <w:rPr>
          <w:b/>
          <w:lang w:val="en-NZ" w:eastAsia="ko-KR"/>
        </w:rPr>
        <w:t>Document APG</w:t>
      </w:r>
      <w:r>
        <w:rPr>
          <w:b/>
          <w:lang w:val="en-NZ" w:eastAsia="ko-KR"/>
        </w:rPr>
        <w:t>23-</w:t>
      </w:r>
      <w:r w:rsidR="00EB0660">
        <w:rPr>
          <w:b/>
          <w:lang w:val="en-NZ" w:eastAsia="ko-KR"/>
        </w:rPr>
        <w:t>5</w:t>
      </w:r>
      <w:r w:rsidRPr="00441526">
        <w:rPr>
          <w:b/>
          <w:lang w:val="en-NZ" w:eastAsia="ko-KR"/>
        </w:rPr>
        <w:t>/</w:t>
      </w:r>
      <w:hyperlink r:id="rId76" w:history="1">
        <w:r w:rsidRPr="00EB0660">
          <w:rPr>
            <w:rStyle w:val="Hyperlink"/>
            <w:b/>
            <w:bCs/>
            <w:lang w:val="en-NZ"/>
          </w:rPr>
          <w:t>INF-</w:t>
        </w:r>
        <w:r w:rsidR="00EB0660" w:rsidRPr="00EB0660">
          <w:rPr>
            <w:rStyle w:val="Hyperlink"/>
            <w:b/>
            <w:bCs/>
            <w:lang w:val="en-NZ"/>
          </w:rPr>
          <w:t>43</w:t>
        </w:r>
      </w:hyperlink>
    </w:p>
    <w:p w14:paraId="0E912E58" w14:textId="6085D67D" w:rsidR="005D0907" w:rsidRDefault="005D0907" w:rsidP="005D0907">
      <w:pPr>
        <w:pStyle w:val="ListParagraph"/>
        <w:numPr>
          <w:ilvl w:val="0"/>
          <w:numId w:val="34"/>
        </w:numPr>
        <w:spacing w:before="60"/>
        <w:ind w:left="446"/>
        <w:jc w:val="both"/>
      </w:pPr>
      <w:r w:rsidRPr="005D0907">
        <w:t>Proposal: NOC for Region 2.</w:t>
      </w:r>
    </w:p>
    <w:p w14:paraId="18D7B7A2" w14:textId="4E3BA4F1" w:rsidR="004500EC" w:rsidRPr="002C10D3" w:rsidRDefault="00284BE9" w:rsidP="002C10D3">
      <w:pPr>
        <w:pStyle w:val="ListParagraph"/>
        <w:numPr>
          <w:ilvl w:val="0"/>
          <w:numId w:val="34"/>
        </w:numPr>
        <w:spacing w:before="60"/>
        <w:ind w:left="446"/>
        <w:jc w:val="both"/>
      </w:pPr>
      <w:r>
        <w:t>WRC-23 agenda item 1.5 addresses the spectrum use and spectrum needs of existing services in the frequency band 470-960 MHz in Region 1 and consider possible regulatory actions in the frequency band 470-694 MHz in Region 1 only. Any changes made to the Radio Regulations under WRC-23 agenda item 1.5 must not impact the existing allocations and identifications for Region 2, nor subject Region 2 to any changed procedural or regulatory provisions. Therefore, no change is proposed for Region 2 and this proposal does not address Regions 1 and 3.</w:t>
      </w:r>
    </w:p>
    <w:p w14:paraId="56668DA5" w14:textId="43A52EC5" w:rsidR="00C24B65" w:rsidRDefault="00C24B65" w:rsidP="000D5A5C">
      <w:pPr>
        <w:spacing w:before="120" w:after="120"/>
        <w:jc w:val="both"/>
        <w:outlineLvl w:val="2"/>
        <w:rPr>
          <w:b/>
          <w:lang w:val="en-NZ"/>
        </w:rPr>
      </w:pPr>
      <w:r>
        <w:rPr>
          <w:b/>
          <w:lang w:val="en-NZ" w:eastAsia="ko-KR"/>
        </w:rPr>
        <w:t>7</w:t>
      </w:r>
      <w:r w:rsidRPr="00441526">
        <w:rPr>
          <w:b/>
          <w:lang w:val="en-NZ" w:eastAsia="ko-KR"/>
        </w:rPr>
        <w:t>.1.</w:t>
      </w:r>
      <w:r w:rsidR="00A3740D">
        <w:rPr>
          <w:b/>
          <w:lang w:val="en-NZ" w:eastAsia="ko-KR"/>
        </w:rPr>
        <w:t>4</w:t>
      </w:r>
      <w:r w:rsidRPr="00441526">
        <w:rPr>
          <w:b/>
          <w:lang w:val="en-NZ" w:eastAsia="ko-KR"/>
        </w:rPr>
        <w:tab/>
      </w:r>
      <w:r>
        <w:rPr>
          <w:b/>
          <w:lang w:val="en-NZ" w:eastAsia="ko-KR"/>
        </w:rPr>
        <w:t xml:space="preserve">RCC – </w:t>
      </w:r>
      <w:r w:rsidRPr="00441526">
        <w:rPr>
          <w:b/>
          <w:lang w:val="en-NZ" w:eastAsia="ko-KR"/>
        </w:rPr>
        <w:t>Document APG</w:t>
      </w:r>
      <w:r>
        <w:rPr>
          <w:b/>
          <w:lang w:val="en-NZ" w:eastAsia="ko-KR"/>
        </w:rPr>
        <w:t>23-</w:t>
      </w:r>
      <w:r w:rsidR="000D5A5C">
        <w:rPr>
          <w:b/>
          <w:lang w:val="en-NZ" w:eastAsia="ko-KR"/>
        </w:rPr>
        <w:t>5</w:t>
      </w:r>
      <w:r w:rsidRPr="00C24B65">
        <w:rPr>
          <w:b/>
          <w:lang w:val="en-NZ" w:eastAsia="ko-KR"/>
        </w:rPr>
        <w:t>/</w:t>
      </w:r>
      <w:hyperlink r:id="rId77" w:history="1">
        <w:r w:rsidR="000D5A5C" w:rsidRPr="003E3900">
          <w:rPr>
            <w:rStyle w:val="Hyperlink"/>
            <w:b/>
            <w:bCs/>
            <w:lang w:val="en-NZ"/>
          </w:rPr>
          <w:t>INF-45</w:t>
        </w:r>
      </w:hyperlink>
    </w:p>
    <w:p w14:paraId="072E9239" w14:textId="338F126C" w:rsidR="006A2A29" w:rsidRPr="006A2A29" w:rsidRDefault="006A2A29" w:rsidP="006A2A29">
      <w:pPr>
        <w:pStyle w:val="ListParagraph"/>
        <w:numPr>
          <w:ilvl w:val="0"/>
          <w:numId w:val="34"/>
        </w:numPr>
        <w:spacing w:before="60"/>
        <w:ind w:left="446"/>
        <w:jc w:val="both"/>
        <w:rPr>
          <w:rFonts w:eastAsia="SimSun"/>
          <w:lang w:eastAsia="zh-CN"/>
        </w:rPr>
      </w:pPr>
      <w:r w:rsidRPr="006A2A29">
        <w:rPr>
          <w:rFonts w:eastAsia="SimSun"/>
          <w:lang w:eastAsia="zh-CN"/>
        </w:rPr>
        <w:t>The RCC Administrations oppose changing the regulatory conditions of using the frequency band 470-694 MHz in Region 1 within this WRC-23 agenda item due to the current and future intensive use of this band by incumbent services.</w:t>
      </w:r>
    </w:p>
    <w:p w14:paraId="5120DDAA" w14:textId="484554A8" w:rsidR="006A2A29" w:rsidRPr="006A2A29" w:rsidRDefault="006A2A29" w:rsidP="000D5A5C">
      <w:pPr>
        <w:pStyle w:val="ListParagraph"/>
        <w:numPr>
          <w:ilvl w:val="0"/>
          <w:numId w:val="34"/>
        </w:numPr>
        <w:spacing w:before="60"/>
        <w:ind w:left="446"/>
        <w:jc w:val="both"/>
        <w:rPr>
          <w:rFonts w:eastAsia="SimSun"/>
          <w:lang w:eastAsia="zh-CN"/>
        </w:rPr>
      </w:pPr>
      <w:r w:rsidRPr="006A2A29">
        <w:rPr>
          <w:rFonts w:eastAsia="SimSun"/>
          <w:lang w:eastAsia="zh-CN"/>
        </w:rPr>
        <w:t>The RCC Administrations believes that no regulatory actions are required in the 694-960</w:t>
      </w:r>
      <w:r w:rsidR="000D5A5C">
        <w:rPr>
          <w:rFonts w:eastAsia="SimSun"/>
          <w:lang w:eastAsia="zh-CN"/>
        </w:rPr>
        <w:t> </w:t>
      </w:r>
      <w:r w:rsidRPr="006A2A29">
        <w:rPr>
          <w:rFonts w:eastAsia="SimSun"/>
          <w:lang w:eastAsia="zh-CN"/>
        </w:rPr>
        <w:t xml:space="preserve">MHz band and no particular actions for study are defined by Resolution </w:t>
      </w:r>
      <w:r w:rsidRPr="006A2A29">
        <w:rPr>
          <w:rFonts w:eastAsia="SimSun"/>
          <w:b/>
          <w:bCs/>
          <w:lang w:eastAsia="zh-CN"/>
        </w:rPr>
        <w:t>235 (WRC-15)</w:t>
      </w:r>
      <w:r w:rsidRPr="006A2A29">
        <w:rPr>
          <w:rFonts w:eastAsia="SimSun"/>
          <w:lang w:eastAsia="zh-CN"/>
        </w:rPr>
        <w:t>.</w:t>
      </w:r>
    </w:p>
    <w:p w14:paraId="019BFB1C" w14:textId="4FA02D94" w:rsidR="006A2A29" w:rsidRDefault="006A2A29" w:rsidP="006A2A29">
      <w:pPr>
        <w:pStyle w:val="ListParagraph"/>
        <w:numPr>
          <w:ilvl w:val="0"/>
          <w:numId w:val="34"/>
        </w:numPr>
        <w:spacing w:before="60"/>
        <w:ind w:left="446"/>
        <w:jc w:val="both"/>
        <w:rPr>
          <w:rFonts w:eastAsia="SimSun"/>
          <w:lang w:eastAsia="zh-CN"/>
        </w:rPr>
      </w:pPr>
      <w:r w:rsidRPr="006A2A29">
        <w:rPr>
          <w:rFonts w:eastAsia="SimSun"/>
          <w:lang w:eastAsia="zh-CN"/>
        </w:rPr>
        <w:t>The RCC Administrations believes that when studying compatibility in the 470-694 MHz range, allocations of this frequency band to services on both a primary and secondary basis should be taken into account.</w:t>
      </w:r>
    </w:p>
    <w:p w14:paraId="26CD9763" w14:textId="3E75188C" w:rsidR="000D5A5C" w:rsidRPr="006A2A29" w:rsidRDefault="000D5A5C" w:rsidP="000D5A5C">
      <w:pPr>
        <w:pStyle w:val="ListParagraph"/>
        <w:numPr>
          <w:ilvl w:val="0"/>
          <w:numId w:val="34"/>
        </w:numPr>
        <w:spacing w:before="60"/>
        <w:ind w:left="446"/>
        <w:jc w:val="both"/>
        <w:rPr>
          <w:rFonts w:eastAsia="SimSun"/>
          <w:lang w:eastAsia="zh-CN"/>
        </w:rPr>
      </w:pPr>
      <w:r w:rsidRPr="000D5A5C">
        <w:rPr>
          <w:rFonts w:eastAsia="SimSun"/>
          <w:lang w:eastAsia="zh-CN"/>
        </w:rPr>
        <w:t>Method A, Alternative A1 or A2 from the draft CPM Report</w:t>
      </w:r>
    </w:p>
    <w:p w14:paraId="0EF6472D" w14:textId="2627B00B" w:rsidR="002A0111" w:rsidRDefault="00C24B65" w:rsidP="00BF1BC2">
      <w:pPr>
        <w:spacing w:before="120" w:after="120"/>
        <w:jc w:val="both"/>
        <w:outlineLvl w:val="2"/>
        <w:rPr>
          <w:rStyle w:val="Hyperlink"/>
          <w:b/>
          <w:bCs/>
          <w:lang w:val="en-NZ"/>
        </w:rPr>
      </w:pPr>
      <w:r>
        <w:rPr>
          <w:b/>
          <w:lang w:val="en-NZ" w:eastAsia="ko-KR"/>
        </w:rPr>
        <w:t>7</w:t>
      </w:r>
      <w:r w:rsidRPr="00441526">
        <w:rPr>
          <w:b/>
          <w:lang w:val="en-NZ" w:eastAsia="ko-KR"/>
        </w:rPr>
        <w:t>.1.</w:t>
      </w:r>
      <w:r w:rsidR="00A3740D">
        <w:rPr>
          <w:b/>
          <w:lang w:val="en-NZ" w:eastAsia="ko-KR"/>
        </w:rPr>
        <w:t>5</w:t>
      </w:r>
      <w:r w:rsidRPr="00441526">
        <w:rPr>
          <w:b/>
          <w:lang w:val="en-NZ" w:eastAsia="ko-KR"/>
        </w:rPr>
        <w:tab/>
      </w:r>
      <w:r w:rsidR="00BF1BC2" w:rsidRPr="00441526">
        <w:rPr>
          <w:b/>
          <w:lang w:val="en-NZ" w:eastAsia="ko-KR"/>
        </w:rPr>
        <w:t xml:space="preserve">CEPT </w:t>
      </w:r>
      <w:r w:rsidR="00BF1BC2" w:rsidRPr="00441526">
        <w:t xml:space="preserve">- </w:t>
      </w:r>
      <w:r w:rsidR="00BF1BC2" w:rsidRPr="00441526">
        <w:rPr>
          <w:b/>
          <w:lang w:val="en-NZ" w:eastAsia="ko-KR"/>
        </w:rPr>
        <w:t>Document APG</w:t>
      </w:r>
      <w:r w:rsidR="00BF1BC2">
        <w:rPr>
          <w:b/>
          <w:lang w:val="en-NZ" w:eastAsia="ko-KR"/>
        </w:rPr>
        <w:t>23</w:t>
      </w:r>
      <w:r w:rsidR="00BF1BC2" w:rsidRPr="00441526">
        <w:rPr>
          <w:b/>
          <w:lang w:val="en-NZ" w:eastAsia="ko-KR"/>
        </w:rPr>
        <w:t>-</w:t>
      </w:r>
      <w:r w:rsidR="00BF1BC2">
        <w:rPr>
          <w:b/>
          <w:lang w:val="en-NZ" w:eastAsia="ko-KR"/>
        </w:rPr>
        <w:t>5/</w:t>
      </w:r>
      <w:hyperlink r:id="rId78" w:history="1">
        <w:r w:rsidR="00BF1BC2" w:rsidRPr="009B1474">
          <w:rPr>
            <w:rStyle w:val="Hyperlink"/>
            <w:b/>
            <w:bCs/>
            <w:lang w:val="en-NZ"/>
          </w:rPr>
          <w:t>INF-</w:t>
        </w:r>
        <w:r w:rsidR="00BF1BC2" w:rsidRPr="009B1474">
          <w:rPr>
            <w:rStyle w:val="Hyperlink"/>
            <w:rFonts w:eastAsia="MS Mincho"/>
            <w:b/>
            <w:bCs/>
            <w:lang w:val="en-NZ" w:eastAsia="ja-JP"/>
          </w:rPr>
          <w:t>39</w:t>
        </w:r>
      </w:hyperlink>
    </w:p>
    <w:p w14:paraId="073FBF85"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 xml:space="preserve">CEPT supports a complete and comprehensive overview of the existing usage and evaluation of spectrum needs of the existing services within the frequency band 470–960 MHz in Region 1 as a basis for further work on </w:t>
      </w:r>
      <w:r>
        <w:rPr>
          <w:lang w:val="en-NZ"/>
        </w:rPr>
        <w:t>A</w:t>
      </w:r>
      <w:r w:rsidRPr="00593D53">
        <w:rPr>
          <w:lang w:val="en-NZ"/>
        </w:rPr>
        <w:t xml:space="preserve">genda </w:t>
      </w:r>
      <w:r>
        <w:rPr>
          <w:lang w:val="en-NZ"/>
        </w:rPr>
        <w:t>I</w:t>
      </w:r>
      <w:r w:rsidRPr="00593D53">
        <w:rPr>
          <w:lang w:val="en-NZ"/>
        </w:rPr>
        <w:t>tem 1.5.</w:t>
      </w:r>
    </w:p>
    <w:p w14:paraId="1206D9E2"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lastRenderedPageBreak/>
        <w:t>CEPT is of the view that any consideration of possible regulatory action(s) in the band 470‐694 MHz requires a full account of the results and impact of sharing studies including a thorough analysis.</w:t>
      </w:r>
    </w:p>
    <w:p w14:paraId="03ACF079"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 xml:space="preserve">In line with Resolution </w:t>
      </w:r>
      <w:r w:rsidRPr="00593D53">
        <w:rPr>
          <w:b/>
          <w:bCs/>
          <w:lang w:val="en-NZ"/>
        </w:rPr>
        <w:t>235 (WRC‐15)</w:t>
      </w:r>
      <w:r w:rsidRPr="00593D53">
        <w:rPr>
          <w:lang w:val="en-NZ"/>
        </w:rPr>
        <w:t xml:space="preserve">, CEPT acknowledges and supports that no regulatory action is required in the band 694‐960 </w:t>
      </w:r>
      <w:proofErr w:type="spellStart"/>
      <w:r w:rsidRPr="00593D53">
        <w:rPr>
          <w:lang w:val="en-NZ"/>
        </w:rPr>
        <w:t>MHz.</w:t>
      </w:r>
      <w:proofErr w:type="spellEnd"/>
    </w:p>
    <w:p w14:paraId="287A09EA"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CEPT is of the view that the primary allocation of the 470‐862 MHz band to the broadcasting service in Region 1 shall remain, in order to enable the protection and development of incumbent usage of the broadcasting service.</w:t>
      </w:r>
    </w:p>
    <w:p w14:paraId="2A6F2711"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CEPT is of the view that any possible regulatory action by WRC‐23 in the band 470 – 694 MHz shall not be in conflict with any provision of the GE‐06 Agreement.</w:t>
      </w:r>
    </w:p>
    <w:p w14:paraId="2DD25210"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CEPT is of the view that this agenda item seeks the long‐term balance between meeting various national requirements and the challenges of effective cross‐border coordination between the existing services and various services/applications wishing to access spectrum, including applications of the mobile service.</w:t>
      </w:r>
    </w:p>
    <w:p w14:paraId="225CD5D7" w14:textId="77777777" w:rsidR="00AC2ED5" w:rsidRPr="00593D53" w:rsidRDefault="00AC2ED5" w:rsidP="00AC2ED5">
      <w:pPr>
        <w:pStyle w:val="ListParagraph"/>
        <w:numPr>
          <w:ilvl w:val="0"/>
          <w:numId w:val="34"/>
        </w:numPr>
        <w:spacing w:before="60"/>
        <w:ind w:left="446"/>
        <w:jc w:val="both"/>
        <w:rPr>
          <w:lang w:val="en-NZ"/>
        </w:rPr>
      </w:pPr>
      <w:r w:rsidRPr="00593D53">
        <w:rPr>
          <w:lang w:val="en-NZ"/>
        </w:rPr>
        <w:t xml:space="preserve">CEPT supports the continuation and development of the incumbent usage by PMSE (SAP/SAB) (in accordance with existing RR No. </w:t>
      </w:r>
      <w:r w:rsidRPr="00593D53">
        <w:rPr>
          <w:b/>
          <w:bCs/>
          <w:lang w:val="en-NZ"/>
        </w:rPr>
        <w:t>5.296</w:t>
      </w:r>
      <w:r w:rsidRPr="00593D53">
        <w:rPr>
          <w:lang w:val="en-NZ"/>
        </w:rPr>
        <w:t>).</w:t>
      </w:r>
    </w:p>
    <w:p w14:paraId="67222C70" w14:textId="77777777" w:rsidR="00AC2ED5" w:rsidRPr="008A7632" w:rsidRDefault="00AC2ED5" w:rsidP="00AC2ED5">
      <w:pPr>
        <w:pStyle w:val="ListParagraph"/>
        <w:numPr>
          <w:ilvl w:val="0"/>
          <w:numId w:val="34"/>
        </w:numPr>
        <w:spacing w:before="60"/>
        <w:ind w:left="446"/>
        <w:jc w:val="both"/>
        <w:rPr>
          <w:lang w:val="en-NZ"/>
        </w:rPr>
      </w:pPr>
      <w:r w:rsidRPr="008A7632">
        <w:rPr>
          <w:lang w:val="en-NZ"/>
        </w:rPr>
        <w:t>CEPT supports the protection of the radioastronomy service within the frequency band 606‐614 MHz</w:t>
      </w:r>
      <w:r>
        <w:rPr>
          <w:lang w:val="en-NZ"/>
        </w:rPr>
        <w:t>, where required,</w:t>
      </w:r>
      <w:r w:rsidRPr="008A7632">
        <w:rPr>
          <w:lang w:val="en-NZ"/>
        </w:rPr>
        <w:t xml:space="preserve"> to ensure its</w:t>
      </w:r>
      <w:r w:rsidRPr="008A7632">
        <w:rPr>
          <w:rFonts w:hint="cs"/>
          <w:rtl/>
          <w:lang w:val="en-NZ"/>
        </w:rPr>
        <w:t xml:space="preserve"> </w:t>
      </w:r>
      <w:r w:rsidRPr="008A7632">
        <w:rPr>
          <w:lang w:val="en-NZ"/>
        </w:rPr>
        <w:t>continued operation. CEPT is of the view that any decision on regulatory action(s) in the band 470‐694 MHz at the</w:t>
      </w:r>
      <w:r w:rsidRPr="008A7632">
        <w:rPr>
          <w:rFonts w:hint="cs"/>
          <w:rtl/>
          <w:lang w:val="en-NZ"/>
        </w:rPr>
        <w:t xml:space="preserve"> </w:t>
      </w:r>
      <w:r w:rsidRPr="008A7632">
        <w:rPr>
          <w:lang w:val="en-NZ"/>
        </w:rPr>
        <w:t xml:space="preserve">WRC‐23 shall consider regulatory action to protect RAS, taking into account RR </w:t>
      </w:r>
      <w:r w:rsidRPr="008A7632">
        <w:rPr>
          <w:b/>
          <w:bCs/>
          <w:lang w:val="en-NZ"/>
        </w:rPr>
        <w:t>5.149</w:t>
      </w:r>
      <w:r w:rsidRPr="008A7632">
        <w:rPr>
          <w:lang w:val="en-NZ"/>
        </w:rPr>
        <w:t>.</w:t>
      </w:r>
    </w:p>
    <w:p w14:paraId="75D3CEB9" w14:textId="12D466C5" w:rsidR="00AC2ED5" w:rsidRDefault="00AC2ED5" w:rsidP="004A6B22">
      <w:pPr>
        <w:pStyle w:val="ListParagraph"/>
        <w:numPr>
          <w:ilvl w:val="0"/>
          <w:numId w:val="34"/>
        </w:numPr>
        <w:spacing w:before="60"/>
        <w:ind w:left="446"/>
        <w:jc w:val="both"/>
        <w:rPr>
          <w:lang w:val="en-NZ"/>
        </w:rPr>
      </w:pPr>
      <w:r w:rsidRPr="008A7632">
        <w:rPr>
          <w:lang w:val="en-NZ"/>
        </w:rPr>
        <w:t xml:space="preserve">CEPT is currently of the view that no changes are necessary concerning RR No. </w:t>
      </w:r>
      <w:r w:rsidRPr="008A7632">
        <w:rPr>
          <w:b/>
          <w:bCs/>
          <w:lang w:val="en-NZ"/>
        </w:rPr>
        <w:t>5.291A</w:t>
      </w:r>
      <w:r w:rsidRPr="008A7632">
        <w:rPr>
          <w:lang w:val="en-NZ"/>
        </w:rPr>
        <w:t xml:space="preserve"> addressing the operation of</w:t>
      </w:r>
      <w:r w:rsidRPr="008A7632">
        <w:rPr>
          <w:rFonts w:hint="cs"/>
          <w:rtl/>
          <w:lang w:val="en-NZ"/>
        </w:rPr>
        <w:t xml:space="preserve"> </w:t>
      </w:r>
      <w:r w:rsidRPr="008A7632">
        <w:rPr>
          <w:lang w:val="en-NZ"/>
        </w:rPr>
        <w:t>wind profiler radars.</w:t>
      </w:r>
    </w:p>
    <w:p w14:paraId="7CBF7A0B" w14:textId="77777777" w:rsidR="000B004F" w:rsidRPr="000B004F" w:rsidRDefault="000B004F" w:rsidP="000B004F">
      <w:pPr>
        <w:pStyle w:val="ListParagraph"/>
        <w:numPr>
          <w:ilvl w:val="0"/>
          <w:numId w:val="34"/>
        </w:numPr>
        <w:spacing w:before="60"/>
        <w:ind w:left="446"/>
        <w:jc w:val="both"/>
        <w:rPr>
          <w:lang w:val="en-NZ"/>
        </w:rPr>
      </w:pPr>
      <w:r w:rsidRPr="000B004F">
        <w:rPr>
          <w:lang w:val="en-NZ"/>
        </w:rPr>
        <w:t>Taking into account the above views, CEPT is currently investigating three options to respond to this AI:</w:t>
      </w:r>
    </w:p>
    <w:p w14:paraId="6FEC9FDC" w14:textId="6E2A2A48" w:rsidR="000B004F" w:rsidRPr="00D425FC" w:rsidRDefault="000B004F" w:rsidP="00D425FC">
      <w:pPr>
        <w:pStyle w:val="ListParagraph"/>
        <w:numPr>
          <w:ilvl w:val="0"/>
          <w:numId w:val="34"/>
        </w:numPr>
        <w:spacing w:before="60"/>
        <w:ind w:left="900"/>
        <w:jc w:val="both"/>
        <w:rPr>
          <w:lang w:val="en-NZ"/>
        </w:rPr>
      </w:pPr>
      <w:r w:rsidRPr="00D425FC">
        <w:rPr>
          <w:lang w:val="en-NZ"/>
        </w:rPr>
        <w:t>No Change, with an agenda item at a later WRC to consider possible regulatory actions in the frequency</w:t>
      </w:r>
      <w:r w:rsidR="00D425FC" w:rsidRPr="00D425FC">
        <w:rPr>
          <w:lang w:val="en-NZ"/>
        </w:rPr>
        <w:t xml:space="preserve"> </w:t>
      </w:r>
      <w:r w:rsidRPr="00D425FC">
        <w:rPr>
          <w:lang w:val="en-NZ"/>
        </w:rPr>
        <w:t>band 470-694 MHz;</w:t>
      </w:r>
    </w:p>
    <w:p w14:paraId="7F7BBB0F" w14:textId="407AE6B1" w:rsidR="000B004F" w:rsidRPr="00D425FC" w:rsidRDefault="000B004F" w:rsidP="00D425FC">
      <w:pPr>
        <w:pStyle w:val="ListParagraph"/>
        <w:numPr>
          <w:ilvl w:val="0"/>
          <w:numId w:val="34"/>
        </w:numPr>
        <w:spacing w:before="60"/>
        <w:ind w:left="900"/>
        <w:jc w:val="both"/>
        <w:rPr>
          <w:lang w:val="en-NZ"/>
        </w:rPr>
      </w:pPr>
      <w:r w:rsidRPr="00D425FC">
        <w:rPr>
          <w:lang w:val="en-NZ"/>
        </w:rPr>
        <w:t>A primary allocation to the mobile service to be made at WRC-23, which would come into effect at a later</w:t>
      </w:r>
      <w:r w:rsidR="00D425FC" w:rsidRPr="00D425FC">
        <w:rPr>
          <w:lang w:val="en-NZ"/>
        </w:rPr>
        <w:t xml:space="preserve"> </w:t>
      </w:r>
      <w:r w:rsidRPr="00D425FC">
        <w:rPr>
          <w:lang w:val="en-NZ"/>
        </w:rPr>
        <w:t>date;</w:t>
      </w:r>
    </w:p>
    <w:p w14:paraId="0C38460D" w14:textId="580D567D" w:rsidR="000B004F" w:rsidRDefault="000B004F" w:rsidP="00D425FC">
      <w:pPr>
        <w:pStyle w:val="ListParagraph"/>
        <w:numPr>
          <w:ilvl w:val="0"/>
          <w:numId w:val="34"/>
        </w:numPr>
        <w:spacing w:before="60"/>
        <w:ind w:left="900"/>
        <w:jc w:val="both"/>
        <w:rPr>
          <w:lang w:val="en-NZ"/>
        </w:rPr>
      </w:pPr>
      <w:r w:rsidRPr="00D425FC">
        <w:rPr>
          <w:lang w:val="en-NZ"/>
        </w:rPr>
        <w:t>A secondary allocation to the mobile service to be made at WRC-23, with an item on the agenda of WRC-31</w:t>
      </w:r>
      <w:r w:rsidR="00D425FC" w:rsidRPr="00D425FC">
        <w:rPr>
          <w:lang w:val="en-NZ"/>
        </w:rPr>
        <w:t xml:space="preserve"> </w:t>
      </w:r>
      <w:r w:rsidRPr="00D425FC">
        <w:rPr>
          <w:lang w:val="en-NZ"/>
        </w:rPr>
        <w:t>for consideration of a possible upgrade to a primary allocation.</w:t>
      </w:r>
    </w:p>
    <w:p w14:paraId="12BBE9E1" w14:textId="77777777" w:rsidR="009A064B" w:rsidRPr="00D425FC" w:rsidRDefault="009A064B" w:rsidP="009A064B">
      <w:pPr>
        <w:pStyle w:val="ListParagraph"/>
        <w:spacing w:before="60"/>
        <w:ind w:left="900"/>
        <w:jc w:val="both"/>
        <w:rPr>
          <w:lang w:val="en-NZ"/>
        </w:rPr>
      </w:pPr>
    </w:p>
    <w:p w14:paraId="6D6A33B3" w14:textId="7E24779A" w:rsidR="002A0111" w:rsidRPr="00441526" w:rsidRDefault="005206E9" w:rsidP="009A064B">
      <w:pPr>
        <w:spacing w:after="120"/>
        <w:jc w:val="both"/>
        <w:outlineLvl w:val="1"/>
        <w:rPr>
          <w:b/>
          <w:lang w:val="en-NZ" w:eastAsia="ko-KR"/>
        </w:rPr>
      </w:pPr>
      <w:r>
        <w:rPr>
          <w:b/>
          <w:lang w:val="en-NZ" w:eastAsia="ko-KR"/>
        </w:rPr>
        <w:t>7</w:t>
      </w:r>
      <w:r w:rsidR="002A0111" w:rsidRPr="00441526">
        <w:rPr>
          <w:b/>
          <w:lang w:val="en-NZ" w:eastAsia="ko-KR"/>
        </w:rPr>
        <w:t>.2</w:t>
      </w:r>
      <w:r w:rsidR="002A0111" w:rsidRPr="00441526">
        <w:rPr>
          <w:b/>
          <w:lang w:val="en-NZ" w:eastAsia="ko-KR"/>
        </w:rPr>
        <w:tab/>
        <w:t>International Organisations</w:t>
      </w:r>
    </w:p>
    <w:p w14:paraId="4F5FDE9D" w14:textId="0A77D445" w:rsidR="002A7390" w:rsidRDefault="002A7390" w:rsidP="009A064B">
      <w:pPr>
        <w:spacing w:before="120" w:after="120"/>
        <w:jc w:val="both"/>
        <w:outlineLvl w:val="2"/>
        <w:rPr>
          <w:b/>
          <w:lang w:val="en-NZ" w:eastAsia="ko-KR"/>
        </w:rPr>
      </w:pPr>
      <w:r>
        <w:rPr>
          <w:b/>
          <w:lang w:val="en-NZ" w:eastAsia="ko-KR"/>
        </w:rPr>
        <w:t>7.2.1</w:t>
      </w:r>
      <w:r>
        <w:rPr>
          <w:b/>
          <w:lang w:val="en-NZ" w:eastAsia="ko-KR"/>
        </w:rPr>
        <w:tab/>
        <w:t>WMO</w:t>
      </w:r>
      <w:r w:rsidRPr="00441526">
        <w:rPr>
          <w:b/>
          <w:lang w:val="en-NZ" w:eastAsia="ko-KR"/>
        </w:rPr>
        <w:t xml:space="preserve"> </w:t>
      </w:r>
      <w:r w:rsidRPr="009A064B">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E037D1">
        <w:rPr>
          <w:b/>
          <w:lang w:val="en-NZ" w:eastAsia="ko-KR"/>
        </w:rPr>
        <w:t>5</w:t>
      </w:r>
      <w:r>
        <w:rPr>
          <w:b/>
          <w:lang w:val="en-NZ" w:eastAsia="ko-KR"/>
        </w:rPr>
        <w:t>/</w:t>
      </w:r>
      <w:hyperlink r:id="rId79" w:history="1">
        <w:r w:rsidR="00E037D1" w:rsidRPr="009A064B">
          <w:rPr>
            <w:b/>
            <w:color w:val="0000FF"/>
            <w:u w:val="single"/>
            <w:lang w:eastAsia="ko-KR"/>
          </w:rPr>
          <w:t>INF-01</w:t>
        </w:r>
      </w:hyperlink>
    </w:p>
    <w:p w14:paraId="2BEC0980" w14:textId="3B9C56F3" w:rsidR="002A7390" w:rsidRDefault="00E037D1" w:rsidP="002A7390">
      <w:pPr>
        <w:spacing w:after="120"/>
        <w:jc w:val="both"/>
        <w:rPr>
          <w:b/>
          <w:lang w:val="en-NZ" w:eastAsia="ko-KR"/>
        </w:rPr>
      </w:pPr>
      <w:r w:rsidRPr="00736070">
        <w:t>WMO</w:t>
      </w:r>
      <w:r w:rsidRPr="00736070">
        <w:rPr>
          <w:lang w:val="en-GB"/>
        </w:rPr>
        <w:t xml:space="preserve"> </w:t>
      </w:r>
      <w:r w:rsidRPr="00736070">
        <w:t>would appreciate the development of a solution to ensure the effective operation of the wind profiler radars in the 470-494 MHz frequency band.</w:t>
      </w:r>
    </w:p>
    <w:p w14:paraId="1E7AFAA2" w14:textId="3217064D" w:rsidR="002A7390" w:rsidRPr="00441526" w:rsidRDefault="002A7390" w:rsidP="009A064B">
      <w:pPr>
        <w:spacing w:before="120" w:after="120"/>
        <w:jc w:val="both"/>
        <w:outlineLvl w:val="2"/>
        <w:rPr>
          <w:b/>
          <w:lang w:val="en-NZ" w:eastAsia="ko-KR"/>
        </w:rPr>
      </w:pPr>
      <w:r>
        <w:rPr>
          <w:b/>
          <w:lang w:val="en-NZ" w:eastAsia="ko-KR"/>
        </w:rPr>
        <w:t>7</w:t>
      </w:r>
      <w:r w:rsidRPr="00441526">
        <w:rPr>
          <w:b/>
          <w:lang w:val="en-NZ" w:eastAsia="ko-KR"/>
        </w:rPr>
        <w:t>.2.2</w:t>
      </w:r>
      <w:r w:rsidRPr="00441526">
        <w:rPr>
          <w:b/>
          <w:lang w:val="en-NZ" w:eastAsia="ko-KR"/>
        </w:rPr>
        <w:tab/>
        <w:t>ICAO</w:t>
      </w:r>
    </w:p>
    <w:p w14:paraId="6EEDCF19" w14:textId="0007A35D" w:rsidR="002A7390" w:rsidRPr="00441526" w:rsidRDefault="00690834" w:rsidP="002A6D53">
      <w:pPr>
        <w:spacing w:after="120"/>
        <w:jc w:val="both"/>
        <w:rPr>
          <w:rtl/>
          <w:lang w:val="en-NZ" w:bidi="fa-IR"/>
        </w:rPr>
      </w:pPr>
      <w:r>
        <w:rPr>
          <w:rFonts w:eastAsia="SimSun"/>
          <w:lang w:val="en-GB"/>
        </w:rPr>
        <w:t>ICAO has not submitted information document to APG23-4</w:t>
      </w:r>
      <w:r w:rsidR="002A6D53">
        <w:rPr>
          <w:rFonts w:eastAsia="SimSun"/>
          <w:lang w:val="en-GB"/>
        </w:rPr>
        <w:t xml:space="preserve">. See also </w:t>
      </w:r>
      <w:r w:rsidR="002A6D53" w:rsidRPr="002A6D53">
        <w:rPr>
          <w:bCs/>
          <w:lang w:val="en-NZ" w:eastAsia="ko-KR"/>
        </w:rPr>
        <w:t>Document</w:t>
      </w:r>
      <w:r w:rsidR="002A6D53" w:rsidRPr="00441526">
        <w:rPr>
          <w:b/>
          <w:lang w:val="en-NZ" w:eastAsia="ko-KR"/>
        </w:rPr>
        <w:t xml:space="preserve"> </w:t>
      </w:r>
      <w:hyperlink r:id="rId80" w:history="1">
        <w:r w:rsidR="002A6D53" w:rsidRPr="003C0925">
          <w:rPr>
            <w:rStyle w:val="Hyperlink"/>
            <w:lang w:val="en-NZ" w:eastAsia="ko-KR"/>
          </w:rPr>
          <w:t>INF-15</w:t>
        </w:r>
      </w:hyperlink>
      <w:r w:rsidR="002A6D53">
        <w:rPr>
          <w:rFonts w:eastAsia="SimSun"/>
          <w:lang w:val="en-GB"/>
        </w:rPr>
        <w:t xml:space="preserve"> for no position status of ICAO at APG23-3.</w:t>
      </w:r>
    </w:p>
    <w:p w14:paraId="3F98A477" w14:textId="77430E88" w:rsidR="002A7390" w:rsidRPr="00441526" w:rsidRDefault="002A7390" w:rsidP="009A064B">
      <w:pPr>
        <w:spacing w:before="120" w:after="120"/>
        <w:jc w:val="both"/>
        <w:outlineLvl w:val="2"/>
        <w:rPr>
          <w:b/>
          <w:lang w:val="en-NZ" w:eastAsia="ko-KR"/>
        </w:rPr>
      </w:pPr>
      <w:r>
        <w:rPr>
          <w:b/>
          <w:lang w:val="en-NZ" w:eastAsia="ko-KR"/>
        </w:rPr>
        <w:t>7.2.3</w:t>
      </w:r>
      <w:r>
        <w:rPr>
          <w:b/>
          <w:lang w:val="en-NZ" w:eastAsia="ko-KR"/>
        </w:rPr>
        <w:tab/>
        <w:t>IARU</w:t>
      </w:r>
      <w:r w:rsidR="001F2E6D">
        <w:rPr>
          <w:b/>
          <w:lang w:val="en-NZ" w:eastAsia="ko-KR"/>
        </w:rPr>
        <w:t xml:space="preserve"> – Document APG23-5/</w:t>
      </w:r>
      <w:hyperlink r:id="rId81" w:history="1">
        <w:r w:rsidR="001F2E6D" w:rsidRPr="009A064B">
          <w:rPr>
            <w:b/>
            <w:color w:val="0000FF"/>
            <w:u w:val="single"/>
          </w:rPr>
          <w:t>INF-21</w:t>
        </w:r>
      </w:hyperlink>
    </w:p>
    <w:p w14:paraId="767F3E2D" w14:textId="7E39B4EF" w:rsidR="00AF1F61" w:rsidRDefault="003C0925" w:rsidP="001F2E6D">
      <w:pPr>
        <w:spacing w:before="120"/>
        <w:rPr>
          <w:lang w:val="en-NZ"/>
        </w:rPr>
      </w:pPr>
      <w:r>
        <w:rPr>
          <w:lang w:val="en-NZ"/>
        </w:rPr>
        <w:t>No position has been stated by IARU under WRC-23 agenda item 1.</w:t>
      </w:r>
      <w:r w:rsidR="00997B99">
        <w:rPr>
          <w:lang w:val="en-NZ"/>
        </w:rPr>
        <w:t>5</w:t>
      </w:r>
      <w:r>
        <w:rPr>
          <w:lang w:val="en-NZ"/>
        </w:rPr>
        <w:t xml:space="preserve"> </w:t>
      </w:r>
      <w:r w:rsidR="00997B99">
        <w:rPr>
          <w:lang w:val="en-NZ"/>
        </w:rPr>
        <w:t>in</w:t>
      </w:r>
      <w:r>
        <w:rPr>
          <w:lang w:val="en-NZ"/>
        </w:rPr>
        <w:t xml:space="preserve"> APG23-</w:t>
      </w:r>
      <w:r w:rsidR="001F2E6D">
        <w:rPr>
          <w:lang w:val="en-NZ"/>
        </w:rPr>
        <w:t>5</w:t>
      </w:r>
      <w:r>
        <w:rPr>
          <w:lang w:val="en-NZ"/>
        </w:rPr>
        <w:t>.</w:t>
      </w:r>
    </w:p>
    <w:p w14:paraId="09EEDFA8" w14:textId="77777777" w:rsidR="002A0111" w:rsidRPr="00710333" w:rsidRDefault="002A0111" w:rsidP="00795F61">
      <w:pPr>
        <w:jc w:val="center"/>
        <w:rPr>
          <w:snapToGrid w:val="0"/>
          <w:lang w:val="en-NZ"/>
        </w:rPr>
      </w:pPr>
      <w:r w:rsidRPr="00441526">
        <w:rPr>
          <w:lang w:val="en-NZ"/>
        </w:rPr>
        <w:t>____________</w:t>
      </w:r>
    </w:p>
    <w:sectPr w:rsidR="002A0111" w:rsidRPr="00710333" w:rsidSect="00A5413A">
      <w:headerReference w:type="default" r:id="rId82"/>
      <w:footerReference w:type="even" r:id="rId83"/>
      <w:footerReference w:type="default" r:id="rId84"/>
      <w:headerReference w:type="first" r:id="rId85"/>
      <w:footerReference w:type="first" r:id="rId8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3D97" w14:textId="77777777" w:rsidR="0069330F" w:rsidRDefault="0069330F">
      <w:r>
        <w:separator/>
      </w:r>
    </w:p>
  </w:endnote>
  <w:endnote w:type="continuationSeparator" w:id="0">
    <w:p w14:paraId="23C771EB" w14:textId="77777777" w:rsidR="0069330F" w:rsidRDefault="0069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367B0363" w:rsidR="0097693B" w:rsidRDefault="0092727B" w:rsidP="009320A2">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9D5F0E">
      <w:rPr>
        <w:lang w:eastAsia="ko-KR"/>
      </w:rPr>
      <w:t>5</w:t>
    </w:r>
    <w:r w:rsidR="002A0111">
      <w:rPr>
        <w:lang w:eastAsia="ko-KR"/>
      </w:rPr>
      <w:t>/</w:t>
    </w:r>
    <w:r w:rsidR="00CA0F79">
      <w:rPr>
        <w:lang w:eastAsia="ko-KR"/>
      </w:rPr>
      <w:t>OUT</w:t>
    </w:r>
    <w:r w:rsidR="009D5F0E">
      <w:rPr>
        <w:lang w:eastAsia="ko-KR"/>
      </w:rPr>
      <w:t>-0</w:t>
    </w:r>
    <w:r w:rsidR="00CA0F79">
      <w:rPr>
        <w:lang w:eastAsia="ko-KR"/>
      </w:rPr>
      <w:t>8</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143F5F">
      <w:rPr>
        <w:rStyle w:val="PageNumber"/>
        <w:noProof/>
      </w:rPr>
      <w:t>8</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143F5F">
      <w:rPr>
        <w:rStyle w:val="PageNumber"/>
        <w:noProof/>
      </w:rPr>
      <w:t>8</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374"/>
      <w:gridCol w:w="3690"/>
    </w:tblGrid>
    <w:tr w:rsidR="0092727B" w14:paraId="5C614AEA" w14:textId="77777777" w:rsidTr="00222407">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4374" w:type="dxa"/>
          <w:tcBorders>
            <w:top w:val="single" w:sz="8" w:space="0" w:color="auto"/>
            <w:left w:val="nil"/>
            <w:bottom w:val="nil"/>
            <w:right w:val="nil"/>
          </w:tcBorders>
        </w:tcPr>
        <w:p w14:paraId="49717F76" w14:textId="77777777" w:rsidR="00222407" w:rsidRDefault="00222407" w:rsidP="00222407">
          <w:pPr>
            <w:pStyle w:val="Footer"/>
          </w:pPr>
          <w:r>
            <w:t>Dr. Jae Woo Lim (KOR)</w:t>
          </w:r>
        </w:p>
        <w:p w14:paraId="2233AF28" w14:textId="77777777" w:rsidR="00222407" w:rsidRDefault="00222407" w:rsidP="00222407">
          <w:pPr>
            <w:pStyle w:val="Equation"/>
            <w:tabs>
              <w:tab w:val="clear" w:pos="4820"/>
              <w:tab w:val="clear" w:pos="9639"/>
              <w:tab w:val="left" w:pos="1191"/>
              <w:tab w:val="left" w:pos="1588"/>
              <w:tab w:val="left" w:pos="1985"/>
            </w:tabs>
            <w:spacing w:beforeLines="0" w:before="0"/>
          </w:pPr>
          <w:proofErr w:type="spellStart"/>
          <w:r>
            <w:t>Dr.</w:t>
          </w:r>
          <w:proofErr w:type="spellEnd"/>
          <w:r>
            <w:t xml:space="preserve"> Hiroyuki Atarashi (J)</w:t>
          </w:r>
        </w:p>
        <w:p w14:paraId="4FC7F141" w14:textId="5F53111F" w:rsidR="002A0111" w:rsidRPr="002A0111" w:rsidRDefault="00222407" w:rsidP="00222407">
          <w:pPr>
            <w:pStyle w:val="Footer"/>
            <w:tabs>
              <w:tab w:val="clear" w:pos="4320"/>
              <w:tab w:val="clear" w:pos="8640"/>
            </w:tabs>
          </w:pPr>
          <w:r>
            <w:t>Co-Chairmen, WP1, APG-23</w:t>
          </w:r>
        </w:p>
      </w:tc>
      <w:tc>
        <w:tcPr>
          <w:tcW w:w="3690" w:type="dxa"/>
          <w:tcBorders>
            <w:top w:val="single" w:sz="8" w:space="0" w:color="auto"/>
            <w:left w:val="nil"/>
            <w:bottom w:val="nil"/>
          </w:tcBorders>
        </w:tcPr>
        <w:p w14:paraId="198847B0" w14:textId="394B43E6" w:rsidR="0092727B" w:rsidRDefault="0092727B" w:rsidP="0092727B">
          <w:pPr>
            <w:pStyle w:val="Footer"/>
            <w:tabs>
              <w:tab w:val="clear" w:pos="4320"/>
              <w:tab w:val="clear" w:pos="8640"/>
            </w:tabs>
          </w:pPr>
          <w:r w:rsidRPr="00F5286E">
            <w:rPr>
              <w:b/>
              <w:bCs/>
            </w:rPr>
            <w:t>Email:</w:t>
          </w:r>
          <w:r w:rsidR="006E6E31">
            <w:t xml:space="preserve"> </w:t>
          </w:r>
        </w:p>
        <w:p w14:paraId="7C373CBF" w14:textId="77777777" w:rsidR="00222407" w:rsidRDefault="00000000" w:rsidP="00222407">
          <w:pPr>
            <w:pStyle w:val="Footer"/>
            <w:tabs>
              <w:tab w:val="clear" w:pos="4320"/>
              <w:tab w:val="clear" w:pos="8640"/>
              <w:tab w:val="center" w:pos="1397"/>
            </w:tabs>
          </w:pPr>
          <w:hyperlink r:id="rId1" w:history="1">
            <w:r w:rsidR="00222407" w:rsidRPr="001D7C36">
              <w:rPr>
                <w:rStyle w:val="Hyperlink"/>
              </w:rPr>
              <w:t>jwlim@korea.kr</w:t>
            </w:r>
          </w:hyperlink>
        </w:p>
        <w:p w14:paraId="1778A493" w14:textId="6E22733B" w:rsidR="00222407" w:rsidRDefault="00000000" w:rsidP="00222407">
          <w:pPr>
            <w:pStyle w:val="Footer"/>
            <w:tabs>
              <w:tab w:val="clear" w:pos="4320"/>
              <w:tab w:val="clear" w:pos="8640"/>
            </w:tabs>
          </w:pPr>
          <w:hyperlink r:id="rId2" w:history="1">
            <w:r w:rsidR="00222407" w:rsidRPr="001D7C36">
              <w:rPr>
                <w:rStyle w:val="Hyperlink"/>
              </w:rPr>
              <w:t>hiroyuki.atarashi.yt@nttdocomo.com</w:t>
            </w:r>
          </w:hyperlink>
        </w:p>
        <w:p w14:paraId="447F22A7" w14:textId="1479A3A9" w:rsidR="00222407" w:rsidRPr="00222407" w:rsidRDefault="00222407" w:rsidP="00222407">
          <w:pPr>
            <w:ind w:firstLine="720"/>
          </w:pPr>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7E4B" w14:textId="77777777" w:rsidR="0069330F" w:rsidRDefault="0069330F">
      <w:r>
        <w:separator/>
      </w:r>
    </w:p>
  </w:footnote>
  <w:footnote w:type="continuationSeparator" w:id="0">
    <w:p w14:paraId="7199E025" w14:textId="77777777" w:rsidR="0069330F" w:rsidRDefault="0069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F696B"/>
    <w:multiLevelType w:val="hybridMultilevel"/>
    <w:tmpl w:val="89CCDB72"/>
    <w:lvl w:ilvl="0" w:tplc="DB42042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EC67294"/>
    <w:multiLevelType w:val="hybridMultilevel"/>
    <w:tmpl w:val="21542028"/>
    <w:lvl w:ilvl="0" w:tplc="7118040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611D6D"/>
    <w:multiLevelType w:val="hybridMultilevel"/>
    <w:tmpl w:val="A322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9801948"/>
    <w:multiLevelType w:val="hybridMultilevel"/>
    <w:tmpl w:val="1C1E2BEC"/>
    <w:lvl w:ilvl="0" w:tplc="B0426F7E">
      <w:start w:val="1"/>
      <w:numFmt w:val="bullet"/>
      <w:lvlText w:val="-"/>
      <w:lvlJc w:val="left"/>
      <w:pPr>
        <w:ind w:left="1120" w:hanging="360"/>
      </w:pPr>
      <w:rPr>
        <w:rFonts w:ascii="Calibri" w:eastAsiaTheme="minorEastAsia" w:hAnsi="Calibri" w:cs="Calibri" w:hint="default"/>
      </w:rPr>
    </w:lvl>
    <w:lvl w:ilvl="1" w:tplc="04090001">
      <w:start w:val="1"/>
      <w:numFmt w:val="bullet"/>
      <w:lvlText w:val=""/>
      <w:lvlJc w:val="left"/>
      <w:pPr>
        <w:ind w:left="1560" w:hanging="400"/>
      </w:pPr>
      <w:rPr>
        <w:rFonts w:ascii="Symbol" w:hAnsi="Symbol"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3AE23C30"/>
    <w:multiLevelType w:val="hybridMultilevel"/>
    <w:tmpl w:val="776AB710"/>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9" w15:restartNumberingAfterBreak="0">
    <w:nsid w:val="3E0D2E9F"/>
    <w:multiLevelType w:val="multilevel"/>
    <w:tmpl w:val="7F241F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BA7A09"/>
    <w:multiLevelType w:val="hybridMultilevel"/>
    <w:tmpl w:val="E4BE08B0"/>
    <w:lvl w:ilvl="0" w:tplc="3C38B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31C17"/>
    <w:multiLevelType w:val="hybridMultilevel"/>
    <w:tmpl w:val="A2E82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75DE5"/>
    <w:multiLevelType w:val="hybridMultilevel"/>
    <w:tmpl w:val="D1043BC4"/>
    <w:lvl w:ilvl="0" w:tplc="81F6568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17441"/>
    <w:multiLevelType w:val="hybridMultilevel"/>
    <w:tmpl w:val="718C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055315"/>
    <w:multiLevelType w:val="hybridMultilevel"/>
    <w:tmpl w:val="3F6ECB6A"/>
    <w:lvl w:ilvl="0" w:tplc="368863C6">
      <w:start w:val="1"/>
      <w:numFmt w:val="bullet"/>
      <w:lvlText w:val="•"/>
      <w:lvlJc w:val="left"/>
      <w:pPr>
        <w:tabs>
          <w:tab w:val="num" w:pos="720"/>
        </w:tabs>
        <w:ind w:left="720" w:hanging="360"/>
      </w:pPr>
      <w:rPr>
        <w:rFonts w:ascii="Arial" w:hAnsi="Arial" w:hint="default"/>
      </w:rPr>
    </w:lvl>
    <w:lvl w:ilvl="1" w:tplc="10F4C77E" w:tentative="1">
      <w:start w:val="1"/>
      <w:numFmt w:val="bullet"/>
      <w:lvlText w:val="•"/>
      <w:lvlJc w:val="left"/>
      <w:pPr>
        <w:tabs>
          <w:tab w:val="num" w:pos="1440"/>
        </w:tabs>
        <w:ind w:left="1440" w:hanging="360"/>
      </w:pPr>
      <w:rPr>
        <w:rFonts w:ascii="Arial" w:hAnsi="Arial" w:hint="default"/>
      </w:rPr>
    </w:lvl>
    <w:lvl w:ilvl="2" w:tplc="DCFAE7F4" w:tentative="1">
      <w:start w:val="1"/>
      <w:numFmt w:val="bullet"/>
      <w:lvlText w:val="•"/>
      <w:lvlJc w:val="left"/>
      <w:pPr>
        <w:tabs>
          <w:tab w:val="num" w:pos="2160"/>
        </w:tabs>
        <w:ind w:left="2160" w:hanging="360"/>
      </w:pPr>
      <w:rPr>
        <w:rFonts w:ascii="Arial" w:hAnsi="Arial" w:hint="default"/>
      </w:rPr>
    </w:lvl>
    <w:lvl w:ilvl="3" w:tplc="3850B4C8" w:tentative="1">
      <w:start w:val="1"/>
      <w:numFmt w:val="bullet"/>
      <w:lvlText w:val="•"/>
      <w:lvlJc w:val="left"/>
      <w:pPr>
        <w:tabs>
          <w:tab w:val="num" w:pos="2880"/>
        </w:tabs>
        <w:ind w:left="2880" w:hanging="360"/>
      </w:pPr>
      <w:rPr>
        <w:rFonts w:ascii="Arial" w:hAnsi="Arial" w:hint="default"/>
      </w:rPr>
    </w:lvl>
    <w:lvl w:ilvl="4" w:tplc="FEBC0CA6" w:tentative="1">
      <w:start w:val="1"/>
      <w:numFmt w:val="bullet"/>
      <w:lvlText w:val="•"/>
      <w:lvlJc w:val="left"/>
      <w:pPr>
        <w:tabs>
          <w:tab w:val="num" w:pos="3600"/>
        </w:tabs>
        <w:ind w:left="3600" w:hanging="360"/>
      </w:pPr>
      <w:rPr>
        <w:rFonts w:ascii="Arial" w:hAnsi="Arial" w:hint="default"/>
      </w:rPr>
    </w:lvl>
    <w:lvl w:ilvl="5" w:tplc="98DE0176" w:tentative="1">
      <w:start w:val="1"/>
      <w:numFmt w:val="bullet"/>
      <w:lvlText w:val="•"/>
      <w:lvlJc w:val="left"/>
      <w:pPr>
        <w:tabs>
          <w:tab w:val="num" w:pos="4320"/>
        </w:tabs>
        <w:ind w:left="4320" w:hanging="360"/>
      </w:pPr>
      <w:rPr>
        <w:rFonts w:ascii="Arial" w:hAnsi="Arial" w:hint="default"/>
      </w:rPr>
    </w:lvl>
    <w:lvl w:ilvl="6" w:tplc="69A67086" w:tentative="1">
      <w:start w:val="1"/>
      <w:numFmt w:val="bullet"/>
      <w:lvlText w:val="•"/>
      <w:lvlJc w:val="left"/>
      <w:pPr>
        <w:tabs>
          <w:tab w:val="num" w:pos="5040"/>
        </w:tabs>
        <w:ind w:left="5040" w:hanging="360"/>
      </w:pPr>
      <w:rPr>
        <w:rFonts w:ascii="Arial" w:hAnsi="Arial" w:hint="default"/>
      </w:rPr>
    </w:lvl>
    <w:lvl w:ilvl="7" w:tplc="27DEDD78" w:tentative="1">
      <w:start w:val="1"/>
      <w:numFmt w:val="bullet"/>
      <w:lvlText w:val="•"/>
      <w:lvlJc w:val="left"/>
      <w:pPr>
        <w:tabs>
          <w:tab w:val="num" w:pos="5760"/>
        </w:tabs>
        <w:ind w:left="5760" w:hanging="360"/>
      </w:pPr>
      <w:rPr>
        <w:rFonts w:ascii="Arial" w:hAnsi="Arial" w:hint="default"/>
      </w:rPr>
    </w:lvl>
    <w:lvl w:ilvl="8" w:tplc="D6FC0D0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15272E"/>
    <w:multiLevelType w:val="multilevel"/>
    <w:tmpl w:val="832A6A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D000F4"/>
    <w:multiLevelType w:val="multilevel"/>
    <w:tmpl w:val="78B8BD9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C03B9E"/>
    <w:multiLevelType w:val="hybridMultilevel"/>
    <w:tmpl w:val="BAC215CC"/>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245117F"/>
    <w:multiLevelType w:val="hybridMultilevel"/>
    <w:tmpl w:val="EF94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9E460DE"/>
    <w:multiLevelType w:val="hybridMultilevel"/>
    <w:tmpl w:val="E398FEC2"/>
    <w:lvl w:ilvl="0" w:tplc="9F2E2D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323582843">
    <w:abstractNumId w:val="14"/>
  </w:num>
  <w:num w:numId="2" w16cid:durableId="294607494">
    <w:abstractNumId w:val="9"/>
  </w:num>
  <w:num w:numId="3" w16cid:durableId="476924379">
    <w:abstractNumId w:val="7"/>
  </w:num>
  <w:num w:numId="4" w16cid:durableId="1784883856">
    <w:abstractNumId w:val="31"/>
  </w:num>
  <w:num w:numId="5" w16cid:durableId="237716792">
    <w:abstractNumId w:val="13"/>
  </w:num>
  <w:num w:numId="6" w16cid:durableId="1680890123">
    <w:abstractNumId w:val="15"/>
  </w:num>
  <w:num w:numId="7" w16cid:durableId="606742660">
    <w:abstractNumId w:val="5"/>
  </w:num>
  <w:num w:numId="8" w16cid:durableId="1654338061">
    <w:abstractNumId w:val="2"/>
  </w:num>
  <w:num w:numId="9" w16cid:durableId="367686194">
    <w:abstractNumId w:val="36"/>
  </w:num>
  <w:num w:numId="10" w16cid:durableId="1637251664">
    <w:abstractNumId w:val="27"/>
  </w:num>
  <w:num w:numId="11" w16cid:durableId="989212867">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92694">
    <w:abstractNumId w:val="24"/>
  </w:num>
  <w:num w:numId="13" w16cid:durableId="624967841">
    <w:abstractNumId w:val="0"/>
  </w:num>
  <w:num w:numId="14" w16cid:durableId="12998026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455707">
    <w:abstractNumId w:val="10"/>
  </w:num>
  <w:num w:numId="16" w16cid:durableId="1717776689">
    <w:abstractNumId w:val="37"/>
  </w:num>
  <w:num w:numId="17" w16cid:durableId="893849603">
    <w:abstractNumId w:val="26"/>
  </w:num>
  <w:num w:numId="18" w16cid:durableId="1445080023">
    <w:abstractNumId w:val="18"/>
  </w:num>
  <w:num w:numId="19" w16cid:durableId="330838923">
    <w:abstractNumId w:val="34"/>
  </w:num>
  <w:num w:numId="20" w16cid:durableId="419760438">
    <w:abstractNumId w:val="12"/>
  </w:num>
  <w:num w:numId="21" w16cid:durableId="1621376938">
    <w:abstractNumId w:val="33"/>
  </w:num>
  <w:num w:numId="22" w16cid:durableId="235164521">
    <w:abstractNumId w:val="38"/>
  </w:num>
  <w:num w:numId="23" w16cid:durableId="215050181">
    <w:abstractNumId w:val="1"/>
  </w:num>
  <w:num w:numId="24" w16cid:durableId="289628444">
    <w:abstractNumId w:val="4"/>
  </w:num>
  <w:num w:numId="25" w16cid:durableId="784544025">
    <w:abstractNumId w:val="11"/>
  </w:num>
  <w:num w:numId="26" w16cid:durableId="1036586125">
    <w:abstractNumId w:val="17"/>
  </w:num>
  <w:num w:numId="27" w16cid:durableId="972565944">
    <w:abstractNumId w:val="3"/>
  </w:num>
  <w:num w:numId="28" w16cid:durableId="1770270662">
    <w:abstractNumId w:val="25"/>
  </w:num>
  <w:num w:numId="29" w16cid:durableId="547188651">
    <w:abstractNumId w:val="22"/>
  </w:num>
  <w:num w:numId="30" w16cid:durableId="1418747406">
    <w:abstractNumId w:val="29"/>
  </w:num>
  <w:num w:numId="31" w16cid:durableId="1918173840">
    <w:abstractNumId w:val="30"/>
  </w:num>
  <w:num w:numId="32" w16cid:durableId="1827353621">
    <w:abstractNumId w:val="28"/>
  </w:num>
  <w:num w:numId="33" w16cid:durableId="401029291">
    <w:abstractNumId w:val="32"/>
  </w:num>
  <w:num w:numId="34" w16cid:durableId="1396129539">
    <w:abstractNumId w:val="21"/>
  </w:num>
  <w:num w:numId="35" w16cid:durableId="1512643274">
    <w:abstractNumId w:val="23"/>
  </w:num>
  <w:num w:numId="36" w16cid:durableId="216626250">
    <w:abstractNumId w:val="19"/>
  </w:num>
  <w:num w:numId="37" w16cid:durableId="182600547">
    <w:abstractNumId w:val="16"/>
  </w:num>
  <w:num w:numId="38" w16cid:durableId="1735542237">
    <w:abstractNumId w:val="8"/>
  </w:num>
  <w:num w:numId="39" w16cid:durableId="1423867567">
    <w:abstractNumId w:val="20"/>
  </w:num>
  <w:num w:numId="40" w16cid:durableId="1931530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5AA"/>
    <w:rsid w:val="00010C8E"/>
    <w:rsid w:val="000144BA"/>
    <w:rsid w:val="000202DB"/>
    <w:rsid w:val="000214D1"/>
    <w:rsid w:val="0002474B"/>
    <w:rsid w:val="00026813"/>
    <w:rsid w:val="00033DFA"/>
    <w:rsid w:val="0003595B"/>
    <w:rsid w:val="00036296"/>
    <w:rsid w:val="00036517"/>
    <w:rsid w:val="00036CC9"/>
    <w:rsid w:val="00040149"/>
    <w:rsid w:val="00051E6E"/>
    <w:rsid w:val="00055BCB"/>
    <w:rsid w:val="00066C02"/>
    <w:rsid w:val="00070642"/>
    <w:rsid w:val="00071127"/>
    <w:rsid w:val="000713CF"/>
    <w:rsid w:val="00075C14"/>
    <w:rsid w:val="00080EEC"/>
    <w:rsid w:val="000822B5"/>
    <w:rsid w:val="0008503D"/>
    <w:rsid w:val="000920FD"/>
    <w:rsid w:val="00092AE9"/>
    <w:rsid w:val="00093CE0"/>
    <w:rsid w:val="00094B87"/>
    <w:rsid w:val="000A012B"/>
    <w:rsid w:val="000A5418"/>
    <w:rsid w:val="000A631E"/>
    <w:rsid w:val="000A699B"/>
    <w:rsid w:val="000B004F"/>
    <w:rsid w:val="000B0087"/>
    <w:rsid w:val="000C0806"/>
    <w:rsid w:val="000C2440"/>
    <w:rsid w:val="000D47FB"/>
    <w:rsid w:val="000D597D"/>
    <w:rsid w:val="000D5A5C"/>
    <w:rsid w:val="000D5BFE"/>
    <w:rsid w:val="000E29C0"/>
    <w:rsid w:val="000E6541"/>
    <w:rsid w:val="000F345F"/>
    <w:rsid w:val="000F3C18"/>
    <w:rsid w:val="000F517C"/>
    <w:rsid w:val="000F5540"/>
    <w:rsid w:val="000F6FF6"/>
    <w:rsid w:val="000F7CFD"/>
    <w:rsid w:val="00104B54"/>
    <w:rsid w:val="001050A7"/>
    <w:rsid w:val="00105F1A"/>
    <w:rsid w:val="001061EE"/>
    <w:rsid w:val="00114B13"/>
    <w:rsid w:val="001215B7"/>
    <w:rsid w:val="0012288F"/>
    <w:rsid w:val="00125FBD"/>
    <w:rsid w:val="00127BBD"/>
    <w:rsid w:val="001409B2"/>
    <w:rsid w:val="00143F5F"/>
    <w:rsid w:val="00152636"/>
    <w:rsid w:val="001539DD"/>
    <w:rsid w:val="00156782"/>
    <w:rsid w:val="00165DD6"/>
    <w:rsid w:val="00165F01"/>
    <w:rsid w:val="001731F4"/>
    <w:rsid w:val="0017688D"/>
    <w:rsid w:val="001916F2"/>
    <w:rsid w:val="00192526"/>
    <w:rsid w:val="001930A7"/>
    <w:rsid w:val="00196568"/>
    <w:rsid w:val="00197C18"/>
    <w:rsid w:val="001A2234"/>
    <w:rsid w:val="001A2F16"/>
    <w:rsid w:val="001B1414"/>
    <w:rsid w:val="001B1804"/>
    <w:rsid w:val="001B18C2"/>
    <w:rsid w:val="001B29C0"/>
    <w:rsid w:val="001C443F"/>
    <w:rsid w:val="001C61A5"/>
    <w:rsid w:val="001C6707"/>
    <w:rsid w:val="001D14FC"/>
    <w:rsid w:val="001D29E9"/>
    <w:rsid w:val="001D5D7E"/>
    <w:rsid w:val="001E5FA7"/>
    <w:rsid w:val="001F2E6D"/>
    <w:rsid w:val="001F5947"/>
    <w:rsid w:val="001F6C07"/>
    <w:rsid w:val="00202410"/>
    <w:rsid w:val="00203A05"/>
    <w:rsid w:val="00205777"/>
    <w:rsid w:val="00206A33"/>
    <w:rsid w:val="00214A0C"/>
    <w:rsid w:val="0021588B"/>
    <w:rsid w:val="00215F6A"/>
    <w:rsid w:val="002161B6"/>
    <w:rsid w:val="00217533"/>
    <w:rsid w:val="00217D12"/>
    <w:rsid w:val="002216AC"/>
    <w:rsid w:val="00222407"/>
    <w:rsid w:val="002259E9"/>
    <w:rsid w:val="0023212E"/>
    <w:rsid w:val="002462DB"/>
    <w:rsid w:val="002475E2"/>
    <w:rsid w:val="002506D2"/>
    <w:rsid w:val="00250DE2"/>
    <w:rsid w:val="002518A8"/>
    <w:rsid w:val="00254A1B"/>
    <w:rsid w:val="0026064A"/>
    <w:rsid w:val="00264566"/>
    <w:rsid w:val="00266E68"/>
    <w:rsid w:val="002673FB"/>
    <w:rsid w:val="00271D69"/>
    <w:rsid w:val="00284038"/>
    <w:rsid w:val="0028454D"/>
    <w:rsid w:val="00284BE9"/>
    <w:rsid w:val="00284DBF"/>
    <w:rsid w:val="002879B7"/>
    <w:rsid w:val="00290B2E"/>
    <w:rsid w:val="00291C9E"/>
    <w:rsid w:val="0029235F"/>
    <w:rsid w:val="002926D4"/>
    <w:rsid w:val="0029734E"/>
    <w:rsid w:val="002A0111"/>
    <w:rsid w:val="002A3CF5"/>
    <w:rsid w:val="002A42A6"/>
    <w:rsid w:val="002A6D53"/>
    <w:rsid w:val="002A7390"/>
    <w:rsid w:val="002B01F7"/>
    <w:rsid w:val="002B06A3"/>
    <w:rsid w:val="002B435C"/>
    <w:rsid w:val="002B447F"/>
    <w:rsid w:val="002C07DA"/>
    <w:rsid w:val="002C10D3"/>
    <w:rsid w:val="002C2A49"/>
    <w:rsid w:val="002C4C8D"/>
    <w:rsid w:val="002C7EA9"/>
    <w:rsid w:val="002D5119"/>
    <w:rsid w:val="002E0284"/>
    <w:rsid w:val="002E39C9"/>
    <w:rsid w:val="002F29A6"/>
    <w:rsid w:val="002F575D"/>
    <w:rsid w:val="002F7FE5"/>
    <w:rsid w:val="00304274"/>
    <w:rsid w:val="003113D7"/>
    <w:rsid w:val="00311E8A"/>
    <w:rsid w:val="00313DAD"/>
    <w:rsid w:val="00330258"/>
    <w:rsid w:val="00340B6D"/>
    <w:rsid w:val="00342069"/>
    <w:rsid w:val="00342F20"/>
    <w:rsid w:val="003546CA"/>
    <w:rsid w:val="00360377"/>
    <w:rsid w:val="00366548"/>
    <w:rsid w:val="00371F4F"/>
    <w:rsid w:val="00373DC4"/>
    <w:rsid w:val="0038005B"/>
    <w:rsid w:val="003800C3"/>
    <w:rsid w:val="003809C7"/>
    <w:rsid w:val="0038135F"/>
    <w:rsid w:val="0038236C"/>
    <w:rsid w:val="00386C0A"/>
    <w:rsid w:val="00393DCD"/>
    <w:rsid w:val="00395B40"/>
    <w:rsid w:val="003A2006"/>
    <w:rsid w:val="003A6568"/>
    <w:rsid w:val="003A7E84"/>
    <w:rsid w:val="003B38AE"/>
    <w:rsid w:val="003B4FD1"/>
    <w:rsid w:val="003B545B"/>
    <w:rsid w:val="003B6263"/>
    <w:rsid w:val="003B67CF"/>
    <w:rsid w:val="003C0925"/>
    <w:rsid w:val="003C123B"/>
    <w:rsid w:val="003C29E6"/>
    <w:rsid w:val="003C64A7"/>
    <w:rsid w:val="003D1128"/>
    <w:rsid w:val="003D1671"/>
    <w:rsid w:val="003D1F89"/>
    <w:rsid w:val="003D3D47"/>
    <w:rsid w:val="003D3FDA"/>
    <w:rsid w:val="003D6D00"/>
    <w:rsid w:val="003E166F"/>
    <w:rsid w:val="003E221B"/>
    <w:rsid w:val="003E55BA"/>
    <w:rsid w:val="003F307E"/>
    <w:rsid w:val="003F4BD4"/>
    <w:rsid w:val="004001E5"/>
    <w:rsid w:val="00404970"/>
    <w:rsid w:val="004104FB"/>
    <w:rsid w:val="0041313C"/>
    <w:rsid w:val="00415473"/>
    <w:rsid w:val="00420822"/>
    <w:rsid w:val="00420C74"/>
    <w:rsid w:val="00425988"/>
    <w:rsid w:val="004263DA"/>
    <w:rsid w:val="00441526"/>
    <w:rsid w:val="004465AA"/>
    <w:rsid w:val="00446A5E"/>
    <w:rsid w:val="004500EC"/>
    <w:rsid w:val="0045047C"/>
    <w:rsid w:val="0045458F"/>
    <w:rsid w:val="004633B4"/>
    <w:rsid w:val="00463588"/>
    <w:rsid w:val="004644BE"/>
    <w:rsid w:val="004661CC"/>
    <w:rsid w:val="0047051A"/>
    <w:rsid w:val="004721B8"/>
    <w:rsid w:val="00476CA2"/>
    <w:rsid w:val="00481CD2"/>
    <w:rsid w:val="00490042"/>
    <w:rsid w:val="00495CED"/>
    <w:rsid w:val="00496A14"/>
    <w:rsid w:val="004A2F96"/>
    <w:rsid w:val="004A4BDF"/>
    <w:rsid w:val="004A5C99"/>
    <w:rsid w:val="004A6B22"/>
    <w:rsid w:val="004B3553"/>
    <w:rsid w:val="004B3F4B"/>
    <w:rsid w:val="004C1D72"/>
    <w:rsid w:val="004C27B5"/>
    <w:rsid w:val="004C34AF"/>
    <w:rsid w:val="004D07D8"/>
    <w:rsid w:val="004D4530"/>
    <w:rsid w:val="004D4989"/>
    <w:rsid w:val="004E1FCA"/>
    <w:rsid w:val="004E47D6"/>
    <w:rsid w:val="004F761F"/>
    <w:rsid w:val="00503189"/>
    <w:rsid w:val="005055F2"/>
    <w:rsid w:val="00507266"/>
    <w:rsid w:val="00512008"/>
    <w:rsid w:val="005144FF"/>
    <w:rsid w:val="00516631"/>
    <w:rsid w:val="00516BD1"/>
    <w:rsid w:val="005206E9"/>
    <w:rsid w:val="00525B20"/>
    <w:rsid w:val="00526D01"/>
    <w:rsid w:val="00530E8C"/>
    <w:rsid w:val="00535D34"/>
    <w:rsid w:val="005365F2"/>
    <w:rsid w:val="00541998"/>
    <w:rsid w:val="00541E66"/>
    <w:rsid w:val="00543697"/>
    <w:rsid w:val="00545933"/>
    <w:rsid w:val="005459A3"/>
    <w:rsid w:val="00552105"/>
    <w:rsid w:val="00552366"/>
    <w:rsid w:val="00552C85"/>
    <w:rsid w:val="005562F2"/>
    <w:rsid w:val="00557544"/>
    <w:rsid w:val="0056391C"/>
    <w:rsid w:val="0056447B"/>
    <w:rsid w:val="00565BBB"/>
    <w:rsid w:val="00571B26"/>
    <w:rsid w:val="00574666"/>
    <w:rsid w:val="00585F3C"/>
    <w:rsid w:val="00586CA0"/>
    <w:rsid w:val="00587875"/>
    <w:rsid w:val="00590324"/>
    <w:rsid w:val="00593D53"/>
    <w:rsid w:val="0059673A"/>
    <w:rsid w:val="005A51D3"/>
    <w:rsid w:val="005A63EB"/>
    <w:rsid w:val="005B0876"/>
    <w:rsid w:val="005C31CE"/>
    <w:rsid w:val="005C33B6"/>
    <w:rsid w:val="005C4F2A"/>
    <w:rsid w:val="005C568F"/>
    <w:rsid w:val="005C714E"/>
    <w:rsid w:val="005D0907"/>
    <w:rsid w:val="005D39ED"/>
    <w:rsid w:val="005D6202"/>
    <w:rsid w:val="005D6E98"/>
    <w:rsid w:val="005E1C54"/>
    <w:rsid w:val="005F0066"/>
    <w:rsid w:val="00605413"/>
    <w:rsid w:val="00607E2B"/>
    <w:rsid w:val="006125A1"/>
    <w:rsid w:val="006139D6"/>
    <w:rsid w:val="0061623E"/>
    <w:rsid w:val="00616D1B"/>
    <w:rsid w:val="006231A3"/>
    <w:rsid w:val="00623CE1"/>
    <w:rsid w:val="00625462"/>
    <w:rsid w:val="006260EB"/>
    <w:rsid w:val="00626D07"/>
    <w:rsid w:val="00627880"/>
    <w:rsid w:val="0063062B"/>
    <w:rsid w:val="00634A82"/>
    <w:rsid w:val="00635B1B"/>
    <w:rsid w:val="00637351"/>
    <w:rsid w:val="006446D6"/>
    <w:rsid w:val="00646166"/>
    <w:rsid w:val="00646573"/>
    <w:rsid w:val="00652BDD"/>
    <w:rsid w:val="00654896"/>
    <w:rsid w:val="006564FF"/>
    <w:rsid w:val="00656605"/>
    <w:rsid w:val="00657073"/>
    <w:rsid w:val="00657DB9"/>
    <w:rsid w:val="006621F0"/>
    <w:rsid w:val="006647BA"/>
    <w:rsid w:val="00665A28"/>
    <w:rsid w:val="00667229"/>
    <w:rsid w:val="0067211E"/>
    <w:rsid w:val="006748C4"/>
    <w:rsid w:val="0067757F"/>
    <w:rsid w:val="00682BE5"/>
    <w:rsid w:val="00683846"/>
    <w:rsid w:val="00690834"/>
    <w:rsid w:val="00690FED"/>
    <w:rsid w:val="006921DE"/>
    <w:rsid w:val="0069330F"/>
    <w:rsid w:val="006937D3"/>
    <w:rsid w:val="006939A5"/>
    <w:rsid w:val="00697C27"/>
    <w:rsid w:val="006A2A29"/>
    <w:rsid w:val="006A5B92"/>
    <w:rsid w:val="006B09DB"/>
    <w:rsid w:val="006B2E01"/>
    <w:rsid w:val="006B68DE"/>
    <w:rsid w:val="006C5616"/>
    <w:rsid w:val="006D3C2B"/>
    <w:rsid w:val="006D5223"/>
    <w:rsid w:val="006D5970"/>
    <w:rsid w:val="006D60D6"/>
    <w:rsid w:val="006E12FC"/>
    <w:rsid w:val="006E581A"/>
    <w:rsid w:val="006E6E31"/>
    <w:rsid w:val="006F0F24"/>
    <w:rsid w:val="006F2B2E"/>
    <w:rsid w:val="006F4ED8"/>
    <w:rsid w:val="006F6A5C"/>
    <w:rsid w:val="006F72DB"/>
    <w:rsid w:val="00703F6F"/>
    <w:rsid w:val="007052B3"/>
    <w:rsid w:val="00705962"/>
    <w:rsid w:val="00707C21"/>
    <w:rsid w:val="00711BAD"/>
    <w:rsid w:val="00712451"/>
    <w:rsid w:val="00712A16"/>
    <w:rsid w:val="0071594E"/>
    <w:rsid w:val="00717DE9"/>
    <w:rsid w:val="00721235"/>
    <w:rsid w:val="0072518B"/>
    <w:rsid w:val="00726342"/>
    <w:rsid w:val="00731041"/>
    <w:rsid w:val="007329E4"/>
    <w:rsid w:val="00732F08"/>
    <w:rsid w:val="007342F0"/>
    <w:rsid w:val="00735749"/>
    <w:rsid w:val="00736550"/>
    <w:rsid w:val="0074190C"/>
    <w:rsid w:val="00744545"/>
    <w:rsid w:val="00746DF2"/>
    <w:rsid w:val="00752386"/>
    <w:rsid w:val="0075493D"/>
    <w:rsid w:val="00762576"/>
    <w:rsid w:val="007673CA"/>
    <w:rsid w:val="0078115D"/>
    <w:rsid w:val="00791060"/>
    <w:rsid w:val="007926EA"/>
    <w:rsid w:val="00795F61"/>
    <w:rsid w:val="007A5245"/>
    <w:rsid w:val="007A6D2F"/>
    <w:rsid w:val="007B4C37"/>
    <w:rsid w:val="007B5626"/>
    <w:rsid w:val="007B6124"/>
    <w:rsid w:val="007C38BB"/>
    <w:rsid w:val="007D3C53"/>
    <w:rsid w:val="007D56DE"/>
    <w:rsid w:val="007D66A3"/>
    <w:rsid w:val="007E3A0F"/>
    <w:rsid w:val="007E64E6"/>
    <w:rsid w:val="007F0AE6"/>
    <w:rsid w:val="007F156A"/>
    <w:rsid w:val="007F2628"/>
    <w:rsid w:val="007F2FBA"/>
    <w:rsid w:val="007F66CC"/>
    <w:rsid w:val="00800C3A"/>
    <w:rsid w:val="008014CF"/>
    <w:rsid w:val="00801513"/>
    <w:rsid w:val="0080570B"/>
    <w:rsid w:val="008148E1"/>
    <w:rsid w:val="008204E5"/>
    <w:rsid w:val="00822B33"/>
    <w:rsid w:val="00823BAE"/>
    <w:rsid w:val="00825CA3"/>
    <w:rsid w:val="008319BF"/>
    <w:rsid w:val="008403E3"/>
    <w:rsid w:val="008415F0"/>
    <w:rsid w:val="008433C2"/>
    <w:rsid w:val="00844457"/>
    <w:rsid w:val="008454C8"/>
    <w:rsid w:val="0084657C"/>
    <w:rsid w:val="00851D78"/>
    <w:rsid w:val="00852D8A"/>
    <w:rsid w:val="0087122A"/>
    <w:rsid w:val="00883383"/>
    <w:rsid w:val="00894F96"/>
    <w:rsid w:val="00895E7A"/>
    <w:rsid w:val="008A016F"/>
    <w:rsid w:val="008A1A0D"/>
    <w:rsid w:val="008A27A7"/>
    <w:rsid w:val="008A3E21"/>
    <w:rsid w:val="008A4EE2"/>
    <w:rsid w:val="008A6659"/>
    <w:rsid w:val="008A72E1"/>
    <w:rsid w:val="008A7632"/>
    <w:rsid w:val="008A76ED"/>
    <w:rsid w:val="008B3C72"/>
    <w:rsid w:val="008B3E43"/>
    <w:rsid w:val="008B44A7"/>
    <w:rsid w:val="008B4523"/>
    <w:rsid w:val="008C06F2"/>
    <w:rsid w:val="008C5A78"/>
    <w:rsid w:val="008C5FED"/>
    <w:rsid w:val="008D0A52"/>
    <w:rsid w:val="008D0E09"/>
    <w:rsid w:val="008D17D8"/>
    <w:rsid w:val="008D1EB2"/>
    <w:rsid w:val="008E4918"/>
    <w:rsid w:val="008F12CC"/>
    <w:rsid w:val="008F29F6"/>
    <w:rsid w:val="00903007"/>
    <w:rsid w:val="00911CF3"/>
    <w:rsid w:val="0092204E"/>
    <w:rsid w:val="00923816"/>
    <w:rsid w:val="00925197"/>
    <w:rsid w:val="0092727B"/>
    <w:rsid w:val="009279A8"/>
    <w:rsid w:val="0093074B"/>
    <w:rsid w:val="00930E64"/>
    <w:rsid w:val="009320A2"/>
    <w:rsid w:val="009422C5"/>
    <w:rsid w:val="00943CF9"/>
    <w:rsid w:val="00956F8C"/>
    <w:rsid w:val="00961D57"/>
    <w:rsid w:val="00971B25"/>
    <w:rsid w:val="00972DD0"/>
    <w:rsid w:val="0097603F"/>
    <w:rsid w:val="00976716"/>
    <w:rsid w:val="0097693B"/>
    <w:rsid w:val="009837C5"/>
    <w:rsid w:val="00986696"/>
    <w:rsid w:val="00986B5A"/>
    <w:rsid w:val="00993355"/>
    <w:rsid w:val="009963F7"/>
    <w:rsid w:val="00997B99"/>
    <w:rsid w:val="009A064B"/>
    <w:rsid w:val="009A11CB"/>
    <w:rsid w:val="009A4A6D"/>
    <w:rsid w:val="009B2362"/>
    <w:rsid w:val="009B44DD"/>
    <w:rsid w:val="009B7E42"/>
    <w:rsid w:val="009C7235"/>
    <w:rsid w:val="009D46CE"/>
    <w:rsid w:val="009D4ADA"/>
    <w:rsid w:val="009D5F0E"/>
    <w:rsid w:val="009E13DD"/>
    <w:rsid w:val="009E6945"/>
    <w:rsid w:val="009F3F91"/>
    <w:rsid w:val="009F547A"/>
    <w:rsid w:val="00A00DB6"/>
    <w:rsid w:val="00A00FFB"/>
    <w:rsid w:val="00A034C0"/>
    <w:rsid w:val="00A03D78"/>
    <w:rsid w:val="00A0503B"/>
    <w:rsid w:val="00A059CD"/>
    <w:rsid w:val="00A078D8"/>
    <w:rsid w:val="00A13265"/>
    <w:rsid w:val="00A1484F"/>
    <w:rsid w:val="00A14900"/>
    <w:rsid w:val="00A2159F"/>
    <w:rsid w:val="00A23C16"/>
    <w:rsid w:val="00A263E5"/>
    <w:rsid w:val="00A324FF"/>
    <w:rsid w:val="00A359BA"/>
    <w:rsid w:val="00A3740D"/>
    <w:rsid w:val="00A529BC"/>
    <w:rsid w:val="00A5346C"/>
    <w:rsid w:val="00A53F51"/>
    <w:rsid w:val="00A540B3"/>
    <w:rsid w:val="00A5413A"/>
    <w:rsid w:val="00A562F0"/>
    <w:rsid w:val="00A564FB"/>
    <w:rsid w:val="00A614C1"/>
    <w:rsid w:val="00A61EA6"/>
    <w:rsid w:val="00A657BF"/>
    <w:rsid w:val="00A66DE9"/>
    <w:rsid w:val="00A71136"/>
    <w:rsid w:val="00A7677A"/>
    <w:rsid w:val="00A81E23"/>
    <w:rsid w:val="00A92578"/>
    <w:rsid w:val="00AA323E"/>
    <w:rsid w:val="00AA474C"/>
    <w:rsid w:val="00AA4EA2"/>
    <w:rsid w:val="00AB33E4"/>
    <w:rsid w:val="00AC1061"/>
    <w:rsid w:val="00AC2ED5"/>
    <w:rsid w:val="00AC35EF"/>
    <w:rsid w:val="00AC4D5B"/>
    <w:rsid w:val="00AD1DDB"/>
    <w:rsid w:val="00AD2697"/>
    <w:rsid w:val="00AD2DF5"/>
    <w:rsid w:val="00AD7E5F"/>
    <w:rsid w:val="00AE3066"/>
    <w:rsid w:val="00AE79A6"/>
    <w:rsid w:val="00AF1F61"/>
    <w:rsid w:val="00AF45C3"/>
    <w:rsid w:val="00AF4F69"/>
    <w:rsid w:val="00AF68E4"/>
    <w:rsid w:val="00B00A87"/>
    <w:rsid w:val="00B01684"/>
    <w:rsid w:val="00B01AA1"/>
    <w:rsid w:val="00B06025"/>
    <w:rsid w:val="00B1065A"/>
    <w:rsid w:val="00B23CE5"/>
    <w:rsid w:val="00B30C81"/>
    <w:rsid w:val="00B30DA1"/>
    <w:rsid w:val="00B37C22"/>
    <w:rsid w:val="00B40853"/>
    <w:rsid w:val="00B42BC6"/>
    <w:rsid w:val="00B47127"/>
    <w:rsid w:val="00B4793B"/>
    <w:rsid w:val="00B56099"/>
    <w:rsid w:val="00B64A60"/>
    <w:rsid w:val="00B661AC"/>
    <w:rsid w:val="00B7406E"/>
    <w:rsid w:val="00B75650"/>
    <w:rsid w:val="00B75A1E"/>
    <w:rsid w:val="00B80ED3"/>
    <w:rsid w:val="00B81B4F"/>
    <w:rsid w:val="00B81F8C"/>
    <w:rsid w:val="00B822AF"/>
    <w:rsid w:val="00B8468D"/>
    <w:rsid w:val="00B8680E"/>
    <w:rsid w:val="00B918D2"/>
    <w:rsid w:val="00B937D7"/>
    <w:rsid w:val="00B93D6A"/>
    <w:rsid w:val="00B9540E"/>
    <w:rsid w:val="00B96B67"/>
    <w:rsid w:val="00BB0EA4"/>
    <w:rsid w:val="00BB40B9"/>
    <w:rsid w:val="00BB55F3"/>
    <w:rsid w:val="00BC57EF"/>
    <w:rsid w:val="00BC5ACC"/>
    <w:rsid w:val="00BC5C9C"/>
    <w:rsid w:val="00BC62C7"/>
    <w:rsid w:val="00BC69DB"/>
    <w:rsid w:val="00BC75A8"/>
    <w:rsid w:val="00BE19CC"/>
    <w:rsid w:val="00BE5007"/>
    <w:rsid w:val="00BE6B6B"/>
    <w:rsid w:val="00BF0BD0"/>
    <w:rsid w:val="00BF1229"/>
    <w:rsid w:val="00BF12AD"/>
    <w:rsid w:val="00BF1BC2"/>
    <w:rsid w:val="00BF25F9"/>
    <w:rsid w:val="00BF55A5"/>
    <w:rsid w:val="00C00B04"/>
    <w:rsid w:val="00C011DF"/>
    <w:rsid w:val="00C072FC"/>
    <w:rsid w:val="00C079FA"/>
    <w:rsid w:val="00C13FD5"/>
    <w:rsid w:val="00C15633"/>
    <w:rsid w:val="00C15799"/>
    <w:rsid w:val="00C1725D"/>
    <w:rsid w:val="00C22A95"/>
    <w:rsid w:val="00C24B65"/>
    <w:rsid w:val="00C26530"/>
    <w:rsid w:val="00C269FD"/>
    <w:rsid w:val="00C27C2C"/>
    <w:rsid w:val="00C31F13"/>
    <w:rsid w:val="00C32E84"/>
    <w:rsid w:val="00C35415"/>
    <w:rsid w:val="00C357AD"/>
    <w:rsid w:val="00C35951"/>
    <w:rsid w:val="00C437AA"/>
    <w:rsid w:val="00C459FA"/>
    <w:rsid w:val="00C45D4C"/>
    <w:rsid w:val="00C46F24"/>
    <w:rsid w:val="00C516C7"/>
    <w:rsid w:val="00C51C5F"/>
    <w:rsid w:val="00C5271A"/>
    <w:rsid w:val="00C554CC"/>
    <w:rsid w:val="00C55D4C"/>
    <w:rsid w:val="00C5688F"/>
    <w:rsid w:val="00C6069C"/>
    <w:rsid w:val="00C67253"/>
    <w:rsid w:val="00C70477"/>
    <w:rsid w:val="00C72AD4"/>
    <w:rsid w:val="00C73E31"/>
    <w:rsid w:val="00C74745"/>
    <w:rsid w:val="00C81E04"/>
    <w:rsid w:val="00C85119"/>
    <w:rsid w:val="00C95C48"/>
    <w:rsid w:val="00C97143"/>
    <w:rsid w:val="00CA0F79"/>
    <w:rsid w:val="00CA41E7"/>
    <w:rsid w:val="00CA7B98"/>
    <w:rsid w:val="00CB011E"/>
    <w:rsid w:val="00CB77BB"/>
    <w:rsid w:val="00CD170C"/>
    <w:rsid w:val="00CD320B"/>
    <w:rsid w:val="00CD3F37"/>
    <w:rsid w:val="00CD5431"/>
    <w:rsid w:val="00CE0237"/>
    <w:rsid w:val="00CE16EA"/>
    <w:rsid w:val="00CE3CA9"/>
    <w:rsid w:val="00CE4B93"/>
    <w:rsid w:val="00CE57BB"/>
    <w:rsid w:val="00CE7827"/>
    <w:rsid w:val="00CF2491"/>
    <w:rsid w:val="00CF3963"/>
    <w:rsid w:val="00D01304"/>
    <w:rsid w:val="00D01AAF"/>
    <w:rsid w:val="00D073C8"/>
    <w:rsid w:val="00D1252E"/>
    <w:rsid w:val="00D137DC"/>
    <w:rsid w:val="00D13D83"/>
    <w:rsid w:val="00D13D9D"/>
    <w:rsid w:val="00D14AFE"/>
    <w:rsid w:val="00D1772E"/>
    <w:rsid w:val="00D23BD1"/>
    <w:rsid w:val="00D25CD5"/>
    <w:rsid w:val="00D304CC"/>
    <w:rsid w:val="00D306D9"/>
    <w:rsid w:val="00D32941"/>
    <w:rsid w:val="00D34FF8"/>
    <w:rsid w:val="00D3742A"/>
    <w:rsid w:val="00D40AA4"/>
    <w:rsid w:val="00D40C54"/>
    <w:rsid w:val="00D416A3"/>
    <w:rsid w:val="00D425FC"/>
    <w:rsid w:val="00D43F83"/>
    <w:rsid w:val="00D459A2"/>
    <w:rsid w:val="00D45E54"/>
    <w:rsid w:val="00D52E0D"/>
    <w:rsid w:val="00D530FF"/>
    <w:rsid w:val="00D53688"/>
    <w:rsid w:val="00D5407A"/>
    <w:rsid w:val="00D57772"/>
    <w:rsid w:val="00D63085"/>
    <w:rsid w:val="00D66B27"/>
    <w:rsid w:val="00D72AE3"/>
    <w:rsid w:val="00D737F5"/>
    <w:rsid w:val="00D75A4D"/>
    <w:rsid w:val="00D8478B"/>
    <w:rsid w:val="00D86151"/>
    <w:rsid w:val="00D9172D"/>
    <w:rsid w:val="00D91C33"/>
    <w:rsid w:val="00D92077"/>
    <w:rsid w:val="00D92F9E"/>
    <w:rsid w:val="00D97E84"/>
    <w:rsid w:val="00DA21DC"/>
    <w:rsid w:val="00DA5641"/>
    <w:rsid w:val="00DA7595"/>
    <w:rsid w:val="00DB0A68"/>
    <w:rsid w:val="00DC3222"/>
    <w:rsid w:val="00DC43A3"/>
    <w:rsid w:val="00DC4CF3"/>
    <w:rsid w:val="00DC5C01"/>
    <w:rsid w:val="00DC7785"/>
    <w:rsid w:val="00DD7C09"/>
    <w:rsid w:val="00DE56D9"/>
    <w:rsid w:val="00DF0EB4"/>
    <w:rsid w:val="00DF111E"/>
    <w:rsid w:val="00DF2DF1"/>
    <w:rsid w:val="00DF5995"/>
    <w:rsid w:val="00E0124F"/>
    <w:rsid w:val="00E01CA2"/>
    <w:rsid w:val="00E037D1"/>
    <w:rsid w:val="00E137F1"/>
    <w:rsid w:val="00E14026"/>
    <w:rsid w:val="00E227A3"/>
    <w:rsid w:val="00E26B16"/>
    <w:rsid w:val="00E35076"/>
    <w:rsid w:val="00E3663E"/>
    <w:rsid w:val="00E40D09"/>
    <w:rsid w:val="00E43561"/>
    <w:rsid w:val="00E47D99"/>
    <w:rsid w:val="00E55BFF"/>
    <w:rsid w:val="00E5762A"/>
    <w:rsid w:val="00E61FC4"/>
    <w:rsid w:val="00E65E4B"/>
    <w:rsid w:val="00E674D3"/>
    <w:rsid w:val="00E70FD0"/>
    <w:rsid w:val="00E72B2C"/>
    <w:rsid w:val="00E7309D"/>
    <w:rsid w:val="00E77C4B"/>
    <w:rsid w:val="00E8010C"/>
    <w:rsid w:val="00E82E0F"/>
    <w:rsid w:val="00E83D02"/>
    <w:rsid w:val="00E87B3D"/>
    <w:rsid w:val="00E87FE7"/>
    <w:rsid w:val="00E9301F"/>
    <w:rsid w:val="00E931B5"/>
    <w:rsid w:val="00E9690A"/>
    <w:rsid w:val="00E97DC7"/>
    <w:rsid w:val="00EA5422"/>
    <w:rsid w:val="00EB0660"/>
    <w:rsid w:val="00EB0A96"/>
    <w:rsid w:val="00EB53ED"/>
    <w:rsid w:val="00EC0D32"/>
    <w:rsid w:val="00EC0DF5"/>
    <w:rsid w:val="00ED52FE"/>
    <w:rsid w:val="00ED5BB5"/>
    <w:rsid w:val="00EE04C5"/>
    <w:rsid w:val="00EE5BB7"/>
    <w:rsid w:val="00EE72CC"/>
    <w:rsid w:val="00EF1C5A"/>
    <w:rsid w:val="00F000EF"/>
    <w:rsid w:val="00F146BB"/>
    <w:rsid w:val="00F171F5"/>
    <w:rsid w:val="00F23729"/>
    <w:rsid w:val="00F23CD1"/>
    <w:rsid w:val="00F2504E"/>
    <w:rsid w:val="00F2585B"/>
    <w:rsid w:val="00F4053F"/>
    <w:rsid w:val="00F4551A"/>
    <w:rsid w:val="00F461F2"/>
    <w:rsid w:val="00F516E7"/>
    <w:rsid w:val="00F5286E"/>
    <w:rsid w:val="00F55CE8"/>
    <w:rsid w:val="00F57BF7"/>
    <w:rsid w:val="00F6263E"/>
    <w:rsid w:val="00F627C2"/>
    <w:rsid w:val="00F63A3A"/>
    <w:rsid w:val="00F70C0C"/>
    <w:rsid w:val="00F736FD"/>
    <w:rsid w:val="00F809E3"/>
    <w:rsid w:val="00F84067"/>
    <w:rsid w:val="00F846B7"/>
    <w:rsid w:val="00F956E5"/>
    <w:rsid w:val="00F96FE9"/>
    <w:rsid w:val="00FA23AA"/>
    <w:rsid w:val="00FA38CD"/>
    <w:rsid w:val="00FA50B4"/>
    <w:rsid w:val="00FA791D"/>
    <w:rsid w:val="00FB0BF5"/>
    <w:rsid w:val="00FB4D1E"/>
    <w:rsid w:val="00FB6E83"/>
    <w:rsid w:val="00FC156A"/>
    <w:rsid w:val="00FC40AA"/>
    <w:rsid w:val="00FC6A43"/>
    <w:rsid w:val="00FD1BD9"/>
    <w:rsid w:val="00FD3995"/>
    <w:rsid w:val="00FD3D06"/>
    <w:rsid w:val="00FD6235"/>
    <w:rsid w:val="00FE13D1"/>
    <w:rsid w:val="00FE3DE5"/>
    <w:rsid w:val="00FE5B8C"/>
    <w:rsid w:val="00FF4C74"/>
    <w:rsid w:val="00FF7C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11E"/>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qFormat/>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UnresolvedMention1">
    <w:name w:val="Unresolved Mention1"/>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locked/>
    <w:rsid w:val="003B38AE"/>
    <w:rPr>
      <w:rFonts w:eastAsia="BatangChe"/>
      <w:sz w:val="24"/>
      <w:szCs w:val="24"/>
    </w:rPr>
  </w:style>
  <w:style w:type="paragraph" w:customStyle="1" w:styleId="Tabletext">
    <w:name w:val="Table_text"/>
    <w:basedOn w:val="Normal"/>
    <w:link w:val="TabletextChar"/>
    <w:rsid w:val="001050A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Batang" w:hAnsi="Calibri" w:cs="Calibri"/>
      <w:sz w:val="20"/>
      <w:szCs w:val="22"/>
      <w:lang w:eastAsia="nl-NL"/>
    </w:rPr>
  </w:style>
  <w:style w:type="character" w:customStyle="1" w:styleId="TabletextChar">
    <w:name w:val="Table_text Char"/>
    <w:basedOn w:val="DefaultParagraphFont"/>
    <w:link w:val="Tabletext"/>
    <w:locked/>
    <w:rsid w:val="001050A7"/>
    <w:rPr>
      <w:rFonts w:ascii="Calibri" w:hAnsi="Calibri" w:cs="Calibri"/>
      <w:szCs w:val="22"/>
      <w:lang w:eastAsia="nl-NL"/>
    </w:rPr>
  </w:style>
  <w:style w:type="paragraph" w:customStyle="1" w:styleId="enumlev1">
    <w:name w:val="enumlev1"/>
    <w:basedOn w:val="Normal"/>
    <w:link w:val="enumlev1Char"/>
    <w:qFormat/>
    <w:rsid w:val="006564F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6564FF"/>
    <w:rPr>
      <w:rFonts w:eastAsia="MS Mincho"/>
      <w:sz w:val="24"/>
      <w:lang w:val="en-GB"/>
    </w:rPr>
  </w:style>
  <w:style w:type="character" w:styleId="FollowedHyperlink">
    <w:name w:val="FollowedHyperlink"/>
    <w:basedOn w:val="DefaultParagraphFont"/>
    <w:semiHidden/>
    <w:unhideWhenUsed/>
    <w:rsid w:val="00E87B3D"/>
    <w:rPr>
      <w:color w:val="800080" w:themeColor="followedHyperlink"/>
      <w:u w:val="single"/>
    </w:rPr>
  </w:style>
  <w:style w:type="paragraph" w:styleId="NormalWeb">
    <w:name w:val="Normal (Web)"/>
    <w:basedOn w:val="Normal"/>
    <w:uiPriority w:val="99"/>
    <w:unhideWhenUsed/>
    <w:rsid w:val="006E581A"/>
    <w:pPr>
      <w:spacing w:before="100" w:beforeAutospacing="1" w:after="100" w:afterAutospacing="1"/>
    </w:pPr>
    <w:rPr>
      <w:rFonts w:eastAsia="Times New Roman"/>
    </w:rPr>
  </w:style>
  <w:style w:type="character" w:customStyle="1" w:styleId="Heading8Char">
    <w:name w:val="Heading 8 Char"/>
    <w:basedOn w:val="DefaultParagraphFont"/>
    <w:link w:val="Heading8"/>
    <w:rsid w:val="00D737F5"/>
    <w:rPr>
      <w:rFonts w:eastAsia="BatangChe"/>
      <w:b/>
      <w:bCs/>
      <w:kern w:val="2"/>
      <w:lang w:eastAsia="ko-KR"/>
    </w:rPr>
  </w:style>
  <w:style w:type="character" w:customStyle="1" w:styleId="UnresolvedMention2">
    <w:name w:val="Unresolved Mention2"/>
    <w:basedOn w:val="DefaultParagraphFont"/>
    <w:uiPriority w:val="99"/>
    <w:semiHidden/>
    <w:unhideWhenUsed/>
    <w:rsid w:val="00F5286E"/>
    <w:rPr>
      <w:color w:val="605E5C"/>
      <w:shd w:val="clear" w:color="auto" w:fill="E1DFDD"/>
    </w:rPr>
  </w:style>
  <w:style w:type="paragraph" w:styleId="Revision">
    <w:name w:val="Revision"/>
    <w:hidden/>
    <w:uiPriority w:val="99"/>
    <w:semiHidden/>
    <w:rsid w:val="00F55CE8"/>
    <w:rPr>
      <w:rFonts w:eastAsia="BatangChe"/>
      <w:sz w:val="24"/>
      <w:szCs w:val="24"/>
    </w:rPr>
  </w:style>
  <w:style w:type="character" w:styleId="LineNumber">
    <w:name w:val="line number"/>
    <w:basedOn w:val="DefaultParagraphFont"/>
    <w:semiHidden/>
    <w:unhideWhenUsed/>
    <w:rsid w:val="0003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7076">
      <w:bodyDiv w:val="1"/>
      <w:marLeft w:val="0"/>
      <w:marRight w:val="0"/>
      <w:marTop w:val="0"/>
      <w:marBottom w:val="0"/>
      <w:divBdr>
        <w:top w:val="none" w:sz="0" w:space="0" w:color="auto"/>
        <w:left w:val="none" w:sz="0" w:space="0" w:color="auto"/>
        <w:bottom w:val="none" w:sz="0" w:space="0" w:color="auto"/>
        <w:right w:val="none" w:sz="0" w:space="0" w:color="auto"/>
      </w:divBdr>
      <w:divsChild>
        <w:div w:id="158233182">
          <w:marLeft w:val="446"/>
          <w:marRight w:val="0"/>
          <w:marTop w:val="0"/>
          <w:marBottom w:val="0"/>
          <w:divBdr>
            <w:top w:val="none" w:sz="0" w:space="0" w:color="auto"/>
            <w:left w:val="none" w:sz="0" w:space="0" w:color="auto"/>
            <w:bottom w:val="none" w:sz="0" w:space="0" w:color="auto"/>
            <w:right w:val="none" w:sz="0" w:space="0" w:color="auto"/>
          </w:divBdr>
        </w:div>
        <w:div w:id="7055705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t.int/sites/default/files/2022/08/APG23-4-INP-51_NZL_WP1_Preliminary_Views_on_WRC-23_Agenda_Items_1.1_1.2_1.3_1.5_9.1_Topic_c_and_No.21.5.docx" TargetMode="External"/><Relationship Id="rId21" Type="http://schemas.openxmlformats.org/officeDocument/2006/relationships/hyperlink" Target="https://www.apt.int/sites/default/files/2021/11/APG23-3-INP-51_VTN_WP1_PV_1.1_1.2_1.3_1.4_1.5.docx" TargetMode="External"/><Relationship Id="rId42" Type="http://schemas.openxmlformats.org/officeDocument/2006/relationships/hyperlink" Target="https://www.apt.int/sites/default/files/2021/04/APG23-2-INF-36_RCC_Preparation_to_the_World_Radio_Conference_and_Radio_Assembly_2023.docx" TargetMode="External"/><Relationship Id="rId47" Type="http://schemas.openxmlformats.org/officeDocument/2006/relationships/hyperlink" Target="https://www.apt.int/sites/default/files/2021/11/APG23-3-INF-37_ASMG_Preparation_for_WRC-23.pdf" TargetMode="External"/><Relationship Id="rId63" Type="http://schemas.openxmlformats.org/officeDocument/2006/relationships/hyperlink" Target="https://www.apt.int/sites/default/files/2023/02/APG23-5-INF-43_CITEL_preparation_for_WRC-23.pdf" TargetMode="External"/><Relationship Id="rId68" Type="http://schemas.openxmlformats.org/officeDocument/2006/relationships/hyperlink" Target="https://www.apt.int/sites/default/files/2023/02/APG23-5-INP-52_Viet_Nam-WP1-Preliminary_Views_on_WRC-23_Agenda_Items_1.1_1.2_1.3_1.4_and_1.5.docx" TargetMode="External"/><Relationship Id="rId84" Type="http://schemas.openxmlformats.org/officeDocument/2006/relationships/footer" Target="footer2.xml"/><Relationship Id="rId16" Type="http://schemas.openxmlformats.org/officeDocument/2006/relationships/hyperlink" Target="https://www.apt.int/sites/default/files/2021/04/APG23-2-INP-53_LS_from_AWG.docx" TargetMode="External"/><Relationship Id="rId11" Type="http://schemas.openxmlformats.org/officeDocument/2006/relationships/hyperlink" Target="https://www.itu.int/dms_ties/itu-r/md/19/tg6.1/c/R19-TG6.1-C-0130!N02!MSW-E.docx" TargetMode="External"/><Relationship Id="rId32" Type="http://schemas.openxmlformats.org/officeDocument/2006/relationships/hyperlink" Target="https://www.apt.int/sites/default/files/2023/02/APG23-5-INP-36_Iran-WP1-Preliminary_Views_on_WRC_23_Agenda_Items_1.1_1.2_1.3_1.4_1.5_and_9.1Topic_c.docx" TargetMode="External"/><Relationship Id="rId37" Type="http://schemas.openxmlformats.org/officeDocument/2006/relationships/hyperlink" Target="https://www.apt.int/sites/default/files/2023/02/APG23-5-INP-105_Samoa_AI1.5.docx" TargetMode="External"/><Relationship Id="rId53" Type="http://schemas.openxmlformats.org/officeDocument/2006/relationships/hyperlink" Target="https://www.apt.int/sites/default/files/2022/08/APG23-4-INF-28_CITEL_Preparation_for_WRC-23.pdf" TargetMode="External"/><Relationship Id="rId58" Type="http://schemas.openxmlformats.org/officeDocument/2006/relationships/hyperlink" Target="https://www.apt.int/sites/default/files/2023/01/APG23-5-INF-01_WMO_Position_on_WRC-23_Agenda.docx" TargetMode="External"/><Relationship Id="rId74" Type="http://schemas.openxmlformats.org/officeDocument/2006/relationships/hyperlink" Target="https://www.apt.int/sites/default/files/2022/07/APG23-4-INF-02_ATU_preparation.docx" TargetMode="External"/><Relationship Id="rId79" Type="http://schemas.openxmlformats.org/officeDocument/2006/relationships/hyperlink" Target="https://www.apt.int/sites/default/files/2023/01/APG23-5-INF-01_WMO_Position_on_WRC-23_Agenda.docx" TargetMode="External"/><Relationship Id="rId5" Type="http://schemas.openxmlformats.org/officeDocument/2006/relationships/webSettings" Target="webSettings.xml"/><Relationship Id="rId19" Type="http://schemas.openxmlformats.org/officeDocument/2006/relationships/hyperlink" Target="https://www.apt.int/sites/default/files/2021/11/APG23-3-INP-40_Samoa_-_WRC-23_Agenda_Item_1.5.docx" TargetMode="External"/><Relationship Id="rId14" Type="http://schemas.openxmlformats.org/officeDocument/2006/relationships/hyperlink" Target="https://www.apt.int/sites/default/files/2021/04/APG23-2-INP-24_AUS_contribution_for_WP1_Preliminary_Views_on_WRC-23_Agenda_Items_1.1_1.2_1.3_1.4_1.5_9.1Topic_c_and_No._21.5.docx" TargetMode="External"/><Relationship Id="rId22" Type="http://schemas.openxmlformats.org/officeDocument/2006/relationships/hyperlink" Target="https://www.apt.int/sites/default/files/2022/08/APG23-4-INP-07_J-1_WP1_Preliminary_Views_on_WRC-23_Agenda_Items_1.1_1.2_1.3_1.4_1.5_9.1.C_and_RR_No.21.5.docx" TargetMode="External"/><Relationship Id="rId27" Type="http://schemas.openxmlformats.org/officeDocument/2006/relationships/hyperlink" Target="https://www.apt.int/sites/default/files/2022/08/APG23-4-INP-59_Samoa_WP1_Preliminary_Views_on_WRC-23_Agenda_Items_1.2_1.5_and_9.1Topic_c.docx" TargetMode="External"/><Relationship Id="rId30" Type="http://schemas.openxmlformats.org/officeDocument/2006/relationships/hyperlink" Target="https://www.apt.int/sites/default/files/2023/02/APG23-5-INP-14_Japan-WP1-Preliminary_Views_on_WRC-23_Agenda_Items_1.1_1.2_1.3_1.4_1.5_9.1C_and_RR_NO.21.5.docx" TargetMode="External"/><Relationship Id="rId35" Type="http://schemas.openxmlformats.org/officeDocument/2006/relationships/hyperlink" Target="https://www.apt.int/sites/default/files/2023/02/APG23-5-INP-73Rev.1_New_Zealand-WP1-Preliminary_Views_on_WRC-23_Agenda_Items_1.1_1.2_1.3_1.5_9.1Topic_c_and_RR_No._21.5.docx" TargetMode="External"/><Relationship Id="rId43" Type="http://schemas.openxmlformats.org/officeDocument/2006/relationships/hyperlink" Target="https://www.apt.int/sites/default/files/2021/10/APG23-3-INF-01_Preliminary_WMO_Position_on_WRC-23_Agenda.docx" TargetMode="External"/><Relationship Id="rId48" Type="http://schemas.openxmlformats.org/officeDocument/2006/relationships/hyperlink" Target="https://www.apt.int/sites/default/files/2021/11/APG23-3-INF-39_Report_of_APM23-2.docx" TargetMode="External"/><Relationship Id="rId56" Type="http://schemas.openxmlformats.org/officeDocument/2006/relationships/hyperlink" Target="https://www.apt.int/sites/default/files/2022/08/APG23-4-INF-44_Status_of_RCC_preparation_to_the_World_Radio_Conference_and_Radio_Assembly_2023.pdf" TargetMode="External"/><Relationship Id="rId64" Type="http://schemas.openxmlformats.org/officeDocument/2006/relationships/hyperlink" Target="https://www.apt.int/sites/default/files/2023/02/APG23-5-INF-45_Status_of_RCC_preparation_to_the_WRC-23.pdf" TargetMode="External"/><Relationship Id="rId69" Type="http://schemas.openxmlformats.org/officeDocument/2006/relationships/hyperlink" Target="https://www.apt.int/sites/default/files/2023/02/APG23-5-INP-56_Australia-WP1-Preliminary_Views_on_WRC-23_Agenda_Items_1.1_1.2_1.3_1.4_1.5_9.1Topic_c_and_RR_No.21.5.docx" TargetMode="External"/><Relationship Id="rId77" Type="http://schemas.openxmlformats.org/officeDocument/2006/relationships/hyperlink" Target="https://www.apt.int/sites/default/files/2023/02/APG23-5-INF-45_Status_of_RCC_preparation_to_the_WRC-23.pdf" TargetMode="External"/><Relationship Id="rId8" Type="http://schemas.openxmlformats.org/officeDocument/2006/relationships/image" Target="media/image1.jpeg"/><Relationship Id="rId51" Type="http://schemas.openxmlformats.org/officeDocument/2006/relationships/hyperlink" Target="https://www.apt.int/sites/default/files/2022/08/APG23-4-INF-17_Brief_on_AI1.5.docx" TargetMode="External"/><Relationship Id="rId72" Type="http://schemas.openxmlformats.org/officeDocument/2006/relationships/hyperlink" Target="https://www.apt.int/sites/default/files/2023/02/APG23-5-INP-105_Samoa_AI1.5.docx" TargetMode="External"/><Relationship Id="rId80" Type="http://schemas.openxmlformats.org/officeDocument/2006/relationships/hyperlink" Target="https://www.apt.int/sites/default/files/2021/10/APG23-3-INF-15_ICAO-Position_for_ITU_WRC-23.docx"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dms_ties/itu-r/md/19/tg6.1/c/R19-TG6.1-C-0130!N03!MSW-E.docx" TargetMode="External"/><Relationship Id="rId17" Type="http://schemas.openxmlformats.org/officeDocument/2006/relationships/hyperlink" Target="https://www.apt.int/sites/default/files/2021/10/APG23-3-INP-07_AUS_contribution_for_WP1_Preliminary_Views_on_WRC-23_Agenda_Items_1.1_1.2_1.3_1.4_1.5_9.1Topic_c_and_No._21.5_v2.docx" TargetMode="External"/><Relationship Id="rId25" Type="http://schemas.openxmlformats.org/officeDocument/2006/relationships/hyperlink" Target="https://www.apt.int/sites/default/files/2022/08/APG23-4-INP-40_China_WP1_Preliminary_Views_on_WRC-23_Agenda_Items_1.1_1.2_1.3_1.4_1.5_9.1Topic_c_and_No.21.5.docx" TargetMode="External"/><Relationship Id="rId33" Type="http://schemas.openxmlformats.org/officeDocument/2006/relationships/hyperlink" Target="https://www.apt.int/sites/default/files/2023/02/APG23-5-INP-52_Viet_Nam-WP1-Preliminary_Views_on_WRC-23_Agenda_Items_1.1_1.2_1.3_1.4_and_1.5.docx" TargetMode="External"/><Relationship Id="rId38" Type="http://schemas.openxmlformats.org/officeDocument/2006/relationships/hyperlink" Target="https://www.apt.int/sites/default/files/2021/03/APG23-2-INF-12_Briefing_on_AI1.5.docx" TargetMode="External"/><Relationship Id="rId46" Type="http://schemas.openxmlformats.org/officeDocument/2006/relationships/hyperlink" Target="https://www.apt.int/sites/default/files/2021/11/APG23-3-INF-22_Briefing_on_AI1.5-clean.docx" TargetMode="External"/><Relationship Id="rId59" Type="http://schemas.openxmlformats.org/officeDocument/2006/relationships/hyperlink" Target="https://www.apt.int/sites/default/files/2023/02/APG23-5-INF-21_IARU_Views_on_WRC-23_Agenda_Items_1.2_1.12_1.14_1.18_and_9.1Topics_a_and_b.docx" TargetMode="External"/><Relationship Id="rId67" Type="http://schemas.openxmlformats.org/officeDocument/2006/relationships/hyperlink" Target="https://www.apt.int/sites/default/files/2023/02/APG23-5-INP-36_Iran-WP1-Preliminary_Views_on_WRC_23_Agenda_Items_1.1_1.2_1.3_1.4_1.5_and_9.1Topic_c.docx" TargetMode="External"/><Relationship Id="rId20" Type="http://schemas.openxmlformats.org/officeDocument/2006/relationships/hyperlink" Target="https://www.apt.int/sites/default/files/2021/11/APG23-3-INP-46_Iran-AI1.2_1.3_1.4_1.5_9.1c.docx" TargetMode="External"/><Relationship Id="rId41" Type="http://schemas.openxmlformats.org/officeDocument/2006/relationships/hyperlink" Target="https://www.apt.int/sites/default/files/2021/04/APG23-2-INF-34_CITEL_Preparation_for_WRC23_april_2021_revfinal.docx" TargetMode="External"/><Relationship Id="rId54" Type="http://schemas.openxmlformats.org/officeDocument/2006/relationships/hyperlink" Target="https://www.apt.int/sites/default/files/2022/08/APG23-4-INF-30_Preliminary_Views_on_WRC-23_Agenda_Items_1.1_1.2_1.3_and_1.5.docx" TargetMode="External"/><Relationship Id="rId62" Type="http://schemas.openxmlformats.org/officeDocument/2006/relationships/hyperlink" Target="https://www.apt.int/sites/default/files/2023/02/APG23-5-INF-39_Status_of_CEPT_preparation_for_WRC-23_and_RA-23.pdf" TargetMode="External"/><Relationship Id="rId70" Type="http://schemas.openxmlformats.org/officeDocument/2006/relationships/hyperlink" Target="https://www.apt.int/sites/default/files/2023/02/APG23-5-INP-73Rev.1_New_Zealand-WP1-Preliminary_Views_on_WRC-23_Agenda_Items_1.1_1.2_1.3_1.5_9.1Topic_c_and_RR_No._21.5.docx" TargetMode="External"/><Relationship Id="rId75" Type="http://schemas.openxmlformats.org/officeDocument/2006/relationships/hyperlink" Target="https://www.apt.int/sites/default/files/2022/08/APG23-4-INF-21_ASMG_Preparation_for_WRC-23.pdf"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1/04/APG23-2-INP-50_VTN_WP1_PV_1.1_1.2_1.3_1.4_1.5.docx" TargetMode="External"/><Relationship Id="rId23" Type="http://schemas.openxmlformats.org/officeDocument/2006/relationships/hyperlink" Target="https://www.apt.int/sites/default/files/2022/08/APG23-4-INP-14_AUS_WP1_Preliminary_Views_on_WRC-23_Agenda_Items_1.1_1.2_1.3_1.4_1.5_9.1Topic_c_and_No21.5.docx" TargetMode="External"/><Relationship Id="rId28" Type="http://schemas.openxmlformats.org/officeDocument/2006/relationships/hyperlink" Target="https://www.apt.int/sites/default/files/2022/08/APG23-4-INP-61_India_WP1_Preliminary_Views_on_WRC-23_Agenda_Items_1.2_1.3_1.4_1.5_9.1Topic_c_and_No.21.5.docx" TargetMode="External"/><Relationship Id="rId36" Type="http://schemas.openxmlformats.org/officeDocument/2006/relationships/hyperlink" Target="https://www.apt.int/sites/default/files/2023/02/APG23-5-INP-88_China-WP1-Preliminary_Views_on_WRC-23_Agenda_Items_1.1_1.2_1.3_1.4_1.5_and_RR_No.21.5.docx" TargetMode="External"/><Relationship Id="rId49" Type="http://schemas.openxmlformats.org/officeDocument/2006/relationships/hyperlink" Target="https://www.apt.int/sites/default/files/2022/07/APG23-4-INF-02_ATU_preparation.docx" TargetMode="External"/><Relationship Id="rId57" Type="http://schemas.openxmlformats.org/officeDocument/2006/relationships/hyperlink" Target="https://www.apt.int/sites/default/files/2022/08/APG23-4-INF-48_Status_of_CEPT_preparation_for_WRC-23_and_RA-23.pdf" TargetMode="External"/><Relationship Id="rId10" Type="http://schemas.openxmlformats.org/officeDocument/2006/relationships/hyperlink" Target="https://www.itu.int/dms_ties/itu-r/md/19/tg6.1/c/R19-TG6.1-C-0130!N01!MSW-E.docx" TargetMode="External"/><Relationship Id="rId31" Type="http://schemas.openxmlformats.org/officeDocument/2006/relationships/hyperlink" Target="https://www.apt.int/sites/default/files/2023/02/APG23-5-INP-26_India_WP1-Preliminary_Views_on_WRC_23_Agenda_Items_1.2_1.3_1.4_1.5_9.1Topic_c_and_RR_No.21.5.docx" TargetMode="External"/><Relationship Id="rId44" Type="http://schemas.openxmlformats.org/officeDocument/2006/relationships/hyperlink" Target="https://www.apt.int/sites/default/files/2021/11/APG23-3-INF-18_GSMA_Views.docx" TargetMode="External"/><Relationship Id="rId52" Type="http://schemas.openxmlformats.org/officeDocument/2006/relationships/hyperlink" Target="https://www.apt.int/sites/default/files/2022/08/APG23-4-INF-21_ASMG_Preparation_for_WRC-23.pdf" TargetMode="External"/><Relationship Id="rId60" Type="http://schemas.openxmlformats.org/officeDocument/2006/relationships/hyperlink" Target="https://www.apt.int/sites/default/files/2023/02/APG23-5-INF-24_Views_on_WRC-23_for_mobile.docx" TargetMode="External"/><Relationship Id="rId65" Type="http://schemas.openxmlformats.org/officeDocument/2006/relationships/hyperlink" Target="https://www.apt.int/sites/default/files/2023/02/APG23-5-INP-14_Japan-WP1-Preliminary_Views_on_WRC-23_Agenda_Items_1.1_1.2_1.3_1.4_1.5_9.1C_and_RR_NO.21.5.docx" TargetMode="External"/><Relationship Id="rId73" Type="http://schemas.openxmlformats.org/officeDocument/2006/relationships/hyperlink" Target="https://www.itu.int/dms_ties/itu-r/md/19/tg6.1/c/R19-TG6.1-C-0130!N01!MSW-E.docx" TargetMode="External"/><Relationship Id="rId78" Type="http://schemas.openxmlformats.org/officeDocument/2006/relationships/hyperlink" Target="https://www.apt.int/sites/default/files/2023/02/APG23-5-INF-39_Status_of_CEPT_preparation_for_WRC-23_and_RA-23.pdf" TargetMode="External"/><Relationship Id="rId81" Type="http://schemas.openxmlformats.org/officeDocument/2006/relationships/hyperlink" Target="https://www.apt.int/sites/default/files/2023/02/APG23-5-INF-21_IARU_Views_on_WRC-23_Agenda_Items_1.2_1.12_1.14_1.18_and_9.1Topics_a_and_b.docx" TargetMode="Externa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dms_pub/itu-r/md/00/ca/cir/R00-CA-CIR-0251!!MSW-E.docx" TargetMode="External"/><Relationship Id="rId13" Type="http://schemas.openxmlformats.org/officeDocument/2006/relationships/hyperlink" Target="https://www.apt.int/sites/default/files/Upload-files/AWG/APT-AWG-REP-79_APT_Report_Arrangement_470-698_MHz.docx" TargetMode="External"/><Relationship Id="rId18" Type="http://schemas.openxmlformats.org/officeDocument/2006/relationships/hyperlink" Target="https://www.apt.int/sites/default/files/2021/11/APG23-3-INP-20_New_Zealand_input_to_WP1_AIs_1.1_1.2_1.3_1.5_9.1_Topic_C_Art._No_21.5.docx" TargetMode="External"/><Relationship Id="rId39" Type="http://schemas.openxmlformats.org/officeDocument/2006/relationships/hyperlink" Target="https://www.apt.int/sites/default/files/2021/04/APG23-2-INF-25_ASMG.docx" TargetMode="External"/><Relationship Id="rId34" Type="http://schemas.openxmlformats.org/officeDocument/2006/relationships/hyperlink" Target="https://www.apt.int/sites/default/files/2023/02/APG23-5-INP-56_Australia-WP1-Preliminary_Views_on_WRC-23_Agenda_Items_1.1_1.2_1.3_1.4_1.5_9.1Topic_c_and_RR_No.21.5.docx" TargetMode="External"/><Relationship Id="rId50" Type="http://schemas.openxmlformats.org/officeDocument/2006/relationships/hyperlink" Target="https://www.apt.int/sites/default/files/2022/07/APG23-4-INF-03_WMO_Positions.docx" TargetMode="External"/><Relationship Id="rId55" Type="http://schemas.openxmlformats.org/officeDocument/2006/relationships/hyperlink" Target="https://www.apt.int/sites/default/files/2022/08/APG23-4-INF-33_GSMA_views_on_WRC-23_Agenda_Items.docx" TargetMode="External"/><Relationship Id="rId76" Type="http://schemas.openxmlformats.org/officeDocument/2006/relationships/hyperlink" Target="https://www.apt.int/sites/default/files/2023/02/APG23-5-INF-43_CITEL_preparation_for_WRC-23.pdf" TargetMode="External"/><Relationship Id="rId7" Type="http://schemas.openxmlformats.org/officeDocument/2006/relationships/endnotes" Target="endnotes.xml"/><Relationship Id="rId71" Type="http://schemas.openxmlformats.org/officeDocument/2006/relationships/hyperlink" Target="https://www.apt.int/sites/default/files/2023/02/APG23-5-INP-88_China-WP1-Preliminary_Views_on_WRC-23_Agenda_Items_1.1_1.2_1.3_1.4_1.5_and_RR_No.21.5.docx" TargetMode="External"/><Relationship Id="rId2" Type="http://schemas.openxmlformats.org/officeDocument/2006/relationships/numbering" Target="numbering.xml"/><Relationship Id="rId29" Type="http://schemas.openxmlformats.org/officeDocument/2006/relationships/hyperlink" Target="https://www.apt.int/sites/default/files/2022/08/APG23-4-INP-74_VTN_WP1_Preliminary_Views_on_WRC-23_Agenda_Items_1.1_1.2_1.3_1.4_and_1.5.docx" TargetMode="External"/><Relationship Id="rId24" Type="http://schemas.openxmlformats.org/officeDocument/2006/relationships/hyperlink" Target="https://www.apt.int/sites/default/files/2022/08/APG23-4-INP-23_IRN_WP1_Preliminary_Views_on_WRC-23_Agenda_Items_1.1_1.2_1.3_1.4_1.5_and_9.1Topic_c.docx" TargetMode="External"/><Relationship Id="rId40" Type="http://schemas.openxmlformats.org/officeDocument/2006/relationships/hyperlink" Target="https://www.apt.int/sites/default/files/2021/04/APG23-2-INF-30_GSMA_contribution_APG23-2_final.docx" TargetMode="External"/><Relationship Id="rId45" Type="http://schemas.openxmlformats.org/officeDocument/2006/relationships/hyperlink" Target="https://www.apt.int/sites/default/files/2021/11/APG23-3-INF-20_Status_of_CEPT_Preparation_for_WRC-23_and_RA-23.pdf" TargetMode="External"/><Relationship Id="rId66" Type="http://schemas.openxmlformats.org/officeDocument/2006/relationships/hyperlink" Target="https://www.apt.int/sites/default/files/2023/02/APG23-5-INP-26_India_WP1-Preliminary_Views_on_WRC_23_Agenda_Items_1.2_1.3_1.4_1.5_9.1Topic_c_and_RR_No.21.5.docx" TargetMode="External"/><Relationship Id="rId87" Type="http://schemas.openxmlformats.org/officeDocument/2006/relationships/fontTable" Target="fontTable.xml"/><Relationship Id="rId61" Type="http://schemas.openxmlformats.org/officeDocument/2006/relationships/hyperlink" Target="https://www.apt.int/sites/default/files/2023/02/APG23-5-INF-30Rev.2_Brief_on_AI1.5.docx" TargetMode="External"/><Relationship Id="rId82"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hiroyuki.atarashi.yt@nttdocomo.com" TargetMode="External"/><Relationship Id="rId1" Type="http://schemas.openxmlformats.org/officeDocument/2006/relationships/hyperlink" Target="mailto:jwlim@korea.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579A-8FBC-42A8-8078-84DA18E5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4615</Words>
  <Characters>26306</Characters>
  <Application>Microsoft Office Word</Application>
  <DocSecurity>0</DocSecurity>
  <Lines>219</Lines>
  <Paragraphs>61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2023-03-07T07:23:00Z</dcterms:created>
  <dcterms:modified xsi:type="dcterms:W3CDTF">2023-03-07T07:23:00Z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02d52d4f89b6d1ac383301908817393a4c30c7b49efefd35d6b3af0c002e5db3</vt:lpwstr>
  </property>
</Properties>
</file>