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B90203" w:rsidRPr="00F14120" w14:paraId="6526100D" w14:textId="77777777" w:rsidTr="000E24CB">
        <w:trPr>
          <w:cantSplit/>
          <w:trHeight w:val="288"/>
        </w:trPr>
        <w:tc>
          <w:tcPr>
            <w:tcW w:w="1399" w:type="dxa"/>
            <w:vMerge w:val="restart"/>
          </w:tcPr>
          <w:p w14:paraId="75F2BA25" w14:textId="77777777" w:rsidR="00B90203" w:rsidRPr="00F14120" w:rsidRDefault="00B90203" w:rsidP="000E24CB">
            <w:pPr>
              <w:widowControl w:val="0"/>
              <w:wordWrap w:val="0"/>
              <w:jc w:val="both"/>
              <w:rPr>
                <w:kern w:val="2"/>
                <w:lang w:eastAsia="ko-KR"/>
              </w:rPr>
            </w:pPr>
            <w:r w:rsidRPr="00F14120">
              <w:rPr>
                <w:noProof/>
                <w:kern w:val="2"/>
              </w:rPr>
              <w:drawing>
                <wp:inline distT="0" distB="0" distL="0" distR="0" wp14:anchorId="0FB15CAA" wp14:editId="223C96FD">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BDC1027" w14:textId="77777777" w:rsidR="00B90203" w:rsidRPr="00F14120" w:rsidRDefault="00B90203" w:rsidP="000E24CB">
            <w:pPr>
              <w:spacing w:before="40"/>
              <w:rPr>
                <w:sz w:val="22"/>
                <w:szCs w:val="22"/>
              </w:rPr>
            </w:pPr>
            <w:r w:rsidRPr="00F14120">
              <w:rPr>
                <w:sz w:val="22"/>
                <w:szCs w:val="22"/>
              </w:rPr>
              <w:t>ASIA-PACIFIC TELECOMMUNITY</w:t>
            </w:r>
          </w:p>
        </w:tc>
        <w:tc>
          <w:tcPr>
            <w:tcW w:w="2160" w:type="dxa"/>
          </w:tcPr>
          <w:p w14:paraId="4464ABF8" w14:textId="77777777" w:rsidR="00B90203" w:rsidRPr="00F14120" w:rsidRDefault="00B90203" w:rsidP="000E24CB">
            <w:pPr>
              <w:keepNext/>
              <w:widowControl w:val="0"/>
              <w:wordWrap w:val="0"/>
              <w:spacing w:before="40"/>
              <w:jc w:val="both"/>
              <w:outlineLvl w:val="7"/>
              <w:rPr>
                <w:b/>
                <w:bCs/>
                <w:kern w:val="2"/>
                <w:lang w:eastAsia="ko-KR"/>
              </w:rPr>
            </w:pPr>
            <w:r w:rsidRPr="00F14120">
              <w:rPr>
                <w:b/>
                <w:bCs/>
                <w:kern w:val="2"/>
                <w:lang w:eastAsia="ko-KR"/>
              </w:rPr>
              <w:t>Document No:</w:t>
            </w:r>
          </w:p>
        </w:tc>
      </w:tr>
      <w:tr w:rsidR="00B90203" w:rsidRPr="00867C33" w14:paraId="2E412311" w14:textId="77777777" w:rsidTr="000E24CB">
        <w:trPr>
          <w:cantSplit/>
          <w:trHeight w:val="504"/>
        </w:trPr>
        <w:tc>
          <w:tcPr>
            <w:tcW w:w="1399" w:type="dxa"/>
            <w:vMerge/>
          </w:tcPr>
          <w:p w14:paraId="00429D17" w14:textId="77777777" w:rsidR="00B90203" w:rsidRPr="00F14120" w:rsidRDefault="00B90203" w:rsidP="000E24CB"/>
        </w:tc>
        <w:tc>
          <w:tcPr>
            <w:tcW w:w="5760" w:type="dxa"/>
            <w:vAlign w:val="center"/>
          </w:tcPr>
          <w:p w14:paraId="16913115" w14:textId="77777777" w:rsidR="00B90203" w:rsidRPr="00F14120" w:rsidRDefault="00B90203" w:rsidP="000E24CB">
            <w:pPr>
              <w:spacing w:line="0" w:lineRule="atLeast"/>
              <w:rPr>
                <w:b/>
              </w:rPr>
            </w:pPr>
            <w:r w:rsidRPr="00F14120">
              <w:rPr>
                <w:b/>
              </w:rPr>
              <w:t xml:space="preserve">The </w:t>
            </w:r>
            <w:r>
              <w:rPr>
                <w:b/>
              </w:rPr>
              <w:t>5</w:t>
            </w:r>
            <w:r w:rsidRPr="00F14120">
              <w:rPr>
                <w:b/>
              </w:rPr>
              <w:t>th Meeting of the APT Conference Preparatory</w:t>
            </w:r>
          </w:p>
          <w:p w14:paraId="5B14AF2C" w14:textId="77777777" w:rsidR="00B90203" w:rsidRPr="00F14120" w:rsidRDefault="00B90203" w:rsidP="000E24CB">
            <w:pPr>
              <w:spacing w:before="40"/>
            </w:pPr>
            <w:r w:rsidRPr="00F14120">
              <w:rPr>
                <w:b/>
              </w:rPr>
              <w:t>Group for WRC-23 (APG23-</w:t>
            </w:r>
            <w:r>
              <w:rPr>
                <w:b/>
              </w:rPr>
              <w:t>5</w:t>
            </w:r>
            <w:r w:rsidRPr="00F14120">
              <w:rPr>
                <w:b/>
              </w:rPr>
              <w:t>)</w:t>
            </w:r>
          </w:p>
        </w:tc>
        <w:tc>
          <w:tcPr>
            <w:tcW w:w="2160" w:type="dxa"/>
          </w:tcPr>
          <w:p w14:paraId="43910A33" w14:textId="1D20103F" w:rsidR="00B90203" w:rsidRPr="00867C33" w:rsidRDefault="00B90203" w:rsidP="000E24CB">
            <w:pPr>
              <w:spacing w:before="40"/>
              <w:rPr>
                <w:rFonts w:eastAsia="MS Mincho" w:cs="Leelawadee UI"/>
                <w:b/>
                <w:bCs/>
                <w:szCs w:val="30"/>
                <w:cs/>
                <w:lang w:eastAsia="ja-JP" w:bidi="th-TH"/>
              </w:rPr>
            </w:pPr>
            <w:r w:rsidRPr="00F14120">
              <w:rPr>
                <w:b/>
                <w:bCs/>
                <w:lang w:val="fr-FR"/>
              </w:rPr>
              <w:t>APG23-</w:t>
            </w:r>
            <w:r>
              <w:rPr>
                <w:b/>
                <w:bCs/>
                <w:lang w:val="fr-FR"/>
              </w:rPr>
              <w:t>5/OUT</w:t>
            </w:r>
            <w:r>
              <w:rPr>
                <w:b/>
                <w:bCs/>
              </w:rPr>
              <w:t>-16</w:t>
            </w:r>
          </w:p>
        </w:tc>
      </w:tr>
      <w:tr w:rsidR="00B90203" w:rsidRPr="00F14120" w14:paraId="10E3D6BA" w14:textId="77777777" w:rsidTr="000E24CB">
        <w:trPr>
          <w:cantSplit/>
          <w:trHeight w:val="288"/>
        </w:trPr>
        <w:tc>
          <w:tcPr>
            <w:tcW w:w="1399" w:type="dxa"/>
            <w:vMerge/>
          </w:tcPr>
          <w:p w14:paraId="13EB032B" w14:textId="77777777" w:rsidR="00B90203" w:rsidRPr="00F14120" w:rsidRDefault="00B90203" w:rsidP="000E24CB">
            <w:pPr>
              <w:rPr>
                <w:lang w:val="en-GB"/>
              </w:rPr>
            </w:pPr>
          </w:p>
        </w:tc>
        <w:tc>
          <w:tcPr>
            <w:tcW w:w="5760" w:type="dxa"/>
            <w:vAlign w:val="bottom"/>
          </w:tcPr>
          <w:p w14:paraId="39E540BE" w14:textId="77777777" w:rsidR="00B90203" w:rsidRPr="00F14120" w:rsidRDefault="00B90203" w:rsidP="000E24CB">
            <w:pPr>
              <w:spacing w:before="40"/>
              <w:rPr>
                <w:b/>
              </w:rPr>
            </w:pPr>
            <w:r>
              <w:t>20</w:t>
            </w:r>
            <w:r w:rsidRPr="00F14120">
              <w:t xml:space="preserve"> – 2</w:t>
            </w:r>
            <w:r>
              <w:t>5</w:t>
            </w:r>
            <w:r w:rsidRPr="00F14120">
              <w:t xml:space="preserve"> </w:t>
            </w:r>
            <w:r>
              <w:t>February</w:t>
            </w:r>
            <w:r w:rsidRPr="00F14120">
              <w:t xml:space="preserve"> 202</w:t>
            </w:r>
            <w:r>
              <w:t>3</w:t>
            </w:r>
            <w:r w:rsidRPr="00F14120">
              <w:t xml:space="preserve">, </w:t>
            </w:r>
            <w:r>
              <w:t>Busan, Republic of Korea</w:t>
            </w:r>
          </w:p>
        </w:tc>
        <w:tc>
          <w:tcPr>
            <w:tcW w:w="2160" w:type="dxa"/>
            <w:vAlign w:val="bottom"/>
          </w:tcPr>
          <w:p w14:paraId="2AF194BD" w14:textId="77777777" w:rsidR="00B90203" w:rsidRPr="00F14120" w:rsidRDefault="00B90203" w:rsidP="000E24CB">
            <w:pPr>
              <w:spacing w:before="40"/>
              <w:rPr>
                <w:bCs/>
              </w:rPr>
            </w:pPr>
            <w:r>
              <w:rPr>
                <w:bCs/>
              </w:rPr>
              <w:t>24</w:t>
            </w:r>
            <w:r w:rsidRPr="00F14120">
              <w:rPr>
                <w:bCs/>
              </w:rPr>
              <w:t xml:space="preserve"> </w:t>
            </w:r>
            <w:r>
              <w:rPr>
                <w:bCs/>
              </w:rPr>
              <w:t xml:space="preserve">February </w:t>
            </w:r>
            <w:r w:rsidRPr="00F14120">
              <w:rPr>
                <w:bCs/>
              </w:rPr>
              <w:t>202</w:t>
            </w:r>
            <w:r>
              <w:rPr>
                <w:bCs/>
              </w:rPr>
              <w:t>3</w:t>
            </w:r>
          </w:p>
        </w:tc>
      </w:tr>
    </w:tbl>
    <w:p w14:paraId="088CA4CA" w14:textId="77777777" w:rsidR="006D1572" w:rsidRDefault="006D1572">
      <w:pPr>
        <w:rPr>
          <w:rFonts w:cstheme="minorBidi"/>
          <w:b/>
          <w:szCs w:val="30"/>
          <w:cs/>
          <w:lang w:val="en-NZ" w:eastAsia="ko-KR" w:bidi="th-TH"/>
        </w:rPr>
      </w:pPr>
    </w:p>
    <w:p w14:paraId="258DF1E3" w14:textId="77777777" w:rsidR="00E968A3" w:rsidRPr="00450E96" w:rsidRDefault="00E968A3" w:rsidP="00E968A3">
      <w:pPr>
        <w:jc w:val="center"/>
        <w:rPr>
          <w:lang w:val="en-NZ" w:eastAsia="ko-KR"/>
        </w:rPr>
      </w:pPr>
      <w:r>
        <w:rPr>
          <w:lang w:val="en-NZ" w:eastAsia="ko-KR"/>
        </w:rPr>
        <w:t>Working Party 2</w:t>
      </w:r>
    </w:p>
    <w:p w14:paraId="4290804B" w14:textId="77777777" w:rsidR="006D1572" w:rsidRDefault="006D1572">
      <w:pPr>
        <w:jc w:val="center"/>
        <w:rPr>
          <w:lang w:val="en-NZ" w:eastAsia="ko-KR"/>
        </w:rPr>
      </w:pPr>
    </w:p>
    <w:p w14:paraId="3C968720" w14:textId="36C8336B" w:rsidR="006D1572" w:rsidRDefault="00744B12">
      <w:pPr>
        <w:jc w:val="center"/>
        <w:rPr>
          <w:b/>
          <w:bCs/>
          <w:caps/>
          <w:lang w:val="en-NZ"/>
        </w:rPr>
      </w:pPr>
      <w:r>
        <w:rPr>
          <w:b/>
          <w:bCs/>
          <w:caps/>
          <w:lang w:val="en-NZ"/>
        </w:rPr>
        <w:t>PRELIMINARY VIEWs on WRC-23 agenda item 1.10</w:t>
      </w:r>
    </w:p>
    <w:p w14:paraId="75CAB435" w14:textId="77777777" w:rsidR="006D1572" w:rsidRDefault="006D1572">
      <w:pPr>
        <w:spacing w:after="120"/>
      </w:pPr>
    </w:p>
    <w:p w14:paraId="7C70506F" w14:textId="77777777" w:rsidR="006D1572" w:rsidRDefault="00744B12">
      <w:pPr>
        <w:spacing w:after="120"/>
        <w:jc w:val="both"/>
        <w:rPr>
          <w:lang w:val="en-NZ"/>
        </w:rPr>
      </w:pPr>
      <w:r>
        <w:rPr>
          <w:b/>
          <w:lang w:val="en-NZ"/>
        </w:rPr>
        <w:t xml:space="preserve">Agenda Item 1.10: </w:t>
      </w:r>
    </w:p>
    <w:p w14:paraId="7BCAA3D6" w14:textId="77777777" w:rsidR="006D1572" w:rsidRDefault="00744B12">
      <w:pPr>
        <w:spacing w:after="120"/>
        <w:jc w:val="both"/>
        <w:rPr>
          <w:i/>
          <w:lang w:val="en-NZ"/>
        </w:rPr>
      </w:pPr>
      <w:r>
        <w:rPr>
          <w:i/>
          <w:lang w:val="en-NZ"/>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Pr>
          <w:b/>
          <w:bCs/>
          <w:i/>
          <w:lang w:val="en-NZ"/>
        </w:rPr>
        <w:t>430 (WRC 19</w:t>
      </w:r>
      <w:proofErr w:type="gramStart"/>
      <w:r>
        <w:rPr>
          <w:b/>
          <w:bCs/>
          <w:i/>
          <w:lang w:val="en-NZ"/>
        </w:rPr>
        <w:t>)</w:t>
      </w:r>
      <w:r>
        <w:rPr>
          <w:i/>
          <w:lang w:val="en-NZ"/>
        </w:rPr>
        <w:t>;</w:t>
      </w:r>
      <w:proofErr w:type="gramEnd"/>
    </w:p>
    <w:p w14:paraId="27FC5024" w14:textId="77777777" w:rsidR="006D1572" w:rsidRDefault="006D1572">
      <w:pPr>
        <w:jc w:val="both"/>
        <w:rPr>
          <w:lang w:val="en-NZ"/>
        </w:rPr>
      </w:pPr>
    </w:p>
    <w:p w14:paraId="159B3140" w14:textId="77777777" w:rsidR="006D1572" w:rsidRDefault="00744B12">
      <w:pPr>
        <w:spacing w:after="120"/>
        <w:jc w:val="both"/>
        <w:rPr>
          <w:b/>
          <w:lang w:val="en-NZ" w:eastAsia="ko-KR"/>
        </w:rPr>
      </w:pPr>
      <w:r>
        <w:rPr>
          <w:b/>
          <w:lang w:val="en-NZ" w:eastAsia="ko-KR"/>
        </w:rPr>
        <w:t xml:space="preserve">1. </w:t>
      </w:r>
      <w:r>
        <w:rPr>
          <w:b/>
          <w:lang w:val="en-NZ" w:eastAsia="ko-KR"/>
        </w:rPr>
        <w:tab/>
        <w:t>Background</w:t>
      </w:r>
    </w:p>
    <w:p w14:paraId="7DBD1241" w14:textId="77777777" w:rsidR="006D1572" w:rsidRDefault="00744B12">
      <w:pPr>
        <w:tabs>
          <w:tab w:val="left" w:pos="1134"/>
          <w:tab w:val="left" w:pos="1871"/>
          <w:tab w:val="left" w:pos="2268"/>
        </w:tabs>
        <w:overflowPunct w:val="0"/>
        <w:autoSpaceDE w:val="0"/>
        <w:autoSpaceDN w:val="0"/>
        <w:adjustRightInd w:val="0"/>
        <w:spacing w:before="120"/>
        <w:jc w:val="both"/>
        <w:textAlignment w:val="baseline"/>
      </w:pPr>
      <w:r>
        <w:t xml:space="preserve">Resolution </w:t>
      </w:r>
      <w:r>
        <w:rPr>
          <w:b/>
          <w:bCs/>
        </w:rPr>
        <w:t>430 (WRC-19)</w:t>
      </w:r>
      <w:r>
        <w:t xml:space="preserve"> </w:t>
      </w:r>
      <w:r>
        <w:rPr>
          <w:rFonts w:hint="eastAsia"/>
        </w:rPr>
        <w:t xml:space="preserve">resolves to </w:t>
      </w:r>
      <w:r>
        <w:t>invite ITU-R to conduct, and complete in time for WRC-23:</w:t>
      </w:r>
    </w:p>
    <w:p w14:paraId="597235AF" w14:textId="77777777" w:rsidR="006D1572" w:rsidRDefault="00744B12">
      <w:pPr>
        <w:pStyle w:val="ListParagraph"/>
        <w:numPr>
          <w:ilvl w:val="0"/>
          <w:numId w:val="1"/>
        </w:numPr>
        <w:spacing w:afterLines="60" w:after="144"/>
        <w:jc w:val="both"/>
        <w:rPr>
          <w:color w:val="000000" w:themeColor="text1"/>
          <w:lang w:val="en-GB"/>
        </w:rPr>
      </w:pPr>
      <w:r>
        <w:rPr>
          <w:color w:val="000000" w:themeColor="text1"/>
          <w:lang w:val="en-GB"/>
        </w:rPr>
        <w:t>studies on spectrum needs for new non-safety aeronautical mobile applications for air-to-air, ground-to-air and air-to-ground communications of aircraft systems;</w:t>
      </w:r>
    </w:p>
    <w:p w14:paraId="0D824DF9" w14:textId="77777777" w:rsidR="006D1572" w:rsidRDefault="00744B12">
      <w:pPr>
        <w:pStyle w:val="ListParagraph"/>
        <w:numPr>
          <w:ilvl w:val="0"/>
          <w:numId w:val="1"/>
        </w:numPr>
        <w:spacing w:afterLines="60" w:after="144"/>
        <w:jc w:val="both"/>
        <w:rPr>
          <w:color w:val="000000" w:themeColor="text1"/>
          <w:lang w:val="en-GB"/>
        </w:rPr>
      </w:pPr>
      <w:r>
        <w:rPr>
          <w:color w:val="000000" w:themeColor="text1"/>
          <w:lang w:val="en-GB"/>
        </w:rPr>
        <w:t>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bands;</w:t>
      </w:r>
    </w:p>
    <w:p w14:paraId="5AF6034D" w14:textId="77777777" w:rsidR="006D1572" w:rsidRDefault="00744B12">
      <w:pPr>
        <w:pStyle w:val="ListParagraph"/>
        <w:numPr>
          <w:ilvl w:val="0"/>
          <w:numId w:val="1"/>
        </w:numPr>
        <w:spacing w:afterLines="60" w:after="144"/>
        <w:jc w:val="both"/>
        <w:rPr>
          <w:color w:val="000000" w:themeColor="text1"/>
          <w:lang w:val="en-GB"/>
        </w:rPr>
      </w:pPr>
      <w:r>
        <w:rPr>
          <w:color w:val="000000" w:themeColor="text1"/>
          <w:lang w:val="en-GB"/>
        </w:rPr>
        <w:t>sharing and compatibility studies on possible new primary allocations to the aeronautical mobile service (AMS) for non-safety aeronautical applications in the frequency band 15.4-15.7 GHz, while ensuring the protection of primary services in the considered frequency bands and, as appropriate, adjacent frequency bands;</w:t>
      </w:r>
    </w:p>
    <w:p w14:paraId="2AE98381" w14:textId="77777777" w:rsidR="006D1572" w:rsidRDefault="00744B12">
      <w:pPr>
        <w:pStyle w:val="ListParagraph"/>
        <w:numPr>
          <w:ilvl w:val="0"/>
          <w:numId w:val="1"/>
        </w:numPr>
        <w:spacing w:afterLines="60" w:after="144"/>
        <w:jc w:val="both"/>
        <w:rPr>
          <w:color w:val="000000" w:themeColor="text1"/>
          <w:lang w:val="en-GB"/>
        </w:rPr>
      </w:pPr>
      <w:r>
        <w:rPr>
          <w:color w:val="000000" w:themeColor="text1"/>
          <w:lang w:val="en-GB"/>
        </w:rPr>
        <w:t>definition of appropriate protection for passive services and radio astronomy allocated in adjacent bands from unwanted emission of AMS.</w:t>
      </w:r>
    </w:p>
    <w:p w14:paraId="5B66C03B" w14:textId="77777777" w:rsidR="006D1572" w:rsidRDefault="00744B12">
      <w:pPr>
        <w:tabs>
          <w:tab w:val="left" w:pos="1134"/>
          <w:tab w:val="left" w:pos="1871"/>
          <w:tab w:val="left" w:pos="2268"/>
        </w:tabs>
        <w:overflowPunct w:val="0"/>
        <w:autoSpaceDE w:val="0"/>
        <w:autoSpaceDN w:val="0"/>
        <w:adjustRightInd w:val="0"/>
        <w:spacing w:before="120"/>
        <w:jc w:val="both"/>
        <w:textAlignment w:val="baseline"/>
      </w:pPr>
      <w:r>
        <w:t xml:space="preserve">In accordance with the results of CPM23-1, ITU-R Working Party 5B (WP 5B) was assigned to be the responsible group for the Agenda Item 1.10. </w:t>
      </w:r>
    </w:p>
    <w:p w14:paraId="0FE98582" w14:textId="77777777" w:rsidR="006D1572" w:rsidRDefault="00744B12">
      <w:pPr>
        <w:tabs>
          <w:tab w:val="left" w:pos="1134"/>
          <w:tab w:val="left" w:pos="1871"/>
          <w:tab w:val="left" w:pos="2268"/>
        </w:tabs>
        <w:overflowPunct w:val="0"/>
        <w:autoSpaceDE w:val="0"/>
        <w:autoSpaceDN w:val="0"/>
        <w:adjustRightInd w:val="0"/>
        <w:spacing w:before="120"/>
        <w:jc w:val="both"/>
        <w:textAlignment w:val="baseline"/>
        <w:rPr>
          <w:rFonts w:eastAsiaTheme="minorEastAsia"/>
          <w:lang w:eastAsia="zh-CN"/>
        </w:rPr>
      </w:pPr>
      <w:r>
        <w:t xml:space="preserve">During the past </w:t>
      </w:r>
      <w:r>
        <w:rPr>
          <w:rFonts w:eastAsiaTheme="minorEastAsia" w:hint="eastAsia"/>
          <w:lang w:eastAsia="zh-CN"/>
        </w:rPr>
        <w:t xml:space="preserve">six </w:t>
      </w:r>
      <w:r>
        <w:t>WP 5B meetings, the Working Document towards a Preliminary Draft New Report ITU-R M.[</w:t>
      </w:r>
      <w:r>
        <w:rPr>
          <w:rFonts w:eastAsiaTheme="minorEastAsia"/>
          <w:lang w:eastAsia="zh-CN"/>
        </w:rPr>
        <w:t>NON-SAFETY AMS CHARACTERISTICS AND SHARING STUDIES</w:t>
      </w:r>
      <w:r>
        <w:t xml:space="preserve">] was </w:t>
      </w:r>
      <w:r>
        <w:rPr>
          <w:rFonts w:eastAsiaTheme="minorEastAsia" w:hint="eastAsia"/>
          <w:lang w:eastAsia="zh-CN"/>
        </w:rPr>
        <w:t>progressed</w:t>
      </w:r>
      <w:r>
        <w:t xml:space="preserve">. The working document provides various characteristics from ITU-R Recommendations of systems in the incumbent services, recommended propagation models as well as preliminary characteristics and operational concept of systems in the possible new AMS allocation for non-safety application. </w:t>
      </w:r>
      <w:r>
        <w:rPr>
          <w:rFonts w:eastAsiaTheme="minorEastAsia" w:hint="eastAsia"/>
          <w:lang w:eastAsia="zh-CN"/>
        </w:rPr>
        <w:t>And various</w:t>
      </w:r>
      <w:r>
        <w:rPr>
          <w:rFonts w:eastAsiaTheme="minorEastAsia"/>
          <w:lang w:eastAsia="zh-CN"/>
        </w:rPr>
        <w:t xml:space="preserve"> </w:t>
      </w:r>
      <w:r>
        <w:t xml:space="preserve">sharing </w:t>
      </w:r>
      <w:r>
        <w:rPr>
          <w:rFonts w:eastAsiaTheme="minorEastAsia" w:hint="eastAsia"/>
          <w:lang w:eastAsia="zh-CN"/>
        </w:rPr>
        <w:t xml:space="preserve">and compatibility </w:t>
      </w:r>
      <w:r>
        <w:t xml:space="preserve">studies were incorporated into this working document. </w:t>
      </w:r>
    </w:p>
    <w:p w14:paraId="0CB37930" w14:textId="4086DD3E" w:rsidR="006D1572" w:rsidRDefault="00744B12">
      <w:pPr>
        <w:tabs>
          <w:tab w:val="left" w:pos="1134"/>
          <w:tab w:val="left" w:pos="1871"/>
          <w:tab w:val="left" w:pos="2268"/>
        </w:tabs>
        <w:overflowPunct w:val="0"/>
        <w:autoSpaceDE w:val="0"/>
        <w:autoSpaceDN w:val="0"/>
        <w:adjustRightInd w:val="0"/>
        <w:spacing w:before="120"/>
        <w:jc w:val="both"/>
        <w:textAlignment w:val="baseline"/>
      </w:pPr>
      <w:r>
        <w:rPr>
          <w:rFonts w:hint="eastAsia"/>
        </w:rPr>
        <w:t xml:space="preserve">Regarding the </w:t>
      </w:r>
      <w:r>
        <w:t xml:space="preserve">draft CPM </w:t>
      </w:r>
      <w:r w:rsidRPr="00E968A3">
        <w:t>Report</w:t>
      </w:r>
      <w:r w:rsidRPr="00E968A3">
        <w:rPr>
          <w:rFonts w:hint="eastAsia"/>
        </w:rPr>
        <w:t>,</w:t>
      </w:r>
      <w:r>
        <w:rPr>
          <w:rFonts w:hint="eastAsia"/>
        </w:rPr>
        <w:t xml:space="preserve"> t</w:t>
      </w:r>
      <w:r>
        <w:t xml:space="preserve">he following methods </w:t>
      </w:r>
      <w:r>
        <w:rPr>
          <w:rFonts w:eastAsiaTheme="minorEastAsia" w:hint="eastAsia"/>
          <w:lang w:eastAsia="zh-CN"/>
        </w:rPr>
        <w:t>were</w:t>
      </w:r>
      <w:r>
        <w:t xml:space="preserve"> </w:t>
      </w:r>
      <w:r>
        <w:rPr>
          <w:rFonts w:hint="eastAsia"/>
        </w:rPr>
        <w:t>proposed</w:t>
      </w:r>
      <w:r>
        <w:t xml:space="preserve"> to satisfy this agenda item: </w:t>
      </w:r>
    </w:p>
    <w:p w14:paraId="5C3CD950" w14:textId="77777777" w:rsidR="006D1572" w:rsidRDefault="00744B12">
      <w:pPr>
        <w:pStyle w:val="ListParagraph"/>
        <w:numPr>
          <w:ilvl w:val="0"/>
          <w:numId w:val="2"/>
        </w:numPr>
        <w:tabs>
          <w:tab w:val="left" w:pos="1134"/>
          <w:tab w:val="left" w:pos="1871"/>
          <w:tab w:val="left" w:pos="2268"/>
        </w:tabs>
        <w:overflowPunct w:val="0"/>
        <w:autoSpaceDE w:val="0"/>
        <w:autoSpaceDN w:val="0"/>
        <w:adjustRightInd w:val="0"/>
        <w:spacing w:before="120"/>
        <w:jc w:val="both"/>
        <w:textAlignment w:val="baseline"/>
      </w:pPr>
      <w:r>
        <w:t>Method A: No change (NOC);</w:t>
      </w:r>
    </w:p>
    <w:p w14:paraId="2569B8B7" w14:textId="77777777" w:rsidR="006D1572" w:rsidRDefault="00744B12">
      <w:pPr>
        <w:pStyle w:val="ListParagraph"/>
        <w:numPr>
          <w:ilvl w:val="0"/>
          <w:numId w:val="2"/>
        </w:numPr>
        <w:tabs>
          <w:tab w:val="left" w:pos="1134"/>
          <w:tab w:val="left" w:pos="1871"/>
          <w:tab w:val="left" w:pos="2268"/>
        </w:tabs>
        <w:overflowPunct w:val="0"/>
        <w:autoSpaceDE w:val="0"/>
        <w:autoSpaceDN w:val="0"/>
        <w:adjustRightInd w:val="0"/>
        <w:spacing w:before="120"/>
        <w:jc w:val="both"/>
        <w:textAlignment w:val="baseline"/>
      </w:pPr>
      <w:r>
        <w:t>Method B: New primary AM(OR)S allocation in the frequency band 15.4-15.7 GHz;</w:t>
      </w:r>
    </w:p>
    <w:p w14:paraId="63E01879" w14:textId="77777777" w:rsidR="006D1572" w:rsidRDefault="00744B12">
      <w:pPr>
        <w:pStyle w:val="ListParagraph"/>
        <w:numPr>
          <w:ilvl w:val="0"/>
          <w:numId w:val="2"/>
        </w:numPr>
        <w:tabs>
          <w:tab w:val="left" w:pos="1134"/>
          <w:tab w:val="left" w:pos="1871"/>
          <w:tab w:val="left" w:pos="2268"/>
        </w:tabs>
        <w:overflowPunct w:val="0"/>
        <w:autoSpaceDE w:val="0"/>
        <w:autoSpaceDN w:val="0"/>
        <w:adjustRightInd w:val="0"/>
        <w:spacing w:before="120"/>
        <w:jc w:val="both"/>
        <w:textAlignment w:val="baseline"/>
      </w:pPr>
      <w:r>
        <w:t>Method C: Remove the exception of AM(OR)S in the frequency band 22-22.21 GHz;</w:t>
      </w:r>
    </w:p>
    <w:p w14:paraId="2717CB8D" w14:textId="77777777" w:rsidR="006D1572" w:rsidRDefault="00744B12">
      <w:pPr>
        <w:pStyle w:val="ListParagraph"/>
        <w:numPr>
          <w:ilvl w:val="0"/>
          <w:numId w:val="2"/>
        </w:numPr>
        <w:tabs>
          <w:tab w:val="left" w:pos="1134"/>
          <w:tab w:val="left" w:pos="1871"/>
          <w:tab w:val="left" w:pos="2268"/>
        </w:tabs>
        <w:overflowPunct w:val="0"/>
        <w:autoSpaceDE w:val="0"/>
        <w:autoSpaceDN w:val="0"/>
        <w:adjustRightInd w:val="0"/>
        <w:spacing w:before="120"/>
        <w:jc w:val="both"/>
        <w:textAlignment w:val="baseline"/>
      </w:pPr>
      <w:r>
        <w:lastRenderedPageBreak/>
        <w:t>Method D: Combination of Methods B and C.</w:t>
      </w:r>
    </w:p>
    <w:p w14:paraId="56E8A1C9" w14:textId="77777777" w:rsidR="006D1572" w:rsidRDefault="00744B12">
      <w:pPr>
        <w:tabs>
          <w:tab w:val="left" w:pos="1134"/>
          <w:tab w:val="left" w:pos="1871"/>
          <w:tab w:val="left" w:pos="2268"/>
        </w:tabs>
        <w:overflowPunct w:val="0"/>
        <w:autoSpaceDE w:val="0"/>
        <w:autoSpaceDN w:val="0"/>
        <w:adjustRightInd w:val="0"/>
        <w:spacing w:before="120"/>
        <w:jc w:val="both"/>
        <w:textAlignment w:val="baseline"/>
      </w:pPr>
      <w:r>
        <w:rPr>
          <w:rFonts w:hint="eastAsia"/>
        </w:rPr>
        <w:t>Methods B, C and D are accompanied with</w:t>
      </w:r>
      <w:r>
        <w:t xml:space="preserve"> </w:t>
      </w:r>
      <w:r>
        <w:rPr>
          <w:rFonts w:hint="eastAsia"/>
        </w:rPr>
        <w:t xml:space="preserve">different footnotes </w:t>
      </w:r>
      <w:r>
        <w:t xml:space="preserve">to reflect the technical conditions which </w:t>
      </w:r>
      <w:r>
        <w:rPr>
          <w:rFonts w:hint="eastAsia"/>
        </w:rPr>
        <w:t>are</w:t>
      </w:r>
      <w:r>
        <w:t xml:space="preserve"> based on the result of the technical studies. </w:t>
      </w:r>
    </w:p>
    <w:p w14:paraId="35937363" w14:textId="77777777" w:rsidR="006D1572" w:rsidRDefault="00744B12">
      <w:pPr>
        <w:tabs>
          <w:tab w:val="left" w:pos="1134"/>
          <w:tab w:val="left" w:pos="1871"/>
          <w:tab w:val="left" w:pos="2268"/>
        </w:tabs>
        <w:overflowPunct w:val="0"/>
        <w:autoSpaceDE w:val="0"/>
        <w:autoSpaceDN w:val="0"/>
        <w:adjustRightInd w:val="0"/>
        <w:spacing w:before="120" w:afterLines="50" w:after="120"/>
        <w:jc w:val="both"/>
        <w:textAlignment w:val="baseline"/>
      </w:pPr>
      <w:r>
        <w:t>Relevant ITU-R Reports/Recommendations and ongoing studies are as follows,</w:t>
      </w:r>
    </w:p>
    <w:tbl>
      <w:tblPr>
        <w:tblStyle w:val="TableGrid"/>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8051"/>
      </w:tblGrid>
      <w:tr w:rsidR="006D1572" w14:paraId="48AFDC37" w14:textId="77777777">
        <w:tc>
          <w:tcPr>
            <w:tcW w:w="9865" w:type="dxa"/>
            <w:gridSpan w:val="2"/>
          </w:tcPr>
          <w:p w14:paraId="74BE6EDC" w14:textId="77777777" w:rsidR="006D1572" w:rsidRDefault="00744B12">
            <w:r>
              <w:rPr>
                <w:i/>
                <w:iCs/>
              </w:rPr>
              <w:t>Recommendations</w:t>
            </w:r>
          </w:p>
        </w:tc>
      </w:tr>
      <w:tr w:rsidR="006D1572" w14:paraId="63C701C3" w14:textId="77777777">
        <w:tc>
          <w:tcPr>
            <w:tcW w:w="1814" w:type="dxa"/>
          </w:tcPr>
          <w:p w14:paraId="1DA01235" w14:textId="77777777" w:rsidR="006D1572" w:rsidRDefault="00000000">
            <w:hyperlink r:id="rId9" w:history="1">
              <w:r w:rsidR="00744B12">
                <w:rPr>
                  <w:rStyle w:val="Hyperlink"/>
                </w:rPr>
                <w:t>ITU-R F.758</w:t>
              </w:r>
            </w:hyperlink>
          </w:p>
        </w:tc>
        <w:tc>
          <w:tcPr>
            <w:tcW w:w="8051" w:type="dxa"/>
          </w:tcPr>
          <w:p w14:paraId="20E74822" w14:textId="77777777" w:rsidR="006D1572" w:rsidRDefault="00744B12">
            <w:r>
              <w:t>System parameters and considerations in the development of criteria for sharing or compatibility between digital fixed wireless systems in the fixed service and systems in other services and other sources of interference</w:t>
            </w:r>
          </w:p>
        </w:tc>
      </w:tr>
      <w:tr w:rsidR="006D1572" w14:paraId="04BBE476" w14:textId="77777777">
        <w:tc>
          <w:tcPr>
            <w:tcW w:w="1814" w:type="dxa"/>
          </w:tcPr>
          <w:p w14:paraId="649B85A2" w14:textId="77777777" w:rsidR="006D1572" w:rsidRDefault="00000000">
            <w:hyperlink r:id="rId10" w:history="1">
              <w:r w:rsidR="00744B12">
                <w:rPr>
                  <w:rStyle w:val="Hyperlink"/>
                  <w:rFonts w:eastAsiaTheme="minorEastAsia"/>
                </w:rPr>
                <w:t xml:space="preserve">ITU-R </w:t>
              </w:r>
              <w:r w:rsidR="00744B12">
                <w:rPr>
                  <w:rStyle w:val="Hyperlink"/>
                  <w:rFonts w:eastAsiaTheme="minorEastAsia"/>
                  <w:lang w:eastAsia="zh-CN"/>
                </w:rPr>
                <w:t>M</w:t>
              </w:r>
              <w:r w:rsidR="00744B12">
                <w:rPr>
                  <w:rStyle w:val="Hyperlink"/>
                  <w:rFonts w:eastAsiaTheme="minorEastAsia"/>
                </w:rPr>
                <w:t>.</w:t>
              </w:r>
              <w:r w:rsidR="00744B12">
                <w:rPr>
                  <w:rStyle w:val="Hyperlink"/>
                  <w:rFonts w:eastAsiaTheme="minorEastAsia"/>
                  <w:lang w:eastAsia="zh-CN"/>
                </w:rPr>
                <w:t>1730</w:t>
              </w:r>
            </w:hyperlink>
          </w:p>
        </w:tc>
        <w:tc>
          <w:tcPr>
            <w:tcW w:w="8051" w:type="dxa"/>
          </w:tcPr>
          <w:p w14:paraId="3D6271FE" w14:textId="77777777" w:rsidR="006D1572" w:rsidRDefault="00744B12">
            <w:r>
              <w:t>Characteristics of and protection criteria for the radiolocation service in the frequency band 15.4-17.3 GHz</w:t>
            </w:r>
          </w:p>
        </w:tc>
      </w:tr>
      <w:tr w:rsidR="006D1572" w14:paraId="1A94B4AE" w14:textId="77777777">
        <w:tc>
          <w:tcPr>
            <w:tcW w:w="1814" w:type="dxa"/>
          </w:tcPr>
          <w:p w14:paraId="37382569" w14:textId="77777777" w:rsidR="006D1572" w:rsidRDefault="00000000">
            <w:hyperlink r:id="rId11" w:history="1">
              <w:r w:rsidR="00744B12">
                <w:rPr>
                  <w:rStyle w:val="Hyperlink"/>
                </w:rPr>
                <w:t xml:space="preserve">ITU-R </w:t>
              </w:r>
              <w:r w:rsidR="00744B12">
                <w:rPr>
                  <w:rStyle w:val="Hyperlink"/>
                  <w:spacing w:val="-2"/>
                </w:rPr>
                <w:t>RA.517</w:t>
              </w:r>
            </w:hyperlink>
          </w:p>
        </w:tc>
        <w:tc>
          <w:tcPr>
            <w:tcW w:w="8051" w:type="dxa"/>
          </w:tcPr>
          <w:p w14:paraId="7FFFFCDD" w14:textId="77777777" w:rsidR="006D1572" w:rsidRDefault="00744B12">
            <w:r>
              <w:t xml:space="preserve">Protection of the radio astronomy service from transmitters operating in adjacent bands. </w:t>
            </w:r>
          </w:p>
        </w:tc>
      </w:tr>
      <w:tr w:rsidR="006D1572" w14:paraId="101E3D83" w14:textId="77777777">
        <w:tc>
          <w:tcPr>
            <w:tcW w:w="1814" w:type="dxa"/>
          </w:tcPr>
          <w:p w14:paraId="55E43D91" w14:textId="77777777" w:rsidR="006D1572" w:rsidRDefault="00000000">
            <w:hyperlink r:id="rId12" w:history="1">
              <w:r w:rsidR="00744B12">
                <w:rPr>
                  <w:rStyle w:val="Hyperlink"/>
                </w:rPr>
                <w:t>ITU-R RA.769</w:t>
              </w:r>
            </w:hyperlink>
          </w:p>
        </w:tc>
        <w:tc>
          <w:tcPr>
            <w:tcW w:w="8051" w:type="dxa"/>
          </w:tcPr>
          <w:p w14:paraId="301AD305" w14:textId="77777777" w:rsidR="006D1572" w:rsidRDefault="00744B12">
            <w:r>
              <w:t>Protection criteria used for radio astronomical measurements</w:t>
            </w:r>
          </w:p>
        </w:tc>
      </w:tr>
      <w:tr w:rsidR="006D1572" w14:paraId="693A9670" w14:textId="77777777">
        <w:tc>
          <w:tcPr>
            <w:tcW w:w="1814" w:type="dxa"/>
          </w:tcPr>
          <w:p w14:paraId="732A8422" w14:textId="77777777" w:rsidR="006D1572" w:rsidRDefault="00000000">
            <w:hyperlink r:id="rId13" w:history="1">
              <w:r w:rsidR="00744B12">
                <w:rPr>
                  <w:rStyle w:val="Hyperlink"/>
                </w:rPr>
                <w:t>ITU-R RA.1513</w:t>
              </w:r>
            </w:hyperlink>
          </w:p>
        </w:tc>
        <w:tc>
          <w:tcPr>
            <w:tcW w:w="8051" w:type="dxa"/>
          </w:tcPr>
          <w:p w14:paraId="411BF95F" w14:textId="77777777" w:rsidR="006D1572" w:rsidRDefault="00744B12">
            <w:r>
              <w:t>Levels of data loss to radio astronomy observations and percentage-of-time criteria resulting from degradation by interference for frequency bands allocated to the radio astronomy service on a primary basis</w:t>
            </w:r>
          </w:p>
        </w:tc>
      </w:tr>
      <w:tr w:rsidR="006D1572" w14:paraId="1C7CA25F" w14:textId="77777777">
        <w:tc>
          <w:tcPr>
            <w:tcW w:w="1814" w:type="dxa"/>
          </w:tcPr>
          <w:p w14:paraId="07AA3A3B" w14:textId="77777777" w:rsidR="006D1572" w:rsidRDefault="00000000">
            <w:hyperlink r:id="rId14" w:history="1">
              <w:r w:rsidR="00744B12">
                <w:rPr>
                  <w:rStyle w:val="Hyperlink"/>
                </w:rPr>
                <w:t>ITU-R RA.1631</w:t>
              </w:r>
            </w:hyperlink>
          </w:p>
        </w:tc>
        <w:tc>
          <w:tcPr>
            <w:tcW w:w="8051" w:type="dxa"/>
          </w:tcPr>
          <w:p w14:paraId="2888A05C" w14:textId="77777777" w:rsidR="006D1572" w:rsidRDefault="00744B12">
            <w:r>
              <w:t xml:space="preserve">Reference radio astronomy antenna pattern to be used for compatibility analyses between non-GSO systems and radio astronomy service stations based on the </w:t>
            </w:r>
            <w:proofErr w:type="spellStart"/>
            <w:r>
              <w:t>epfd</w:t>
            </w:r>
            <w:proofErr w:type="spellEnd"/>
            <w:r>
              <w:t xml:space="preserve"> concept</w:t>
            </w:r>
          </w:p>
        </w:tc>
      </w:tr>
      <w:tr w:rsidR="006D1572" w14:paraId="4984DB0B" w14:textId="77777777">
        <w:tc>
          <w:tcPr>
            <w:tcW w:w="1814" w:type="dxa"/>
          </w:tcPr>
          <w:p w14:paraId="746DCBC8" w14:textId="77777777" w:rsidR="006D1572" w:rsidRDefault="00000000">
            <w:hyperlink r:id="rId15" w:history="1">
              <w:r w:rsidR="00744B12">
                <w:rPr>
                  <w:rStyle w:val="Hyperlink"/>
                  <w:rFonts w:eastAsiaTheme="minorEastAsia"/>
                  <w:lang w:eastAsia="zh-CN"/>
                </w:rPr>
                <w:t>ITU-R RS.1028</w:t>
              </w:r>
            </w:hyperlink>
          </w:p>
        </w:tc>
        <w:tc>
          <w:tcPr>
            <w:tcW w:w="8051" w:type="dxa"/>
          </w:tcPr>
          <w:p w14:paraId="332FBD7B" w14:textId="77777777" w:rsidR="006D1572" w:rsidRDefault="00744B12">
            <w:r>
              <w:t>Performance criteria for satellite passive remote sensing</w:t>
            </w:r>
            <w:r>
              <w:rPr>
                <w:highlight w:val="yellow"/>
              </w:rPr>
              <w:t xml:space="preserve"> </w:t>
            </w:r>
          </w:p>
        </w:tc>
      </w:tr>
      <w:tr w:rsidR="006D1572" w14:paraId="1E7AA664" w14:textId="77777777">
        <w:tc>
          <w:tcPr>
            <w:tcW w:w="1814" w:type="dxa"/>
          </w:tcPr>
          <w:p w14:paraId="08D41A27" w14:textId="77777777" w:rsidR="006D1572" w:rsidRDefault="00000000">
            <w:hyperlink r:id="rId16" w:history="1">
              <w:r w:rsidR="00744B12">
                <w:rPr>
                  <w:rStyle w:val="Hyperlink"/>
                  <w:rFonts w:eastAsiaTheme="minorEastAsia"/>
                  <w:lang w:eastAsia="zh-CN"/>
                </w:rPr>
                <w:t>ITU-R RS.1029</w:t>
              </w:r>
            </w:hyperlink>
          </w:p>
        </w:tc>
        <w:tc>
          <w:tcPr>
            <w:tcW w:w="8051" w:type="dxa"/>
          </w:tcPr>
          <w:p w14:paraId="4BFC05E3" w14:textId="77777777" w:rsidR="006D1572" w:rsidRDefault="00744B12">
            <w:r>
              <w:t>Interference criteria for satellite passive remote sensing</w:t>
            </w:r>
            <w:r>
              <w:rPr>
                <w:highlight w:val="yellow"/>
              </w:rPr>
              <w:t xml:space="preserve"> </w:t>
            </w:r>
          </w:p>
        </w:tc>
      </w:tr>
      <w:tr w:rsidR="006D1572" w14:paraId="64584FFE" w14:textId="77777777">
        <w:tc>
          <w:tcPr>
            <w:tcW w:w="1814" w:type="dxa"/>
          </w:tcPr>
          <w:p w14:paraId="624E0465" w14:textId="77777777" w:rsidR="006D1572" w:rsidRDefault="00000000">
            <w:hyperlink r:id="rId17" w:history="1">
              <w:r w:rsidR="00744B12">
                <w:rPr>
                  <w:rStyle w:val="Hyperlink"/>
                  <w:rFonts w:eastAsiaTheme="minorEastAsia"/>
                  <w:lang w:eastAsia="zh-CN"/>
                </w:rPr>
                <w:t>ITU-R RS.1813</w:t>
              </w:r>
            </w:hyperlink>
          </w:p>
        </w:tc>
        <w:tc>
          <w:tcPr>
            <w:tcW w:w="8051" w:type="dxa"/>
          </w:tcPr>
          <w:p w14:paraId="660B8E20" w14:textId="77777777" w:rsidR="006D1572" w:rsidRDefault="00744B12">
            <w:r>
              <w:t>Reference antenna pattern for passive sensors operating in the Earth exploration-satellite service (passive) to be used in compatibility analyses in the frequency range 1.4-100 GHz</w:t>
            </w:r>
          </w:p>
        </w:tc>
      </w:tr>
      <w:tr w:rsidR="006D1572" w14:paraId="591E347B" w14:textId="77777777">
        <w:tc>
          <w:tcPr>
            <w:tcW w:w="1814" w:type="dxa"/>
          </w:tcPr>
          <w:p w14:paraId="2B01B278" w14:textId="77777777" w:rsidR="006D1572" w:rsidRDefault="00000000">
            <w:hyperlink r:id="rId18" w:history="1">
              <w:r w:rsidR="00744B12">
                <w:rPr>
                  <w:rStyle w:val="Hyperlink"/>
                </w:rPr>
                <w:t>ITU-R RS.1861</w:t>
              </w:r>
            </w:hyperlink>
          </w:p>
        </w:tc>
        <w:tc>
          <w:tcPr>
            <w:tcW w:w="8051" w:type="dxa"/>
          </w:tcPr>
          <w:p w14:paraId="7B286E59" w14:textId="77777777" w:rsidR="006D1572" w:rsidRDefault="00744B12">
            <w:r>
              <w:t>Typical technical and operational characteristics of Earth exploration-satellite service (passive) systems using allocations between 1.4 and 275 GHz</w:t>
            </w:r>
          </w:p>
        </w:tc>
      </w:tr>
      <w:tr w:rsidR="006D1572" w14:paraId="7A57051E" w14:textId="77777777">
        <w:tc>
          <w:tcPr>
            <w:tcW w:w="1814" w:type="dxa"/>
          </w:tcPr>
          <w:p w14:paraId="76D03F1A" w14:textId="77777777" w:rsidR="006D1572" w:rsidRDefault="00000000">
            <w:hyperlink r:id="rId19" w:history="1">
              <w:r w:rsidR="00744B12">
                <w:rPr>
                  <w:rStyle w:val="Hyperlink"/>
                </w:rPr>
                <w:t>ITU-R RS.2017</w:t>
              </w:r>
            </w:hyperlink>
          </w:p>
        </w:tc>
        <w:tc>
          <w:tcPr>
            <w:tcW w:w="8051" w:type="dxa"/>
          </w:tcPr>
          <w:p w14:paraId="2E11C248" w14:textId="77777777" w:rsidR="006D1572" w:rsidRDefault="00744B12">
            <w:r>
              <w:t>Performance and interference criteria for satellite passive remote sensing</w:t>
            </w:r>
          </w:p>
        </w:tc>
      </w:tr>
      <w:tr w:rsidR="006D1572" w14:paraId="2F8AC614" w14:textId="77777777">
        <w:tc>
          <w:tcPr>
            <w:tcW w:w="1814" w:type="dxa"/>
          </w:tcPr>
          <w:p w14:paraId="776C3C3E" w14:textId="77777777" w:rsidR="006D1572" w:rsidRDefault="00000000">
            <w:hyperlink r:id="rId20" w:history="1">
              <w:r w:rsidR="00744B12">
                <w:rPr>
                  <w:rStyle w:val="Hyperlink"/>
                </w:rPr>
                <w:t>ITU-R S.1340</w:t>
              </w:r>
            </w:hyperlink>
          </w:p>
        </w:tc>
        <w:tc>
          <w:tcPr>
            <w:tcW w:w="8051" w:type="dxa"/>
          </w:tcPr>
          <w:p w14:paraId="0E50098B" w14:textId="77777777" w:rsidR="006D1572" w:rsidRDefault="00744B12">
            <w:r>
              <w:t>Sharing between feeder links for the mobile-satellite service and the aeronautical radionavigation service in the Earth-to-space direction in the band 15.4-</w:t>
            </w:r>
            <w:r>
              <w:noBreakHyphen/>
              <w:t>15.7 GHz</w:t>
            </w:r>
          </w:p>
        </w:tc>
      </w:tr>
      <w:tr w:rsidR="006D1572" w14:paraId="21D3F1E3" w14:textId="77777777">
        <w:tc>
          <w:tcPr>
            <w:tcW w:w="1814" w:type="dxa"/>
          </w:tcPr>
          <w:p w14:paraId="79DDCA06" w14:textId="77777777" w:rsidR="006D1572" w:rsidRDefault="00000000">
            <w:hyperlink r:id="rId21" w:history="1">
              <w:r w:rsidR="00744B12">
                <w:rPr>
                  <w:rStyle w:val="Hyperlink"/>
                </w:rPr>
                <w:t>ITU-R S.1341</w:t>
              </w:r>
            </w:hyperlink>
          </w:p>
        </w:tc>
        <w:tc>
          <w:tcPr>
            <w:tcW w:w="8051" w:type="dxa"/>
          </w:tcPr>
          <w:p w14:paraId="4C9C4370" w14:textId="77777777" w:rsidR="006D1572" w:rsidRDefault="00744B12">
            <w:r>
              <w:t>Sharing between feeder links for the mobile-satellite service and the aeronautical radionavigation service in the space-to-Earth direction in the band 15.4</w:t>
            </w:r>
            <w:r>
              <w:noBreakHyphen/>
              <w:t>15.7 GHz and the protection of the radio astronomy service in the band 15.35-15.4 GHz</w:t>
            </w:r>
          </w:p>
        </w:tc>
      </w:tr>
      <w:tr w:rsidR="006D1572" w14:paraId="481F9E8E" w14:textId="77777777">
        <w:tc>
          <w:tcPr>
            <w:tcW w:w="1814" w:type="dxa"/>
          </w:tcPr>
          <w:p w14:paraId="5AF34EE8" w14:textId="77777777" w:rsidR="006D1572" w:rsidRDefault="00000000">
            <w:pPr>
              <w:rPr>
                <w:rFonts w:eastAsiaTheme="minorEastAsia"/>
              </w:rPr>
            </w:pPr>
            <w:hyperlink r:id="rId22" w:history="1">
              <w:r w:rsidR="00744B12">
                <w:rPr>
                  <w:rStyle w:val="Hyperlink"/>
                  <w:rFonts w:eastAsiaTheme="minorEastAsia"/>
                </w:rPr>
                <w:t>ITU-R</w:t>
              </w:r>
              <w:r w:rsidR="00744B12">
                <w:rPr>
                  <w:rStyle w:val="Hyperlink"/>
                  <w:rFonts w:eastAsiaTheme="minorEastAsia"/>
                  <w:lang w:eastAsia="zh-CN"/>
                </w:rPr>
                <w:t xml:space="preserve"> SA.509</w:t>
              </w:r>
            </w:hyperlink>
          </w:p>
        </w:tc>
        <w:tc>
          <w:tcPr>
            <w:tcW w:w="8051" w:type="dxa"/>
          </w:tcPr>
          <w:p w14:paraId="4326F206" w14:textId="77777777" w:rsidR="006D1572" w:rsidRDefault="00744B12">
            <w:r>
              <w:t>Space research earth station and radio astronomy reference antenna radiation pattern for use in interference calculations, including coordination procedures, for frequencies less than 30 GHz</w:t>
            </w:r>
            <w:r>
              <w:rPr>
                <w:highlight w:val="yellow"/>
              </w:rPr>
              <w:t xml:space="preserve"> </w:t>
            </w:r>
          </w:p>
        </w:tc>
      </w:tr>
      <w:tr w:rsidR="006D1572" w14:paraId="612286AD" w14:textId="77777777">
        <w:tc>
          <w:tcPr>
            <w:tcW w:w="1814" w:type="dxa"/>
          </w:tcPr>
          <w:p w14:paraId="00128748" w14:textId="77777777" w:rsidR="006D1572" w:rsidRDefault="00000000">
            <w:pPr>
              <w:rPr>
                <w:rFonts w:eastAsiaTheme="minorEastAsia"/>
              </w:rPr>
            </w:pPr>
            <w:hyperlink r:id="rId23" w:history="1">
              <w:r w:rsidR="00744B12">
                <w:rPr>
                  <w:rStyle w:val="Hyperlink"/>
                  <w:rFonts w:eastAsiaTheme="minorEastAsia"/>
                </w:rPr>
                <w:t>ITU-R</w:t>
              </w:r>
              <w:r w:rsidR="00744B12">
                <w:rPr>
                  <w:rStyle w:val="Hyperlink"/>
                  <w:rFonts w:eastAsiaTheme="minorEastAsia"/>
                  <w:lang w:eastAsia="zh-CN"/>
                </w:rPr>
                <w:t xml:space="preserve"> SA.510</w:t>
              </w:r>
            </w:hyperlink>
          </w:p>
        </w:tc>
        <w:tc>
          <w:tcPr>
            <w:tcW w:w="8051" w:type="dxa"/>
          </w:tcPr>
          <w:p w14:paraId="61DC7287" w14:textId="77777777" w:rsidR="006D1572" w:rsidRDefault="00744B12">
            <w:r>
              <w:t>Feasibility of frequency sharing between the space research service and other services in bands near 14 and 15 GHz - Potential interference from data relay satellite systems</w:t>
            </w:r>
          </w:p>
        </w:tc>
      </w:tr>
      <w:tr w:rsidR="006D1572" w14:paraId="18502335" w14:textId="77777777">
        <w:tc>
          <w:tcPr>
            <w:tcW w:w="1814" w:type="dxa"/>
          </w:tcPr>
          <w:p w14:paraId="049575F7" w14:textId="77777777" w:rsidR="006D1572" w:rsidRDefault="00744B12">
            <w:pPr>
              <w:rPr>
                <w:i/>
                <w:iCs/>
              </w:rPr>
            </w:pPr>
            <w:r>
              <w:rPr>
                <w:i/>
                <w:iCs/>
              </w:rPr>
              <w:t>Reports</w:t>
            </w:r>
          </w:p>
        </w:tc>
        <w:tc>
          <w:tcPr>
            <w:tcW w:w="8051" w:type="dxa"/>
          </w:tcPr>
          <w:p w14:paraId="74DB3368" w14:textId="77777777" w:rsidR="006D1572" w:rsidRDefault="006D1572">
            <w:pPr>
              <w:rPr>
                <w:i/>
                <w:iCs/>
              </w:rPr>
            </w:pPr>
          </w:p>
        </w:tc>
      </w:tr>
      <w:tr w:rsidR="006D1572" w14:paraId="08618123" w14:textId="77777777">
        <w:tc>
          <w:tcPr>
            <w:tcW w:w="1814" w:type="dxa"/>
          </w:tcPr>
          <w:p w14:paraId="556356A2" w14:textId="77777777" w:rsidR="006D1572" w:rsidRDefault="00000000">
            <w:pPr>
              <w:rPr>
                <w:highlight w:val="yellow"/>
              </w:rPr>
            </w:pPr>
            <w:hyperlink r:id="rId24" w:history="1">
              <w:r w:rsidR="00744B12">
                <w:rPr>
                  <w:rStyle w:val="Hyperlink"/>
                </w:rPr>
                <w:t>ITU-R M.2170</w:t>
              </w:r>
            </w:hyperlink>
          </w:p>
        </w:tc>
        <w:tc>
          <w:tcPr>
            <w:tcW w:w="8051" w:type="dxa"/>
          </w:tcPr>
          <w:p w14:paraId="5EFF6F66" w14:textId="77777777" w:rsidR="006D1572" w:rsidRDefault="00744B12">
            <w:r>
              <w:t>Compatibility analysis and results for radiolocation systems planned to operate in the 15.4 to 17.3 GHz band and aircraft landing system operating in the 15.4</w:t>
            </w:r>
            <w:r>
              <w:noBreakHyphen/>
              <w:t>15.7 GHz band as well as the radio astronomy service operating in the adjacent band 15.35-15.40 GHz, FSS systems and aeronautical radionavigation systems</w:t>
            </w:r>
          </w:p>
        </w:tc>
      </w:tr>
      <w:tr w:rsidR="006D1572" w14:paraId="7AA56F7C" w14:textId="77777777">
        <w:tc>
          <w:tcPr>
            <w:tcW w:w="1814" w:type="dxa"/>
          </w:tcPr>
          <w:p w14:paraId="1FA3D077" w14:textId="77777777" w:rsidR="006D1572" w:rsidRDefault="00000000">
            <w:hyperlink r:id="rId25" w:history="1">
              <w:r w:rsidR="00744B12">
                <w:rPr>
                  <w:rStyle w:val="Hyperlink"/>
                  <w:rFonts w:eastAsiaTheme="minorEastAsia"/>
                  <w:lang w:eastAsia="zh-CN"/>
                </w:rPr>
                <w:t>ITU-R M.2229</w:t>
              </w:r>
            </w:hyperlink>
          </w:p>
        </w:tc>
        <w:tc>
          <w:tcPr>
            <w:tcW w:w="8051" w:type="dxa"/>
          </w:tcPr>
          <w:p w14:paraId="6A813A46" w14:textId="77777777" w:rsidR="006D1572" w:rsidRDefault="00744B12">
            <w:r>
              <w:t>Compatibility study to support line-of-sight control and non-payload communications links for unmanned aircraft systems proposed in the frequency band 15.4-15.5 GHz</w:t>
            </w:r>
            <w:r>
              <w:rPr>
                <w:highlight w:val="yellow"/>
              </w:rPr>
              <w:t xml:space="preserve"> </w:t>
            </w:r>
          </w:p>
        </w:tc>
      </w:tr>
      <w:tr w:rsidR="006D1572" w14:paraId="074612A7" w14:textId="77777777">
        <w:tc>
          <w:tcPr>
            <w:tcW w:w="1814" w:type="dxa"/>
          </w:tcPr>
          <w:p w14:paraId="37B2E301" w14:textId="77777777" w:rsidR="006D1572" w:rsidRDefault="00000000">
            <w:hyperlink r:id="rId26" w:history="1">
              <w:r w:rsidR="00744B12">
                <w:rPr>
                  <w:rStyle w:val="Hyperlink"/>
                  <w:rFonts w:eastAsiaTheme="minorEastAsia"/>
                  <w:lang w:eastAsia="zh-CN"/>
                </w:rPr>
                <w:t>ITU-R M.2230</w:t>
              </w:r>
            </w:hyperlink>
          </w:p>
        </w:tc>
        <w:tc>
          <w:tcPr>
            <w:tcW w:w="8051" w:type="dxa"/>
          </w:tcPr>
          <w:p w14:paraId="64BB7A0C" w14:textId="77777777" w:rsidR="006D1572" w:rsidRDefault="00744B12">
            <w:r>
              <w:t>Frequency sharing between unmanned aircraft systems for beyond line of sight control and non-payload communications links and other existing and planned services in the frequency bands 13.25-13.40 GHz, 15.4-15.7 GHz, 22.5</w:t>
            </w:r>
            <w:r>
              <w:noBreakHyphen/>
              <w:t>22.55 GHz and 23.55-23.60 GHz</w:t>
            </w:r>
          </w:p>
        </w:tc>
      </w:tr>
      <w:tr w:rsidR="006D1572" w14:paraId="26B6842D" w14:textId="77777777">
        <w:tc>
          <w:tcPr>
            <w:tcW w:w="1814" w:type="dxa"/>
          </w:tcPr>
          <w:p w14:paraId="2646408D" w14:textId="77777777" w:rsidR="006D1572" w:rsidRDefault="00000000">
            <w:hyperlink r:id="rId27" w:history="1">
              <w:r w:rsidR="00744B12">
                <w:rPr>
                  <w:rStyle w:val="Hyperlink"/>
                  <w:spacing w:val="-2"/>
                </w:rPr>
                <w:t>ITU-R RA.2131</w:t>
              </w:r>
            </w:hyperlink>
          </w:p>
        </w:tc>
        <w:tc>
          <w:tcPr>
            <w:tcW w:w="8051" w:type="dxa"/>
          </w:tcPr>
          <w:p w14:paraId="70271751" w14:textId="77777777" w:rsidR="006D1572" w:rsidRDefault="00744B12">
            <w:r>
              <w:t>Supplementary information on the detrimental threshold levels of interference to radio astronomy observations in Recommendation ITU-R RA.769</w:t>
            </w:r>
          </w:p>
        </w:tc>
      </w:tr>
    </w:tbl>
    <w:p w14:paraId="42F96EAA" w14:textId="77777777" w:rsidR="006D1572" w:rsidRDefault="00744B12">
      <w:pPr>
        <w:spacing w:after="160"/>
        <w:jc w:val="both"/>
        <w:rPr>
          <w:rFonts w:eastAsiaTheme="minorEastAsia"/>
          <w:lang w:eastAsia="zh-CN"/>
        </w:rPr>
      </w:pPr>
      <w:r>
        <w:rPr>
          <w:rFonts w:eastAsiaTheme="minorEastAsia"/>
          <w:lang w:eastAsia="zh-CN"/>
        </w:rPr>
        <w:t>WDPDN Recommendation ITU-R M.[15.4-15.7 GHz ARNS] Characteristics of and protection criteria for radars operating in the aeronautical radionavigation service in the frequency band 15.4</w:t>
      </w:r>
      <w:r>
        <w:rPr>
          <w:rFonts w:eastAsiaTheme="minorEastAsia"/>
          <w:lang w:eastAsia="zh-CN"/>
        </w:rPr>
        <w:noBreakHyphen/>
        <w:t>15.7 GHz.</w:t>
      </w:r>
    </w:p>
    <w:p w14:paraId="76175210" w14:textId="77777777" w:rsidR="006D1572" w:rsidRDefault="006D1572">
      <w:pPr>
        <w:tabs>
          <w:tab w:val="left" w:pos="1134"/>
          <w:tab w:val="left" w:pos="1871"/>
          <w:tab w:val="left" w:pos="2268"/>
        </w:tabs>
        <w:overflowPunct w:val="0"/>
        <w:autoSpaceDE w:val="0"/>
        <w:autoSpaceDN w:val="0"/>
        <w:adjustRightInd w:val="0"/>
        <w:spacing w:before="120"/>
        <w:jc w:val="both"/>
        <w:textAlignment w:val="baseline"/>
      </w:pPr>
    </w:p>
    <w:p w14:paraId="77B415A3" w14:textId="77777777" w:rsidR="006D1572" w:rsidRDefault="00744B12">
      <w:pPr>
        <w:spacing w:after="120"/>
        <w:jc w:val="both"/>
        <w:rPr>
          <w:b/>
          <w:lang w:val="en-NZ" w:eastAsia="ko-KR"/>
        </w:rPr>
      </w:pPr>
      <w:r>
        <w:rPr>
          <w:b/>
          <w:lang w:val="en-NZ" w:eastAsia="ko-KR"/>
        </w:rPr>
        <w:t xml:space="preserve">2. </w:t>
      </w:r>
      <w:r>
        <w:rPr>
          <w:b/>
          <w:lang w:val="en-NZ" w:eastAsia="ko-KR"/>
        </w:rPr>
        <w:tab/>
        <w:t>Documents</w:t>
      </w:r>
    </w:p>
    <w:p w14:paraId="52AF08B9" w14:textId="77777777" w:rsidR="006D1572" w:rsidRDefault="00744B12">
      <w:pPr>
        <w:numPr>
          <w:ilvl w:val="0"/>
          <w:numId w:val="3"/>
        </w:numPr>
        <w:ind w:leftChars="145" w:left="708"/>
        <w:jc w:val="both"/>
        <w:rPr>
          <w:lang w:val="en-NZ"/>
        </w:rPr>
      </w:pPr>
      <w:r>
        <w:rPr>
          <w:lang w:val="en-NZ"/>
        </w:rPr>
        <w:t>Input Documents: APG23-5/INP-</w:t>
      </w:r>
      <w:r>
        <w:rPr>
          <w:rFonts w:eastAsiaTheme="minorEastAsia" w:hint="eastAsia"/>
          <w:lang w:val="en-NZ" w:eastAsia="zh-CN"/>
        </w:rPr>
        <w:t>15</w:t>
      </w:r>
      <w:r>
        <w:rPr>
          <w:lang w:val="en-NZ"/>
        </w:rPr>
        <w:t>(</w:t>
      </w:r>
      <w:r>
        <w:rPr>
          <w:rFonts w:eastAsia="SimSun"/>
          <w:iCs/>
          <w:lang w:val="en-NZ" w:eastAsia="zh-CN"/>
        </w:rPr>
        <w:t>J</w:t>
      </w:r>
      <w:r>
        <w:rPr>
          <w:lang w:val="en-NZ"/>
        </w:rPr>
        <w:t>), APG23-5/INP-</w:t>
      </w:r>
      <w:r>
        <w:rPr>
          <w:rFonts w:eastAsiaTheme="minorEastAsia" w:hint="eastAsia"/>
          <w:lang w:val="en-NZ" w:eastAsia="zh-CN"/>
        </w:rPr>
        <w:t>27</w:t>
      </w:r>
      <w:r>
        <w:rPr>
          <w:lang w:val="en-NZ"/>
        </w:rPr>
        <w:t>(</w:t>
      </w:r>
      <w:r>
        <w:rPr>
          <w:rFonts w:eastAsia="SimSun" w:hint="eastAsia"/>
          <w:iCs/>
          <w:lang w:val="en-NZ" w:eastAsia="zh-CN"/>
        </w:rPr>
        <w:t>IND</w:t>
      </w:r>
      <w:r>
        <w:rPr>
          <w:lang w:val="en-NZ"/>
        </w:rPr>
        <w:t>), APG23-5/INP</w:t>
      </w:r>
      <w:r>
        <w:rPr>
          <w:rFonts w:eastAsiaTheme="minorEastAsia" w:hint="eastAsia"/>
          <w:lang w:val="en-NZ" w:eastAsia="zh-CN"/>
        </w:rPr>
        <w:t>-33</w:t>
      </w:r>
      <w:r>
        <w:rPr>
          <w:lang w:val="en-NZ"/>
        </w:rPr>
        <w:t>(</w:t>
      </w:r>
      <w:r>
        <w:rPr>
          <w:rFonts w:eastAsia="SimSun" w:hint="eastAsia"/>
          <w:iCs/>
          <w:lang w:val="en-NZ" w:eastAsia="zh-CN"/>
        </w:rPr>
        <w:t>BGD</w:t>
      </w:r>
      <w:r>
        <w:rPr>
          <w:lang w:val="en-NZ"/>
        </w:rPr>
        <w:t>),</w:t>
      </w:r>
      <w:r>
        <w:rPr>
          <w:rFonts w:eastAsiaTheme="minorEastAsia" w:hint="eastAsia"/>
          <w:lang w:val="en-NZ" w:eastAsia="zh-CN"/>
        </w:rPr>
        <w:t xml:space="preserve"> </w:t>
      </w:r>
      <w:r>
        <w:rPr>
          <w:lang w:val="en-NZ"/>
        </w:rPr>
        <w:t>APG23-5/INP-</w:t>
      </w:r>
      <w:r>
        <w:rPr>
          <w:rFonts w:eastAsiaTheme="minorEastAsia" w:hint="eastAsia"/>
          <w:lang w:val="en-NZ" w:eastAsia="zh-CN"/>
        </w:rPr>
        <w:t>37</w:t>
      </w:r>
      <w:r>
        <w:rPr>
          <w:lang w:val="en-NZ"/>
        </w:rPr>
        <w:t>(</w:t>
      </w:r>
      <w:r>
        <w:rPr>
          <w:rFonts w:eastAsia="SimSun" w:hint="eastAsia"/>
          <w:iCs/>
          <w:lang w:val="en-NZ" w:eastAsia="zh-CN"/>
        </w:rPr>
        <w:t>IRN</w:t>
      </w:r>
      <w:r>
        <w:rPr>
          <w:lang w:val="en-NZ"/>
        </w:rPr>
        <w:t>), APG23-5/INP-</w:t>
      </w:r>
      <w:r>
        <w:rPr>
          <w:rFonts w:eastAsiaTheme="minorEastAsia" w:hint="eastAsia"/>
          <w:lang w:val="en-NZ" w:eastAsia="zh-CN"/>
        </w:rPr>
        <w:t>53</w:t>
      </w:r>
      <w:r>
        <w:rPr>
          <w:lang w:val="en-NZ"/>
        </w:rPr>
        <w:t>(</w:t>
      </w:r>
      <w:r>
        <w:rPr>
          <w:rFonts w:eastAsia="SimSun"/>
          <w:iCs/>
          <w:lang w:val="en-NZ" w:eastAsia="zh-CN"/>
        </w:rPr>
        <w:t>VTN</w:t>
      </w:r>
      <w:r>
        <w:rPr>
          <w:lang w:val="en-NZ"/>
        </w:rPr>
        <w:t>), APG23-5/INP-</w:t>
      </w:r>
      <w:r>
        <w:rPr>
          <w:rFonts w:eastAsiaTheme="minorEastAsia" w:hint="eastAsia"/>
          <w:lang w:val="en-NZ" w:eastAsia="zh-CN"/>
        </w:rPr>
        <w:t>57</w:t>
      </w:r>
      <w:r>
        <w:rPr>
          <w:lang w:val="en-NZ"/>
        </w:rPr>
        <w:t>(</w:t>
      </w:r>
      <w:r>
        <w:rPr>
          <w:rFonts w:eastAsia="SimSun"/>
          <w:iCs/>
          <w:lang w:eastAsia="zh-CN"/>
        </w:rPr>
        <w:t>AUS</w:t>
      </w:r>
      <w:r>
        <w:rPr>
          <w:lang w:val="en-NZ"/>
        </w:rPr>
        <w:t>), APG23-5/INP-</w:t>
      </w:r>
      <w:r>
        <w:rPr>
          <w:rFonts w:eastAsiaTheme="minorEastAsia" w:hint="eastAsia"/>
          <w:lang w:val="en-NZ" w:eastAsia="zh-CN"/>
        </w:rPr>
        <w:t>64</w:t>
      </w:r>
      <w:r>
        <w:rPr>
          <w:lang w:val="en-NZ"/>
        </w:rPr>
        <w:t>(</w:t>
      </w:r>
      <w:r>
        <w:rPr>
          <w:rFonts w:eastAsia="SimSun"/>
          <w:iCs/>
          <w:lang w:eastAsia="zh-CN"/>
        </w:rPr>
        <w:t>KOR</w:t>
      </w:r>
      <w:r>
        <w:rPr>
          <w:lang w:val="en-NZ"/>
        </w:rPr>
        <w:t>), APG23-5/INP-</w:t>
      </w:r>
      <w:r>
        <w:rPr>
          <w:rFonts w:eastAsiaTheme="minorEastAsia" w:hint="eastAsia"/>
          <w:lang w:val="en-NZ" w:eastAsia="zh-CN"/>
        </w:rPr>
        <w:t>89</w:t>
      </w:r>
      <w:r>
        <w:rPr>
          <w:lang w:val="en-NZ"/>
        </w:rPr>
        <w:t>(</w:t>
      </w:r>
      <w:r>
        <w:rPr>
          <w:rFonts w:eastAsia="SimSun"/>
          <w:iCs/>
          <w:lang w:eastAsia="zh-CN"/>
        </w:rPr>
        <w:t>CHN</w:t>
      </w:r>
      <w:r>
        <w:rPr>
          <w:lang w:val="en-NZ"/>
        </w:rPr>
        <w:t>).</w:t>
      </w:r>
    </w:p>
    <w:p w14:paraId="1FEE7A73" w14:textId="77777777" w:rsidR="006D1572" w:rsidRDefault="00744B12">
      <w:pPr>
        <w:numPr>
          <w:ilvl w:val="0"/>
          <w:numId w:val="3"/>
        </w:numPr>
        <w:ind w:leftChars="145" w:left="708"/>
        <w:jc w:val="both"/>
        <w:rPr>
          <w:lang w:val="en-NZ"/>
        </w:rPr>
      </w:pPr>
      <w:r>
        <w:rPr>
          <w:lang w:val="en-NZ"/>
        </w:rPr>
        <w:t>Information Documents: APG23-5/INF-0</w:t>
      </w:r>
      <w:r>
        <w:rPr>
          <w:rFonts w:eastAsiaTheme="minorEastAsia" w:hint="eastAsia"/>
          <w:lang w:val="en-NZ" w:eastAsia="zh-CN"/>
        </w:rPr>
        <w:t>1</w:t>
      </w:r>
      <w:r>
        <w:rPr>
          <w:lang w:val="en-NZ"/>
        </w:rPr>
        <w:t>(WMO), APG23-5/INF-</w:t>
      </w:r>
      <w:r>
        <w:rPr>
          <w:rFonts w:eastAsiaTheme="minorEastAsia" w:hint="eastAsia"/>
          <w:lang w:val="en-NZ" w:eastAsia="zh-CN"/>
        </w:rPr>
        <w:t>39</w:t>
      </w:r>
      <w:r>
        <w:rPr>
          <w:lang w:val="en-NZ"/>
        </w:rPr>
        <w:t>(CEPT), APG23-5/INF-</w:t>
      </w:r>
      <w:r>
        <w:rPr>
          <w:rFonts w:eastAsiaTheme="minorEastAsia" w:hint="eastAsia"/>
          <w:lang w:val="en-NZ" w:eastAsia="zh-CN"/>
        </w:rPr>
        <w:t>43</w:t>
      </w:r>
      <w:r>
        <w:rPr>
          <w:lang w:val="en-NZ"/>
        </w:rPr>
        <w:t>(</w:t>
      </w:r>
      <w:r>
        <w:rPr>
          <w:rFonts w:eastAsiaTheme="minorEastAsia" w:hint="eastAsia"/>
          <w:lang w:val="en-NZ" w:eastAsia="zh-CN"/>
        </w:rPr>
        <w:t>CITEL</w:t>
      </w:r>
      <w:r>
        <w:rPr>
          <w:lang w:val="en-NZ"/>
        </w:rPr>
        <w:t>), APG23-5/INF-4</w:t>
      </w:r>
      <w:r>
        <w:rPr>
          <w:rFonts w:eastAsiaTheme="minorEastAsia" w:hint="eastAsia"/>
          <w:lang w:val="en-NZ" w:eastAsia="zh-CN"/>
        </w:rPr>
        <w:t>5</w:t>
      </w:r>
      <w:r>
        <w:rPr>
          <w:lang w:val="en-NZ"/>
        </w:rPr>
        <w:t>(RCC).</w:t>
      </w:r>
    </w:p>
    <w:p w14:paraId="1ADC4E12" w14:textId="77777777" w:rsidR="006D1572" w:rsidRDefault="006D1572">
      <w:pPr>
        <w:ind w:leftChars="145" w:left="348"/>
        <w:jc w:val="both"/>
        <w:rPr>
          <w:lang w:val="en-NZ"/>
        </w:rPr>
      </w:pPr>
    </w:p>
    <w:p w14:paraId="10ABB62C" w14:textId="77777777" w:rsidR="006D1572" w:rsidRDefault="00744B12">
      <w:pPr>
        <w:spacing w:after="120"/>
        <w:jc w:val="both"/>
        <w:rPr>
          <w:b/>
          <w:lang w:val="en-NZ" w:eastAsia="ko-KR"/>
        </w:rPr>
      </w:pPr>
      <w:r>
        <w:rPr>
          <w:b/>
          <w:lang w:val="en-NZ" w:eastAsia="ko-KR"/>
        </w:rPr>
        <w:t xml:space="preserve">3. </w:t>
      </w:r>
      <w:r>
        <w:rPr>
          <w:b/>
          <w:lang w:val="en-NZ" w:eastAsia="ko-KR"/>
        </w:rPr>
        <w:tab/>
        <w:t>Summary of discussions</w:t>
      </w:r>
    </w:p>
    <w:p w14:paraId="26788137" w14:textId="77777777" w:rsidR="006D1572" w:rsidRDefault="00744B12">
      <w:pPr>
        <w:spacing w:after="120"/>
        <w:jc w:val="both"/>
        <w:rPr>
          <w:b/>
          <w:lang w:val="en-NZ" w:eastAsia="ko-KR"/>
        </w:rPr>
      </w:pPr>
      <w:r>
        <w:rPr>
          <w:b/>
          <w:lang w:val="en-NZ" w:eastAsia="ko-KR"/>
        </w:rPr>
        <w:t>3.1</w:t>
      </w:r>
      <w:r>
        <w:rPr>
          <w:b/>
          <w:lang w:val="en-NZ" w:eastAsia="ko-KR"/>
        </w:rPr>
        <w:tab/>
        <w:t>S</w:t>
      </w:r>
      <w:r>
        <w:rPr>
          <w:rFonts w:hint="eastAsia"/>
          <w:b/>
          <w:lang w:val="en-NZ" w:eastAsia="ko-KR"/>
        </w:rPr>
        <w:t xml:space="preserve">ummary </w:t>
      </w:r>
      <w:r>
        <w:rPr>
          <w:b/>
          <w:lang w:val="en-NZ" w:eastAsia="ko-KR"/>
        </w:rPr>
        <w:t>of APT Members’ views</w:t>
      </w:r>
    </w:p>
    <w:p w14:paraId="7801DC8A" w14:textId="77777777" w:rsidR="006D1572" w:rsidRDefault="00744B12">
      <w:pPr>
        <w:spacing w:after="120"/>
        <w:jc w:val="both"/>
        <w:rPr>
          <w:rFonts w:eastAsiaTheme="minorEastAsia"/>
          <w:b/>
          <w:lang w:val="en-NZ" w:eastAsia="zh-CN"/>
        </w:rPr>
      </w:pPr>
      <w:r>
        <w:rPr>
          <w:b/>
          <w:lang w:val="en-NZ" w:eastAsia="ko-KR"/>
        </w:rPr>
        <w:t>3.1</w:t>
      </w:r>
      <w:r>
        <w:rPr>
          <w:rFonts w:eastAsiaTheme="minorEastAsia" w:hint="eastAsia"/>
          <w:b/>
          <w:lang w:val="en-NZ" w:eastAsia="zh-CN"/>
        </w:rPr>
        <w:t>.1</w:t>
      </w:r>
      <w:r>
        <w:rPr>
          <w:b/>
          <w:lang w:val="en-NZ" w:eastAsia="ko-KR"/>
        </w:rPr>
        <w:t xml:space="preserve"> </w:t>
      </w:r>
      <w:r>
        <w:rPr>
          <w:b/>
          <w:lang w:val="en-NZ" w:eastAsia="ko-KR"/>
        </w:rPr>
        <w:tab/>
        <w:t xml:space="preserve">Japan </w:t>
      </w:r>
      <w:r>
        <w:t xml:space="preserve">- </w:t>
      </w:r>
      <w:r>
        <w:rPr>
          <w:b/>
          <w:lang w:val="en-NZ" w:eastAsia="ko-KR"/>
        </w:rPr>
        <w:t>Document APG23-5/INP-</w:t>
      </w:r>
      <w:r>
        <w:rPr>
          <w:rFonts w:eastAsiaTheme="minorEastAsia" w:hint="eastAsia"/>
          <w:b/>
          <w:lang w:val="en-NZ" w:eastAsia="zh-CN"/>
        </w:rPr>
        <w:t>15</w:t>
      </w:r>
    </w:p>
    <w:p w14:paraId="7A7697DC" w14:textId="77777777" w:rsidR="006D1572" w:rsidRDefault="00744B12">
      <w:pPr>
        <w:ind w:left="348"/>
        <w:jc w:val="both"/>
      </w:pPr>
      <w:r>
        <w:t xml:space="preserve">Japan supports further ITU-R studies on spectrum needs, coexistence with radiocommunication services and regulatory measures for possible new allocations for the aeronautical mobile service for the use of non-safety aeronautical mobile applications, in accordance with Resolution </w:t>
      </w:r>
      <w:r>
        <w:rPr>
          <w:b/>
        </w:rPr>
        <w:t>430 (WRC-19)</w:t>
      </w:r>
      <w:r>
        <w:t>.</w:t>
      </w:r>
    </w:p>
    <w:p w14:paraId="32ACCB55" w14:textId="77777777" w:rsidR="006D1572" w:rsidRDefault="00744B12">
      <w:pPr>
        <w:ind w:left="348"/>
        <w:jc w:val="both"/>
      </w:pPr>
      <w:r>
        <w:t>For 15.4-15.7 GHz, Japan is of the view that harmful interference to existing primary services in the same frequency band (FSS (Fixed Satellite Service) (earth to space), ARNS (Aeronautical Radio Navigation Service), RLS (Radiolocation Service)), and in the adjacent frequency bands (RA(Radio Astronomy), EESS(Earth Exploration Satellite Service) (passive), SRS(Space Research Service) (passive), and RLS (Radiolocation Service)) should be avoided.</w:t>
      </w:r>
    </w:p>
    <w:p w14:paraId="2A0151D3" w14:textId="77777777" w:rsidR="006D1572" w:rsidRDefault="00744B12">
      <w:pPr>
        <w:ind w:left="348"/>
        <w:jc w:val="both"/>
        <w:rPr>
          <w:rFonts w:eastAsiaTheme="minorEastAsia"/>
          <w:lang w:val="en-NZ" w:eastAsia="zh-CN"/>
        </w:rPr>
      </w:pPr>
      <w:r>
        <w:t>For 22-22.21 GHz, Japan is also of the view that harmful interference to existing primary services in the same frequency band (FS (Fixed Service), MS (Mobile Service), and in adjacent frequency bands (FS (Fixed Service), MS(Mobile Service), BS(Broadcasting Service), BSS(Broadcasting Satellite Service), EESS(Earth Exploration Satellite Service) (passive), SRS(Space Research Service) (passive), and RA(Radio Astronomy)) should be avoided.</w:t>
      </w:r>
    </w:p>
    <w:p w14:paraId="0FACCC3E" w14:textId="77777777" w:rsidR="006D1572" w:rsidRDefault="006D1572">
      <w:pPr>
        <w:ind w:left="348"/>
        <w:jc w:val="both"/>
        <w:rPr>
          <w:rFonts w:eastAsiaTheme="minorEastAsia"/>
          <w:lang w:val="en-NZ" w:eastAsia="zh-CN"/>
        </w:rPr>
      </w:pPr>
    </w:p>
    <w:p w14:paraId="73243006" w14:textId="77777777" w:rsidR="006D1572" w:rsidRDefault="00744B12">
      <w:pPr>
        <w:spacing w:after="120"/>
        <w:jc w:val="both"/>
        <w:rPr>
          <w:rFonts w:eastAsiaTheme="minorEastAsia"/>
          <w:b/>
          <w:lang w:val="en-NZ" w:eastAsia="zh-CN"/>
        </w:rPr>
      </w:pPr>
      <w:r>
        <w:rPr>
          <w:b/>
          <w:lang w:val="en-NZ" w:eastAsia="ko-KR"/>
        </w:rPr>
        <w:t>3.1.</w:t>
      </w:r>
      <w:r>
        <w:rPr>
          <w:rFonts w:eastAsiaTheme="minorEastAsia" w:hint="eastAsia"/>
          <w:b/>
          <w:lang w:val="en-NZ" w:eastAsia="zh-CN"/>
        </w:rPr>
        <w:t>2</w:t>
      </w:r>
      <w:r>
        <w:rPr>
          <w:b/>
          <w:lang w:val="en-NZ" w:eastAsia="ko-KR"/>
        </w:rPr>
        <w:t xml:space="preserve"> </w:t>
      </w:r>
      <w:r>
        <w:rPr>
          <w:b/>
          <w:lang w:val="en-NZ" w:eastAsia="ko-KR"/>
        </w:rPr>
        <w:tab/>
      </w:r>
      <w:r>
        <w:rPr>
          <w:rFonts w:eastAsiaTheme="minorEastAsia" w:hint="eastAsia"/>
          <w:b/>
          <w:lang w:val="en-NZ" w:eastAsia="zh-CN"/>
        </w:rPr>
        <w:t>India</w:t>
      </w:r>
      <w:r>
        <w:rPr>
          <w:b/>
          <w:lang w:val="en-NZ" w:eastAsia="ko-KR"/>
        </w:rPr>
        <w:t xml:space="preserve"> </w:t>
      </w:r>
      <w:r>
        <w:t xml:space="preserve">- </w:t>
      </w:r>
      <w:r>
        <w:rPr>
          <w:b/>
          <w:lang w:val="en-NZ" w:eastAsia="ko-KR"/>
        </w:rPr>
        <w:t>Document APG23-5/INP-</w:t>
      </w:r>
      <w:r>
        <w:rPr>
          <w:rFonts w:eastAsiaTheme="minorEastAsia" w:hint="eastAsia"/>
          <w:b/>
          <w:lang w:val="en-NZ" w:eastAsia="zh-CN"/>
        </w:rPr>
        <w:t>27</w:t>
      </w:r>
    </w:p>
    <w:p w14:paraId="4E535DA6" w14:textId="77777777" w:rsidR="006D1572" w:rsidRDefault="00744B12">
      <w:pPr>
        <w:ind w:left="348"/>
        <w:jc w:val="both"/>
        <w:rPr>
          <w:lang w:val="en-NZ"/>
        </w:rPr>
      </w:pPr>
      <w:r>
        <w:rPr>
          <w:lang w:val="en-GB"/>
        </w:rPr>
        <w:t>India supports NOC for this Agenda Item.</w:t>
      </w:r>
    </w:p>
    <w:p w14:paraId="6F3C92BA" w14:textId="77777777" w:rsidR="006D1572" w:rsidRDefault="006D1572">
      <w:pPr>
        <w:jc w:val="both"/>
        <w:rPr>
          <w:lang w:val="en-NZ"/>
        </w:rPr>
      </w:pPr>
    </w:p>
    <w:p w14:paraId="01D5D938" w14:textId="77777777" w:rsidR="006D1572" w:rsidRDefault="00744B12">
      <w:pPr>
        <w:spacing w:after="120"/>
        <w:jc w:val="both"/>
        <w:rPr>
          <w:rFonts w:eastAsiaTheme="minorEastAsia"/>
          <w:b/>
          <w:lang w:val="en-NZ" w:eastAsia="zh-CN"/>
        </w:rPr>
      </w:pPr>
      <w:r>
        <w:rPr>
          <w:b/>
          <w:lang w:val="en-NZ" w:eastAsia="ko-KR"/>
        </w:rPr>
        <w:t>3.1.</w:t>
      </w:r>
      <w:r>
        <w:rPr>
          <w:rFonts w:eastAsiaTheme="minorEastAsia" w:hint="eastAsia"/>
          <w:b/>
          <w:lang w:val="en-NZ" w:eastAsia="zh-CN"/>
        </w:rPr>
        <w:t>3</w:t>
      </w:r>
      <w:r>
        <w:rPr>
          <w:b/>
          <w:lang w:val="en-NZ" w:eastAsia="ko-KR"/>
        </w:rPr>
        <w:t xml:space="preserve"> </w:t>
      </w:r>
      <w:r>
        <w:rPr>
          <w:b/>
          <w:lang w:val="en-NZ" w:eastAsia="ko-KR"/>
        </w:rPr>
        <w:tab/>
        <w:t xml:space="preserve">Bangladesh </w:t>
      </w:r>
      <w:r>
        <w:t xml:space="preserve">- </w:t>
      </w:r>
      <w:r>
        <w:rPr>
          <w:b/>
          <w:lang w:val="en-NZ" w:eastAsia="ko-KR"/>
        </w:rPr>
        <w:t>Document APG23-5/INP-</w:t>
      </w:r>
      <w:r>
        <w:rPr>
          <w:rFonts w:eastAsiaTheme="minorEastAsia" w:hint="eastAsia"/>
          <w:b/>
          <w:lang w:val="en-NZ" w:eastAsia="zh-CN"/>
        </w:rPr>
        <w:t>33</w:t>
      </w:r>
    </w:p>
    <w:p w14:paraId="03FADF56" w14:textId="77777777" w:rsidR="006D1572" w:rsidRDefault="00744B12">
      <w:pPr>
        <w:ind w:left="348"/>
        <w:jc w:val="both"/>
        <w:rPr>
          <w:rFonts w:eastAsiaTheme="minorEastAsia"/>
          <w:lang w:val="en-NZ" w:eastAsia="zh-CN"/>
        </w:rPr>
      </w:pPr>
      <w:r>
        <w:t>To satisfy this agenda item, Bangladesh administration supports method B of the draft CPM report to WRC-2023. However, method D could be supported if fixed service is protected from aeronautical mobile service (AMS).</w:t>
      </w:r>
    </w:p>
    <w:p w14:paraId="4A569D3E" w14:textId="488CE0CA" w:rsidR="006D1572" w:rsidRDefault="006D1572">
      <w:pPr>
        <w:ind w:left="348"/>
        <w:jc w:val="both"/>
        <w:rPr>
          <w:rFonts w:eastAsiaTheme="minorEastAsia"/>
          <w:lang w:val="en-NZ" w:eastAsia="zh-CN"/>
        </w:rPr>
      </w:pPr>
    </w:p>
    <w:p w14:paraId="5F989121" w14:textId="7B048077" w:rsidR="00B90203" w:rsidRDefault="00B90203">
      <w:pPr>
        <w:ind w:left="348"/>
        <w:jc w:val="both"/>
        <w:rPr>
          <w:rFonts w:eastAsiaTheme="minorEastAsia"/>
          <w:lang w:val="en-NZ" w:eastAsia="zh-CN"/>
        </w:rPr>
      </w:pPr>
    </w:p>
    <w:p w14:paraId="76C1617E" w14:textId="77777777" w:rsidR="00B90203" w:rsidRDefault="00B90203">
      <w:pPr>
        <w:ind w:left="348"/>
        <w:jc w:val="both"/>
        <w:rPr>
          <w:rFonts w:eastAsiaTheme="minorEastAsia"/>
          <w:lang w:val="en-NZ" w:eastAsia="zh-CN"/>
        </w:rPr>
      </w:pPr>
    </w:p>
    <w:p w14:paraId="77DB2A6E" w14:textId="77777777" w:rsidR="006D1572" w:rsidRDefault="00744B12">
      <w:pPr>
        <w:spacing w:after="120"/>
        <w:jc w:val="both"/>
        <w:rPr>
          <w:rFonts w:eastAsiaTheme="minorEastAsia"/>
          <w:b/>
          <w:lang w:val="en-NZ" w:eastAsia="zh-CN"/>
        </w:rPr>
      </w:pPr>
      <w:r>
        <w:rPr>
          <w:b/>
          <w:lang w:val="en-NZ" w:eastAsia="ko-KR"/>
        </w:rPr>
        <w:lastRenderedPageBreak/>
        <w:t>3.1.</w:t>
      </w:r>
      <w:r>
        <w:rPr>
          <w:rFonts w:eastAsiaTheme="minorEastAsia" w:hint="eastAsia"/>
          <w:b/>
          <w:lang w:val="en-NZ" w:eastAsia="zh-CN"/>
        </w:rPr>
        <w:t>4</w:t>
      </w:r>
      <w:r>
        <w:rPr>
          <w:b/>
          <w:lang w:val="en-NZ" w:eastAsia="ko-KR"/>
        </w:rPr>
        <w:t xml:space="preserve"> </w:t>
      </w:r>
      <w:r>
        <w:rPr>
          <w:b/>
          <w:lang w:val="en-NZ" w:eastAsia="ko-KR"/>
        </w:rPr>
        <w:tab/>
      </w:r>
      <w:r>
        <w:rPr>
          <w:rFonts w:eastAsiaTheme="minorEastAsia" w:hint="eastAsia"/>
          <w:b/>
          <w:lang w:val="en-NZ" w:eastAsia="zh-CN"/>
        </w:rPr>
        <w:t>Iran</w:t>
      </w:r>
      <w:r>
        <w:rPr>
          <w:b/>
          <w:lang w:val="en-NZ" w:eastAsia="ko-KR"/>
        </w:rPr>
        <w:t xml:space="preserve"> </w:t>
      </w:r>
      <w:r>
        <w:t xml:space="preserve">- </w:t>
      </w:r>
      <w:r>
        <w:rPr>
          <w:b/>
          <w:lang w:val="en-NZ" w:eastAsia="ko-KR"/>
        </w:rPr>
        <w:t>Document APG23-5/INP-</w:t>
      </w:r>
      <w:r>
        <w:rPr>
          <w:rFonts w:eastAsiaTheme="minorEastAsia" w:hint="eastAsia"/>
          <w:b/>
          <w:lang w:val="en-NZ" w:eastAsia="zh-CN"/>
        </w:rPr>
        <w:t>37</w:t>
      </w:r>
    </w:p>
    <w:p w14:paraId="2DF7A37D" w14:textId="77777777" w:rsidR="006D1572" w:rsidRDefault="00744B12">
      <w:pPr>
        <w:ind w:left="348"/>
        <w:jc w:val="both"/>
      </w:pPr>
      <w:r>
        <w:t>This Administration prefers Method C from the draft CPM Report with an associated footnote for limitation of AMS. However, there is a need to consider that, when identifying possible new allocations to aeronautical mobile service (AMS) in the frequency band 15.4–15.7 GHz as well as when removing constraints on the use of the frequency band 22 – 22.21 GHz by aeronautical mobile service for non-safety application, following actions to be taken:</w:t>
      </w:r>
    </w:p>
    <w:p w14:paraId="1047D10C" w14:textId="77777777" w:rsidR="006D1572" w:rsidRDefault="00744B12">
      <w:pPr>
        <w:ind w:left="348"/>
        <w:jc w:val="both"/>
      </w:pPr>
      <w:r>
        <w:rPr>
          <w:rFonts w:hint="eastAsia"/>
        </w:rPr>
        <w:t>•</w:t>
      </w:r>
      <w:r>
        <w:tab/>
        <w:t>Ensure protection of the primary allocations to radiolocation, aeronautical radionavigation and fixed-satellite (Earth-to-space) services in the relevant parts of the frequency band 15.4-15.7 GHz;</w:t>
      </w:r>
    </w:p>
    <w:p w14:paraId="2E2B7CA5" w14:textId="77777777" w:rsidR="006D1572" w:rsidRDefault="00744B12">
      <w:pPr>
        <w:ind w:left="348"/>
        <w:jc w:val="both"/>
      </w:pPr>
      <w:r>
        <w:rPr>
          <w:rFonts w:hint="eastAsia"/>
        </w:rPr>
        <w:t>•</w:t>
      </w:r>
      <w:r>
        <w:tab/>
        <w:t>Ensure protection of the EESS/SRS (passive), and the RAS from unwanted emissions of the AMS;</w:t>
      </w:r>
    </w:p>
    <w:p w14:paraId="5559A420" w14:textId="77777777" w:rsidR="006D1572" w:rsidRDefault="00744B12">
      <w:pPr>
        <w:ind w:left="348"/>
        <w:jc w:val="both"/>
        <w:rPr>
          <w:lang w:val="en-NZ"/>
        </w:rPr>
      </w:pPr>
      <w:r>
        <w:rPr>
          <w:rFonts w:hint="eastAsia"/>
        </w:rPr>
        <w:t>•</w:t>
      </w:r>
      <w:r>
        <w:tab/>
        <w:t>Ensure protection of the primary allocations to the fixed and mobile services in the frequency band 22-22.21 GHz and adjacent bands.</w:t>
      </w:r>
    </w:p>
    <w:p w14:paraId="6AFA45D3" w14:textId="77777777" w:rsidR="006D1572" w:rsidRDefault="006D1572">
      <w:pPr>
        <w:jc w:val="both"/>
        <w:rPr>
          <w:lang w:val="en-NZ"/>
        </w:rPr>
      </w:pPr>
    </w:p>
    <w:p w14:paraId="1E55A691" w14:textId="77777777" w:rsidR="006D1572" w:rsidRDefault="00744B12">
      <w:pPr>
        <w:spacing w:after="120"/>
        <w:jc w:val="both"/>
        <w:rPr>
          <w:rFonts w:eastAsiaTheme="minorEastAsia"/>
          <w:b/>
          <w:lang w:val="en-NZ" w:eastAsia="zh-CN"/>
        </w:rPr>
      </w:pPr>
      <w:r>
        <w:rPr>
          <w:b/>
          <w:lang w:val="en-NZ" w:eastAsia="ko-KR"/>
        </w:rPr>
        <w:t>3.1.</w:t>
      </w:r>
      <w:r>
        <w:rPr>
          <w:rFonts w:eastAsiaTheme="minorEastAsia" w:hint="eastAsia"/>
          <w:b/>
          <w:lang w:val="en-NZ" w:eastAsia="zh-CN"/>
        </w:rPr>
        <w:t>5</w:t>
      </w:r>
      <w:r>
        <w:rPr>
          <w:b/>
          <w:lang w:val="en-NZ" w:eastAsia="ko-KR"/>
        </w:rPr>
        <w:t xml:space="preserve"> </w:t>
      </w:r>
      <w:r>
        <w:rPr>
          <w:b/>
          <w:lang w:val="en-NZ" w:eastAsia="ko-KR"/>
        </w:rPr>
        <w:tab/>
        <w:t xml:space="preserve">Viet Nam </w:t>
      </w:r>
      <w:r>
        <w:t xml:space="preserve">- </w:t>
      </w:r>
      <w:r>
        <w:rPr>
          <w:b/>
          <w:lang w:val="en-NZ" w:eastAsia="ko-KR"/>
        </w:rPr>
        <w:t>Document APG23-5/INP-</w:t>
      </w:r>
      <w:r>
        <w:rPr>
          <w:rFonts w:eastAsiaTheme="minorEastAsia" w:hint="eastAsia"/>
          <w:b/>
          <w:lang w:val="en-NZ" w:eastAsia="zh-CN"/>
        </w:rPr>
        <w:t>53</w:t>
      </w:r>
    </w:p>
    <w:p w14:paraId="56E3C657" w14:textId="77777777" w:rsidR="006D1572" w:rsidRDefault="00744B12">
      <w:pPr>
        <w:ind w:left="348"/>
        <w:jc w:val="both"/>
        <w:rPr>
          <w:lang w:val="en-GB"/>
        </w:rPr>
      </w:pPr>
      <w:r>
        <w:rPr>
          <w:lang w:val="en-GB"/>
        </w:rPr>
        <w:t xml:space="preserve">Viet Nam supports ITU-R studies on spectrum needs, coexistence with radiocommunication services and regulatory measures for possible new allocation to AMS for the use of non-safety aeronautical mobile applications in the frequency bands 15.4-15.7 GHz and 22-22.21 GHz in accordance with Resolution </w:t>
      </w:r>
      <w:r>
        <w:rPr>
          <w:b/>
          <w:lang w:val="en-GB"/>
        </w:rPr>
        <w:t>430 (WRC-19)</w:t>
      </w:r>
      <w:r>
        <w:rPr>
          <w:lang w:val="en-GB"/>
        </w:rPr>
        <w:t>, while ensuring no adverse effect on the allocation of the existing services and their future development in the same and adjacent frequency bands, in particular the fixed service allocated in the frequency band 21.2-23.6 GHz.</w:t>
      </w:r>
    </w:p>
    <w:p w14:paraId="6A0D539F" w14:textId="77777777" w:rsidR="006D1572" w:rsidRPr="00544DFC" w:rsidRDefault="006D1572">
      <w:pPr>
        <w:jc w:val="both"/>
        <w:rPr>
          <w:lang w:val="en-NZ"/>
        </w:rPr>
      </w:pPr>
    </w:p>
    <w:p w14:paraId="1C4DFC04" w14:textId="77777777" w:rsidR="006D1572" w:rsidRDefault="00744B12">
      <w:pPr>
        <w:spacing w:after="120"/>
        <w:jc w:val="both"/>
        <w:rPr>
          <w:rFonts w:eastAsiaTheme="minorEastAsia"/>
          <w:b/>
          <w:lang w:val="en-NZ" w:eastAsia="zh-CN"/>
        </w:rPr>
      </w:pPr>
      <w:r>
        <w:rPr>
          <w:b/>
          <w:lang w:val="en-NZ" w:eastAsia="ko-KR"/>
        </w:rPr>
        <w:t>3.1.</w:t>
      </w:r>
      <w:r>
        <w:rPr>
          <w:rFonts w:eastAsiaTheme="minorEastAsia" w:hint="eastAsia"/>
          <w:b/>
          <w:lang w:val="en-NZ" w:eastAsia="zh-CN"/>
        </w:rPr>
        <w:t>6</w:t>
      </w:r>
      <w:r>
        <w:rPr>
          <w:b/>
          <w:lang w:val="en-NZ" w:eastAsia="ko-KR"/>
        </w:rPr>
        <w:t xml:space="preserve"> </w:t>
      </w:r>
      <w:r>
        <w:rPr>
          <w:b/>
          <w:lang w:val="en-NZ" w:eastAsia="ko-KR"/>
        </w:rPr>
        <w:tab/>
        <w:t xml:space="preserve">Australia </w:t>
      </w:r>
      <w:r>
        <w:t xml:space="preserve">- </w:t>
      </w:r>
      <w:r>
        <w:rPr>
          <w:b/>
          <w:lang w:val="en-NZ" w:eastAsia="ko-KR"/>
        </w:rPr>
        <w:t>Document APG23-5/INP-</w:t>
      </w:r>
      <w:r>
        <w:rPr>
          <w:rFonts w:eastAsiaTheme="minorEastAsia" w:hint="eastAsia"/>
          <w:b/>
          <w:lang w:val="en-NZ" w:eastAsia="zh-CN"/>
        </w:rPr>
        <w:t>57</w:t>
      </w:r>
    </w:p>
    <w:p w14:paraId="76C9E597" w14:textId="77777777" w:rsidR="006D1572" w:rsidRDefault="00744B12">
      <w:pPr>
        <w:ind w:left="348"/>
        <w:jc w:val="both"/>
        <w:rPr>
          <w:lang w:val="en-NZ"/>
        </w:rPr>
      </w:pPr>
      <w:r>
        <w:t>Australia supports studies on spectrum needs for new non-safety aeronautical mobile applications as well as sharing and compatibility studies in the 15.4–15.7 GHz and 22–22.21 GHz frequency bands to evaluate possible primary allocations to aeronautical mobile services, while ensuring the protection of primary services in these bands and, as appropriate, in adjacent frequency bands.</w:t>
      </w:r>
      <w:r>
        <w:rPr>
          <w:lang w:val="en-NZ"/>
        </w:rPr>
        <w:t xml:space="preserve">  </w:t>
      </w:r>
    </w:p>
    <w:p w14:paraId="3A79BE47" w14:textId="77777777" w:rsidR="006D1572" w:rsidRDefault="006D1572">
      <w:pPr>
        <w:jc w:val="both"/>
        <w:rPr>
          <w:lang w:val="en-NZ"/>
        </w:rPr>
      </w:pPr>
    </w:p>
    <w:p w14:paraId="6B857D56" w14:textId="6E3CCB63" w:rsidR="006D1572" w:rsidRDefault="00744B12">
      <w:pPr>
        <w:spacing w:after="120"/>
        <w:jc w:val="both"/>
        <w:rPr>
          <w:rFonts w:eastAsiaTheme="minorEastAsia"/>
          <w:b/>
          <w:lang w:val="en-NZ" w:eastAsia="zh-CN"/>
        </w:rPr>
      </w:pPr>
      <w:r>
        <w:rPr>
          <w:b/>
          <w:lang w:val="en-NZ" w:eastAsia="ko-KR"/>
        </w:rPr>
        <w:t>3.1.</w:t>
      </w:r>
      <w:r>
        <w:rPr>
          <w:rFonts w:eastAsiaTheme="minorEastAsia" w:hint="eastAsia"/>
          <w:b/>
          <w:lang w:val="en-NZ" w:eastAsia="zh-CN"/>
        </w:rPr>
        <w:t>7</w:t>
      </w:r>
      <w:r>
        <w:rPr>
          <w:b/>
          <w:lang w:val="en-NZ" w:eastAsia="ko-KR"/>
        </w:rPr>
        <w:t xml:space="preserve"> </w:t>
      </w:r>
      <w:r>
        <w:rPr>
          <w:b/>
          <w:lang w:val="en-NZ" w:eastAsia="ko-KR"/>
        </w:rPr>
        <w:tab/>
      </w:r>
      <w:r w:rsidR="009D5B49">
        <w:rPr>
          <w:b/>
          <w:lang w:val="en-NZ" w:eastAsia="ko-KR"/>
        </w:rPr>
        <w:t>K</w:t>
      </w:r>
      <w:r>
        <w:rPr>
          <w:b/>
          <w:lang w:val="en-NZ" w:eastAsia="ko-KR"/>
        </w:rPr>
        <w:t>orea</w:t>
      </w:r>
      <w:r w:rsidR="009D5B49">
        <w:rPr>
          <w:b/>
          <w:lang w:val="en-NZ" w:eastAsia="ko-KR"/>
        </w:rPr>
        <w:t xml:space="preserve"> (</w:t>
      </w:r>
      <w:r w:rsidR="009D5B49" w:rsidRPr="009D5B49">
        <w:rPr>
          <w:b/>
          <w:lang w:val="en-NZ" w:eastAsia="ko-KR"/>
        </w:rPr>
        <w:t>Republic of</w:t>
      </w:r>
      <w:r w:rsidR="009D5B49">
        <w:rPr>
          <w:b/>
          <w:lang w:val="en-NZ" w:eastAsia="ko-KR"/>
        </w:rPr>
        <w:t>)</w:t>
      </w:r>
      <w:r>
        <w:rPr>
          <w:b/>
          <w:lang w:val="en-NZ" w:eastAsia="ko-KR"/>
        </w:rPr>
        <w:t xml:space="preserve"> </w:t>
      </w:r>
      <w:r>
        <w:t xml:space="preserve">- </w:t>
      </w:r>
      <w:r>
        <w:rPr>
          <w:b/>
          <w:lang w:val="en-NZ" w:eastAsia="ko-KR"/>
        </w:rPr>
        <w:t>Document APG23-5/INP-</w:t>
      </w:r>
      <w:r>
        <w:rPr>
          <w:rFonts w:eastAsiaTheme="minorEastAsia" w:hint="eastAsia"/>
          <w:b/>
          <w:lang w:val="en-NZ" w:eastAsia="zh-CN"/>
        </w:rPr>
        <w:t>64</w:t>
      </w:r>
    </w:p>
    <w:p w14:paraId="7B263A62" w14:textId="77777777" w:rsidR="006D1572" w:rsidRDefault="00744B12">
      <w:pPr>
        <w:ind w:left="348"/>
        <w:jc w:val="both"/>
        <w:rPr>
          <w:lang w:val="en-NZ"/>
        </w:rPr>
      </w:pPr>
      <w:r>
        <w:rPr>
          <w:bCs/>
          <w:lang w:val="en-NZ" w:eastAsia="ko-KR"/>
        </w:rPr>
        <w:t xml:space="preserve">Based on the study results conducted by ITU-R on WRC-23 agenda item 1.10 in accordance with Resolution </w:t>
      </w:r>
      <w:r>
        <w:rPr>
          <w:b/>
          <w:bCs/>
          <w:lang w:val="en-NZ" w:eastAsia="ko-KR"/>
        </w:rPr>
        <w:t>430 (WRC-19)</w:t>
      </w:r>
      <w:r>
        <w:rPr>
          <w:bCs/>
          <w:lang w:val="en-NZ" w:eastAsia="ko-KR"/>
        </w:rPr>
        <w:t>, the Republic of Korea does not support Method A in the draft CPM Report.</w:t>
      </w:r>
    </w:p>
    <w:p w14:paraId="049AC268" w14:textId="77777777" w:rsidR="006D1572" w:rsidRDefault="006D1572">
      <w:pPr>
        <w:jc w:val="both"/>
        <w:rPr>
          <w:lang w:val="en-NZ"/>
        </w:rPr>
      </w:pPr>
    </w:p>
    <w:p w14:paraId="4020CC8C" w14:textId="77777777" w:rsidR="006D1572" w:rsidRDefault="00744B12">
      <w:pPr>
        <w:spacing w:after="120"/>
        <w:jc w:val="both"/>
        <w:rPr>
          <w:rFonts w:eastAsiaTheme="minorEastAsia"/>
          <w:b/>
          <w:lang w:val="en-NZ" w:eastAsia="zh-CN"/>
        </w:rPr>
      </w:pPr>
      <w:r>
        <w:rPr>
          <w:b/>
          <w:lang w:val="en-NZ" w:eastAsia="ko-KR"/>
        </w:rPr>
        <w:t>3.1.</w:t>
      </w:r>
      <w:r>
        <w:rPr>
          <w:rFonts w:eastAsiaTheme="minorEastAsia" w:hint="eastAsia"/>
          <w:b/>
          <w:lang w:val="en-NZ" w:eastAsia="zh-CN"/>
        </w:rPr>
        <w:t>8</w:t>
      </w:r>
      <w:r>
        <w:rPr>
          <w:b/>
          <w:lang w:val="en-NZ" w:eastAsia="ko-KR"/>
        </w:rPr>
        <w:tab/>
        <w:t xml:space="preserve">China </w:t>
      </w:r>
      <w:r>
        <w:t xml:space="preserve">- </w:t>
      </w:r>
      <w:r>
        <w:rPr>
          <w:b/>
          <w:lang w:val="en-NZ" w:eastAsia="ko-KR"/>
        </w:rPr>
        <w:t>Document APG23-5/INP-</w:t>
      </w:r>
      <w:r>
        <w:rPr>
          <w:rFonts w:eastAsiaTheme="minorEastAsia" w:hint="eastAsia"/>
          <w:b/>
          <w:lang w:val="en-NZ" w:eastAsia="zh-CN"/>
        </w:rPr>
        <w:t>89</w:t>
      </w:r>
    </w:p>
    <w:p w14:paraId="4553FC9D" w14:textId="77777777" w:rsidR="006D1572" w:rsidRDefault="00744B12">
      <w:pPr>
        <w:spacing w:beforeLines="50" w:before="120" w:afterLines="50" w:after="120"/>
        <w:ind w:left="346"/>
        <w:jc w:val="both"/>
        <w:rPr>
          <w:bCs/>
          <w:lang w:val="en-NZ" w:eastAsia="ko-KR"/>
        </w:rPr>
      </w:pPr>
      <w:r>
        <w:rPr>
          <w:bCs/>
          <w:lang w:val="en-NZ" w:eastAsia="ko-KR"/>
        </w:rPr>
        <w:t xml:space="preserve">China supports studies being conducted in ITU-R in accordance with Resolution </w:t>
      </w:r>
      <w:r>
        <w:rPr>
          <w:b/>
          <w:bCs/>
          <w:lang w:val="en-NZ" w:eastAsia="ko-KR"/>
        </w:rPr>
        <w:t>430 (WRC-19)</w:t>
      </w:r>
      <w:r>
        <w:rPr>
          <w:bCs/>
          <w:lang w:val="en-NZ" w:eastAsia="ko-KR"/>
        </w:rPr>
        <w:t>;</w:t>
      </w:r>
    </w:p>
    <w:p w14:paraId="420EE023" w14:textId="77777777" w:rsidR="006D1572" w:rsidRDefault="00744B12">
      <w:pPr>
        <w:spacing w:beforeLines="50" w:before="120" w:afterLines="50" w:after="120"/>
        <w:ind w:left="346"/>
        <w:jc w:val="both"/>
        <w:rPr>
          <w:bCs/>
          <w:lang w:val="en-NZ" w:eastAsia="ko-KR"/>
        </w:rPr>
      </w:pPr>
      <w:r>
        <w:rPr>
          <w:bCs/>
          <w:lang w:val="en-NZ" w:eastAsia="ko-KR"/>
        </w:rPr>
        <w:t xml:space="preserve">China is the view of that the protection of incumbent services in the frequency bands 15.4-15.7GHz and 22-22.21GHz and the adjacent frequency bands should be </w:t>
      </w:r>
      <w:proofErr w:type="gramStart"/>
      <w:r>
        <w:rPr>
          <w:bCs/>
          <w:lang w:val="en-NZ" w:eastAsia="ko-KR"/>
        </w:rPr>
        <w:t>ensured, and</w:t>
      </w:r>
      <w:proofErr w:type="gramEnd"/>
      <w:r>
        <w:rPr>
          <w:bCs/>
          <w:lang w:val="en-NZ" w:eastAsia="ko-KR"/>
        </w:rPr>
        <w:t xml:space="preserve"> supports Method A (no change to RR).</w:t>
      </w:r>
    </w:p>
    <w:p w14:paraId="4FB97508" w14:textId="77777777" w:rsidR="006D1572" w:rsidRDefault="006D1572">
      <w:pPr>
        <w:rPr>
          <w:lang w:val="en-NZ"/>
        </w:rPr>
      </w:pPr>
    </w:p>
    <w:p w14:paraId="18CB9757" w14:textId="77777777" w:rsidR="006D1572" w:rsidRDefault="00744B12">
      <w:pPr>
        <w:spacing w:after="120"/>
        <w:jc w:val="both"/>
        <w:rPr>
          <w:b/>
          <w:lang w:val="en-NZ"/>
        </w:rPr>
      </w:pPr>
      <w:r>
        <w:rPr>
          <w:b/>
          <w:lang w:val="en-NZ"/>
        </w:rPr>
        <w:t xml:space="preserve">3.2 </w:t>
      </w:r>
      <w:r>
        <w:rPr>
          <w:b/>
          <w:lang w:val="en-NZ"/>
        </w:rPr>
        <w:tab/>
        <w:t>S</w:t>
      </w:r>
      <w:r>
        <w:rPr>
          <w:b/>
          <w:lang w:val="en-NZ" w:eastAsia="ko-KR"/>
        </w:rPr>
        <w:t>ummary of issues raised du</w:t>
      </w:r>
      <w:r>
        <w:rPr>
          <w:b/>
          <w:lang w:val="en-NZ"/>
        </w:rPr>
        <w:t>ring the meeting</w:t>
      </w:r>
    </w:p>
    <w:p w14:paraId="55799981" w14:textId="28B701E7" w:rsidR="006D1572" w:rsidRDefault="00744B12" w:rsidP="008F5A5F">
      <w:pPr>
        <w:jc w:val="both"/>
        <w:rPr>
          <w:lang w:val="en-NZ"/>
        </w:rPr>
      </w:pPr>
      <w:r>
        <w:rPr>
          <w:rFonts w:eastAsiaTheme="minorEastAsia" w:hint="eastAsia"/>
          <w:lang w:val="en-NZ" w:eastAsia="zh-CN"/>
        </w:rPr>
        <w:t>None</w:t>
      </w:r>
      <w:r>
        <w:rPr>
          <w:lang w:val="en-NZ"/>
        </w:rPr>
        <w:t>.</w:t>
      </w:r>
    </w:p>
    <w:p w14:paraId="3502CCD8" w14:textId="77777777" w:rsidR="006D1572" w:rsidRDefault="006D1572">
      <w:pPr>
        <w:jc w:val="both"/>
        <w:rPr>
          <w:rFonts w:eastAsiaTheme="minorEastAsia"/>
          <w:lang w:val="en-NZ" w:eastAsia="zh-CN"/>
        </w:rPr>
      </w:pPr>
    </w:p>
    <w:p w14:paraId="47795249" w14:textId="77777777" w:rsidR="006D1572" w:rsidRDefault="00744B12">
      <w:pPr>
        <w:spacing w:after="120"/>
        <w:jc w:val="both"/>
        <w:rPr>
          <w:b/>
          <w:lang w:val="en-NZ" w:eastAsia="ko-KR"/>
        </w:rPr>
      </w:pPr>
      <w:r>
        <w:rPr>
          <w:b/>
          <w:lang w:val="en-NZ" w:eastAsia="ko-KR"/>
        </w:rPr>
        <w:t xml:space="preserve">4. </w:t>
      </w:r>
      <w:r>
        <w:rPr>
          <w:b/>
          <w:lang w:val="en-NZ" w:eastAsia="ko-KR"/>
        </w:rPr>
        <w:tab/>
        <w:t>APT Preliminary View(s)</w:t>
      </w:r>
    </w:p>
    <w:p w14:paraId="14568FDE" w14:textId="4D689EF6" w:rsidR="006D1572" w:rsidRDefault="00744B12" w:rsidP="008F5A5F">
      <w:pPr>
        <w:jc w:val="both"/>
        <w:rPr>
          <w:lang w:val="en-NZ"/>
        </w:rPr>
      </w:pPr>
      <w:r>
        <w:rPr>
          <w:rFonts w:hint="eastAsia"/>
          <w:lang w:val="en-NZ"/>
        </w:rPr>
        <w:lastRenderedPageBreak/>
        <w:t xml:space="preserve">APT </w:t>
      </w:r>
      <w:r>
        <w:rPr>
          <w:lang w:val="en-NZ"/>
        </w:rPr>
        <w:t>M</w:t>
      </w:r>
      <w:r>
        <w:rPr>
          <w:rFonts w:hint="eastAsia"/>
          <w:lang w:val="en-NZ"/>
        </w:rPr>
        <w:t>embers</w:t>
      </w:r>
      <w:r>
        <w:rPr>
          <w:lang w:val="en-NZ"/>
        </w:rPr>
        <w:t xml:space="preserve"> support ongoing ITU-R studies on spectrum needs, coexistence with radiocommunication services and regulatory measures for possible new allocations for the aeronautical mobile service for the use of non-safety aeronautical mobile applications, in accordance with Resolution </w:t>
      </w:r>
      <w:r>
        <w:rPr>
          <w:b/>
          <w:bCs/>
          <w:lang w:val="en-NZ"/>
        </w:rPr>
        <w:t>430 (WRC-19)</w:t>
      </w:r>
      <w:r w:rsidR="00EB21F9">
        <w:rPr>
          <w:lang w:val="en-NZ"/>
        </w:rPr>
        <w:t>.</w:t>
      </w:r>
    </w:p>
    <w:p w14:paraId="6CECB2F0" w14:textId="77777777" w:rsidR="00EB21F9" w:rsidRDefault="00EB21F9" w:rsidP="00EB21F9">
      <w:pPr>
        <w:jc w:val="both"/>
        <w:rPr>
          <w:lang w:val="en-NZ"/>
        </w:rPr>
      </w:pPr>
    </w:p>
    <w:p w14:paraId="57D9E6DA" w14:textId="5D60FD92" w:rsidR="006D1572" w:rsidRDefault="00744B12" w:rsidP="008F5A5F">
      <w:pPr>
        <w:jc w:val="both"/>
        <w:rPr>
          <w:lang w:val="en-NZ"/>
        </w:rPr>
      </w:pPr>
      <w:r>
        <w:rPr>
          <w:rFonts w:hint="eastAsia"/>
          <w:lang w:val="en-NZ"/>
        </w:rPr>
        <w:t xml:space="preserve">APT </w:t>
      </w:r>
      <w:r>
        <w:rPr>
          <w:lang w:val="en-NZ"/>
        </w:rPr>
        <w:t>M</w:t>
      </w:r>
      <w:r>
        <w:rPr>
          <w:rFonts w:hint="eastAsia"/>
          <w:lang w:val="en-NZ"/>
        </w:rPr>
        <w:t>embers</w:t>
      </w:r>
      <w:r>
        <w:rPr>
          <w:lang w:val="en-NZ"/>
        </w:rPr>
        <w:t xml:space="preserve"> are of the view that</w:t>
      </w:r>
      <w:r>
        <w:rPr>
          <w:color w:val="000000" w:themeColor="text1"/>
          <w:lang w:val="en-GB"/>
        </w:rPr>
        <w:t xml:space="preserve"> the protection of existing primary services in the </w:t>
      </w:r>
      <w:r>
        <w:rPr>
          <w:lang w:val="en-NZ"/>
        </w:rPr>
        <w:t>15.4-15.7 GHz and 22-22.21 GHz</w:t>
      </w:r>
      <w:r>
        <w:rPr>
          <w:color w:val="000000" w:themeColor="text1"/>
          <w:lang w:val="en-GB"/>
        </w:rPr>
        <w:t xml:space="preserve"> frequency bands and in adjacent frequency bands should be ensured</w:t>
      </w:r>
      <w:r>
        <w:rPr>
          <w:lang w:val="en-NZ"/>
        </w:rPr>
        <w:t>.</w:t>
      </w:r>
    </w:p>
    <w:p w14:paraId="01072FCB" w14:textId="77777777" w:rsidR="006D1572" w:rsidRDefault="006D1572">
      <w:pPr>
        <w:ind w:left="320"/>
        <w:rPr>
          <w:lang w:val="en-NZ"/>
        </w:rPr>
      </w:pPr>
    </w:p>
    <w:p w14:paraId="0BC13BF7" w14:textId="77777777" w:rsidR="006D1572" w:rsidRDefault="00744B12">
      <w:pPr>
        <w:spacing w:after="120"/>
        <w:jc w:val="both"/>
        <w:rPr>
          <w:b/>
          <w:lang w:val="en-NZ" w:eastAsia="ko-KR"/>
        </w:rPr>
      </w:pPr>
      <w:r>
        <w:rPr>
          <w:b/>
          <w:lang w:val="en-NZ" w:eastAsia="ko-KR"/>
        </w:rPr>
        <w:t xml:space="preserve">5. </w:t>
      </w:r>
      <w:r>
        <w:rPr>
          <w:b/>
          <w:lang w:val="en-NZ" w:eastAsia="ko-KR"/>
        </w:rPr>
        <w:tab/>
        <w:t>Other View(s) from APT Members</w:t>
      </w:r>
    </w:p>
    <w:p w14:paraId="514CB303" w14:textId="52028E81" w:rsidR="009D5B49" w:rsidRPr="00EB21F9" w:rsidRDefault="009D5B49" w:rsidP="008F5A5F">
      <w:pPr>
        <w:rPr>
          <w:lang w:val="en-NZ"/>
        </w:rPr>
      </w:pPr>
      <w:r w:rsidRPr="00EB21F9">
        <w:rPr>
          <w:lang w:val="en-NZ"/>
        </w:rPr>
        <w:t xml:space="preserve">Some APT Members support </w:t>
      </w:r>
      <w:r w:rsidR="00744B12" w:rsidRPr="00EB21F9">
        <w:rPr>
          <w:lang w:val="en-NZ"/>
        </w:rPr>
        <w:t>Method A</w:t>
      </w:r>
      <w:r w:rsidR="00E968A3" w:rsidRPr="00EB21F9">
        <w:rPr>
          <w:lang w:val="en-NZ"/>
        </w:rPr>
        <w:t xml:space="preserve">, no change </w:t>
      </w:r>
      <w:r w:rsidRPr="00EB21F9">
        <w:rPr>
          <w:lang w:val="en-NZ"/>
        </w:rPr>
        <w:t xml:space="preserve">to RR. </w:t>
      </w:r>
    </w:p>
    <w:p w14:paraId="4D91EC18" w14:textId="77777777" w:rsidR="00EB21F9" w:rsidRDefault="00EB21F9" w:rsidP="00EB21F9">
      <w:pPr>
        <w:rPr>
          <w:lang w:val="en-NZ"/>
        </w:rPr>
      </w:pPr>
    </w:p>
    <w:p w14:paraId="067C6C0F" w14:textId="0A7F37F2" w:rsidR="009D5B49" w:rsidRPr="00EB21F9" w:rsidRDefault="009D5B49" w:rsidP="008F5A5F">
      <w:pPr>
        <w:rPr>
          <w:lang w:val="en-NZ"/>
        </w:rPr>
      </w:pPr>
      <w:r w:rsidRPr="00EB21F9">
        <w:rPr>
          <w:lang w:val="en-NZ"/>
        </w:rPr>
        <w:t xml:space="preserve">Some APT Members support </w:t>
      </w:r>
      <w:r w:rsidRPr="00EB21F9">
        <w:rPr>
          <w:rFonts w:hint="eastAsia"/>
          <w:lang w:val="en-NZ"/>
        </w:rPr>
        <w:t>M</w:t>
      </w:r>
      <w:r w:rsidRPr="00EB21F9">
        <w:rPr>
          <w:lang w:val="en-NZ"/>
        </w:rPr>
        <w:t xml:space="preserve">ethod B </w:t>
      </w:r>
      <w:r w:rsidRPr="00EB21F9">
        <w:rPr>
          <w:rFonts w:hint="eastAsia"/>
          <w:lang w:val="en-NZ"/>
        </w:rPr>
        <w:t>or</w:t>
      </w:r>
      <w:r w:rsidRPr="00EB21F9">
        <w:rPr>
          <w:lang w:val="en-NZ"/>
        </w:rPr>
        <w:t xml:space="preserve"> </w:t>
      </w:r>
      <w:r w:rsidRPr="00EB21F9">
        <w:rPr>
          <w:rFonts w:hint="eastAsia"/>
          <w:lang w:val="en-NZ"/>
        </w:rPr>
        <w:t>M</w:t>
      </w:r>
      <w:r w:rsidRPr="00EB21F9">
        <w:rPr>
          <w:lang w:val="en-NZ"/>
        </w:rPr>
        <w:t>ethod C separately under condition that it shall not cause unacceptable interference nor claim protection for the services to which the band is allocated.</w:t>
      </w:r>
    </w:p>
    <w:p w14:paraId="4B789A87" w14:textId="77777777" w:rsidR="00EB21F9" w:rsidRDefault="00EB21F9" w:rsidP="00EB21F9">
      <w:pPr>
        <w:rPr>
          <w:lang w:val="en-NZ"/>
        </w:rPr>
      </w:pPr>
    </w:p>
    <w:p w14:paraId="6E4A397D" w14:textId="0E75CD61" w:rsidR="009D5B49" w:rsidRPr="00EB21F9" w:rsidRDefault="009D5B49" w:rsidP="008F5A5F">
      <w:pPr>
        <w:rPr>
          <w:lang w:val="en-NZ"/>
        </w:rPr>
      </w:pPr>
      <w:r w:rsidRPr="00EB21F9">
        <w:rPr>
          <w:lang w:val="en-NZ"/>
        </w:rPr>
        <w:t xml:space="preserve">Some APT Members will support </w:t>
      </w:r>
      <w:r w:rsidRPr="00EB21F9">
        <w:rPr>
          <w:rFonts w:hint="eastAsia"/>
          <w:lang w:val="en-NZ"/>
        </w:rPr>
        <w:t>M</w:t>
      </w:r>
      <w:r w:rsidRPr="00EB21F9">
        <w:rPr>
          <w:lang w:val="en-NZ"/>
        </w:rPr>
        <w:t>ethod D,</w:t>
      </w:r>
      <w:r w:rsidRPr="00EB21F9">
        <w:rPr>
          <w:rFonts w:hint="eastAsia"/>
          <w:lang w:val="en-NZ"/>
        </w:rPr>
        <w:t xml:space="preserve"> </w:t>
      </w:r>
      <w:r w:rsidRPr="00EB21F9">
        <w:rPr>
          <w:lang w:val="en-NZ"/>
        </w:rPr>
        <w:t xml:space="preserve">if </w:t>
      </w:r>
      <w:r w:rsidR="00CB3A60">
        <w:rPr>
          <w:lang w:val="en-NZ"/>
        </w:rPr>
        <w:t xml:space="preserve">the </w:t>
      </w:r>
      <w:r w:rsidRPr="00EB21F9">
        <w:rPr>
          <w:lang w:val="en-NZ"/>
        </w:rPr>
        <w:t xml:space="preserve">fixed service is protected from </w:t>
      </w:r>
      <w:r w:rsidRPr="00EB21F9">
        <w:rPr>
          <w:rFonts w:hint="eastAsia"/>
          <w:lang w:val="en-NZ"/>
        </w:rPr>
        <w:t>AM(OR)S</w:t>
      </w:r>
      <w:r w:rsidRPr="00EB21F9">
        <w:rPr>
          <w:lang w:val="en-NZ"/>
        </w:rPr>
        <w:t>.</w:t>
      </w:r>
    </w:p>
    <w:p w14:paraId="07892CF3" w14:textId="77777777" w:rsidR="00EB21F9" w:rsidRDefault="00EB21F9" w:rsidP="00EB21F9">
      <w:pPr>
        <w:rPr>
          <w:lang w:val="en-NZ"/>
        </w:rPr>
      </w:pPr>
    </w:p>
    <w:p w14:paraId="05577369" w14:textId="01E9F5D9" w:rsidR="006C7717" w:rsidRPr="00EB21F9" w:rsidRDefault="00DB566D" w:rsidP="008F5A5F">
      <w:pPr>
        <w:rPr>
          <w:lang w:val="en-NZ"/>
        </w:rPr>
      </w:pPr>
      <w:r w:rsidRPr="00EB21F9">
        <w:rPr>
          <w:lang w:val="en-NZ"/>
        </w:rPr>
        <w:t xml:space="preserve">Some </w:t>
      </w:r>
      <w:r w:rsidR="006C7717" w:rsidRPr="00EB21F9">
        <w:rPr>
          <w:rFonts w:hint="eastAsia"/>
          <w:lang w:val="en-NZ"/>
        </w:rPr>
        <w:t xml:space="preserve">APT </w:t>
      </w:r>
      <w:r w:rsidR="006C7717" w:rsidRPr="00EB21F9">
        <w:rPr>
          <w:lang w:val="en-NZ"/>
        </w:rPr>
        <w:t>Members are also of the view that</w:t>
      </w:r>
      <w:r w:rsidR="006C7717" w:rsidRPr="00EB21F9">
        <w:rPr>
          <w:rFonts w:eastAsiaTheme="minorEastAsia" w:hint="eastAsia"/>
          <w:lang w:val="en-NZ" w:eastAsia="zh-CN"/>
        </w:rPr>
        <w:t>:</w:t>
      </w:r>
      <w:r w:rsidR="006C7717" w:rsidRPr="00EB21F9">
        <w:rPr>
          <w:rFonts w:hint="eastAsia"/>
          <w:lang w:val="en-NZ"/>
        </w:rPr>
        <w:t xml:space="preserve"> </w:t>
      </w:r>
    </w:p>
    <w:p w14:paraId="06F327F0" w14:textId="77777777" w:rsidR="006C7717" w:rsidRDefault="006C7717" w:rsidP="008F5A5F">
      <w:pPr>
        <w:numPr>
          <w:ilvl w:val="0"/>
          <w:numId w:val="3"/>
        </w:numPr>
        <w:ind w:leftChars="145" w:left="708"/>
        <w:jc w:val="both"/>
        <w:rPr>
          <w:lang w:val="en-NZ"/>
        </w:rPr>
      </w:pPr>
      <w:r>
        <w:rPr>
          <w:lang w:val="en-NZ"/>
        </w:rPr>
        <w:t xml:space="preserve">the radiolocation, aeronautical </w:t>
      </w:r>
      <w:proofErr w:type="gramStart"/>
      <w:r>
        <w:rPr>
          <w:lang w:val="en-NZ"/>
        </w:rPr>
        <w:t>navigation</w:t>
      </w:r>
      <w:proofErr w:type="gramEnd"/>
      <w:r>
        <w:rPr>
          <w:lang w:val="en-NZ"/>
        </w:rPr>
        <w:t xml:space="preserve"> and fixed-satellite (Earth-to-space) services are allocated and used in the 15.4-15.7</w:t>
      </w:r>
      <w:r>
        <w:rPr>
          <w:rFonts w:hint="eastAsia"/>
          <w:lang w:val="en-NZ"/>
        </w:rPr>
        <w:t xml:space="preserve"> </w:t>
      </w:r>
      <w:r>
        <w:rPr>
          <w:lang w:val="en-NZ"/>
        </w:rPr>
        <w:t>GHz band</w:t>
      </w:r>
      <w:r w:rsidRPr="008F5A5F">
        <w:rPr>
          <w:lang w:val="en-NZ"/>
        </w:rPr>
        <w:t>, and future AM(OR)S shall not cause unacceptable interference to nor claim protection from these services.</w:t>
      </w:r>
    </w:p>
    <w:p w14:paraId="394FDCC8" w14:textId="2CB4D121" w:rsidR="006C7717" w:rsidRDefault="006C7717" w:rsidP="008F5A5F">
      <w:pPr>
        <w:numPr>
          <w:ilvl w:val="0"/>
          <w:numId w:val="3"/>
        </w:numPr>
        <w:ind w:leftChars="145" w:left="708"/>
        <w:jc w:val="both"/>
        <w:rPr>
          <w:lang w:val="en-NZ"/>
        </w:rPr>
      </w:pPr>
      <w:r>
        <w:rPr>
          <w:lang w:val="en-NZ"/>
        </w:rPr>
        <w:t xml:space="preserve">the frequency band 21.2-23.6 GHz is extensively used by terrestrial services, in particular fixed service, to support the development of telecommunication infrastructure in many countries and crucial in developing countries and no adverse effect </w:t>
      </w:r>
      <w:r w:rsidRPr="008F5A5F">
        <w:rPr>
          <w:lang w:val="en-NZ"/>
        </w:rPr>
        <w:t>by the potential AM(OR)S allocation</w:t>
      </w:r>
      <w:r>
        <w:rPr>
          <w:lang w:val="en-NZ"/>
        </w:rPr>
        <w:t xml:space="preserve"> on the terrestrial services allocated in this band and its future development should be ensured.</w:t>
      </w:r>
    </w:p>
    <w:p w14:paraId="47E1E1EA" w14:textId="77777777" w:rsidR="006D1572" w:rsidRPr="006C7717" w:rsidRDefault="006D1572">
      <w:pPr>
        <w:rPr>
          <w:lang w:val="en-NZ"/>
        </w:rPr>
      </w:pPr>
    </w:p>
    <w:p w14:paraId="3FA4B539" w14:textId="77777777" w:rsidR="006D1572" w:rsidRDefault="00744B12">
      <w:pPr>
        <w:spacing w:after="120"/>
        <w:jc w:val="both"/>
        <w:rPr>
          <w:b/>
          <w:lang w:val="en-NZ" w:eastAsia="ko-KR"/>
        </w:rPr>
      </w:pPr>
      <w:r>
        <w:rPr>
          <w:b/>
          <w:lang w:val="en-NZ" w:eastAsia="ko-KR"/>
        </w:rPr>
        <w:t xml:space="preserve">6. </w:t>
      </w:r>
      <w:r>
        <w:rPr>
          <w:b/>
          <w:lang w:val="en-NZ" w:eastAsia="ko-KR"/>
        </w:rPr>
        <w:tab/>
        <w:t>Issues for Consideration at Next APG Meeting</w:t>
      </w:r>
    </w:p>
    <w:p w14:paraId="2CC91A62" w14:textId="09C35B41" w:rsidR="006D1572" w:rsidRDefault="00744B12" w:rsidP="008F5A5F">
      <w:pPr>
        <w:jc w:val="both"/>
        <w:rPr>
          <w:lang w:val="en-NZ"/>
        </w:rPr>
      </w:pPr>
      <w:r>
        <w:rPr>
          <w:lang w:val="en-NZ"/>
        </w:rPr>
        <w:t xml:space="preserve">APT Members are encouraged to contribute to the next </w:t>
      </w:r>
      <w:r>
        <w:rPr>
          <w:rFonts w:eastAsiaTheme="minorEastAsia" w:hint="eastAsia"/>
          <w:lang w:val="en-NZ" w:eastAsia="zh-CN"/>
        </w:rPr>
        <w:t xml:space="preserve">and final </w:t>
      </w:r>
      <w:r>
        <w:rPr>
          <w:lang w:val="en-NZ"/>
        </w:rPr>
        <w:t xml:space="preserve">APG meeting on </w:t>
      </w:r>
      <w:r w:rsidR="00CB3A60">
        <w:rPr>
          <w:lang w:val="en-NZ"/>
        </w:rPr>
        <w:t>a</w:t>
      </w:r>
      <w:r>
        <w:rPr>
          <w:lang w:val="en-NZ"/>
        </w:rPr>
        <w:t xml:space="preserve">genda </w:t>
      </w:r>
      <w:r w:rsidR="00CB3A60">
        <w:rPr>
          <w:lang w:val="en-NZ"/>
        </w:rPr>
        <w:t>i</w:t>
      </w:r>
      <w:r>
        <w:rPr>
          <w:lang w:val="en-NZ"/>
        </w:rPr>
        <w:t xml:space="preserve">tem 1.10, </w:t>
      </w:r>
      <w:proofErr w:type="gramStart"/>
      <w:r>
        <w:rPr>
          <w:lang w:val="en-NZ"/>
        </w:rPr>
        <w:t>taking into account</w:t>
      </w:r>
      <w:proofErr w:type="gramEnd"/>
      <w:r>
        <w:rPr>
          <w:lang w:val="en-NZ"/>
        </w:rPr>
        <w:t xml:space="preserve"> the studies of ITU-R WP5B, in particular the studies relating to protection of terrestrial services.</w:t>
      </w:r>
    </w:p>
    <w:p w14:paraId="3A05F0CD" w14:textId="77777777" w:rsidR="006D1572" w:rsidRDefault="006D1572">
      <w:pPr>
        <w:jc w:val="both"/>
        <w:rPr>
          <w:lang w:val="en-NZ"/>
        </w:rPr>
      </w:pPr>
    </w:p>
    <w:p w14:paraId="10F3C217" w14:textId="77777777" w:rsidR="006D1572" w:rsidRDefault="00744B12">
      <w:pPr>
        <w:jc w:val="both"/>
        <w:rPr>
          <w:lang w:val="en-NZ"/>
        </w:rPr>
      </w:pPr>
      <w:r>
        <w:rPr>
          <w:b/>
          <w:lang w:val="en-NZ"/>
        </w:rPr>
        <w:t xml:space="preserve">7. </w:t>
      </w:r>
      <w:r>
        <w:rPr>
          <w:b/>
          <w:lang w:val="en-NZ"/>
        </w:rPr>
        <w:tab/>
        <w:t>Views from Other Organisations</w:t>
      </w:r>
    </w:p>
    <w:p w14:paraId="7269A91F" w14:textId="77777777" w:rsidR="006D1572" w:rsidRDefault="006D1572">
      <w:pPr>
        <w:ind w:firstLine="720"/>
        <w:jc w:val="both"/>
        <w:rPr>
          <w:lang w:val="en-NZ"/>
        </w:rPr>
      </w:pPr>
    </w:p>
    <w:p w14:paraId="5A89F003" w14:textId="77777777" w:rsidR="006D1572" w:rsidRDefault="00744B12">
      <w:pPr>
        <w:spacing w:after="120"/>
        <w:jc w:val="both"/>
        <w:rPr>
          <w:b/>
          <w:lang w:val="en-NZ" w:eastAsia="ko-KR"/>
        </w:rPr>
      </w:pPr>
      <w:r>
        <w:rPr>
          <w:b/>
          <w:lang w:val="en-NZ" w:eastAsia="ko-KR"/>
        </w:rPr>
        <w:t xml:space="preserve">7.1 </w:t>
      </w:r>
      <w:r>
        <w:rPr>
          <w:b/>
          <w:lang w:val="en-NZ" w:eastAsia="ko-KR"/>
        </w:rPr>
        <w:tab/>
        <w:t>Regional Groups</w:t>
      </w:r>
    </w:p>
    <w:p w14:paraId="78C996B3" w14:textId="77777777" w:rsidR="006D1572" w:rsidRDefault="00744B12">
      <w:pPr>
        <w:spacing w:after="120"/>
        <w:jc w:val="both"/>
        <w:rPr>
          <w:rFonts w:eastAsiaTheme="minorEastAsia"/>
          <w:b/>
          <w:lang w:val="en-NZ" w:eastAsia="zh-CN"/>
        </w:rPr>
      </w:pPr>
      <w:r>
        <w:rPr>
          <w:b/>
          <w:lang w:val="en-NZ" w:eastAsia="ko-KR"/>
        </w:rPr>
        <w:t>7.1.</w:t>
      </w:r>
      <w:r>
        <w:rPr>
          <w:rFonts w:eastAsiaTheme="minorEastAsia" w:hint="eastAsia"/>
          <w:b/>
          <w:lang w:val="en-NZ" w:eastAsia="zh-CN"/>
        </w:rPr>
        <w:t>1</w:t>
      </w:r>
      <w:r>
        <w:rPr>
          <w:b/>
          <w:lang w:val="en-NZ" w:eastAsia="ko-KR"/>
        </w:rPr>
        <w:t xml:space="preserve"> </w:t>
      </w:r>
      <w:r>
        <w:rPr>
          <w:b/>
          <w:lang w:val="en-NZ" w:eastAsia="ko-KR"/>
        </w:rPr>
        <w:tab/>
        <w:t xml:space="preserve">ATU </w:t>
      </w:r>
      <w:r>
        <w:t xml:space="preserve">- </w:t>
      </w:r>
      <w:r>
        <w:rPr>
          <w:b/>
          <w:lang w:val="en-NZ" w:eastAsia="ko-KR"/>
        </w:rPr>
        <w:t>Document APG23-</w:t>
      </w:r>
      <w:r>
        <w:rPr>
          <w:rFonts w:eastAsiaTheme="minorEastAsia" w:hint="eastAsia"/>
          <w:b/>
          <w:lang w:val="en-NZ" w:eastAsia="zh-CN"/>
        </w:rPr>
        <w:t>4</w:t>
      </w:r>
      <w:r>
        <w:rPr>
          <w:b/>
          <w:lang w:val="en-NZ" w:eastAsia="ko-KR"/>
        </w:rPr>
        <w:t>/INF-</w:t>
      </w:r>
      <w:r>
        <w:rPr>
          <w:rFonts w:eastAsiaTheme="minorEastAsia" w:hint="eastAsia"/>
          <w:b/>
          <w:lang w:val="en-NZ" w:eastAsia="zh-CN"/>
        </w:rPr>
        <w:t>02</w:t>
      </w:r>
    </w:p>
    <w:p w14:paraId="68A75BA4" w14:textId="77777777" w:rsidR="006D1572" w:rsidRDefault="00744B12" w:rsidP="00F332DB">
      <w:pPr>
        <w:numPr>
          <w:ilvl w:val="0"/>
          <w:numId w:val="3"/>
        </w:numPr>
        <w:ind w:leftChars="145" w:left="708"/>
        <w:jc w:val="both"/>
        <w:rPr>
          <w:lang w:val="en-NZ"/>
        </w:rPr>
      </w:pPr>
      <w:r>
        <w:rPr>
          <w:lang w:val="en-NZ"/>
        </w:rPr>
        <w:t>Support the ITU-R studies (Working Party 5B) to ensure the protection of incumbent services as well as the adjacent services, such as defining unwanted emission limits and appropriate protection measures for station of aeronautical mobile service in the frequency bands 15.35-15.4 GHz and 22.21-22.5 GHz to protect EESS (passive) and radio astronomy service.</w:t>
      </w:r>
    </w:p>
    <w:p w14:paraId="7773A447" w14:textId="77777777" w:rsidR="006D1572" w:rsidRDefault="006D1572">
      <w:pPr>
        <w:spacing w:after="120"/>
        <w:jc w:val="both"/>
        <w:rPr>
          <w:b/>
          <w:lang w:val="en-NZ"/>
        </w:rPr>
      </w:pPr>
    </w:p>
    <w:p w14:paraId="2A7221BE" w14:textId="77777777" w:rsidR="006D1572" w:rsidRDefault="00744B12">
      <w:pPr>
        <w:spacing w:after="120"/>
        <w:jc w:val="both"/>
        <w:rPr>
          <w:rFonts w:eastAsiaTheme="minorEastAsia"/>
          <w:b/>
          <w:lang w:val="en-NZ" w:eastAsia="zh-CN"/>
        </w:rPr>
      </w:pPr>
      <w:r>
        <w:rPr>
          <w:b/>
          <w:lang w:val="en-NZ" w:eastAsia="ko-KR"/>
        </w:rPr>
        <w:t>7.1.</w:t>
      </w:r>
      <w:r>
        <w:rPr>
          <w:rFonts w:eastAsiaTheme="minorEastAsia" w:hint="eastAsia"/>
          <w:b/>
          <w:lang w:val="en-NZ" w:eastAsia="zh-CN"/>
        </w:rPr>
        <w:t>2</w:t>
      </w:r>
      <w:r>
        <w:rPr>
          <w:b/>
          <w:lang w:val="en-NZ" w:eastAsia="ko-KR"/>
        </w:rPr>
        <w:t xml:space="preserve"> </w:t>
      </w:r>
      <w:r>
        <w:rPr>
          <w:b/>
          <w:lang w:val="en-NZ" w:eastAsia="ko-KR"/>
        </w:rPr>
        <w:tab/>
        <w:t xml:space="preserve">ASMG </w:t>
      </w:r>
      <w:r>
        <w:t xml:space="preserve">- </w:t>
      </w:r>
      <w:r>
        <w:rPr>
          <w:b/>
          <w:lang w:val="en-NZ" w:eastAsia="ko-KR"/>
        </w:rPr>
        <w:t>Document APG23-</w:t>
      </w:r>
      <w:r>
        <w:rPr>
          <w:rFonts w:eastAsiaTheme="minorEastAsia" w:hint="eastAsia"/>
          <w:b/>
          <w:lang w:val="en-NZ" w:eastAsia="zh-CN"/>
        </w:rPr>
        <w:t>4</w:t>
      </w:r>
      <w:r>
        <w:rPr>
          <w:b/>
          <w:lang w:val="en-NZ" w:eastAsia="ko-KR"/>
        </w:rPr>
        <w:t>/INF-</w:t>
      </w:r>
      <w:r>
        <w:rPr>
          <w:rFonts w:eastAsiaTheme="minorEastAsia" w:hint="eastAsia"/>
          <w:b/>
          <w:lang w:val="en-NZ" w:eastAsia="zh-CN"/>
        </w:rPr>
        <w:t>21</w:t>
      </w:r>
    </w:p>
    <w:p w14:paraId="778549DD" w14:textId="77777777" w:rsidR="006D1572" w:rsidRDefault="00744B12">
      <w:pPr>
        <w:numPr>
          <w:ilvl w:val="0"/>
          <w:numId w:val="3"/>
        </w:numPr>
        <w:ind w:leftChars="145" w:left="708"/>
        <w:jc w:val="both"/>
        <w:rPr>
          <w:lang w:val="en-NZ"/>
        </w:rPr>
      </w:pPr>
      <w:r>
        <w:rPr>
          <w:lang w:val="en-NZ"/>
        </w:rPr>
        <w:t>Follow on</w:t>
      </w:r>
      <w:r>
        <w:rPr>
          <w:rFonts w:eastAsiaTheme="minorEastAsia" w:hint="eastAsia"/>
          <w:lang w:val="en-NZ" w:eastAsia="zh-CN"/>
        </w:rPr>
        <w:t>-</w:t>
      </w:r>
      <w:r>
        <w:rPr>
          <w:lang w:val="en-NZ"/>
        </w:rPr>
        <w:t>going studies with the need to provide the necessary protection for incumbent services in the</w:t>
      </w:r>
      <w:r>
        <w:rPr>
          <w:rFonts w:eastAsiaTheme="minorEastAsia" w:hint="eastAsia"/>
          <w:lang w:val="en-NZ" w:eastAsia="zh-CN"/>
        </w:rPr>
        <w:t xml:space="preserve"> </w:t>
      </w:r>
      <w:r>
        <w:rPr>
          <w:lang w:val="en-NZ"/>
        </w:rPr>
        <w:t>frequency bands under study and adjacent bands, and consider the possibility of adding a new allocation to the</w:t>
      </w:r>
      <w:r>
        <w:rPr>
          <w:rFonts w:eastAsiaTheme="minorEastAsia" w:hint="eastAsia"/>
          <w:lang w:val="en-NZ" w:eastAsia="zh-CN"/>
        </w:rPr>
        <w:t xml:space="preserve"> </w:t>
      </w:r>
      <w:r>
        <w:rPr>
          <w:lang w:val="en-NZ"/>
        </w:rPr>
        <w:t>aeronautical mobile service for non-safety aeronautical mobile applications in the frequency bands under study</w:t>
      </w:r>
      <w:r>
        <w:rPr>
          <w:rFonts w:hint="eastAsia"/>
          <w:lang w:val="en-NZ"/>
        </w:rPr>
        <w:t>.</w:t>
      </w:r>
    </w:p>
    <w:p w14:paraId="4F6FAD4D" w14:textId="77777777" w:rsidR="006D1572" w:rsidRDefault="006D1572">
      <w:pPr>
        <w:spacing w:line="300" w:lineRule="exact"/>
        <w:ind w:left="348"/>
        <w:rPr>
          <w:lang w:val="en-NZ"/>
        </w:rPr>
      </w:pPr>
    </w:p>
    <w:p w14:paraId="0A58534B" w14:textId="77777777" w:rsidR="006D1572" w:rsidRDefault="00744B12">
      <w:pPr>
        <w:spacing w:after="120"/>
        <w:jc w:val="both"/>
        <w:rPr>
          <w:rFonts w:eastAsiaTheme="minorEastAsia"/>
          <w:b/>
          <w:lang w:val="en-NZ" w:eastAsia="zh-CN"/>
        </w:rPr>
      </w:pPr>
      <w:r>
        <w:rPr>
          <w:b/>
          <w:lang w:val="en-NZ" w:eastAsia="ko-KR"/>
        </w:rPr>
        <w:t xml:space="preserve">7.1.3 </w:t>
      </w:r>
      <w:r>
        <w:rPr>
          <w:b/>
          <w:lang w:val="en-NZ" w:eastAsia="ko-KR"/>
        </w:rPr>
        <w:tab/>
        <w:t xml:space="preserve">CEPT </w:t>
      </w:r>
      <w:r>
        <w:t xml:space="preserve">- </w:t>
      </w:r>
      <w:r>
        <w:rPr>
          <w:b/>
          <w:lang w:val="en-NZ" w:eastAsia="ko-KR"/>
        </w:rPr>
        <w:t>Document APG23-5/INF-</w:t>
      </w:r>
      <w:r>
        <w:rPr>
          <w:rFonts w:eastAsiaTheme="minorEastAsia" w:hint="eastAsia"/>
          <w:b/>
          <w:lang w:val="en-NZ" w:eastAsia="zh-CN"/>
        </w:rPr>
        <w:t>39</w:t>
      </w:r>
    </w:p>
    <w:p w14:paraId="7980226F" w14:textId="77777777" w:rsidR="006D1572" w:rsidRDefault="00744B12" w:rsidP="00F332DB">
      <w:pPr>
        <w:numPr>
          <w:ilvl w:val="0"/>
          <w:numId w:val="3"/>
        </w:numPr>
        <w:ind w:leftChars="145" w:left="708"/>
        <w:jc w:val="both"/>
        <w:rPr>
          <w:lang w:val="en-NZ"/>
        </w:rPr>
      </w:pPr>
      <w:bookmarkStart w:id="0" w:name="_Hlk69631125"/>
      <w:r>
        <w:rPr>
          <w:lang w:val="en-NZ"/>
        </w:rPr>
        <w:t>CEPT acknowledges the need for additional spectrum to fulfil the increasing demand for non-safety aeronautical mobile applications. Therefore, CEPT supports a new allocation to AM(OR)S for non-safety application in the whole range or a part of the frequency band 15.4-15.7 GHz, and considers the possibility of a new allocation to AM(OR)S for non-safety application in the whole range or parts of the frequency band 22-22.21 GHz while:</w:t>
      </w:r>
    </w:p>
    <w:bookmarkEnd w:id="0"/>
    <w:p w14:paraId="43B5F363" w14:textId="77777777" w:rsidR="006D1572" w:rsidRDefault="00744B12" w:rsidP="00F332DB">
      <w:pPr>
        <w:numPr>
          <w:ilvl w:val="0"/>
          <w:numId w:val="4"/>
        </w:numPr>
        <w:spacing w:line="300" w:lineRule="exact"/>
        <w:jc w:val="both"/>
        <w:rPr>
          <w:lang w:val="en-NZ"/>
        </w:rPr>
      </w:pPr>
      <w:r>
        <w:rPr>
          <w:lang w:val="en-NZ"/>
        </w:rPr>
        <w:t xml:space="preserve">ensuring protection of the EESS/SRS (passive), and the RAS from unwanted emissions of the </w:t>
      </w:r>
      <w:proofErr w:type="gramStart"/>
      <w:r>
        <w:rPr>
          <w:lang w:val="en-NZ"/>
        </w:rPr>
        <w:t>AMS;</w:t>
      </w:r>
      <w:proofErr w:type="gramEnd"/>
    </w:p>
    <w:p w14:paraId="3646E892" w14:textId="77777777" w:rsidR="006D1572" w:rsidRDefault="00744B12" w:rsidP="00F332DB">
      <w:pPr>
        <w:numPr>
          <w:ilvl w:val="0"/>
          <w:numId w:val="4"/>
        </w:numPr>
        <w:spacing w:line="300" w:lineRule="exact"/>
        <w:jc w:val="both"/>
        <w:rPr>
          <w:lang w:val="en-NZ"/>
        </w:rPr>
      </w:pPr>
      <w:r>
        <w:rPr>
          <w:lang w:val="en-NZ"/>
        </w:rPr>
        <w:t>ensuring protection of the primary allocations to radiolocation, aeronautical radionavigation and fixed-satellite (Earth-to-space) services in the relevant parts of the frequency band 15.4-15.7 GHz;</w:t>
      </w:r>
    </w:p>
    <w:p w14:paraId="5954E714" w14:textId="77777777" w:rsidR="006D1572" w:rsidRDefault="00744B12" w:rsidP="00F332DB">
      <w:pPr>
        <w:numPr>
          <w:ilvl w:val="0"/>
          <w:numId w:val="4"/>
        </w:numPr>
        <w:spacing w:line="300" w:lineRule="exact"/>
        <w:jc w:val="both"/>
        <w:rPr>
          <w:lang w:val="en-NZ"/>
        </w:rPr>
      </w:pPr>
      <w:r>
        <w:rPr>
          <w:lang w:val="en-NZ"/>
        </w:rPr>
        <w:t>ensuring protection of the primary allocations to the fixed and mobile services in the frequency band 22-22.21 GHz noting that the frequency range 21.2-23.6 GHz is allocated to the fixed service;</w:t>
      </w:r>
    </w:p>
    <w:p w14:paraId="2931D364" w14:textId="77777777" w:rsidR="006D1572" w:rsidRDefault="00744B12" w:rsidP="00F332DB">
      <w:pPr>
        <w:numPr>
          <w:ilvl w:val="0"/>
          <w:numId w:val="4"/>
        </w:numPr>
        <w:spacing w:line="300" w:lineRule="exact"/>
        <w:jc w:val="both"/>
        <w:rPr>
          <w:lang w:val="en-NZ"/>
        </w:rPr>
      </w:pPr>
      <w:r>
        <w:rPr>
          <w:lang w:val="en-NZ"/>
        </w:rPr>
        <w:t>considering that RR No. 5.149 applies, also recognizing that some CEPT administrations operate RAS under their National regulation with a primary or secondary status in the frequency band 22.00-22.21 GHz.</w:t>
      </w:r>
    </w:p>
    <w:p w14:paraId="77877718" w14:textId="77777777" w:rsidR="006D1572" w:rsidRDefault="00744B12" w:rsidP="00F332DB">
      <w:pPr>
        <w:numPr>
          <w:ilvl w:val="0"/>
          <w:numId w:val="3"/>
        </w:numPr>
        <w:ind w:leftChars="145" w:left="708"/>
        <w:jc w:val="both"/>
        <w:rPr>
          <w:lang w:val="en-NZ"/>
        </w:rPr>
      </w:pPr>
      <w:r>
        <w:rPr>
          <w:lang w:val="en-NZ"/>
        </w:rPr>
        <w:t>Noting that some CEPT Administrations operate water vapour radiometers in the frequency range 22-22.5 GHz utilized by some radio astronomy stations and in a variety of environmental applications, including weather forecasting and nowcasting, as well as climate monitoring for meteorology, CEPT will also ensure their necessary protection.</w:t>
      </w:r>
    </w:p>
    <w:p w14:paraId="22F0D6C5" w14:textId="77777777" w:rsidR="006D1572" w:rsidRDefault="006D1572">
      <w:pPr>
        <w:rPr>
          <w:lang w:val="en-NZ"/>
        </w:rPr>
      </w:pPr>
    </w:p>
    <w:p w14:paraId="0C6C1192" w14:textId="77777777" w:rsidR="006D1572" w:rsidRDefault="00744B12">
      <w:pPr>
        <w:spacing w:after="120"/>
        <w:jc w:val="both"/>
        <w:rPr>
          <w:rFonts w:eastAsiaTheme="minorEastAsia"/>
          <w:b/>
          <w:lang w:val="en-NZ" w:eastAsia="zh-CN"/>
        </w:rPr>
      </w:pPr>
      <w:r>
        <w:rPr>
          <w:b/>
          <w:lang w:val="en-NZ" w:eastAsia="ko-KR"/>
        </w:rPr>
        <w:t xml:space="preserve">7.1.4 </w:t>
      </w:r>
      <w:r>
        <w:rPr>
          <w:b/>
          <w:lang w:val="en-NZ" w:eastAsia="ko-KR"/>
        </w:rPr>
        <w:tab/>
        <w:t xml:space="preserve">CITEL </w:t>
      </w:r>
      <w:r>
        <w:t xml:space="preserve">- </w:t>
      </w:r>
      <w:r>
        <w:rPr>
          <w:b/>
          <w:lang w:val="en-NZ" w:eastAsia="ko-KR"/>
        </w:rPr>
        <w:t>Document APG23-</w:t>
      </w:r>
      <w:r>
        <w:rPr>
          <w:rFonts w:eastAsiaTheme="minorEastAsia" w:hint="eastAsia"/>
          <w:b/>
          <w:lang w:val="en-NZ" w:eastAsia="zh-CN"/>
        </w:rPr>
        <w:t>5</w:t>
      </w:r>
      <w:r>
        <w:rPr>
          <w:b/>
          <w:lang w:val="en-NZ" w:eastAsia="ko-KR"/>
        </w:rPr>
        <w:t>/</w:t>
      </w:r>
      <w:r>
        <w:rPr>
          <w:b/>
          <w:bCs/>
          <w:lang w:val="en-NZ"/>
        </w:rPr>
        <w:t>INF-</w:t>
      </w:r>
      <w:r>
        <w:rPr>
          <w:rFonts w:eastAsiaTheme="minorEastAsia" w:hint="eastAsia"/>
          <w:b/>
          <w:bCs/>
          <w:lang w:val="en-NZ" w:eastAsia="zh-CN"/>
        </w:rPr>
        <w:t>43</w:t>
      </w:r>
    </w:p>
    <w:p w14:paraId="28EAC4E3" w14:textId="77777777" w:rsidR="006D1572" w:rsidRDefault="00744B12">
      <w:pPr>
        <w:numPr>
          <w:ilvl w:val="0"/>
          <w:numId w:val="3"/>
        </w:numPr>
        <w:spacing w:after="120"/>
        <w:ind w:leftChars="145" w:left="708"/>
        <w:jc w:val="both"/>
        <w:rPr>
          <w:lang w:val="en-NZ"/>
        </w:rPr>
      </w:pPr>
      <w:r>
        <w:rPr>
          <w:lang w:val="en-NZ"/>
        </w:rPr>
        <w:t xml:space="preserve">An Administration provided Preliminary Proposal at recent CITEL meeting. This proposal is based on the sharing and compatibility studies carried out in line with Resolution </w:t>
      </w:r>
      <w:r>
        <w:rPr>
          <w:b/>
          <w:lang w:val="en-NZ"/>
        </w:rPr>
        <w:t>430 (WRC-19)</w:t>
      </w:r>
      <w:r>
        <w:rPr>
          <w:lang w:val="en-NZ"/>
        </w:rPr>
        <w:t xml:space="preserve"> in the frequency bands 15.4-15.7 G</w:t>
      </w:r>
      <w:r>
        <w:rPr>
          <w:rFonts w:eastAsiaTheme="minorEastAsia" w:hint="eastAsia"/>
          <w:lang w:val="en-NZ" w:eastAsia="zh-CN"/>
        </w:rPr>
        <w:t>H</w:t>
      </w:r>
      <w:r>
        <w:rPr>
          <w:lang w:val="en-NZ"/>
        </w:rPr>
        <w:t>z and 22 -22.21 GHz in consideration of new allocation for aeronautical mobile service for non-safety applications.</w:t>
      </w:r>
    </w:p>
    <w:p w14:paraId="519010CE" w14:textId="77777777" w:rsidR="006D1572" w:rsidRDefault="00744B12">
      <w:pPr>
        <w:numPr>
          <w:ilvl w:val="0"/>
          <w:numId w:val="3"/>
        </w:numPr>
        <w:spacing w:after="120"/>
        <w:ind w:leftChars="145" w:left="708"/>
        <w:jc w:val="both"/>
        <w:rPr>
          <w:lang w:val="en-NZ"/>
        </w:rPr>
      </w:pPr>
      <w:r>
        <w:rPr>
          <w:lang w:val="en-NZ"/>
        </w:rPr>
        <w:t>NOC in relation to frequency band 15.4-15.7 GHz</w:t>
      </w:r>
    </w:p>
    <w:p w14:paraId="1EE18E99" w14:textId="77777777" w:rsidR="006D1572" w:rsidRDefault="00744B12">
      <w:pPr>
        <w:numPr>
          <w:ilvl w:val="0"/>
          <w:numId w:val="3"/>
        </w:numPr>
        <w:spacing w:after="120"/>
        <w:ind w:leftChars="145" w:left="708"/>
        <w:jc w:val="both"/>
        <w:rPr>
          <w:lang w:val="en-NZ"/>
        </w:rPr>
      </w:pPr>
      <w:r>
        <w:rPr>
          <w:lang w:val="en-NZ"/>
        </w:rPr>
        <w:t>NOC in relation to frequency band 22.0-22.21 GHz</w:t>
      </w:r>
    </w:p>
    <w:p w14:paraId="4E283C4D" w14:textId="77777777" w:rsidR="006D1572" w:rsidRDefault="00744B12">
      <w:pPr>
        <w:numPr>
          <w:ilvl w:val="0"/>
          <w:numId w:val="3"/>
        </w:numPr>
        <w:spacing w:after="120"/>
        <w:ind w:leftChars="145" w:left="708"/>
        <w:jc w:val="both"/>
        <w:rPr>
          <w:lang w:val="en-NZ"/>
        </w:rPr>
      </w:pPr>
      <w:r>
        <w:rPr>
          <w:lang w:val="en-NZ"/>
        </w:rPr>
        <w:t xml:space="preserve">SUP RESOLUTION </w:t>
      </w:r>
      <w:r>
        <w:rPr>
          <w:b/>
          <w:lang w:val="en-NZ"/>
        </w:rPr>
        <w:t>430 (WRC-19)</w:t>
      </w:r>
      <w:r>
        <w:rPr>
          <w:lang w:val="en-NZ"/>
        </w:rPr>
        <w:t xml:space="preserve"> – Consequential to the results of studies at ITU-R in relation to this Resolution.</w:t>
      </w:r>
    </w:p>
    <w:p w14:paraId="789E4311" w14:textId="77777777" w:rsidR="006D1572" w:rsidRDefault="006D1572">
      <w:pPr>
        <w:spacing w:after="120"/>
        <w:jc w:val="both"/>
        <w:rPr>
          <w:b/>
          <w:lang w:val="en-NZ" w:eastAsia="ko-KR"/>
        </w:rPr>
      </w:pPr>
    </w:p>
    <w:p w14:paraId="6A7FCEFF" w14:textId="34544E2F" w:rsidR="006D1572" w:rsidRDefault="00744B12">
      <w:pPr>
        <w:spacing w:after="120"/>
        <w:jc w:val="both"/>
        <w:rPr>
          <w:rFonts w:eastAsiaTheme="minorEastAsia"/>
          <w:b/>
          <w:lang w:val="en-NZ" w:eastAsia="zh-CN"/>
        </w:rPr>
      </w:pPr>
      <w:r>
        <w:rPr>
          <w:b/>
          <w:lang w:val="en-NZ" w:eastAsia="ko-KR"/>
        </w:rPr>
        <w:t xml:space="preserve">7.1.5 </w:t>
      </w:r>
      <w:r>
        <w:rPr>
          <w:b/>
          <w:lang w:val="en-NZ" w:eastAsia="ko-KR"/>
        </w:rPr>
        <w:tab/>
        <w:t xml:space="preserve">RCC </w:t>
      </w:r>
      <w:r>
        <w:t xml:space="preserve">- </w:t>
      </w:r>
      <w:r>
        <w:rPr>
          <w:b/>
          <w:lang w:val="en-NZ" w:eastAsia="ko-KR"/>
        </w:rPr>
        <w:t>Document APG23-5/</w:t>
      </w:r>
      <w:r>
        <w:rPr>
          <w:b/>
          <w:bCs/>
          <w:lang w:val="en-NZ"/>
        </w:rPr>
        <w:t>INF-</w:t>
      </w:r>
      <w:r>
        <w:rPr>
          <w:rFonts w:eastAsiaTheme="minorEastAsia" w:hint="eastAsia"/>
          <w:b/>
          <w:bCs/>
          <w:lang w:val="en-NZ" w:eastAsia="zh-CN"/>
        </w:rPr>
        <w:t>4</w:t>
      </w:r>
      <w:r w:rsidR="00EA5E07">
        <w:rPr>
          <w:rFonts w:eastAsiaTheme="minorEastAsia"/>
          <w:b/>
          <w:bCs/>
          <w:lang w:val="en-NZ" w:eastAsia="zh-CN"/>
        </w:rPr>
        <w:t>5</w:t>
      </w:r>
    </w:p>
    <w:p w14:paraId="4434F529" w14:textId="77777777" w:rsidR="006D1572" w:rsidRDefault="00744B12">
      <w:pPr>
        <w:numPr>
          <w:ilvl w:val="0"/>
          <w:numId w:val="3"/>
        </w:numPr>
        <w:spacing w:after="120"/>
        <w:ind w:leftChars="145" w:left="708"/>
        <w:jc w:val="both"/>
        <w:rPr>
          <w:lang w:val="en-NZ"/>
        </w:rPr>
      </w:pPr>
      <w:r>
        <w:rPr>
          <w:lang w:val="en-NZ"/>
        </w:rPr>
        <w:t>The RCC Administrations consider that, when identifying possible new allocations to aeronautical mobile service in the frequency band 15.4 – 15.7 GHz as well as when removing constraints on the use of the frequency band 22 – 22.21 GHz by aeronautical mobile service, it is necessary to provide protection of:</w:t>
      </w:r>
    </w:p>
    <w:p w14:paraId="3EAE0EA5" w14:textId="77777777" w:rsidR="006D1572" w:rsidRDefault="00744B12">
      <w:pPr>
        <w:numPr>
          <w:ilvl w:val="0"/>
          <w:numId w:val="4"/>
        </w:numPr>
        <w:spacing w:line="300" w:lineRule="exact"/>
        <w:rPr>
          <w:lang w:val="en-NZ"/>
        </w:rPr>
      </w:pPr>
      <w:r>
        <w:rPr>
          <w:lang w:val="en-NZ"/>
        </w:rPr>
        <w:t xml:space="preserve">radiolocation and aeronautical radionavigation services in the frequency band 15.4-15.7 GHz, of fixed satellite service in the frequency band 15.43-15.63 GHz, and of fixed service in the frequency band 22-22.21 GHz; </w:t>
      </w:r>
    </w:p>
    <w:p w14:paraId="3674A73C" w14:textId="77777777" w:rsidR="006D1572" w:rsidRDefault="00744B12" w:rsidP="00F332DB">
      <w:pPr>
        <w:numPr>
          <w:ilvl w:val="0"/>
          <w:numId w:val="4"/>
        </w:numPr>
        <w:spacing w:line="300" w:lineRule="exact"/>
        <w:jc w:val="both"/>
        <w:rPr>
          <w:lang w:val="en-NZ"/>
        </w:rPr>
      </w:pPr>
      <w:r>
        <w:rPr>
          <w:lang w:val="en-NZ"/>
        </w:rPr>
        <w:lastRenderedPageBreak/>
        <w:t>radioastronomy service in the frequency bands 15.35-15.4 GHz and 22,21-22,5 GHz by means of unwanted emissions’ limits of aeronautical mobile service stations in these frequency bands.</w:t>
      </w:r>
    </w:p>
    <w:p w14:paraId="344073BA" w14:textId="77777777" w:rsidR="006D1572" w:rsidRDefault="00744B12">
      <w:pPr>
        <w:numPr>
          <w:ilvl w:val="0"/>
          <w:numId w:val="3"/>
        </w:numPr>
        <w:spacing w:after="120"/>
        <w:ind w:leftChars="145" w:left="708"/>
        <w:jc w:val="both"/>
        <w:rPr>
          <w:lang w:val="en-NZ"/>
        </w:rPr>
      </w:pPr>
      <w:r>
        <w:rPr>
          <w:lang w:val="en-NZ"/>
        </w:rPr>
        <w:t>Method D from the draft CPM Report is preferable</w:t>
      </w:r>
      <w:r>
        <w:rPr>
          <w:rFonts w:eastAsiaTheme="minorEastAsia" w:hint="eastAsia"/>
          <w:lang w:val="en-NZ" w:eastAsia="zh-CN"/>
        </w:rPr>
        <w:t>.</w:t>
      </w:r>
    </w:p>
    <w:p w14:paraId="27A472A0" w14:textId="77777777" w:rsidR="006D1572" w:rsidRDefault="006D1572">
      <w:pPr>
        <w:rPr>
          <w:lang w:val="en-NZ"/>
        </w:rPr>
      </w:pPr>
    </w:p>
    <w:p w14:paraId="6ACE259C" w14:textId="77777777" w:rsidR="006D1572" w:rsidRDefault="00744B12">
      <w:pPr>
        <w:spacing w:after="120"/>
        <w:jc w:val="both"/>
        <w:rPr>
          <w:b/>
          <w:lang w:val="en-NZ" w:eastAsia="ko-KR"/>
        </w:rPr>
      </w:pPr>
      <w:r>
        <w:rPr>
          <w:b/>
          <w:lang w:val="en-NZ" w:eastAsia="ko-KR"/>
        </w:rPr>
        <w:t xml:space="preserve">7.2 </w:t>
      </w:r>
      <w:r>
        <w:rPr>
          <w:b/>
          <w:lang w:val="en-NZ" w:eastAsia="ko-KR"/>
        </w:rPr>
        <w:tab/>
        <w:t>International Organisations</w:t>
      </w:r>
    </w:p>
    <w:p w14:paraId="0185C870" w14:textId="77777777" w:rsidR="006D1572" w:rsidRDefault="00744B12">
      <w:pPr>
        <w:spacing w:after="120"/>
        <w:jc w:val="both"/>
        <w:rPr>
          <w:rFonts w:eastAsiaTheme="minorEastAsia"/>
          <w:b/>
          <w:lang w:val="en-NZ" w:eastAsia="zh-CN"/>
        </w:rPr>
      </w:pPr>
      <w:r>
        <w:rPr>
          <w:b/>
          <w:lang w:val="en-NZ" w:eastAsia="ko-KR"/>
        </w:rPr>
        <w:t xml:space="preserve">7.2.1 </w:t>
      </w:r>
      <w:r>
        <w:rPr>
          <w:b/>
          <w:lang w:val="en-NZ" w:eastAsia="ko-KR"/>
        </w:rPr>
        <w:tab/>
        <w:t xml:space="preserve">WMO </w:t>
      </w:r>
      <w:r>
        <w:t xml:space="preserve">- </w:t>
      </w:r>
      <w:r>
        <w:rPr>
          <w:b/>
          <w:lang w:val="en-NZ" w:eastAsia="ko-KR"/>
        </w:rPr>
        <w:t>Document APG23-5/INF-0</w:t>
      </w:r>
      <w:r>
        <w:rPr>
          <w:rFonts w:eastAsiaTheme="minorEastAsia" w:hint="eastAsia"/>
          <w:b/>
          <w:lang w:val="en-NZ" w:eastAsia="zh-CN"/>
        </w:rPr>
        <w:t>1</w:t>
      </w:r>
    </w:p>
    <w:p w14:paraId="0467206C" w14:textId="15EDEA39" w:rsidR="006D1572" w:rsidRDefault="00744B12">
      <w:pPr>
        <w:numPr>
          <w:ilvl w:val="0"/>
          <w:numId w:val="3"/>
        </w:numPr>
        <w:spacing w:after="120"/>
        <w:ind w:leftChars="145" w:left="708"/>
        <w:jc w:val="both"/>
        <w:rPr>
          <w:lang w:val="en-NZ"/>
        </w:rPr>
      </w:pPr>
      <w:r>
        <w:rPr>
          <w:lang w:val="en-NZ"/>
        </w:rPr>
        <w:t xml:space="preserve">WMO is not opposed to new allocations for the aeronautical mobile service for the use of non-safety aeronautical mobile applications, if an appropriate unwanted emission limit (-23 </w:t>
      </w:r>
      <w:proofErr w:type="spellStart"/>
      <w:r>
        <w:rPr>
          <w:lang w:val="en-NZ"/>
        </w:rPr>
        <w:t>dBW</w:t>
      </w:r>
      <w:proofErr w:type="spellEnd"/>
      <w:r>
        <w:rPr>
          <w:lang w:val="en-NZ"/>
        </w:rPr>
        <w:t xml:space="preserve"> per 100 MHz) applies in the band 22.21-22.5 GHz to ensure that EESS (passive) is protected from the AM(OR)S. </w:t>
      </w:r>
    </w:p>
    <w:p w14:paraId="03537767" w14:textId="77777777" w:rsidR="006D1572" w:rsidRDefault="006D1572">
      <w:pPr>
        <w:rPr>
          <w:lang w:val="en-NZ"/>
        </w:rPr>
      </w:pPr>
    </w:p>
    <w:p w14:paraId="341850D1" w14:textId="77777777" w:rsidR="006D1572" w:rsidRDefault="00744B12">
      <w:pPr>
        <w:spacing w:after="120"/>
        <w:jc w:val="both"/>
        <w:rPr>
          <w:b/>
          <w:lang w:val="en-NZ" w:eastAsia="ko-KR"/>
        </w:rPr>
      </w:pPr>
      <w:r>
        <w:rPr>
          <w:b/>
          <w:lang w:val="en-NZ" w:eastAsia="ko-KR"/>
        </w:rPr>
        <w:t xml:space="preserve">7.2.2 </w:t>
      </w:r>
      <w:r>
        <w:rPr>
          <w:b/>
          <w:lang w:val="en-NZ" w:eastAsia="ko-KR"/>
        </w:rPr>
        <w:tab/>
        <w:t xml:space="preserve">ICAO </w:t>
      </w:r>
      <w:r>
        <w:t xml:space="preserve">- </w:t>
      </w:r>
      <w:r>
        <w:rPr>
          <w:b/>
          <w:lang w:val="en-NZ" w:eastAsia="ko-KR"/>
        </w:rPr>
        <w:t>Document APG23-</w:t>
      </w:r>
      <w:r>
        <w:rPr>
          <w:rFonts w:eastAsiaTheme="minorEastAsia" w:hint="eastAsia"/>
          <w:b/>
          <w:lang w:val="en-NZ" w:eastAsia="zh-CN"/>
        </w:rPr>
        <w:t>3</w:t>
      </w:r>
      <w:r>
        <w:rPr>
          <w:b/>
          <w:lang w:val="en-NZ" w:eastAsia="ko-KR"/>
        </w:rPr>
        <w:t>/INF-15</w:t>
      </w:r>
    </w:p>
    <w:p w14:paraId="23E12471" w14:textId="77777777" w:rsidR="006D1572" w:rsidRDefault="00744B12">
      <w:pPr>
        <w:numPr>
          <w:ilvl w:val="0"/>
          <w:numId w:val="3"/>
        </w:numPr>
        <w:ind w:leftChars="145" w:left="708"/>
        <w:jc w:val="both"/>
        <w:rPr>
          <w:rFonts w:eastAsiaTheme="minorEastAsia"/>
          <w:lang w:eastAsia="zh-CN"/>
        </w:rPr>
      </w:pPr>
      <w:r>
        <w:rPr>
          <w:rFonts w:eastAsiaTheme="minorEastAsia"/>
          <w:lang w:eastAsia="zh-CN"/>
        </w:rPr>
        <w:t xml:space="preserve">To support ITU-R studies as called for by Resolution </w:t>
      </w:r>
      <w:r>
        <w:rPr>
          <w:rFonts w:eastAsiaTheme="minorEastAsia"/>
          <w:b/>
          <w:bCs/>
          <w:lang w:eastAsia="zh-CN"/>
        </w:rPr>
        <w:t>430 (WRC-19)</w:t>
      </w:r>
      <w:r>
        <w:rPr>
          <w:rFonts w:eastAsiaTheme="minorEastAsia"/>
          <w:lang w:eastAsia="zh-CN"/>
        </w:rPr>
        <w:t>.</w:t>
      </w:r>
    </w:p>
    <w:p w14:paraId="0F3FD926" w14:textId="77777777" w:rsidR="006D1572" w:rsidRDefault="00744B12">
      <w:pPr>
        <w:numPr>
          <w:ilvl w:val="0"/>
          <w:numId w:val="3"/>
        </w:numPr>
        <w:ind w:leftChars="145" w:left="708"/>
        <w:jc w:val="both"/>
        <w:rPr>
          <w:rFonts w:eastAsiaTheme="minorEastAsia"/>
          <w:lang w:eastAsia="zh-CN"/>
        </w:rPr>
      </w:pPr>
      <w:r>
        <w:rPr>
          <w:rFonts w:eastAsiaTheme="minorEastAsia"/>
          <w:lang w:eastAsia="zh-CN"/>
        </w:rPr>
        <w:t>To support, based on the agreed results of studies, new allocations to the aeronautical mobile service only for use by non-safety aeronautical mobile applications.</w:t>
      </w:r>
    </w:p>
    <w:p w14:paraId="1F7A2EF8" w14:textId="77777777" w:rsidR="006D1572" w:rsidRDefault="00744B12">
      <w:pPr>
        <w:numPr>
          <w:ilvl w:val="0"/>
          <w:numId w:val="3"/>
        </w:numPr>
        <w:ind w:leftChars="145" w:left="708"/>
        <w:jc w:val="both"/>
        <w:rPr>
          <w:rFonts w:eastAsiaTheme="minorEastAsia"/>
          <w:lang w:eastAsia="zh-CN"/>
        </w:rPr>
      </w:pPr>
      <w:r>
        <w:rPr>
          <w:rFonts w:eastAsiaTheme="minorEastAsia"/>
          <w:lang w:eastAsia="zh-CN"/>
        </w:rPr>
        <w:t xml:space="preserve">To ensure that any such modification does not adversely affect the status or provision of aeronautical safety services. </w:t>
      </w:r>
    </w:p>
    <w:p w14:paraId="2D68A15C" w14:textId="77777777" w:rsidR="006D1572" w:rsidRDefault="006D1572">
      <w:pPr>
        <w:jc w:val="both"/>
        <w:rPr>
          <w:lang w:val="en-NZ"/>
        </w:rPr>
      </w:pPr>
    </w:p>
    <w:p w14:paraId="220301EB" w14:textId="77777777" w:rsidR="006D1572" w:rsidRDefault="006D1572">
      <w:pPr>
        <w:rPr>
          <w:b/>
          <w:lang w:val="en-NZ"/>
        </w:rPr>
      </w:pPr>
    </w:p>
    <w:p w14:paraId="686D5063" w14:textId="77777777" w:rsidR="006D1572" w:rsidRDefault="00744B12">
      <w:pPr>
        <w:jc w:val="center"/>
        <w:rPr>
          <w:snapToGrid w:val="0"/>
          <w:lang w:val="en-NZ"/>
        </w:rPr>
      </w:pPr>
      <w:r>
        <w:rPr>
          <w:lang w:val="en-NZ"/>
        </w:rPr>
        <w:t>____________</w:t>
      </w:r>
    </w:p>
    <w:p w14:paraId="44B1D2C3" w14:textId="77777777" w:rsidR="006D1572" w:rsidRDefault="006D1572">
      <w:pPr>
        <w:jc w:val="both"/>
        <w:rPr>
          <w:lang w:val="en-NZ"/>
        </w:rPr>
      </w:pPr>
    </w:p>
    <w:sectPr w:rsidR="006D1572" w:rsidSect="008F5A5F">
      <w:headerReference w:type="default" r:id="rId28"/>
      <w:footerReference w:type="even" r:id="rId29"/>
      <w:footerReference w:type="default" r:id="rId30"/>
      <w:headerReference w:type="first" r:id="rId31"/>
      <w:footerReference w:type="first" r:id="rId32"/>
      <w:pgSz w:w="11909" w:h="16834"/>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FF96" w14:textId="77777777" w:rsidR="00973D43" w:rsidRDefault="00973D43">
      <w:r>
        <w:separator/>
      </w:r>
    </w:p>
  </w:endnote>
  <w:endnote w:type="continuationSeparator" w:id="0">
    <w:p w14:paraId="2D1852CF" w14:textId="77777777" w:rsidR="00973D43" w:rsidRDefault="0097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altName w:val="Malgun Gothic"/>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15C1" w14:textId="77777777" w:rsidR="006D1572" w:rsidRDefault="00744B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55351" w14:textId="77777777" w:rsidR="006D1572" w:rsidRDefault="006D15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37D" w14:textId="7165C7C2" w:rsidR="00BD76E9" w:rsidRDefault="00B90203" w:rsidP="00B90203">
    <w:pPr>
      <w:pStyle w:val="Footer"/>
    </w:pPr>
    <w:r>
      <w:t>APG23-5/OUT-16</w:t>
    </w:r>
    <w:r w:rsidR="00F332DB">
      <w:t>(Rev.1)</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6D1572" w14:paraId="513AFBDD" w14:textId="77777777">
      <w:trPr>
        <w:trHeight w:val="432"/>
      </w:trPr>
      <w:tc>
        <w:tcPr>
          <w:tcW w:w="1296" w:type="dxa"/>
          <w:tcBorders>
            <w:top w:val="single" w:sz="8" w:space="0" w:color="auto"/>
            <w:bottom w:val="nil"/>
            <w:right w:val="nil"/>
          </w:tcBorders>
        </w:tcPr>
        <w:p w14:paraId="134D1D61" w14:textId="77777777" w:rsidR="006D1572" w:rsidRDefault="00744B12">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06A49998" w14:textId="77777777" w:rsidR="00B90203" w:rsidRDefault="00E968A3">
          <w:pPr>
            <w:pStyle w:val="Footer"/>
            <w:tabs>
              <w:tab w:val="clear" w:pos="4320"/>
              <w:tab w:val="clear" w:pos="8640"/>
            </w:tabs>
          </w:pPr>
          <w:r>
            <w:t>Mr. Bui Ha Long</w:t>
          </w:r>
        </w:p>
        <w:p w14:paraId="106CBB3A" w14:textId="0C71D928" w:rsidR="006D1572" w:rsidRDefault="00E968A3">
          <w:pPr>
            <w:pStyle w:val="Footer"/>
            <w:tabs>
              <w:tab w:val="clear" w:pos="4320"/>
              <w:tab w:val="clear" w:pos="8640"/>
            </w:tabs>
          </w:pPr>
          <w:r>
            <w:t>WP2 Chair</w:t>
          </w:r>
        </w:p>
      </w:tc>
      <w:tc>
        <w:tcPr>
          <w:tcW w:w="2880" w:type="dxa"/>
          <w:tcBorders>
            <w:top w:val="single" w:sz="8" w:space="0" w:color="auto"/>
            <w:left w:val="nil"/>
            <w:bottom w:val="nil"/>
          </w:tcBorders>
        </w:tcPr>
        <w:p w14:paraId="36576142" w14:textId="4A2CEF54" w:rsidR="006D1572" w:rsidRDefault="00744B12">
          <w:pPr>
            <w:pStyle w:val="Footer"/>
            <w:tabs>
              <w:tab w:val="clear" w:pos="4320"/>
              <w:tab w:val="clear" w:pos="8640"/>
            </w:tabs>
          </w:pPr>
          <w:r>
            <w:rPr>
              <w:b/>
              <w:bCs/>
            </w:rPr>
            <w:t>Email:</w:t>
          </w:r>
          <w:r>
            <w:t xml:space="preserve"> </w:t>
          </w:r>
          <w:hyperlink r:id="rId1" w:history="1"/>
          <w:r>
            <w:t xml:space="preserve"> </w:t>
          </w:r>
          <w:hyperlink r:id="rId2" w:history="1">
            <w:r w:rsidR="00B90203" w:rsidRPr="00DE1A9E">
              <w:rPr>
                <w:rStyle w:val="Hyperlink"/>
              </w:rPr>
              <w:t>longbh@rfd.gov.vn</w:t>
            </w:r>
          </w:hyperlink>
          <w:r w:rsidR="00B90203">
            <w:t xml:space="preserve"> </w:t>
          </w:r>
        </w:p>
      </w:tc>
    </w:tr>
  </w:tbl>
  <w:p w14:paraId="5EDD33C9" w14:textId="77777777" w:rsidR="006D1572" w:rsidRDefault="006D1572">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D032" w14:textId="77777777" w:rsidR="00973D43" w:rsidRDefault="00973D43">
      <w:r>
        <w:separator/>
      </w:r>
    </w:p>
  </w:footnote>
  <w:footnote w:type="continuationSeparator" w:id="0">
    <w:p w14:paraId="0CC26048" w14:textId="77777777" w:rsidR="00973D43" w:rsidRDefault="0097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0BCA" w14:textId="77777777" w:rsidR="006D1572" w:rsidRDefault="006D1572">
    <w:pPr>
      <w:pStyle w:val="Header"/>
      <w:tabs>
        <w:tab w:val="clear" w:pos="4320"/>
        <w:tab w:val="clear" w:pos="8640"/>
      </w:tabs>
      <w:rPr>
        <w:lang w:eastAsia="ko-KR"/>
      </w:rPr>
    </w:pPr>
  </w:p>
  <w:p w14:paraId="5CFEFDED" w14:textId="77777777" w:rsidR="006D1572" w:rsidRDefault="006D1572">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2718" w14:textId="77777777" w:rsidR="006D1572" w:rsidRDefault="006D157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0D38"/>
    <w:multiLevelType w:val="multilevel"/>
    <w:tmpl w:val="15700D38"/>
    <w:lvl w:ilvl="0">
      <w:start w:val="3"/>
      <w:numFmt w:val="bullet"/>
      <w:lvlText w:val="–"/>
      <w:lvlJc w:val="left"/>
      <w:pPr>
        <w:ind w:left="720" w:hanging="360"/>
      </w:pPr>
      <w:rPr>
        <w:rFonts w:ascii="BatangChe" w:eastAsia="BatangChe" w:hAnsi="BatangChe" w:cs="Times New Rom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3BBE1A4D"/>
    <w:multiLevelType w:val="multilevel"/>
    <w:tmpl w:val="3BBE1A4D"/>
    <w:lvl w:ilvl="0">
      <w:start w:val="1"/>
      <w:numFmt w:val="bullet"/>
      <w:lvlText w:val="-"/>
      <w:lvlJc w:val="left"/>
      <w:pPr>
        <w:ind w:left="280" w:hanging="360"/>
      </w:pPr>
      <w:rPr>
        <w:rFonts w:ascii="Malgun Gothic" w:eastAsia="Malgun Gothic" w:hAnsi="Malgun Gothic" w:cstheme="minorBidi" w:hint="eastAsia"/>
      </w:rPr>
    </w:lvl>
    <w:lvl w:ilvl="1">
      <w:start w:val="1"/>
      <w:numFmt w:val="bullet"/>
      <w:lvlText w:val="-"/>
      <w:lvlJc w:val="left"/>
      <w:pPr>
        <w:ind w:left="720" w:hanging="400"/>
      </w:pPr>
      <w:rPr>
        <w:rFonts w:ascii="Malgun Gothic" w:eastAsia="Malgun Gothic" w:hAnsi="Malgun Gothic" w:cstheme="minorBidi" w:hint="eastAsia"/>
      </w:rPr>
    </w:lvl>
    <w:lvl w:ilvl="2">
      <w:start w:val="1"/>
      <w:numFmt w:val="bullet"/>
      <w:lvlText w:val=""/>
      <w:lvlJc w:val="left"/>
      <w:pPr>
        <w:ind w:left="1120" w:hanging="400"/>
      </w:pPr>
      <w:rPr>
        <w:rFonts w:ascii="Wingdings" w:hAnsi="Wingdings" w:hint="default"/>
      </w:rPr>
    </w:lvl>
    <w:lvl w:ilvl="3">
      <w:start w:val="1"/>
      <w:numFmt w:val="bullet"/>
      <w:lvlText w:val="o"/>
      <w:lvlJc w:val="left"/>
      <w:pPr>
        <w:ind w:left="1520" w:hanging="400"/>
      </w:pPr>
      <w:rPr>
        <w:rFonts w:ascii="Courier New" w:hAnsi="Courier New" w:cs="Courier New" w:hint="default"/>
      </w:rPr>
    </w:lvl>
    <w:lvl w:ilvl="4">
      <w:start w:val="1"/>
      <w:numFmt w:val="bullet"/>
      <w:lvlText w:val=""/>
      <w:lvlJc w:val="left"/>
      <w:pPr>
        <w:ind w:left="1920" w:hanging="400"/>
      </w:pPr>
      <w:rPr>
        <w:rFonts w:ascii="Wingdings" w:hAnsi="Wingdings" w:hint="default"/>
      </w:rPr>
    </w:lvl>
    <w:lvl w:ilvl="5">
      <w:start w:val="1"/>
      <w:numFmt w:val="bullet"/>
      <w:lvlText w:val=""/>
      <w:lvlJc w:val="left"/>
      <w:pPr>
        <w:ind w:left="2320" w:hanging="400"/>
      </w:pPr>
      <w:rPr>
        <w:rFonts w:ascii="Wingdings" w:hAnsi="Wingdings" w:hint="default"/>
      </w:rPr>
    </w:lvl>
    <w:lvl w:ilvl="6">
      <w:start w:val="1"/>
      <w:numFmt w:val="bullet"/>
      <w:lvlText w:val=""/>
      <w:lvlJc w:val="left"/>
      <w:pPr>
        <w:ind w:left="2720" w:hanging="400"/>
      </w:pPr>
      <w:rPr>
        <w:rFonts w:ascii="Wingdings" w:hAnsi="Wingdings" w:hint="default"/>
      </w:rPr>
    </w:lvl>
    <w:lvl w:ilvl="7">
      <w:start w:val="1"/>
      <w:numFmt w:val="bullet"/>
      <w:lvlText w:val=""/>
      <w:lvlJc w:val="left"/>
      <w:pPr>
        <w:ind w:left="3120" w:hanging="400"/>
      </w:pPr>
      <w:rPr>
        <w:rFonts w:ascii="Wingdings" w:hAnsi="Wingdings" w:hint="default"/>
      </w:rPr>
    </w:lvl>
    <w:lvl w:ilvl="8">
      <w:start w:val="1"/>
      <w:numFmt w:val="bullet"/>
      <w:lvlText w:val=""/>
      <w:lvlJc w:val="left"/>
      <w:pPr>
        <w:ind w:left="3520" w:hanging="400"/>
      </w:pPr>
      <w:rPr>
        <w:rFonts w:ascii="Wingdings" w:hAnsi="Wingdings" w:hint="default"/>
      </w:rPr>
    </w:lvl>
  </w:abstractNum>
  <w:abstractNum w:abstractNumId="2" w15:restartNumberingAfterBreak="0">
    <w:nsid w:val="510B472C"/>
    <w:multiLevelType w:val="multilevel"/>
    <w:tmpl w:val="510B472C"/>
    <w:lvl w:ilvl="0">
      <w:start w:val="1"/>
      <w:numFmt w:val="bullet"/>
      <w:lvlText w:val="-"/>
      <w:lvlJc w:val="left"/>
      <w:pPr>
        <w:ind w:left="760" w:hanging="360"/>
      </w:pPr>
      <w:rPr>
        <w:rFonts w:ascii="Times New Roman" w:eastAsia="BatangChe"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7A345E76"/>
    <w:multiLevelType w:val="multilevel"/>
    <w:tmpl w:val="7A345E76"/>
    <w:lvl w:ilvl="0">
      <w:start w:val="1"/>
      <w:numFmt w:val="bullet"/>
      <w:lvlText w:val=""/>
      <w:lvlJc w:val="left"/>
      <w:pPr>
        <w:ind w:left="1068" w:hanging="360"/>
      </w:pPr>
      <w:rPr>
        <w:rFonts w:ascii="Symbol" w:hAnsi="Symbol" w:hint="default"/>
      </w:rPr>
    </w:lvl>
    <w:lvl w:ilvl="1">
      <w:start w:val="1"/>
      <w:numFmt w:val="bullet"/>
      <w:lvlText w:val=""/>
      <w:lvlJc w:val="left"/>
      <w:pPr>
        <w:ind w:left="1508" w:hanging="400"/>
      </w:pPr>
      <w:rPr>
        <w:rFonts w:ascii="Wingdings" w:hAnsi="Wingdings" w:hint="default"/>
      </w:rPr>
    </w:lvl>
    <w:lvl w:ilvl="2">
      <w:start w:val="1"/>
      <w:numFmt w:val="bullet"/>
      <w:lvlText w:val=""/>
      <w:lvlJc w:val="left"/>
      <w:pPr>
        <w:ind w:left="1908" w:hanging="400"/>
      </w:pPr>
      <w:rPr>
        <w:rFonts w:ascii="Wingdings" w:hAnsi="Wingdings" w:hint="default"/>
      </w:rPr>
    </w:lvl>
    <w:lvl w:ilvl="3">
      <w:start w:val="1"/>
      <w:numFmt w:val="bullet"/>
      <w:lvlText w:val="o"/>
      <w:lvlJc w:val="left"/>
      <w:pPr>
        <w:ind w:left="2308" w:hanging="400"/>
      </w:pPr>
      <w:rPr>
        <w:rFonts w:ascii="Courier New" w:hAnsi="Courier New" w:cs="Courier New" w:hint="default"/>
      </w:rPr>
    </w:lvl>
    <w:lvl w:ilvl="4">
      <w:numFmt w:val="bullet"/>
      <w:lvlText w:val="•"/>
      <w:lvlJc w:val="left"/>
      <w:pPr>
        <w:ind w:left="2668" w:hanging="360"/>
      </w:pPr>
      <w:rPr>
        <w:rFonts w:ascii="BatangChe" w:eastAsia="BatangChe" w:hAnsi="BatangChe" w:cs="Times New Roman" w:hint="eastAsia"/>
      </w:rPr>
    </w:lvl>
    <w:lvl w:ilvl="5">
      <w:start w:val="1"/>
      <w:numFmt w:val="bullet"/>
      <w:lvlText w:val=""/>
      <w:lvlJc w:val="left"/>
      <w:pPr>
        <w:ind w:left="3108" w:hanging="400"/>
      </w:pPr>
      <w:rPr>
        <w:rFonts w:ascii="Wingdings" w:hAnsi="Wingdings" w:hint="default"/>
      </w:rPr>
    </w:lvl>
    <w:lvl w:ilvl="6">
      <w:start w:val="1"/>
      <w:numFmt w:val="bullet"/>
      <w:lvlText w:val=""/>
      <w:lvlJc w:val="left"/>
      <w:pPr>
        <w:ind w:left="3508" w:hanging="400"/>
      </w:pPr>
      <w:rPr>
        <w:rFonts w:ascii="Wingdings" w:hAnsi="Wingdings" w:hint="default"/>
      </w:rPr>
    </w:lvl>
    <w:lvl w:ilvl="7">
      <w:start w:val="1"/>
      <w:numFmt w:val="bullet"/>
      <w:lvlText w:val=""/>
      <w:lvlJc w:val="left"/>
      <w:pPr>
        <w:ind w:left="3908" w:hanging="400"/>
      </w:pPr>
      <w:rPr>
        <w:rFonts w:ascii="Wingdings" w:hAnsi="Wingdings" w:hint="default"/>
      </w:rPr>
    </w:lvl>
    <w:lvl w:ilvl="8">
      <w:start w:val="1"/>
      <w:numFmt w:val="bullet"/>
      <w:lvlText w:val=""/>
      <w:lvlJc w:val="left"/>
      <w:pPr>
        <w:ind w:left="4308" w:hanging="400"/>
      </w:pPr>
      <w:rPr>
        <w:rFonts w:ascii="Wingdings" w:hAnsi="Wingdings" w:hint="default"/>
      </w:rPr>
    </w:lvl>
  </w:abstractNum>
  <w:num w:numId="1" w16cid:durableId="389500391">
    <w:abstractNumId w:val="2"/>
  </w:num>
  <w:num w:numId="2" w16cid:durableId="1593120771">
    <w:abstractNumId w:val="0"/>
  </w:num>
  <w:num w:numId="3" w16cid:durableId="831991042">
    <w:abstractNumId w:val="1"/>
  </w:num>
  <w:num w:numId="4" w16cid:durableId="1587611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40149"/>
    <w:rsid w:val="0005548E"/>
    <w:rsid w:val="00070642"/>
    <w:rsid w:val="000713CF"/>
    <w:rsid w:val="00075C14"/>
    <w:rsid w:val="000822B5"/>
    <w:rsid w:val="00083E21"/>
    <w:rsid w:val="00094B87"/>
    <w:rsid w:val="000A012B"/>
    <w:rsid w:val="000A5418"/>
    <w:rsid w:val="000D03CE"/>
    <w:rsid w:val="000D2EB7"/>
    <w:rsid w:val="000D47FB"/>
    <w:rsid w:val="000E1C89"/>
    <w:rsid w:val="000F345F"/>
    <w:rsid w:val="000F517C"/>
    <w:rsid w:val="000F5540"/>
    <w:rsid w:val="000F7094"/>
    <w:rsid w:val="00105F1A"/>
    <w:rsid w:val="00125FBD"/>
    <w:rsid w:val="00133127"/>
    <w:rsid w:val="001335F0"/>
    <w:rsid w:val="001409B2"/>
    <w:rsid w:val="00152636"/>
    <w:rsid w:val="001539DD"/>
    <w:rsid w:val="001542D6"/>
    <w:rsid w:val="00156782"/>
    <w:rsid w:val="0016491C"/>
    <w:rsid w:val="00165F01"/>
    <w:rsid w:val="001731F4"/>
    <w:rsid w:val="00181503"/>
    <w:rsid w:val="001916F2"/>
    <w:rsid w:val="001930A7"/>
    <w:rsid w:val="00196568"/>
    <w:rsid w:val="00197C18"/>
    <w:rsid w:val="001A2F16"/>
    <w:rsid w:val="001B1804"/>
    <w:rsid w:val="001B18C2"/>
    <w:rsid w:val="001B1926"/>
    <w:rsid w:val="001B579A"/>
    <w:rsid w:val="001C443F"/>
    <w:rsid w:val="001C61A5"/>
    <w:rsid w:val="001C6707"/>
    <w:rsid w:val="001D5D7E"/>
    <w:rsid w:val="001E5764"/>
    <w:rsid w:val="001F5947"/>
    <w:rsid w:val="00202410"/>
    <w:rsid w:val="00213C88"/>
    <w:rsid w:val="00214A0C"/>
    <w:rsid w:val="0021588B"/>
    <w:rsid w:val="002161B6"/>
    <w:rsid w:val="002216AC"/>
    <w:rsid w:val="0023212E"/>
    <w:rsid w:val="00232ED8"/>
    <w:rsid w:val="00234F5E"/>
    <w:rsid w:val="00235265"/>
    <w:rsid w:val="00246A03"/>
    <w:rsid w:val="002475E2"/>
    <w:rsid w:val="002506D2"/>
    <w:rsid w:val="00250DE2"/>
    <w:rsid w:val="00253504"/>
    <w:rsid w:val="00254A1B"/>
    <w:rsid w:val="002579B3"/>
    <w:rsid w:val="0026064A"/>
    <w:rsid w:val="00264566"/>
    <w:rsid w:val="00282A97"/>
    <w:rsid w:val="0028454D"/>
    <w:rsid w:val="0028628B"/>
    <w:rsid w:val="00291C9E"/>
    <w:rsid w:val="00291EE4"/>
    <w:rsid w:val="002926D4"/>
    <w:rsid w:val="0029734E"/>
    <w:rsid w:val="002A0111"/>
    <w:rsid w:val="002A02BC"/>
    <w:rsid w:val="002A3CF5"/>
    <w:rsid w:val="002B06A3"/>
    <w:rsid w:val="002B120B"/>
    <w:rsid w:val="002B4079"/>
    <w:rsid w:val="002B435C"/>
    <w:rsid w:val="002B447F"/>
    <w:rsid w:val="002B7A9F"/>
    <w:rsid w:val="002C07DA"/>
    <w:rsid w:val="002C2A49"/>
    <w:rsid w:val="002C79B7"/>
    <w:rsid w:val="002C7EA9"/>
    <w:rsid w:val="002F575D"/>
    <w:rsid w:val="00300C1C"/>
    <w:rsid w:val="003113D7"/>
    <w:rsid w:val="00311E8A"/>
    <w:rsid w:val="00342F20"/>
    <w:rsid w:val="00360377"/>
    <w:rsid w:val="00366548"/>
    <w:rsid w:val="0038005B"/>
    <w:rsid w:val="003809C7"/>
    <w:rsid w:val="0038236C"/>
    <w:rsid w:val="003829C9"/>
    <w:rsid w:val="00393DCD"/>
    <w:rsid w:val="00395B40"/>
    <w:rsid w:val="003A2006"/>
    <w:rsid w:val="003A6568"/>
    <w:rsid w:val="003B4FD1"/>
    <w:rsid w:val="003B6263"/>
    <w:rsid w:val="003C29E6"/>
    <w:rsid w:val="003C64A7"/>
    <w:rsid w:val="003D1128"/>
    <w:rsid w:val="003D1671"/>
    <w:rsid w:val="003D3D47"/>
    <w:rsid w:val="003D3FDA"/>
    <w:rsid w:val="003D6D00"/>
    <w:rsid w:val="003E166F"/>
    <w:rsid w:val="003F2228"/>
    <w:rsid w:val="003F307E"/>
    <w:rsid w:val="003F4829"/>
    <w:rsid w:val="004001E5"/>
    <w:rsid w:val="0041313C"/>
    <w:rsid w:val="00416A89"/>
    <w:rsid w:val="00420822"/>
    <w:rsid w:val="00420C74"/>
    <w:rsid w:val="00441526"/>
    <w:rsid w:val="0044449E"/>
    <w:rsid w:val="00444ECF"/>
    <w:rsid w:val="004465AA"/>
    <w:rsid w:val="00446A5E"/>
    <w:rsid w:val="0045458F"/>
    <w:rsid w:val="0046239A"/>
    <w:rsid w:val="004633B4"/>
    <w:rsid w:val="00470D42"/>
    <w:rsid w:val="004821F9"/>
    <w:rsid w:val="00486F30"/>
    <w:rsid w:val="00495CED"/>
    <w:rsid w:val="00497F0B"/>
    <w:rsid w:val="004A2F96"/>
    <w:rsid w:val="004A40D0"/>
    <w:rsid w:val="004A4BDF"/>
    <w:rsid w:val="004B3553"/>
    <w:rsid w:val="004B3F4B"/>
    <w:rsid w:val="004E1FCA"/>
    <w:rsid w:val="004E47D6"/>
    <w:rsid w:val="00500F8E"/>
    <w:rsid w:val="00503189"/>
    <w:rsid w:val="00516BD1"/>
    <w:rsid w:val="005206E9"/>
    <w:rsid w:val="00526B47"/>
    <w:rsid w:val="00526D01"/>
    <w:rsid w:val="00530E8C"/>
    <w:rsid w:val="00535D34"/>
    <w:rsid w:val="00544DFC"/>
    <w:rsid w:val="00545933"/>
    <w:rsid w:val="00552105"/>
    <w:rsid w:val="005562F2"/>
    <w:rsid w:val="00557544"/>
    <w:rsid w:val="00565BBB"/>
    <w:rsid w:val="00571B26"/>
    <w:rsid w:val="00573C71"/>
    <w:rsid w:val="00585F3C"/>
    <w:rsid w:val="00586CA0"/>
    <w:rsid w:val="00587875"/>
    <w:rsid w:val="005A4924"/>
    <w:rsid w:val="005A63EB"/>
    <w:rsid w:val="005B0876"/>
    <w:rsid w:val="005B590E"/>
    <w:rsid w:val="005C33B6"/>
    <w:rsid w:val="005D0A9D"/>
    <w:rsid w:val="005D6202"/>
    <w:rsid w:val="005D6E98"/>
    <w:rsid w:val="005E3764"/>
    <w:rsid w:val="005E6695"/>
    <w:rsid w:val="0060379A"/>
    <w:rsid w:val="00607E2B"/>
    <w:rsid w:val="006139D6"/>
    <w:rsid w:val="00616D1B"/>
    <w:rsid w:val="00623CE1"/>
    <w:rsid w:val="00627880"/>
    <w:rsid w:val="0063062B"/>
    <w:rsid w:val="00634A82"/>
    <w:rsid w:val="00637351"/>
    <w:rsid w:val="00643303"/>
    <w:rsid w:val="00646166"/>
    <w:rsid w:val="00650F9F"/>
    <w:rsid w:val="00652BDD"/>
    <w:rsid w:val="00654896"/>
    <w:rsid w:val="006621F0"/>
    <w:rsid w:val="006647BA"/>
    <w:rsid w:val="00667229"/>
    <w:rsid w:val="00682BE5"/>
    <w:rsid w:val="00683846"/>
    <w:rsid w:val="006857CC"/>
    <w:rsid w:val="00690FED"/>
    <w:rsid w:val="006939A5"/>
    <w:rsid w:val="006A07BD"/>
    <w:rsid w:val="006B09DB"/>
    <w:rsid w:val="006C7717"/>
    <w:rsid w:val="006D1572"/>
    <w:rsid w:val="006D2AD5"/>
    <w:rsid w:val="006D384F"/>
    <w:rsid w:val="006D5223"/>
    <w:rsid w:val="006D5970"/>
    <w:rsid w:val="006E12FC"/>
    <w:rsid w:val="006F0F24"/>
    <w:rsid w:val="006F2B2E"/>
    <w:rsid w:val="006F6A5C"/>
    <w:rsid w:val="006F7A3D"/>
    <w:rsid w:val="0070192E"/>
    <w:rsid w:val="00703F6F"/>
    <w:rsid w:val="007052B3"/>
    <w:rsid w:val="00705962"/>
    <w:rsid w:val="00707C21"/>
    <w:rsid w:val="00712451"/>
    <w:rsid w:val="00717DE9"/>
    <w:rsid w:val="00721D07"/>
    <w:rsid w:val="0072432A"/>
    <w:rsid w:val="0072518B"/>
    <w:rsid w:val="00725808"/>
    <w:rsid w:val="00731041"/>
    <w:rsid w:val="007329E4"/>
    <w:rsid w:val="00732F08"/>
    <w:rsid w:val="007342F0"/>
    <w:rsid w:val="0074190C"/>
    <w:rsid w:val="00744B12"/>
    <w:rsid w:val="0075493D"/>
    <w:rsid w:val="0075578A"/>
    <w:rsid w:val="00755B6E"/>
    <w:rsid w:val="00757E25"/>
    <w:rsid w:val="00762576"/>
    <w:rsid w:val="007673CA"/>
    <w:rsid w:val="0078179C"/>
    <w:rsid w:val="00791060"/>
    <w:rsid w:val="007926EA"/>
    <w:rsid w:val="00796197"/>
    <w:rsid w:val="007B5626"/>
    <w:rsid w:val="007B6124"/>
    <w:rsid w:val="007C21D4"/>
    <w:rsid w:val="007D3C53"/>
    <w:rsid w:val="007E01A9"/>
    <w:rsid w:val="007E3A0F"/>
    <w:rsid w:val="007F0AE6"/>
    <w:rsid w:val="007F2628"/>
    <w:rsid w:val="007F2FBA"/>
    <w:rsid w:val="00800C3A"/>
    <w:rsid w:val="0080570B"/>
    <w:rsid w:val="00811229"/>
    <w:rsid w:val="008148E1"/>
    <w:rsid w:val="00822B33"/>
    <w:rsid w:val="008234C3"/>
    <w:rsid w:val="008319BF"/>
    <w:rsid w:val="008415F0"/>
    <w:rsid w:val="008433C2"/>
    <w:rsid w:val="00844457"/>
    <w:rsid w:val="008454C8"/>
    <w:rsid w:val="00851D78"/>
    <w:rsid w:val="00861D85"/>
    <w:rsid w:val="0087122A"/>
    <w:rsid w:val="0088162F"/>
    <w:rsid w:val="008A016F"/>
    <w:rsid w:val="008A1A0D"/>
    <w:rsid w:val="008A72E1"/>
    <w:rsid w:val="008A76ED"/>
    <w:rsid w:val="008B1A4C"/>
    <w:rsid w:val="008B3C72"/>
    <w:rsid w:val="008C5FED"/>
    <w:rsid w:val="008D0E09"/>
    <w:rsid w:val="008E11AD"/>
    <w:rsid w:val="008F1796"/>
    <w:rsid w:val="008F479B"/>
    <w:rsid w:val="008F5A5F"/>
    <w:rsid w:val="00900C49"/>
    <w:rsid w:val="00901DC6"/>
    <w:rsid w:val="00903007"/>
    <w:rsid w:val="00906CDA"/>
    <w:rsid w:val="00923816"/>
    <w:rsid w:val="0092727B"/>
    <w:rsid w:val="0093074B"/>
    <w:rsid w:val="00930E64"/>
    <w:rsid w:val="009429A5"/>
    <w:rsid w:val="00943CF9"/>
    <w:rsid w:val="00956F8C"/>
    <w:rsid w:val="00961D57"/>
    <w:rsid w:val="00973574"/>
    <w:rsid w:val="00973D43"/>
    <w:rsid w:val="00976716"/>
    <w:rsid w:val="0097693B"/>
    <w:rsid w:val="00993355"/>
    <w:rsid w:val="00994C57"/>
    <w:rsid w:val="009963F7"/>
    <w:rsid w:val="009A11CB"/>
    <w:rsid w:val="009A4A6D"/>
    <w:rsid w:val="009B44DD"/>
    <w:rsid w:val="009B7E42"/>
    <w:rsid w:val="009C6FD5"/>
    <w:rsid w:val="009C7235"/>
    <w:rsid w:val="009D1DB6"/>
    <w:rsid w:val="009D3C76"/>
    <w:rsid w:val="009D46CE"/>
    <w:rsid w:val="009D4ADA"/>
    <w:rsid w:val="009D5B49"/>
    <w:rsid w:val="009E13DD"/>
    <w:rsid w:val="009F547A"/>
    <w:rsid w:val="00A00682"/>
    <w:rsid w:val="00A03D78"/>
    <w:rsid w:val="00A0503B"/>
    <w:rsid w:val="00A059CD"/>
    <w:rsid w:val="00A13265"/>
    <w:rsid w:val="00A14900"/>
    <w:rsid w:val="00A2159F"/>
    <w:rsid w:val="00A23C16"/>
    <w:rsid w:val="00A271BA"/>
    <w:rsid w:val="00A324FF"/>
    <w:rsid w:val="00A45012"/>
    <w:rsid w:val="00A462D2"/>
    <w:rsid w:val="00A529BC"/>
    <w:rsid w:val="00A5346C"/>
    <w:rsid w:val="00A53F51"/>
    <w:rsid w:val="00A562F0"/>
    <w:rsid w:val="00A564FB"/>
    <w:rsid w:val="00A614C1"/>
    <w:rsid w:val="00A61EA6"/>
    <w:rsid w:val="00A657BF"/>
    <w:rsid w:val="00A71136"/>
    <w:rsid w:val="00A713F8"/>
    <w:rsid w:val="00A92578"/>
    <w:rsid w:val="00AA17A0"/>
    <w:rsid w:val="00AA474C"/>
    <w:rsid w:val="00AB65EC"/>
    <w:rsid w:val="00AC35EF"/>
    <w:rsid w:val="00AC4D5B"/>
    <w:rsid w:val="00AC70E4"/>
    <w:rsid w:val="00AD1DDB"/>
    <w:rsid w:val="00AD2697"/>
    <w:rsid w:val="00AD7E5F"/>
    <w:rsid w:val="00AE3066"/>
    <w:rsid w:val="00AF68E4"/>
    <w:rsid w:val="00B00A87"/>
    <w:rsid w:val="00B01AA1"/>
    <w:rsid w:val="00B06025"/>
    <w:rsid w:val="00B30C81"/>
    <w:rsid w:val="00B30DA1"/>
    <w:rsid w:val="00B4723F"/>
    <w:rsid w:val="00B4793B"/>
    <w:rsid w:val="00B56099"/>
    <w:rsid w:val="00B64A60"/>
    <w:rsid w:val="00B661AC"/>
    <w:rsid w:val="00B711B6"/>
    <w:rsid w:val="00B8468D"/>
    <w:rsid w:val="00B90203"/>
    <w:rsid w:val="00B937D7"/>
    <w:rsid w:val="00B96B67"/>
    <w:rsid w:val="00BA62F6"/>
    <w:rsid w:val="00BB0EA4"/>
    <w:rsid w:val="00BC44BE"/>
    <w:rsid w:val="00BC57EF"/>
    <w:rsid w:val="00BC69DB"/>
    <w:rsid w:val="00BD04E3"/>
    <w:rsid w:val="00BD76E9"/>
    <w:rsid w:val="00BE6B6B"/>
    <w:rsid w:val="00BF25F9"/>
    <w:rsid w:val="00C00B04"/>
    <w:rsid w:val="00C13FD5"/>
    <w:rsid w:val="00C15633"/>
    <w:rsid w:val="00C15799"/>
    <w:rsid w:val="00C32E84"/>
    <w:rsid w:val="00C35415"/>
    <w:rsid w:val="00C357AD"/>
    <w:rsid w:val="00C422DF"/>
    <w:rsid w:val="00C516C7"/>
    <w:rsid w:val="00C51C5F"/>
    <w:rsid w:val="00C554CC"/>
    <w:rsid w:val="00C6069C"/>
    <w:rsid w:val="00C63684"/>
    <w:rsid w:val="00C70477"/>
    <w:rsid w:val="00C72AD4"/>
    <w:rsid w:val="00C74745"/>
    <w:rsid w:val="00C7692F"/>
    <w:rsid w:val="00C82AAC"/>
    <w:rsid w:val="00C84E73"/>
    <w:rsid w:val="00C85119"/>
    <w:rsid w:val="00C8620C"/>
    <w:rsid w:val="00C95C48"/>
    <w:rsid w:val="00CA41E7"/>
    <w:rsid w:val="00CA690E"/>
    <w:rsid w:val="00CA7295"/>
    <w:rsid w:val="00CB3A60"/>
    <w:rsid w:val="00CC2928"/>
    <w:rsid w:val="00CD170C"/>
    <w:rsid w:val="00CD320B"/>
    <w:rsid w:val="00CD3F37"/>
    <w:rsid w:val="00CD5431"/>
    <w:rsid w:val="00CE4B93"/>
    <w:rsid w:val="00CF2491"/>
    <w:rsid w:val="00CF3963"/>
    <w:rsid w:val="00D1252E"/>
    <w:rsid w:val="00D13D9D"/>
    <w:rsid w:val="00D14AFE"/>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B566D"/>
    <w:rsid w:val="00DC43A3"/>
    <w:rsid w:val="00DC4CF3"/>
    <w:rsid w:val="00DC5C01"/>
    <w:rsid w:val="00DD7C09"/>
    <w:rsid w:val="00DE2CA2"/>
    <w:rsid w:val="00DF05C6"/>
    <w:rsid w:val="00DF0EB4"/>
    <w:rsid w:val="00DF111E"/>
    <w:rsid w:val="00DF73F8"/>
    <w:rsid w:val="00E0124F"/>
    <w:rsid w:val="00E31B06"/>
    <w:rsid w:val="00E33682"/>
    <w:rsid w:val="00E40F83"/>
    <w:rsid w:val="00E43D66"/>
    <w:rsid w:val="00E45161"/>
    <w:rsid w:val="00E5762A"/>
    <w:rsid w:val="00E57E93"/>
    <w:rsid w:val="00E6252F"/>
    <w:rsid w:val="00E674D3"/>
    <w:rsid w:val="00E70FD0"/>
    <w:rsid w:val="00E72B2C"/>
    <w:rsid w:val="00E7309D"/>
    <w:rsid w:val="00E77C4B"/>
    <w:rsid w:val="00E9301F"/>
    <w:rsid w:val="00E93822"/>
    <w:rsid w:val="00E968A3"/>
    <w:rsid w:val="00E9690A"/>
    <w:rsid w:val="00E97DC7"/>
    <w:rsid w:val="00EA470F"/>
    <w:rsid w:val="00EA5E07"/>
    <w:rsid w:val="00EB21F9"/>
    <w:rsid w:val="00EC47EE"/>
    <w:rsid w:val="00EC6934"/>
    <w:rsid w:val="00ED4F1C"/>
    <w:rsid w:val="00EF7036"/>
    <w:rsid w:val="00EF73D6"/>
    <w:rsid w:val="00F000EF"/>
    <w:rsid w:val="00F02A88"/>
    <w:rsid w:val="00F10905"/>
    <w:rsid w:val="00F111EF"/>
    <w:rsid w:val="00F174F7"/>
    <w:rsid w:val="00F2504E"/>
    <w:rsid w:val="00F2585B"/>
    <w:rsid w:val="00F332DB"/>
    <w:rsid w:val="00F3446E"/>
    <w:rsid w:val="00F4053F"/>
    <w:rsid w:val="00F406E7"/>
    <w:rsid w:val="00F516E7"/>
    <w:rsid w:val="00F57BF7"/>
    <w:rsid w:val="00F61F89"/>
    <w:rsid w:val="00F6263E"/>
    <w:rsid w:val="00F627C2"/>
    <w:rsid w:val="00F670BE"/>
    <w:rsid w:val="00F736FD"/>
    <w:rsid w:val="00F84067"/>
    <w:rsid w:val="00F90AE4"/>
    <w:rsid w:val="00FA0FBE"/>
    <w:rsid w:val="00FA50B4"/>
    <w:rsid w:val="00FB6E83"/>
    <w:rsid w:val="00FC156A"/>
    <w:rsid w:val="00FC2843"/>
    <w:rsid w:val="00FC64C2"/>
    <w:rsid w:val="00FD3102"/>
    <w:rsid w:val="00FD6235"/>
    <w:rsid w:val="00FE13D1"/>
    <w:rsid w:val="00FE3DE5"/>
    <w:rsid w:val="00FF3360"/>
    <w:rsid w:val="47032C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4D2E"/>
  <w15:docId w15:val="{E13D95A1-F04B-4344-A2B8-E65B61BF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BatangChe"/>
      <w:sz w:val="24"/>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8">
    <w:name w:val="heading 8"/>
    <w:basedOn w:val="Normal"/>
    <w:next w:val="Normal"/>
    <w:link w:val="Heading8Char"/>
    <w:qFormat/>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wordWrap w:val="0"/>
      <w:ind w:left="851"/>
      <w:jc w:val="both"/>
    </w:pPr>
    <w:rPr>
      <w:kern w:val="2"/>
      <w:sz w:val="20"/>
      <w:szCs w:val="20"/>
      <w:lang w:eastAsia="ko-KR"/>
    </w:rPr>
  </w:style>
  <w:style w:type="paragraph" w:styleId="CommentText">
    <w:name w:val="annotation text"/>
    <w:basedOn w:val="Normal"/>
    <w:link w:val="CommentTextChar"/>
    <w:semiHidden/>
    <w:unhideWhenUsed/>
    <w:qFormat/>
    <w:rPr>
      <w:sz w:val="20"/>
      <w:szCs w:val="20"/>
    </w:rPr>
  </w:style>
  <w:style w:type="paragraph" w:styleId="BalloonText">
    <w:name w:val="Balloon Text"/>
    <w:basedOn w:val="Normal"/>
    <w:link w:val="BalloonTextChar"/>
    <w:semiHidden/>
    <w:unhideWhenUsed/>
    <w:qFormat/>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paragraph" w:styleId="FootnoteText">
    <w:name w:val="footnote text"/>
    <w:basedOn w:val="Normal"/>
    <w:link w:val="FootnoteTextChar"/>
    <w:semiHidden/>
    <w:unhideWhenUsed/>
    <w:rPr>
      <w:sz w:val="20"/>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rPr>
      <w:sz w:val="16"/>
      <w:szCs w:val="16"/>
    </w:rPr>
  </w:style>
  <w:style w:type="character" w:styleId="FootnoteReference">
    <w:name w:val="footnote reference"/>
    <w:basedOn w:val="DefaultParagraphFont"/>
    <w:semiHidden/>
    <w:unhideWhenUsed/>
    <w:rPr>
      <w:vertAlign w:val="superscript"/>
    </w:rPr>
  </w:style>
  <w:style w:type="paragraph" w:customStyle="1" w:styleId="a">
    <w:name w:val="표"/>
    <w:basedOn w:val="Normal"/>
    <w:next w:val="Normal"/>
    <w:pPr>
      <w:widowControl w:val="0"/>
      <w:wordWrap w:val="0"/>
      <w:autoSpaceDE w:val="0"/>
      <w:autoSpaceDN w:val="0"/>
      <w:jc w:val="both"/>
    </w:pPr>
    <w:rPr>
      <w:rFonts w:ascii="Book Antiqua" w:eastAsia="GulimChe" w:hAnsi="Book Antiqua"/>
      <w:b/>
      <w:bCs/>
      <w:kern w:val="2"/>
      <w:sz w:val="28"/>
      <w:lang w:eastAsia="ko-KR"/>
    </w:rPr>
  </w:style>
  <w:style w:type="paragraph" w:customStyle="1" w:styleId="Note">
    <w:name w:val="Note"/>
    <w:basedOn w:val="Normal"/>
    <w:qFormat/>
    <w:pPr>
      <w:tabs>
        <w:tab w:val="left" w:pos="284"/>
        <w:tab w:val="left" w:pos="1134"/>
        <w:tab w:val="left" w:pos="1871"/>
        <w:tab w:val="left" w:pos="2268"/>
      </w:tabs>
      <w:spacing w:before="160"/>
      <w:jc w:val="both"/>
    </w:pPr>
    <w:rPr>
      <w:sz w:val="20"/>
      <w:szCs w:val="20"/>
      <w:lang w:eastAsia="ko-KR"/>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pPr>
      <w:ind w:left="720"/>
    </w:pPr>
  </w:style>
  <w:style w:type="character" w:customStyle="1" w:styleId="BalloonTextChar">
    <w:name w:val="Balloon Text Char"/>
    <w:basedOn w:val="DefaultParagraphFont"/>
    <w:link w:val="BalloonText"/>
    <w:semiHidden/>
    <w:qFormat/>
    <w:rPr>
      <w:rFonts w:ascii="Tahoma" w:eastAsia="BatangChe" w:hAnsi="Tahoma" w:cs="Tahoma"/>
      <w:sz w:val="16"/>
      <w:szCs w:val="16"/>
    </w:rPr>
  </w:style>
  <w:style w:type="character" w:customStyle="1" w:styleId="FootnoteTextChar">
    <w:name w:val="Footnote Text Char"/>
    <w:basedOn w:val="DefaultParagraphFont"/>
    <w:link w:val="FootnoteText"/>
    <w:semiHidden/>
    <w:rPr>
      <w:rFonts w:eastAsia="BatangChe"/>
    </w:rPr>
  </w:style>
  <w:style w:type="character" w:customStyle="1" w:styleId="CommentTextChar">
    <w:name w:val="Comment Text Char"/>
    <w:basedOn w:val="DefaultParagraphFont"/>
    <w:link w:val="CommentText"/>
    <w:semiHidden/>
    <w:qFormat/>
    <w:rPr>
      <w:rFonts w:eastAsia="BatangChe"/>
    </w:rPr>
  </w:style>
  <w:style w:type="character" w:customStyle="1" w:styleId="CommentSubjectChar">
    <w:name w:val="Comment Subject Char"/>
    <w:basedOn w:val="CommentTextChar"/>
    <w:link w:val="CommentSubject"/>
    <w:semiHidden/>
    <w:rPr>
      <w:rFonts w:eastAsia="BatangChe"/>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rFonts w:eastAsia="BatangChe"/>
      <w:sz w:val="24"/>
      <w:szCs w:val="24"/>
    </w:rPr>
  </w:style>
  <w:style w:type="character" w:customStyle="1" w:styleId="Heading8Char">
    <w:name w:val="Heading 8 Char"/>
    <w:basedOn w:val="DefaultParagraphFont"/>
    <w:link w:val="Heading8"/>
    <w:qFormat/>
    <w:rPr>
      <w:rFonts w:eastAsia="BatangChe"/>
      <w:b/>
      <w:bCs/>
      <w:kern w:val="2"/>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90203"/>
    <w:rPr>
      <w:color w:val="605E5C"/>
      <w:shd w:val="clear" w:color="auto" w:fill="E1DFDD"/>
    </w:rPr>
  </w:style>
  <w:style w:type="character" w:styleId="LineNumber">
    <w:name w:val="line number"/>
    <w:basedOn w:val="DefaultParagraphFont"/>
    <w:semiHidden/>
    <w:unhideWhenUsed/>
    <w:rsid w:val="005B590E"/>
  </w:style>
  <w:style w:type="paragraph" w:styleId="Revision">
    <w:name w:val="Revision"/>
    <w:hidden/>
    <w:uiPriority w:val="99"/>
    <w:semiHidden/>
    <w:rsid w:val="000E1C89"/>
    <w:rPr>
      <w:rFonts w:eastAsia="BatangCh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1692">
      <w:bodyDiv w:val="1"/>
      <w:marLeft w:val="0"/>
      <w:marRight w:val="0"/>
      <w:marTop w:val="0"/>
      <w:marBottom w:val="0"/>
      <w:divBdr>
        <w:top w:val="none" w:sz="0" w:space="0" w:color="auto"/>
        <w:left w:val="none" w:sz="0" w:space="0" w:color="auto"/>
        <w:bottom w:val="none" w:sz="0" w:space="0" w:color="auto"/>
        <w:right w:val="none" w:sz="0" w:space="0" w:color="auto"/>
      </w:divBdr>
    </w:div>
    <w:div w:id="1378041430">
      <w:bodyDiv w:val="1"/>
      <w:marLeft w:val="0"/>
      <w:marRight w:val="0"/>
      <w:marTop w:val="0"/>
      <w:marBottom w:val="0"/>
      <w:divBdr>
        <w:top w:val="none" w:sz="0" w:space="0" w:color="auto"/>
        <w:left w:val="none" w:sz="0" w:space="0" w:color="auto"/>
        <w:bottom w:val="none" w:sz="0" w:space="0" w:color="auto"/>
        <w:right w:val="none" w:sz="0" w:space="0" w:color="auto"/>
      </w:divBdr>
    </w:div>
    <w:div w:id="144075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RA.1513-2-201503-I/en" TargetMode="External"/><Relationship Id="rId18" Type="http://schemas.openxmlformats.org/officeDocument/2006/relationships/hyperlink" Target="https://www.itu.int/rec/R-REC-RS.1861/en" TargetMode="External"/><Relationship Id="rId26" Type="http://schemas.openxmlformats.org/officeDocument/2006/relationships/hyperlink" Target="https://www.itu.int/pub/R-REP-M.2230-2011" TargetMode="External"/><Relationship Id="rId3" Type="http://schemas.openxmlformats.org/officeDocument/2006/relationships/styles" Target="styles.xml"/><Relationship Id="rId21" Type="http://schemas.openxmlformats.org/officeDocument/2006/relationships/hyperlink" Target="https://www.itu.int/rec/R-REC-S.1341-0-199710-I/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R-REC-RA.769-2-200305-I/en" TargetMode="External"/><Relationship Id="rId17" Type="http://schemas.openxmlformats.org/officeDocument/2006/relationships/hyperlink" Target="https://www.itu.int/rec/R-REC-RS.1813-1-201102-I/en" TargetMode="External"/><Relationship Id="rId25" Type="http://schemas.openxmlformats.org/officeDocument/2006/relationships/hyperlink" Target="https://www.itu.int/pub/R-REP-M.2229-20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RS.1029-2-200305-W/en" TargetMode="External"/><Relationship Id="rId20" Type="http://schemas.openxmlformats.org/officeDocument/2006/relationships/hyperlink" Target="https://www.itu.int/rec/R-REC-S.1340-0-199710-I/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RA.517-4-200605-I/en" TargetMode="External"/><Relationship Id="rId24" Type="http://schemas.openxmlformats.org/officeDocument/2006/relationships/hyperlink" Target="https://www.itu.int/pub/R-REP-M.2170-2009"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RS.1028-2-200305-W/en" TargetMode="External"/><Relationship Id="rId23" Type="http://schemas.openxmlformats.org/officeDocument/2006/relationships/hyperlink" Target="https://www.itu.int/rec/R-REC-SA.510-3-201707-I/en" TargetMode="External"/><Relationship Id="rId28" Type="http://schemas.openxmlformats.org/officeDocument/2006/relationships/header" Target="header1.xml"/><Relationship Id="rId10" Type="http://schemas.openxmlformats.org/officeDocument/2006/relationships/hyperlink" Target="https://www.itu.int/rec/R-REC-M.1730-1-200910-I/en" TargetMode="External"/><Relationship Id="rId19" Type="http://schemas.openxmlformats.org/officeDocument/2006/relationships/hyperlink" Target="https://www.itu.int/rec/R-REC-RS.2017/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rec/R-REC-F.758/en" TargetMode="External"/><Relationship Id="rId14" Type="http://schemas.openxmlformats.org/officeDocument/2006/relationships/hyperlink" Target="https://www.itu.int/rec/R-REC-RA.1631-0-200305-I/en" TargetMode="External"/><Relationship Id="rId22" Type="http://schemas.openxmlformats.org/officeDocument/2006/relationships/hyperlink" Target="https://www.itu.int/rec/R-REC-SA.509-3-201312-I/en" TargetMode="External"/><Relationship Id="rId27" Type="http://schemas.openxmlformats.org/officeDocument/2006/relationships/hyperlink" Target="https://www.itu.int/pub/R-REP-RA.2131-2009" TargetMode="External"/><Relationship Id="rId30" Type="http://schemas.openxmlformats.org/officeDocument/2006/relationships/footer" Target="footer2.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mailto:longbh@rfd.gov.vn" TargetMode="External"/><Relationship Id="rId1" Type="http://schemas.openxmlformats.org/officeDocument/2006/relationships/hyperlink" Target="mailto:tanwei@bit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FDFDA-D227-4A80-AEAA-67658D04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2760</Words>
  <Characters>15733</Characters>
  <Application>Microsoft Office Word</Application>
  <DocSecurity>0</DocSecurity>
  <Lines>131</Lines>
  <Paragraphs>36</Paragraphs>
  <ScaleCrop>false</ScaleCrop>
  <Company>Organization</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2</cp:revision>
  <cp:lastPrinted>2021-11-12T06:57:00Z</cp:lastPrinted>
  <dcterms:created xsi:type="dcterms:W3CDTF">2023-03-07T07:40:00Z</dcterms:created>
  <dcterms:modified xsi:type="dcterms:W3CDTF">2023-03-07T07:40:00Z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4B4175EA12574EB2A4BABBFC2EA9316C</vt:lpwstr>
  </property>
</Properties>
</file>