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D0247D" w:rsidRPr="00723BE9" w14:paraId="4A73B5EE" w14:textId="77777777" w:rsidTr="00902BAA">
        <w:trPr>
          <w:cantSplit/>
          <w:trHeight w:val="288"/>
        </w:trPr>
        <w:tc>
          <w:tcPr>
            <w:tcW w:w="1399" w:type="dxa"/>
            <w:vMerge w:val="restart"/>
          </w:tcPr>
          <w:p w14:paraId="6A42BAA6" w14:textId="77777777" w:rsidR="00D0247D" w:rsidRPr="00891D0B" w:rsidRDefault="00D0247D" w:rsidP="00902BAA">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eastAsia="zh-CN"/>
              </w:rPr>
              <w:drawing>
                <wp:inline distT="0" distB="0" distL="0" distR="0" wp14:anchorId="686F0257" wp14:editId="05B9B640">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CFF71D6" w14:textId="77777777" w:rsidR="00D0247D" w:rsidRPr="00E86131" w:rsidRDefault="00D0247D" w:rsidP="00902BAA">
            <w:r w:rsidRPr="00E86131">
              <w:t>ASIA-PACIFIC TELECOMMUNITY</w:t>
            </w:r>
          </w:p>
        </w:tc>
        <w:tc>
          <w:tcPr>
            <w:tcW w:w="2160" w:type="dxa"/>
          </w:tcPr>
          <w:p w14:paraId="0EBED811" w14:textId="77777777" w:rsidR="00D0247D" w:rsidRPr="00723BE9" w:rsidRDefault="00D0247D" w:rsidP="00902BAA">
            <w:pPr>
              <w:rPr>
                <w:b/>
                <w:sz w:val="22"/>
                <w:szCs w:val="22"/>
              </w:rPr>
            </w:pPr>
            <w:r w:rsidRPr="00723BE9">
              <w:rPr>
                <w:b/>
              </w:rPr>
              <w:t>Document No:</w:t>
            </w:r>
          </w:p>
        </w:tc>
      </w:tr>
      <w:tr w:rsidR="00D0247D" w14:paraId="653D6400" w14:textId="77777777" w:rsidTr="00902BAA">
        <w:trPr>
          <w:cantSplit/>
          <w:trHeight w:val="504"/>
        </w:trPr>
        <w:tc>
          <w:tcPr>
            <w:tcW w:w="1399" w:type="dxa"/>
            <w:vMerge/>
          </w:tcPr>
          <w:p w14:paraId="54173650" w14:textId="77777777" w:rsidR="00D0247D" w:rsidRPr="00891D0B" w:rsidRDefault="00D0247D" w:rsidP="00902BAA"/>
        </w:tc>
        <w:tc>
          <w:tcPr>
            <w:tcW w:w="5760" w:type="dxa"/>
          </w:tcPr>
          <w:p w14:paraId="198B8683" w14:textId="77777777" w:rsidR="00D0247D" w:rsidRDefault="00D0247D" w:rsidP="00902BAA">
            <w:pPr>
              <w:spacing w:line="0" w:lineRule="atLeast"/>
              <w:rPr>
                <w:b/>
              </w:rPr>
            </w:pPr>
            <w:r>
              <w:rPr>
                <w:b/>
              </w:rPr>
              <w:t>The 5th Meeting of the APT Conference Preparatory</w:t>
            </w:r>
          </w:p>
          <w:p w14:paraId="18B41533" w14:textId="77777777" w:rsidR="00D0247D" w:rsidRPr="00891D0B" w:rsidRDefault="00D0247D" w:rsidP="00902BAA">
            <w:pPr>
              <w:spacing w:line="0" w:lineRule="atLeast"/>
            </w:pPr>
            <w:r>
              <w:rPr>
                <w:b/>
              </w:rPr>
              <w:t>Group for WRC-23 (APG23-5)</w:t>
            </w:r>
          </w:p>
        </w:tc>
        <w:tc>
          <w:tcPr>
            <w:tcW w:w="2160" w:type="dxa"/>
          </w:tcPr>
          <w:p w14:paraId="4F9E158D" w14:textId="225BCFA4" w:rsidR="00D0247D" w:rsidRPr="00CE7799" w:rsidRDefault="00D0247D" w:rsidP="00902BAA">
            <w:pPr>
              <w:rPr>
                <w:rFonts w:cstheme="minorBidi"/>
                <w:b/>
                <w:bCs/>
                <w:szCs w:val="30"/>
                <w:lang w:bidi="th-TH"/>
              </w:rPr>
            </w:pPr>
            <w:r w:rsidRPr="00C96104">
              <w:rPr>
                <w:b/>
                <w:bCs/>
                <w:lang w:val="fr-FR"/>
              </w:rPr>
              <w:t>AP</w:t>
            </w:r>
            <w:r>
              <w:rPr>
                <w:b/>
                <w:bCs/>
                <w:lang w:val="fr-FR"/>
              </w:rPr>
              <w:t>G23-5/</w:t>
            </w:r>
            <w:r w:rsidR="00E13F66">
              <w:rPr>
                <w:b/>
                <w:bCs/>
                <w:lang w:val="fr-FR"/>
              </w:rPr>
              <w:t>OUT</w:t>
            </w:r>
            <w:r>
              <w:rPr>
                <w:b/>
                <w:bCs/>
                <w:lang w:val="fr-FR"/>
              </w:rPr>
              <w:t>-</w:t>
            </w:r>
            <w:r w:rsidR="00E13F66">
              <w:rPr>
                <w:rFonts w:cstheme="minorBidi"/>
                <w:b/>
                <w:bCs/>
                <w:szCs w:val="30"/>
                <w:lang w:bidi="th-TH"/>
              </w:rPr>
              <w:t>31</w:t>
            </w:r>
          </w:p>
          <w:p w14:paraId="7EAD9BC2" w14:textId="77777777" w:rsidR="00D0247D" w:rsidRDefault="00D0247D" w:rsidP="00902BAA">
            <w:pPr>
              <w:spacing w:line="0" w:lineRule="atLeast"/>
              <w:rPr>
                <w:b/>
              </w:rPr>
            </w:pPr>
          </w:p>
        </w:tc>
      </w:tr>
      <w:tr w:rsidR="00D0247D" w14:paraId="2A968457" w14:textId="77777777" w:rsidTr="00902BAA">
        <w:trPr>
          <w:cantSplit/>
          <w:trHeight w:val="288"/>
        </w:trPr>
        <w:tc>
          <w:tcPr>
            <w:tcW w:w="1399" w:type="dxa"/>
            <w:vMerge/>
          </w:tcPr>
          <w:p w14:paraId="7F323E05" w14:textId="77777777" w:rsidR="00D0247D" w:rsidRPr="007E1FDD" w:rsidRDefault="00D0247D" w:rsidP="00902BAA">
            <w:pPr>
              <w:rPr>
                <w:lang w:val="en-GB"/>
              </w:rPr>
            </w:pPr>
          </w:p>
        </w:tc>
        <w:tc>
          <w:tcPr>
            <w:tcW w:w="5760" w:type="dxa"/>
            <w:vAlign w:val="bottom"/>
          </w:tcPr>
          <w:p w14:paraId="458246D8" w14:textId="77777777" w:rsidR="00D0247D" w:rsidRPr="007F0AE6" w:rsidRDefault="00D0247D" w:rsidP="00902BAA">
            <w:pPr>
              <w:rPr>
                <w:bCs/>
              </w:rPr>
            </w:pPr>
            <w:r>
              <w:t>20 – 25 February 2023</w:t>
            </w:r>
            <w:r w:rsidRPr="00891D0B">
              <w:t xml:space="preserve">, </w:t>
            </w:r>
            <w:r>
              <w:t>Busan</w:t>
            </w:r>
            <w:r>
              <w:rPr>
                <w:bCs/>
              </w:rPr>
              <w:t>, Republic of Korea</w:t>
            </w:r>
          </w:p>
        </w:tc>
        <w:tc>
          <w:tcPr>
            <w:tcW w:w="2160" w:type="dxa"/>
            <w:vAlign w:val="bottom"/>
          </w:tcPr>
          <w:p w14:paraId="31E49E37" w14:textId="37397FC0" w:rsidR="00D0247D" w:rsidRDefault="00E13F66" w:rsidP="00E13F66">
            <w:r>
              <w:rPr>
                <w:bCs/>
              </w:rPr>
              <w:t xml:space="preserve">25 </w:t>
            </w:r>
            <w:r w:rsidR="00D0247D">
              <w:rPr>
                <w:bCs/>
              </w:rPr>
              <w:t>February 2023</w:t>
            </w:r>
          </w:p>
        </w:tc>
      </w:tr>
    </w:tbl>
    <w:p w14:paraId="6B5FC7B5" w14:textId="77777777" w:rsidR="00D0247D" w:rsidRDefault="00D0247D" w:rsidP="00D0247D">
      <w:pPr>
        <w:rPr>
          <w:lang w:val="en-NZ"/>
        </w:rPr>
      </w:pPr>
    </w:p>
    <w:p w14:paraId="056E6397" w14:textId="3A987895" w:rsidR="00E13F66" w:rsidRPr="003B3011" w:rsidRDefault="00E13F66" w:rsidP="00E13F66">
      <w:pPr>
        <w:jc w:val="center"/>
        <w:rPr>
          <w:lang w:eastAsia="ko-KR"/>
        </w:rPr>
      </w:pPr>
      <w:r w:rsidRPr="003B3011">
        <w:rPr>
          <w:lang w:eastAsia="ko-KR"/>
        </w:rPr>
        <w:t>Working Party 4</w:t>
      </w:r>
    </w:p>
    <w:p w14:paraId="17AA8EF4" w14:textId="77777777" w:rsidR="004533C4" w:rsidRPr="003B3011" w:rsidRDefault="004533C4" w:rsidP="004533C4">
      <w:pPr>
        <w:jc w:val="center"/>
        <w:rPr>
          <w:bCs/>
          <w:caps/>
          <w:color w:val="000000" w:themeColor="text1"/>
          <w:lang w:val="en-NZ"/>
        </w:rPr>
      </w:pPr>
    </w:p>
    <w:p w14:paraId="10C124D5" w14:textId="400575D9" w:rsidR="00B64A60" w:rsidRPr="003B3011" w:rsidRDefault="004533C4" w:rsidP="004533C4">
      <w:pPr>
        <w:jc w:val="center"/>
        <w:rPr>
          <w:b/>
          <w:bCs/>
          <w:caps/>
          <w:lang w:val="en-NZ"/>
        </w:rPr>
      </w:pPr>
      <w:r w:rsidRPr="003B3011">
        <w:rPr>
          <w:b/>
          <w:bCs/>
          <w:caps/>
          <w:color w:val="000000" w:themeColor="text1"/>
          <w:lang w:val="en-NZ"/>
        </w:rPr>
        <w:t xml:space="preserve">PRELIMINARY </w:t>
      </w:r>
      <w:r w:rsidR="00B64A60" w:rsidRPr="003B3011">
        <w:rPr>
          <w:b/>
          <w:bCs/>
          <w:caps/>
          <w:lang w:val="en-NZ"/>
        </w:rPr>
        <w:t>VIEWs on WRC-</w:t>
      </w:r>
      <w:r w:rsidR="007F0AE6" w:rsidRPr="003B3011">
        <w:rPr>
          <w:b/>
          <w:bCs/>
          <w:caps/>
          <w:lang w:val="en-NZ"/>
        </w:rPr>
        <w:t>23</w:t>
      </w:r>
      <w:r w:rsidR="00B64A60" w:rsidRPr="003B3011">
        <w:rPr>
          <w:b/>
          <w:bCs/>
          <w:caps/>
          <w:lang w:val="en-NZ"/>
        </w:rPr>
        <w:t xml:space="preserve"> agenda item 1.</w:t>
      </w:r>
      <w:r w:rsidR="008B4D5F" w:rsidRPr="003B3011">
        <w:rPr>
          <w:b/>
          <w:bCs/>
          <w:caps/>
          <w:lang w:val="en-NZ"/>
        </w:rPr>
        <w:t>19</w:t>
      </w:r>
    </w:p>
    <w:p w14:paraId="5CAEC656" w14:textId="77777777" w:rsidR="00B64A60" w:rsidRPr="00441526" w:rsidRDefault="00B64A60" w:rsidP="00264566">
      <w:pPr>
        <w:spacing w:after="120"/>
        <w:rPr>
          <w:lang w:val="en-NZ"/>
        </w:rPr>
      </w:pPr>
    </w:p>
    <w:p w14:paraId="37FBAB9B" w14:textId="52AF40B9" w:rsidR="002A0111" w:rsidRPr="00441526" w:rsidRDefault="002A0111" w:rsidP="002A0111">
      <w:pPr>
        <w:spacing w:after="120"/>
        <w:jc w:val="both"/>
        <w:rPr>
          <w:lang w:val="en-NZ"/>
        </w:rPr>
      </w:pPr>
      <w:r w:rsidRPr="00441526">
        <w:rPr>
          <w:b/>
          <w:lang w:val="en-NZ"/>
        </w:rPr>
        <w:t>Agenda Item 1.</w:t>
      </w:r>
      <w:r w:rsidR="008B4D5F">
        <w:rPr>
          <w:b/>
          <w:lang w:val="en-NZ"/>
        </w:rPr>
        <w:t>19</w:t>
      </w:r>
      <w:r w:rsidRPr="00441526">
        <w:rPr>
          <w:b/>
          <w:lang w:val="en-NZ"/>
        </w:rPr>
        <w:t xml:space="preserve">: </w:t>
      </w:r>
    </w:p>
    <w:p w14:paraId="540D0D08" w14:textId="13B9BF74" w:rsidR="008B4D5F" w:rsidRPr="00441526" w:rsidRDefault="008B4D5F" w:rsidP="002A0111">
      <w:pPr>
        <w:spacing w:after="120"/>
        <w:jc w:val="both"/>
        <w:rPr>
          <w:i/>
          <w:lang w:val="en-NZ"/>
        </w:rPr>
      </w:pPr>
      <w:r w:rsidRPr="0012124C">
        <w:rPr>
          <w:i/>
          <w:lang w:val="en-NZ"/>
        </w:rPr>
        <w:t xml:space="preserve">to consider a new primary allocation to the fixed-satellite service in the space-to-Earth direction in the frequency band 17.3-17.7 GHz in Region 2, while protecting existing primary services in the band, in accordance with Resolution </w:t>
      </w:r>
      <w:r w:rsidRPr="00906F27">
        <w:rPr>
          <w:b/>
          <w:bCs/>
          <w:i/>
          <w:lang w:val="en-NZ"/>
        </w:rPr>
        <w:t>174 (WRC 19).</w:t>
      </w:r>
    </w:p>
    <w:p w14:paraId="29544699" w14:textId="77777777" w:rsidR="002A0111" w:rsidRPr="00441526"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0FA5D033" w14:textId="2C95F92F" w:rsidR="00606B7B" w:rsidRDefault="00606B7B" w:rsidP="00606B7B">
      <w:pPr>
        <w:jc w:val="both"/>
        <w:rPr>
          <w:lang w:val="en-NZ"/>
        </w:rPr>
      </w:pPr>
      <w:r w:rsidRPr="00906F27">
        <w:rPr>
          <w:lang w:val="en-NZ"/>
        </w:rPr>
        <w:t xml:space="preserve">WRC-23 agenda item 1.19, in accordance with Resolution </w:t>
      </w:r>
      <w:r w:rsidRPr="00746576">
        <w:rPr>
          <w:b/>
          <w:bCs/>
          <w:lang w:val="en-NZ"/>
        </w:rPr>
        <w:t>174 (WRC-19)</w:t>
      </w:r>
      <w:r w:rsidRPr="00906F27">
        <w:rPr>
          <w:lang w:val="en-NZ"/>
        </w:rPr>
        <w:t xml:space="preserve">, invites ITU-R Sector to conduct, and complete in time for WRC-23, sharing and compatibility studies between the </w:t>
      </w:r>
      <w:bookmarkStart w:id="0" w:name="_Hlk65488639"/>
      <w:r w:rsidRPr="00906F27">
        <w:rPr>
          <w:lang w:val="en-NZ"/>
        </w:rPr>
        <w:t xml:space="preserve">FSS (space-to-Earth) </w:t>
      </w:r>
      <w:bookmarkEnd w:id="0"/>
      <w:r w:rsidRPr="00906F27">
        <w:rPr>
          <w:lang w:val="en-NZ"/>
        </w:rPr>
        <w:t xml:space="preserve">and the BSS </w:t>
      </w:r>
      <w:bookmarkStart w:id="1" w:name="_Hlk65488656"/>
      <w:r w:rsidRPr="00906F27">
        <w:rPr>
          <w:lang w:val="en-NZ"/>
        </w:rPr>
        <w:t xml:space="preserve">(space-to-Earth) </w:t>
      </w:r>
      <w:bookmarkEnd w:id="1"/>
      <w:r w:rsidRPr="00906F27">
        <w:rPr>
          <w:lang w:val="en-NZ"/>
        </w:rPr>
        <w:t xml:space="preserve">and between the </w:t>
      </w:r>
      <w:bookmarkStart w:id="2" w:name="_Hlk65488683"/>
      <w:r w:rsidRPr="00906F27">
        <w:rPr>
          <w:lang w:val="en-NZ"/>
        </w:rPr>
        <w:t>FSS (space-to-Earth) and the FSS (Earth-to-space)</w:t>
      </w:r>
      <w:bookmarkEnd w:id="2"/>
      <w:r w:rsidRPr="00906F27">
        <w:rPr>
          <w:lang w:val="en-NZ"/>
        </w:rPr>
        <w:t>, in order to consider a possible new primary allocation to the FSS (space-to-Earth) in the frequency band 17.3-17.7 GHz for Region 2, while ensuring the protection of existing primary allocations in the same and adjacent frequency bands, as appropriate, and without imposing any additional constraints on existing allocations to the BSS (space-to-Earth) and the FSS (Earth-to-space).</w:t>
      </w:r>
    </w:p>
    <w:p w14:paraId="108545B0" w14:textId="77777777" w:rsidR="00055FC7" w:rsidRDefault="00055FC7" w:rsidP="00606B7B">
      <w:pPr>
        <w:jc w:val="both"/>
        <w:rPr>
          <w:lang w:val="en-NZ"/>
        </w:rPr>
      </w:pPr>
    </w:p>
    <w:p w14:paraId="6AB50B20" w14:textId="3035A887" w:rsidR="00AC7365" w:rsidRDefault="00055FC7" w:rsidP="00606B7B">
      <w:pPr>
        <w:jc w:val="both"/>
        <w:rPr>
          <w:lang w:val="en-NZ"/>
        </w:rPr>
      </w:pPr>
      <w:r w:rsidRPr="00055FC7">
        <w:rPr>
          <w:lang w:val="en-NZ"/>
        </w:rPr>
        <w:t>Progress of ITU-R on-going studies:</w:t>
      </w:r>
    </w:p>
    <w:p w14:paraId="158F17CA" w14:textId="77777777" w:rsidR="00055FC7" w:rsidRPr="00055FC7" w:rsidRDefault="00055FC7" w:rsidP="00606B7B">
      <w:pPr>
        <w:jc w:val="both"/>
        <w:rPr>
          <w:lang w:val="en-NZ"/>
        </w:rPr>
      </w:pPr>
    </w:p>
    <w:p w14:paraId="5A6F9234" w14:textId="3575F413" w:rsidR="00606B7B" w:rsidRDefault="00606B7B" w:rsidP="00606B7B">
      <w:pPr>
        <w:jc w:val="both"/>
        <w:rPr>
          <w:lang w:val="en-NZ"/>
        </w:rPr>
      </w:pPr>
      <w:r w:rsidRPr="00606B7B">
        <w:rPr>
          <w:lang w:val="en-NZ"/>
        </w:rPr>
        <w:t xml:space="preserve">The </w:t>
      </w:r>
      <w:r w:rsidR="006B6A04">
        <w:rPr>
          <w:lang w:val="en-NZ"/>
        </w:rPr>
        <w:t>7</w:t>
      </w:r>
      <w:r w:rsidRPr="00606B7B">
        <w:rPr>
          <w:lang w:val="en-NZ"/>
        </w:rPr>
        <w:t xml:space="preserve">th Working Party (WP) 4A meetings in </w:t>
      </w:r>
      <w:r w:rsidR="006B6A04">
        <w:rPr>
          <w:lang w:val="en-NZ"/>
        </w:rPr>
        <w:t>September</w:t>
      </w:r>
      <w:r w:rsidRPr="00606B7B">
        <w:rPr>
          <w:lang w:val="en-NZ"/>
        </w:rPr>
        <w:t xml:space="preserve"> 2022 updated two documents related to WRC-23 agenda item 1.19:</w:t>
      </w:r>
    </w:p>
    <w:p w14:paraId="63D77CE2" w14:textId="77777777" w:rsidR="006B6A04" w:rsidRDefault="006B6A04" w:rsidP="006B6A04">
      <w:pPr>
        <w:numPr>
          <w:ilvl w:val="1"/>
          <w:numId w:val="23"/>
        </w:numPr>
        <w:spacing w:before="240" w:after="120"/>
        <w:ind w:left="426" w:hanging="284"/>
        <w:jc w:val="both"/>
        <w:textAlignment w:val="baseline"/>
        <w:rPr>
          <w:rFonts w:eastAsia="Times New Roman" w:cstheme="minorHAnsi"/>
          <w:color w:val="000000"/>
        </w:rPr>
      </w:pPr>
      <w:r w:rsidRPr="00561098">
        <w:rPr>
          <w:rFonts w:eastAsia="Times New Roman" w:cstheme="minorHAnsi"/>
          <w:color w:val="000000"/>
        </w:rPr>
        <w:t>Draft CPM Text for WRC-23 Agenda Item 1.19</w:t>
      </w:r>
      <w:r>
        <w:rPr>
          <w:rFonts w:eastAsia="Times New Roman" w:cstheme="minorHAnsi"/>
          <w:color w:val="000000"/>
        </w:rPr>
        <w:t>.</w:t>
      </w:r>
    </w:p>
    <w:p w14:paraId="5CDEC91C" w14:textId="77777777" w:rsidR="006B6A04" w:rsidRDefault="006B6A04" w:rsidP="006B6A04">
      <w:pPr>
        <w:spacing w:after="120"/>
        <w:ind w:left="426"/>
        <w:jc w:val="both"/>
        <w:textAlignment w:val="baseline"/>
        <w:rPr>
          <w:rFonts w:eastAsia="Times New Roman" w:cstheme="minorHAnsi"/>
          <w:color w:val="000000"/>
        </w:rPr>
      </w:pPr>
      <w:r>
        <w:rPr>
          <w:rFonts w:eastAsia="Times New Roman" w:cstheme="minorHAnsi"/>
          <w:color w:val="000000"/>
        </w:rPr>
        <w:t>This document reflected the updates on:</w:t>
      </w:r>
    </w:p>
    <w:p w14:paraId="69D61D4C" w14:textId="77777777" w:rsidR="006B6A04" w:rsidRPr="0077648C" w:rsidRDefault="006B6A04" w:rsidP="006B6A04">
      <w:pPr>
        <w:pStyle w:val="ListParagraph"/>
        <w:numPr>
          <w:ilvl w:val="0"/>
          <w:numId w:val="24"/>
        </w:numPr>
        <w:spacing w:after="120"/>
        <w:ind w:left="851"/>
        <w:jc w:val="both"/>
        <w:textAlignment w:val="baseline"/>
        <w:rPr>
          <w:rFonts w:eastAsia="Times New Roman" w:cstheme="minorHAnsi"/>
          <w:color w:val="000000"/>
        </w:rPr>
      </w:pPr>
      <w:r>
        <w:rPr>
          <w:rFonts w:eastAsia="Times New Roman" w:cstheme="minorHAnsi"/>
          <w:color w:val="000000"/>
        </w:rPr>
        <w:t>T</w:t>
      </w:r>
      <w:r w:rsidRPr="0077648C">
        <w:rPr>
          <w:rFonts w:eastAsia="Times New Roman" w:cstheme="minorHAnsi"/>
          <w:color w:val="000000"/>
        </w:rPr>
        <w:t>he summary and analysis of the sharing and compatibility studies.</w:t>
      </w:r>
    </w:p>
    <w:p w14:paraId="562EDC8D" w14:textId="77777777" w:rsidR="006B6A04" w:rsidRDefault="006B6A04" w:rsidP="006B6A04">
      <w:pPr>
        <w:pStyle w:val="ListParagraph"/>
        <w:numPr>
          <w:ilvl w:val="0"/>
          <w:numId w:val="24"/>
        </w:numPr>
        <w:spacing w:after="120"/>
        <w:ind w:left="851"/>
        <w:jc w:val="both"/>
        <w:textAlignment w:val="baseline"/>
        <w:rPr>
          <w:rFonts w:eastAsia="Times New Roman" w:cstheme="minorHAnsi"/>
          <w:color w:val="000000"/>
        </w:rPr>
      </w:pPr>
      <w:r>
        <w:rPr>
          <w:rFonts w:cstheme="minorHAnsi"/>
        </w:rPr>
        <w:t>T</w:t>
      </w:r>
      <w:r w:rsidRPr="00143907">
        <w:rPr>
          <w:rFonts w:cstheme="minorHAnsi"/>
        </w:rPr>
        <w:t xml:space="preserve">he </w:t>
      </w:r>
      <w:r w:rsidRPr="0077648C">
        <w:rPr>
          <w:rFonts w:eastAsia="Times New Roman" w:cstheme="minorHAnsi"/>
          <w:color w:val="000000"/>
        </w:rPr>
        <w:t>methods to satisfy agenda item 1.19. The two proposed methods are:</w:t>
      </w:r>
    </w:p>
    <w:p w14:paraId="5ECFF54C" w14:textId="77777777" w:rsidR="006B6A04" w:rsidRPr="00561098" w:rsidRDefault="006B6A04" w:rsidP="006B6A04">
      <w:pPr>
        <w:numPr>
          <w:ilvl w:val="2"/>
          <w:numId w:val="24"/>
        </w:numPr>
        <w:spacing w:after="120"/>
        <w:ind w:left="1276" w:hanging="142"/>
        <w:jc w:val="both"/>
        <w:textAlignment w:val="baseline"/>
        <w:rPr>
          <w:rFonts w:eastAsia="Times New Roman" w:cstheme="minorHAnsi"/>
          <w:b/>
          <w:bCs/>
          <w:color w:val="000000"/>
        </w:rPr>
      </w:pPr>
      <w:r w:rsidRPr="00561098">
        <w:rPr>
          <w:rFonts w:eastAsia="Times New Roman" w:cstheme="minorHAnsi"/>
          <w:b/>
          <w:bCs/>
          <w:color w:val="000000"/>
        </w:rPr>
        <w:t xml:space="preserve">Method A </w:t>
      </w:r>
    </w:p>
    <w:p w14:paraId="6B0249E9" w14:textId="77777777" w:rsidR="006B6A04" w:rsidRPr="00C503C5" w:rsidRDefault="006B6A04" w:rsidP="006B6A04">
      <w:pPr>
        <w:pStyle w:val="ListParagraph"/>
        <w:spacing w:line="276" w:lineRule="auto"/>
        <w:ind w:left="1276"/>
      </w:pPr>
      <w:r w:rsidRPr="00C503C5">
        <w:t xml:space="preserve">Under this method, no change is proposed to the RR and the suppression of Resolution </w:t>
      </w:r>
      <w:r w:rsidRPr="00792D8F">
        <w:rPr>
          <w:b/>
          <w:bCs/>
        </w:rPr>
        <w:t>174</w:t>
      </w:r>
      <w:r w:rsidRPr="00792D8F">
        <w:t xml:space="preserve"> (</w:t>
      </w:r>
      <w:r w:rsidRPr="00792D8F">
        <w:rPr>
          <w:b/>
          <w:bCs/>
        </w:rPr>
        <w:t>WRC-19</w:t>
      </w:r>
      <w:r w:rsidRPr="00792D8F">
        <w:t>)</w:t>
      </w:r>
      <w:r w:rsidRPr="00C503C5">
        <w:t>.</w:t>
      </w:r>
    </w:p>
    <w:p w14:paraId="51DA5FA9" w14:textId="77777777" w:rsidR="006B6A04" w:rsidRPr="00561098" w:rsidRDefault="006B6A04" w:rsidP="006B6A04">
      <w:pPr>
        <w:numPr>
          <w:ilvl w:val="2"/>
          <w:numId w:val="24"/>
        </w:numPr>
        <w:spacing w:after="120"/>
        <w:ind w:left="1276" w:hanging="142"/>
        <w:jc w:val="both"/>
        <w:textAlignment w:val="baseline"/>
        <w:rPr>
          <w:rFonts w:eastAsia="Times New Roman" w:cstheme="minorHAnsi"/>
          <w:b/>
          <w:bCs/>
          <w:color w:val="000000"/>
        </w:rPr>
      </w:pPr>
      <w:r w:rsidRPr="00561098">
        <w:rPr>
          <w:rFonts w:eastAsia="Times New Roman" w:cstheme="minorHAnsi"/>
          <w:b/>
          <w:bCs/>
          <w:color w:val="000000"/>
        </w:rPr>
        <w:t>Method B</w:t>
      </w:r>
    </w:p>
    <w:p w14:paraId="4194C583" w14:textId="77777777" w:rsidR="006B6A04" w:rsidRPr="001F59BC" w:rsidRDefault="006B6A04" w:rsidP="006B6A04">
      <w:pPr>
        <w:pStyle w:val="ListParagraph"/>
        <w:spacing w:before="120" w:line="276" w:lineRule="auto"/>
        <w:ind w:left="1276"/>
        <w:jc w:val="both"/>
      </w:pPr>
      <w:r w:rsidRPr="001F59BC">
        <w:t>Modify footnotes in RR Article 5 that refers to the allocation of the frequency band 17.3-17.7 GHz in Region 2 to the FSS in the space-to-Earth direction.</w:t>
      </w:r>
    </w:p>
    <w:p w14:paraId="036A1ABF" w14:textId="77777777" w:rsidR="006B6A04" w:rsidRPr="00C503C5" w:rsidRDefault="006B6A04" w:rsidP="006B6A04">
      <w:pPr>
        <w:pStyle w:val="ListParagraph"/>
        <w:spacing w:before="120" w:line="276" w:lineRule="auto"/>
        <w:ind w:left="1276"/>
        <w:jc w:val="both"/>
      </w:pPr>
      <w:r w:rsidRPr="00C503C5">
        <w:t>To address the new FSS allocation in the space-to-Earth direction, a modification to the Frequency Allocation Table in Region 2, in the frequency band 17.3-17.7 GHz, is proposed.</w:t>
      </w:r>
    </w:p>
    <w:p w14:paraId="1890B0EF" w14:textId="77777777" w:rsidR="006B6A04" w:rsidRPr="00C503C5" w:rsidRDefault="006B6A04" w:rsidP="006B6A04">
      <w:pPr>
        <w:pStyle w:val="ListParagraph"/>
        <w:spacing w:before="120" w:line="276" w:lineRule="auto"/>
        <w:ind w:left="1276"/>
        <w:jc w:val="both"/>
      </w:pPr>
      <w:r w:rsidRPr="00C503C5">
        <w:lastRenderedPageBreak/>
        <w:t>To address the compatibility between earth stations of the FSS (space-to-Earth) in Region 2 and the BSS feeder-link earth stations operating under RR Appendix </w:t>
      </w:r>
      <w:r w:rsidRPr="001F59BC">
        <w:t>30A</w:t>
      </w:r>
      <w:r w:rsidRPr="00C503C5">
        <w:t xml:space="preserve">, this method proposes to modify RR No. </w:t>
      </w:r>
      <w:r w:rsidRPr="001F59BC">
        <w:t>5.516A</w:t>
      </w:r>
      <w:r w:rsidRPr="00C503C5">
        <w:t xml:space="preserve"> by extending its application to Region 2. These modified footnotes including Region 2 also indicate that earth stations of the FSS (space-to-Earth) in Region 2 shall not claim protection from the BSS service feeder-link earth stations operating under RR Appendix </w:t>
      </w:r>
      <w:r w:rsidRPr="001F59BC">
        <w:t>30A</w:t>
      </w:r>
      <w:r w:rsidRPr="00C503C5">
        <w:t xml:space="preserve">, nor put any limitations or restrictions on the locations of the BSS feeder-link earth stations anywhere within the service area of the feeder link. </w:t>
      </w:r>
    </w:p>
    <w:p w14:paraId="01E0865D" w14:textId="77777777" w:rsidR="006B6A04" w:rsidRPr="00C503C5" w:rsidRDefault="006B6A04" w:rsidP="006B6A04">
      <w:pPr>
        <w:pStyle w:val="ListParagraph"/>
        <w:spacing w:before="120" w:line="276" w:lineRule="auto"/>
        <w:ind w:left="1276"/>
        <w:jc w:val="both"/>
      </w:pPr>
      <w:r w:rsidRPr="00C503C5">
        <w:t xml:space="preserve">To address the coordination between the FSS (space-to-Earth) in Region 2 and the receiving BSS feeder-link (Earth-to-space) operating under RR Appendix </w:t>
      </w:r>
      <w:r w:rsidRPr="001F59BC">
        <w:t>30A</w:t>
      </w:r>
      <w:r w:rsidRPr="00C503C5">
        <w:t xml:space="preserve">, this method proposes modifications to Article 7 of RR Appendix </w:t>
      </w:r>
      <w:r w:rsidRPr="001F59BC">
        <w:t>30A</w:t>
      </w:r>
      <w:r w:rsidRPr="00C503C5">
        <w:t xml:space="preserve">, to RR Article </w:t>
      </w:r>
      <w:r w:rsidRPr="001F59BC">
        <w:t xml:space="preserve">22 </w:t>
      </w:r>
      <w:r w:rsidRPr="00C503C5">
        <w:t xml:space="preserve">and extend the coordination procedure (RR No. </w:t>
      </w:r>
      <w:r w:rsidRPr="001F59BC">
        <w:t>9.7</w:t>
      </w:r>
      <w:r w:rsidRPr="00C503C5">
        <w:t xml:space="preserve">) that currently applies to similar services in Region 2 in the contiguous adjacent upper frequency band 17.7-17.8 GHz, by modifying RR Appendix </w:t>
      </w:r>
      <w:r w:rsidRPr="001F59BC">
        <w:t>5</w:t>
      </w:r>
      <w:r w:rsidRPr="00C503C5">
        <w:t>.</w:t>
      </w:r>
    </w:p>
    <w:p w14:paraId="1D8F407B" w14:textId="77777777" w:rsidR="006B6A04" w:rsidRPr="00C503C5" w:rsidRDefault="006B6A04" w:rsidP="006B6A04">
      <w:pPr>
        <w:pStyle w:val="ListParagraph"/>
        <w:spacing w:before="120" w:line="276" w:lineRule="auto"/>
        <w:ind w:left="1276"/>
        <w:jc w:val="both"/>
      </w:pPr>
      <w:r w:rsidRPr="00C503C5">
        <w:t xml:space="preserve">In addition to the above-mentioned procedure it is proposed in Alternative 1 to modify RR No. </w:t>
      </w:r>
      <w:r w:rsidRPr="001F59BC">
        <w:t>5.516A</w:t>
      </w:r>
      <w:r w:rsidRPr="00C503C5">
        <w:t xml:space="preserve"> by adding Region 2 in this footnote. In Alternative 2, in order to ensure the protection of space stations receivers operating under RR Appendix </w:t>
      </w:r>
      <w:r w:rsidRPr="001F59BC">
        <w:t>30A</w:t>
      </w:r>
      <w:r w:rsidRPr="00C503C5">
        <w:t xml:space="preserve">, it is proposed to also add to RR No. </w:t>
      </w:r>
      <w:r w:rsidRPr="001F59BC">
        <w:t>5.516A</w:t>
      </w:r>
      <w:r w:rsidRPr="00C503C5">
        <w:t xml:space="preserve"> a text indicating that in Region 2, the use of fixed-satellite service in the frequency band 17.3-17.7 GHz shall not cause unacceptable interference to the space station receivers of the BSS feeder link in Regions 1 and 3 operating and those to be operated in the future under RR Appendix </w:t>
      </w:r>
      <w:r w:rsidRPr="001F59BC">
        <w:t>30A</w:t>
      </w:r>
      <w:r w:rsidRPr="00C503C5">
        <w:t>; if such interference occurs the notifying administration of the FSS shall immediately eliminate this unacceptable interference.</w:t>
      </w:r>
    </w:p>
    <w:p w14:paraId="1BA965FC" w14:textId="77777777" w:rsidR="006B6A04" w:rsidRPr="00C503C5" w:rsidRDefault="006B6A04" w:rsidP="006B6A04">
      <w:pPr>
        <w:pStyle w:val="ListParagraph"/>
        <w:spacing w:before="120" w:line="276" w:lineRule="auto"/>
        <w:ind w:left="1276"/>
        <w:jc w:val="both"/>
      </w:pPr>
      <w:r w:rsidRPr="00C503C5">
        <w:t xml:space="preserve">To address the coordination between the FSS (space-to-Earth) and the BSS (space-to-Earth), no modifications to the RR are required, since the coordination procedures are already contained in the RR Appendix </w:t>
      </w:r>
      <w:r w:rsidRPr="001F59BC">
        <w:t>5</w:t>
      </w:r>
      <w:r w:rsidRPr="00C503C5">
        <w:t xml:space="preserve">, Table </w:t>
      </w:r>
      <w:r w:rsidRPr="001F59BC">
        <w:t>5-1</w:t>
      </w:r>
      <w:r w:rsidRPr="00C503C5">
        <w:t>.</w:t>
      </w:r>
    </w:p>
    <w:p w14:paraId="4CBA40F9" w14:textId="77777777" w:rsidR="006B6A04" w:rsidRPr="0031795F" w:rsidRDefault="006B6A04" w:rsidP="0031795F">
      <w:pPr>
        <w:pStyle w:val="ListParagraph"/>
        <w:spacing w:before="120" w:line="276" w:lineRule="auto"/>
        <w:ind w:left="1276"/>
        <w:jc w:val="both"/>
      </w:pPr>
      <w:r w:rsidRPr="0031795F">
        <w:t xml:space="preserve">Regarding method B, for the protection of a receiving space station in the BSS feeder link of Appendix 30A from NGSO system operating in the 17.3-17.7 GHz in Region 2. There are 2 alternatives for new footnote RR No. 22.5F.Y: </w:t>
      </w:r>
    </w:p>
    <w:p w14:paraId="205B74CA" w14:textId="77777777" w:rsidR="006B6A04" w:rsidRPr="00327BEF" w:rsidRDefault="006B6A04" w:rsidP="0031795F">
      <w:pPr>
        <w:pStyle w:val="ListParagraph"/>
        <w:numPr>
          <w:ilvl w:val="0"/>
          <w:numId w:val="29"/>
        </w:numPr>
        <w:spacing w:after="120"/>
        <w:jc w:val="both"/>
        <w:textAlignment w:val="baseline"/>
        <w:rPr>
          <w:rFonts w:eastAsia="Times New Roman" w:cstheme="minorHAnsi"/>
          <w:color w:val="000000"/>
        </w:rPr>
      </w:pPr>
      <w:r>
        <w:rPr>
          <w:rFonts w:cstheme="minorHAnsi"/>
        </w:rPr>
        <w:t xml:space="preserve">Alternatives 1: </w:t>
      </w:r>
      <w:r w:rsidRPr="00C503C5">
        <w:t xml:space="preserve">A non-geostationary-satellite system operating in Region 2 shall meet the limits of this table for the 17.3-17.7 GHz band with respect to a receiving space station in the broadcasting-satellite feeder link of Appendix </w:t>
      </w:r>
      <w:r w:rsidRPr="00C503C5">
        <w:rPr>
          <w:b/>
          <w:bCs/>
        </w:rPr>
        <w:t>30A</w:t>
      </w:r>
      <w:r>
        <w:rPr>
          <w:rFonts w:cstheme="minorHAnsi"/>
        </w:rPr>
        <w:t xml:space="preserve">. </w:t>
      </w:r>
    </w:p>
    <w:p w14:paraId="6F9C252C" w14:textId="77777777" w:rsidR="006B6A04" w:rsidRPr="00327BEF" w:rsidRDefault="006B6A04" w:rsidP="0031795F">
      <w:pPr>
        <w:pStyle w:val="ListParagraph"/>
        <w:numPr>
          <w:ilvl w:val="0"/>
          <w:numId w:val="29"/>
        </w:numPr>
        <w:spacing w:after="120"/>
        <w:jc w:val="both"/>
        <w:textAlignment w:val="baseline"/>
        <w:rPr>
          <w:rFonts w:eastAsia="Times New Roman" w:cstheme="minorHAnsi"/>
          <w:color w:val="000000"/>
        </w:rPr>
      </w:pPr>
      <w:r w:rsidRPr="00327BEF">
        <w:rPr>
          <w:rFonts w:cstheme="minorHAnsi"/>
        </w:rPr>
        <w:t xml:space="preserve">Alternative 2: </w:t>
      </w:r>
      <w:r w:rsidRPr="00C503C5">
        <w:t xml:space="preserve">A non-geostationary-satellite system operating in Region 2 shall meet the limits of this table for the 17.3-17.7 GHz band with respect to a receiving space station in the broadcasting-satellite feeder link of Appendix </w:t>
      </w:r>
      <w:r w:rsidRPr="00C503C5">
        <w:rPr>
          <w:b/>
          <w:bCs/>
        </w:rPr>
        <w:t>30A</w:t>
      </w:r>
      <w:r w:rsidRPr="00C503C5">
        <w:t>, in all three regions</w:t>
      </w:r>
      <w:r w:rsidRPr="00327BEF">
        <w:rPr>
          <w:rFonts w:cstheme="minorHAnsi"/>
        </w:rPr>
        <w:t xml:space="preserve">. </w:t>
      </w:r>
    </w:p>
    <w:p w14:paraId="544B073D" w14:textId="77777777" w:rsidR="006B6A04" w:rsidRPr="009647D6" w:rsidRDefault="006B6A04" w:rsidP="006B6A04">
      <w:pPr>
        <w:numPr>
          <w:ilvl w:val="1"/>
          <w:numId w:val="23"/>
        </w:numPr>
        <w:spacing w:before="240" w:after="120"/>
        <w:ind w:left="426" w:hanging="284"/>
        <w:jc w:val="both"/>
        <w:textAlignment w:val="baseline"/>
        <w:rPr>
          <w:rFonts w:eastAsia="Times New Roman" w:cstheme="minorHAnsi"/>
          <w:color w:val="000000"/>
        </w:rPr>
      </w:pPr>
      <w:r w:rsidRPr="009647D6">
        <w:rPr>
          <w:rFonts w:eastAsia="Times New Roman" w:cstheme="minorHAnsi"/>
          <w:color w:val="000000"/>
        </w:rPr>
        <w:t xml:space="preserve">Working Document on WRC-23 Agenda Item 1.19. </w:t>
      </w:r>
    </w:p>
    <w:p w14:paraId="5D618B8C" w14:textId="77777777" w:rsidR="006B6A04" w:rsidRDefault="006B6A04" w:rsidP="006B6A04">
      <w:pPr>
        <w:pStyle w:val="ListParagraph"/>
        <w:spacing w:line="276" w:lineRule="auto"/>
        <w:ind w:left="567"/>
        <w:jc w:val="both"/>
      </w:pPr>
      <w:r>
        <w:t xml:space="preserve">This document consolidated </w:t>
      </w:r>
      <w:r w:rsidRPr="00471503">
        <w:t>contribution 4A/691 Annex 24 “Working document on WRC-23 agenda item 1.19.” and contribution 4A/775</w:t>
      </w:r>
      <w:r>
        <w:t xml:space="preserve">. </w:t>
      </w:r>
      <w:r w:rsidRPr="006A141A">
        <w:t xml:space="preserve">The resulting document </w:t>
      </w:r>
      <w:r>
        <w:t xml:space="preserve">wasn’t discussed due to time constraints but the same patterns for the titles and tables of the approved </w:t>
      </w:r>
      <w:r w:rsidRPr="00CC7715">
        <w:t>“Draft CPM text on WRC</w:t>
      </w:r>
      <w:r w:rsidRPr="00CC7715">
        <w:noBreakHyphen/>
        <w:t xml:space="preserve">23 AI 1.19” </w:t>
      </w:r>
      <w:r>
        <w:t>was brought to this document. The plan is to revise this amendment, and other ones received, in the next meeting of WP 4A.</w:t>
      </w:r>
    </w:p>
    <w:p w14:paraId="176EF3C2" w14:textId="1BE8C1E9" w:rsidR="00055FC7" w:rsidRPr="0031795F" w:rsidRDefault="006B6A04" w:rsidP="0031795F">
      <w:pPr>
        <w:spacing w:before="120" w:after="120"/>
        <w:jc w:val="both"/>
        <w:textAlignment w:val="baseline"/>
        <w:rPr>
          <w:rFonts w:eastAsia="Times New Roman" w:cstheme="minorHAnsi"/>
          <w:color w:val="000000"/>
        </w:rPr>
      </w:pPr>
      <w:r>
        <w:rPr>
          <w:rFonts w:eastAsia="Times New Roman" w:cstheme="minorHAnsi"/>
          <w:color w:val="000000"/>
        </w:rPr>
        <w:lastRenderedPageBreak/>
        <w:t xml:space="preserve">The next </w:t>
      </w:r>
      <w:r w:rsidRPr="00C21B90">
        <w:rPr>
          <w:rFonts w:eastAsia="Times New Roman" w:cstheme="minorHAnsi"/>
          <w:color w:val="000000"/>
        </w:rPr>
        <w:t xml:space="preserve">scheduled </w:t>
      </w:r>
      <w:r w:rsidRPr="00E11AB6">
        <w:rPr>
          <w:rFonts w:eastAsia="Times New Roman" w:cstheme="minorHAnsi"/>
          <w:color w:val="000000"/>
        </w:rPr>
        <w:t>Working Party 4A meetings</w:t>
      </w:r>
      <w:r>
        <w:rPr>
          <w:rFonts w:eastAsia="Times New Roman" w:cstheme="minorHAnsi"/>
          <w:color w:val="000000"/>
        </w:rPr>
        <w:t xml:space="preserve"> </w:t>
      </w:r>
      <w:r w:rsidRPr="00C21B90">
        <w:rPr>
          <w:rFonts w:eastAsia="Times New Roman" w:cstheme="minorHAnsi"/>
          <w:color w:val="000000"/>
        </w:rPr>
        <w:t xml:space="preserve">on </w:t>
      </w:r>
      <w:r>
        <w:rPr>
          <w:rFonts w:eastAsia="Times New Roman" w:cstheme="minorHAnsi"/>
          <w:color w:val="000000"/>
        </w:rPr>
        <w:t xml:space="preserve">28 Jun – 06 Jul </w:t>
      </w:r>
      <w:r w:rsidRPr="00C21B90">
        <w:rPr>
          <w:rFonts w:eastAsia="Times New Roman" w:cstheme="minorHAnsi"/>
          <w:color w:val="000000"/>
        </w:rPr>
        <w:t>202</w:t>
      </w:r>
      <w:r>
        <w:rPr>
          <w:rFonts w:eastAsia="Times New Roman" w:cstheme="minorHAnsi"/>
          <w:color w:val="000000"/>
        </w:rPr>
        <w:t>3 (WP 4A 8</w:t>
      </w:r>
      <w:r>
        <w:rPr>
          <w:rFonts w:eastAsia="Times New Roman" w:cstheme="minorHAnsi"/>
          <w:color w:val="000000"/>
          <w:vertAlign w:val="superscript"/>
        </w:rPr>
        <w:t>t</w:t>
      </w:r>
      <w:r w:rsidRPr="00561098">
        <w:rPr>
          <w:rFonts w:eastAsia="Times New Roman" w:cstheme="minorHAnsi"/>
          <w:color w:val="000000"/>
          <w:vertAlign w:val="superscript"/>
        </w:rPr>
        <w:t>h</w:t>
      </w:r>
      <w:r>
        <w:rPr>
          <w:rFonts w:eastAsia="Times New Roman" w:cstheme="minorHAnsi"/>
          <w:color w:val="000000"/>
        </w:rPr>
        <w:t>).</w:t>
      </w:r>
      <w:r>
        <w:rPr>
          <w:rFonts w:cstheme="minorHAnsi"/>
        </w:rPr>
        <w:t xml:space="preserve"> The work plan is to </w:t>
      </w:r>
      <w:r w:rsidRPr="000625FB">
        <w:rPr>
          <w:rFonts w:eastAsia="Times New Roman" w:cstheme="minorHAnsi"/>
          <w:color w:val="000000"/>
        </w:rPr>
        <w:t>finalize any studies and ITU-R Reports/</w:t>
      </w:r>
      <w:bookmarkStart w:id="3" w:name="OLE_LINK32"/>
      <w:bookmarkStart w:id="4" w:name="OLE_LINK33"/>
      <w:bookmarkStart w:id="5" w:name="OLE_LINK34"/>
      <w:bookmarkStart w:id="6" w:name="OLE_LINK35"/>
      <w:r w:rsidRPr="000625FB">
        <w:rPr>
          <w:rFonts w:eastAsia="Times New Roman" w:cstheme="minorHAnsi"/>
          <w:color w:val="000000"/>
        </w:rPr>
        <w:t>Recommendations</w:t>
      </w:r>
      <w:bookmarkEnd w:id="3"/>
      <w:bookmarkEnd w:id="4"/>
      <w:bookmarkEnd w:id="5"/>
      <w:bookmarkEnd w:id="6"/>
      <w:r w:rsidRPr="000625FB">
        <w:rPr>
          <w:rFonts w:eastAsia="Times New Roman" w:cstheme="minorHAnsi"/>
          <w:color w:val="000000"/>
        </w:rPr>
        <w:t xml:space="preserve"> for approval/adoption by SG 4, as appropriate.</w:t>
      </w:r>
    </w:p>
    <w:p w14:paraId="1F01208F" w14:textId="325A6B3B" w:rsidR="00AC7365" w:rsidRPr="00AC7365" w:rsidRDefault="002A0111" w:rsidP="00AC7365">
      <w:pPr>
        <w:spacing w:after="120"/>
        <w:jc w:val="both"/>
        <w:rPr>
          <w:b/>
          <w:lang w:val="en-NZ" w:eastAsia="ko-KR"/>
        </w:rPr>
      </w:pPr>
      <w:r w:rsidRPr="00441526">
        <w:rPr>
          <w:b/>
          <w:lang w:val="en-NZ" w:eastAsia="ko-KR"/>
        </w:rPr>
        <w:t xml:space="preserve">2. </w:t>
      </w:r>
      <w:r w:rsidRPr="00441526">
        <w:rPr>
          <w:b/>
          <w:lang w:val="en-NZ" w:eastAsia="ko-KR"/>
        </w:rPr>
        <w:tab/>
        <w:t>Documents</w:t>
      </w:r>
    </w:p>
    <w:p w14:paraId="1AD79D14" w14:textId="3AA030C9" w:rsidR="00BF4446" w:rsidRPr="00BF4446" w:rsidRDefault="00C1147F" w:rsidP="00BF4446">
      <w:pPr>
        <w:pStyle w:val="ListParagraph"/>
        <w:numPr>
          <w:ilvl w:val="0"/>
          <w:numId w:val="18"/>
        </w:numPr>
        <w:ind w:left="426" w:hanging="426"/>
        <w:jc w:val="both"/>
      </w:pPr>
      <w:r w:rsidRPr="00441526">
        <w:rPr>
          <w:lang w:val="en-NZ"/>
        </w:rPr>
        <w:t>Input Documents</w:t>
      </w:r>
      <w:r>
        <w:rPr>
          <w:lang w:val="en-NZ"/>
        </w:rPr>
        <w:t>:</w:t>
      </w:r>
      <w:r w:rsidRPr="00441526">
        <w:rPr>
          <w:lang w:val="en-NZ"/>
        </w:rPr>
        <w:t xml:space="preserve"> </w:t>
      </w:r>
      <w:hyperlink r:id="rId9" w:tgtFrame="_blank" w:history="1">
        <w:r w:rsidR="009024C6" w:rsidRPr="006B6A04">
          <w:rPr>
            <w:rStyle w:val="Hyperlink"/>
            <w:color w:val="095E54"/>
          </w:rPr>
          <w:t>APG23-5/INP-17</w:t>
        </w:r>
      </w:hyperlink>
      <w:r w:rsidR="009024C6" w:rsidRPr="006B6A04">
        <w:rPr>
          <w:rFonts w:eastAsiaTheme="minorEastAsia"/>
          <w:lang w:eastAsia="ja-JP"/>
        </w:rPr>
        <w:t xml:space="preserve"> </w:t>
      </w:r>
      <w:r w:rsidRPr="006B6A04">
        <w:rPr>
          <w:rFonts w:eastAsiaTheme="minorEastAsia"/>
          <w:lang w:eastAsia="ja-JP"/>
        </w:rPr>
        <w:t>(J),</w:t>
      </w:r>
      <w:r w:rsidR="009356FF">
        <w:rPr>
          <w:rFonts w:eastAsiaTheme="minorEastAsia"/>
          <w:lang w:eastAsia="ja-JP"/>
        </w:rPr>
        <w:t xml:space="preserve"> </w:t>
      </w:r>
      <w:hyperlink r:id="rId10" w:tgtFrame="_blank" w:history="1">
        <w:r w:rsidR="009356FF" w:rsidRPr="00754F3F">
          <w:rPr>
            <w:rStyle w:val="Hyperlink"/>
            <w:color w:val="095E54"/>
          </w:rPr>
          <w:t>INP-24</w:t>
        </w:r>
      </w:hyperlink>
      <w:r w:rsidR="009356FF">
        <w:rPr>
          <w:rStyle w:val="Hyperlink"/>
          <w:color w:val="095E54"/>
        </w:rPr>
        <w:t>*</w:t>
      </w:r>
      <w:r w:rsidR="009356FF" w:rsidRPr="009356FF">
        <w:rPr>
          <w:rStyle w:val="Hyperlink"/>
          <w:color w:val="095E54"/>
          <w:u w:val="none"/>
        </w:rPr>
        <w:t xml:space="preserve"> </w:t>
      </w:r>
      <w:r w:rsidR="009356FF" w:rsidRPr="00234973">
        <w:rPr>
          <w:rFonts w:eastAsiaTheme="minorEastAsia"/>
          <w:lang w:eastAsia="ja-JP"/>
        </w:rPr>
        <w:t>(J),</w:t>
      </w:r>
      <w:r w:rsidR="009356FF" w:rsidRPr="00754F3F">
        <w:rPr>
          <w:rStyle w:val="Hyperlink"/>
          <w:color w:val="095E54"/>
          <w:u w:val="none"/>
        </w:rPr>
        <w:t xml:space="preserve">  </w:t>
      </w:r>
      <w:r w:rsidRPr="006B6A04">
        <w:rPr>
          <w:rFonts w:eastAsiaTheme="minorEastAsia"/>
          <w:lang w:eastAsia="ja-JP"/>
        </w:rPr>
        <w:t xml:space="preserve"> </w:t>
      </w:r>
      <w:hyperlink r:id="rId11" w:tgtFrame="_blank" w:history="1">
        <w:r w:rsidR="00EC30FC" w:rsidRPr="006B6A04">
          <w:rPr>
            <w:rStyle w:val="Hyperlink"/>
            <w:color w:val="095E54"/>
          </w:rPr>
          <w:t>INP-35</w:t>
        </w:r>
      </w:hyperlink>
      <w:r w:rsidR="00EC30FC" w:rsidRPr="006B6A04">
        <w:rPr>
          <w:rFonts w:eastAsiaTheme="minorEastAsia"/>
          <w:lang w:eastAsia="ja-JP"/>
        </w:rPr>
        <w:t xml:space="preserve"> </w:t>
      </w:r>
      <w:r w:rsidRPr="006B6A04">
        <w:rPr>
          <w:rFonts w:eastAsiaTheme="minorEastAsia"/>
          <w:lang w:eastAsia="ja-JP"/>
        </w:rPr>
        <w:t xml:space="preserve">(BGD), </w:t>
      </w:r>
      <w:hyperlink r:id="rId12" w:tgtFrame="_blank" w:history="1">
        <w:r w:rsidR="00EC30FC" w:rsidRPr="006B6A04">
          <w:rPr>
            <w:rStyle w:val="Hyperlink"/>
            <w:color w:val="095E54"/>
          </w:rPr>
          <w:t>INP-39</w:t>
        </w:r>
      </w:hyperlink>
      <w:r w:rsidR="00EC30FC" w:rsidRPr="006B6A04">
        <w:rPr>
          <w:rFonts w:eastAsiaTheme="minorEastAsia"/>
          <w:lang w:eastAsia="ja-JP"/>
        </w:rPr>
        <w:t xml:space="preserve"> </w:t>
      </w:r>
      <w:r w:rsidRPr="006B6A04">
        <w:rPr>
          <w:rFonts w:eastAsiaTheme="minorEastAsia"/>
          <w:lang w:eastAsia="ja-JP"/>
        </w:rPr>
        <w:t>(IRN),</w:t>
      </w:r>
      <w:r w:rsidR="006B6A04" w:rsidRPr="006B6A04">
        <w:rPr>
          <w:b/>
          <w:bCs/>
          <w:color w:val="000000"/>
        </w:rPr>
        <w:t xml:space="preserve"> </w:t>
      </w:r>
      <w:hyperlink r:id="rId13" w:tgtFrame="_blank" w:history="1">
        <w:r w:rsidR="006B6A04" w:rsidRPr="006B6A04">
          <w:rPr>
            <w:rStyle w:val="Hyperlink"/>
            <w:color w:val="095E54"/>
          </w:rPr>
          <w:t>INP-55</w:t>
        </w:r>
      </w:hyperlink>
      <w:r w:rsidR="006B6A04" w:rsidRPr="006B6A04">
        <w:rPr>
          <w:rFonts w:eastAsiaTheme="minorEastAsia"/>
          <w:lang w:eastAsia="ja-JP"/>
        </w:rPr>
        <w:t xml:space="preserve"> (</w:t>
      </w:r>
      <w:r w:rsidR="006B6A04" w:rsidRPr="006B6A04">
        <w:rPr>
          <w:rFonts w:eastAsiaTheme="minorEastAsia"/>
          <w:lang w:eastAsia="zh-CN"/>
        </w:rPr>
        <w:t>VTN</w:t>
      </w:r>
      <w:r w:rsidR="006B6A04" w:rsidRPr="006B6A04">
        <w:rPr>
          <w:rFonts w:eastAsiaTheme="minorEastAsia"/>
          <w:lang w:eastAsia="ja-JP"/>
        </w:rPr>
        <w:t xml:space="preserve">), </w:t>
      </w:r>
      <w:r w:rsidR="006B6A04" w:rsidRPr="006B6A04">
        <w:rPr>
          <w:b/>
          <w:bCs/>
          <w:color w:val="000000"/>
        </w:rPr>
        <w:t xml:space="preserve"> </w:t>
      </w:r>
      <w:hyperlink r:id="rId14" w:tgtFrame="_blank" w:history="1">
        <w:r w:rsidR="006B6A04" w:rsidRPr="006B6A04">
          <w:rPr>
            <w:rStyle w:val="Hyperlink"/>
            <w:color w:val="095E54"/>
          </w:rPr>
          <w:t>INP-59</w:t>
        </w:r>
      </w:hyperlink>
      <w:r w:rsidR="006B6A04" w:rsidRPr="006B6A04">
        <w:rPr>
          <w:rFonts w:eastAsiaTheme="minorEastAsia"/>
          <w:lang w:eastAsia="ja-JP"/>
        </w:rPr>
        <w:t xml:space="preserve"> (AUS), </w:t>
      </w:r>
      <w:r w:rsidRPr="006B6A04">
        <w:rPr>
          <w:rFonts w:eastAsiaTheme="minorEastAsia"/>
          <w:lang w:eastAsia="ja-JP"/>
        </w:rPr>
        <w:t xml:space="preserve"> </w:t>
      </w:r>
      <w:hyperlink r:id="rId15" w:tgtFrame="_blank" w:history="1">
        <w:r w:rsidR="007A00F5" w:rsidRPr="006B6A04">
          <w:rPr>
            <w:rStyle w:val="Hyperlink"/>
            <w:color w:val="095E54"/>
          </w:rPr>
          <w:t>INP-91</w:t>
        </w:r>
      </w:hyperlink>
      <w:r w:rsidR="007A00F5" w:rsidRPr="006B6A04">
        <w:rPr>
          <w:rFonts w:eastAsiaTheme="minorEastAsia"/>
          <w:lang w:eastAsia="ja-JP"/>
        </w:rPr>
        <w:t xml:space="preserve"> </w:t>
      </w:r>
      <w:r w:rsidRPr="006B6A04">
        <w:rPr>
          <w:rFonts w:eastAsiaTheme="minorEastAsia"/>
          <w:lang w:eastAsia="ja-JP"/>
        </w:rPr>
        <w:t xml:space="preserve">(CHN), </w:t>
      </w:r>
      <w:hyperlink r:id="rId16" w:tgtFrame="_blank" w:history="1">
        <w:r w:rsidR="004D0C1E" w:rsidRPr="006B6A04">
          <w:rPr>
            <w:rStyle w:val="Hyperlink"/>
            <w:color w:val="095E54"/>
          </w:rPr>
          <w:t>INP-98</w:t>
        </w:r>
      </w:hyperlink>
      <w:r w:rsidR="004D0C1E" w:rsidRPr="006B6A04">
        <w:rPr>
          <w:rFonts w:eastAsiaTheme="minorEastAsia"/>
          <w:lang w:eastAsia="ja-JP"/>
        </w:rPr>
        <w:t xml:space="preserve"> </w:t>
      </w:r>
      <w:r w:rsidRPr="006B6A04">
        <w:rPr>
          <w:rFonts w:eastAsiaTheme="minorEastAsia"/>
          <w:lang w:eastAsia="ja-JP"/>
        </w:rPr>
        <w:t>(</w:t>
      </w:r>
      <w:r w:rsidR="004D0C1E" w:rsidRPr="006B6A04">
        <w:rPr>
          <w:rFonts w:eastAsiaTheme="minorEastAsia"/>
          <w:lang w:eastAsia="zh-CN"/>
        </w:rPr>
        <w:t>MLA</w:t>
      </w:r>
      <w:r w:rsidRPr="006B6A04">
        <w:rPr>
          <w:rFonts w:eastAsiaTheme="minorEastAsia"/>
          <w:lang w:eastAsia="ja-JP"/>
        </w:rPr>
        <w:t>)</w:t>
      </w:r>
      <w:r w:rsidR="006B6A04" w:rsidRPr="006B6A04">
        <w:rPr>
          <w:rFonts w:eastAsiaTheme="minorEastAsia"/>
          <w:lang w:eastAsia="ja-JP"/>
        </w:rPr>
        <w:t>.</w:t>
      </w:r>
      <w:r w:rsidRPr="0005536A">
        <w:rPr>
          <w:rFonts w:eastAsiaTheme="minorEastAsia"/>
          <w:lang w:eastAsia="ja-JP"/>
        </w:rPr>
        <w:t xml:space="preserve"> </w:t>
      </w:r>
    </w:p>
    <w:p w14:paraId="7F078CA9" w14:textId="4B63BD98" w:rsidR="006F07D4" w:rsidRPr="00234973" w:rsidRDefault="00DD55B3" w:rsidP="006F07D4">
      <w:pPr>
        <w:pStyle w:val="ListParagraph"/>
        <w:numPr>
          <w:ilvl w:val="0"/>
          <w:numId w:val="18"/>
        </w:numPr>
        <w:ind w:left="426" w:hanging="426"/>
        <w:jc w:val="both"/>
      </w:pPr>
      <w:r>
        <w:rPr>
          <w:rFonts w:eastAsiaTheme="minorEastAsia"/>
          <w:lang w:eastAsia="ja-JP"/>
        </w:rPr>
        <w:t>I</w:t>
      </w:r>
      <w:proofErr w:type="spellStart"/>
      <w:r w:rsidRPr="00BF4446">
        <w:rPr>
          <w:lang w:val="en-NZ"/>
        </w:rPr>
        <w:t>nformation</w:t>
      </w:r>
      <w:proofErr w:type="spellEnd"/>
      <w:r w:rsidR="00AC7365" w:rsidRPr="00BF4446">
        <w:rPr>
          <w:lang w:val="en-NZ"/>
        </w:rPr>
        <w:t xml:space="preserve"> Documents:</w:t>
      </w:r>
      <w:r w:rsidR="00A21786">
        <w:rPr>
          <w:lang w:val="en-NZ"/>
        </w:rPr>
        <w:t xml:space="preserve"> </w:t>
      </w:r>
      <w:r w:rsidR="00AC7365" w:rsidRPr="00BF4446">
        <w:rPr>
          <w:lang w:val="en-NZ"/>
        </w:rPr>
        <w:t xml:space="preserve"> </w:t>
      </w:r>
      <w:hyperlink r:id="rId17" w:tgtFrame="_blank" w:history="1">
        <w:r w:rsidR="006B6A04" w:rsidRPr="00777FC2">
          <w:rPr>
            <w:rStyle w:val="Hyperlink"/>
            <w:color w:val="095E54"/>
          </w:rPr>
          <w:t>APG23-5/INF-03</w:t>
        </w:r>
      </w:hyperlink>
      <w:r w:rsidR="006B6A04" w:rsidRPr="00777FC2">
        <w:rPr>
          <w:rFonts w:eastAsia="SimSun"/>
          <w:lang w:eastAsia="zh-CN"/>
        </w:rPr>
        <w:t xml:space="preserve"> </w:t>
      </w:r>
      <w:r w:rsidR="006F07D4" w:rsidRPr="00777FC2">
        <w:rPr>
          <w:rFonts w:eastAsia="SimSun"/>
          <w:lang w:eastAsia="zh-CN"/>
        </w:rPr>
        <w:t>(DG Chair)</w:t>
      </w:r>
      <w:r w:rsidR="007C5A2B" w:rsidRPr="00777FC2">
        <w:rPr>
          <w:rFonts w:eastAsia="SimSun"/>
          <w:lang w:eastAsia="zh-CN"/>
        </w:rPr>
        <w:t xml:space="preserve">, </w:t>
      </w:r>
      <w:hyperlink r:id="rId18" w:tgtFrame="_blank" w:history="1">
        <w:r w:rsidR="00777FC2" w:rsidRPr="00777FC2">
          <w:rPr>
            <w:rStyle w:val="Hyperlink"/>
            <w:color w:val="095E54"/>
          </w:rPr>
          <w:t>INF-39</w:t>
        </w:r>
      </w:hyperlink>
      <w:r w:rsidR="00777FC2" w:rsidRPr="00777FC2">
        <w:rPr>
          <w:color w:val="000000"/>
        </w:rPr>
        <w:t xml:space="preserve"> (CEPT), </w:t>
      </w:r>
      <w:hyperlink r:id="rId19" w:tgtFrame="_blank" w:history="1">
        <w:r w:rsidR="00777FC2" w:rsidRPr="00777FC2">
          <w:rPr>
            <w:rStyle w:val="Hyperlink"/>
            <w:color w:val="095E54"/>
          </w:rPr>
          <w:t>INF-43</w:t>
        </w:r>
      </w:hyperlink>
      <w:r w:rsidR="0031795F" w:rsidRPr="0031795F">
        <w:rPr>
          <w:rStyle w:val="Hyperlink"/>
          <w:color w:val="095E54"/>
          <w:u w:val="none"/>
        </w:rPr>
        <w:t xml:space="preserve"> </w:t>
      </w:r>
      <w:r w:rsidR="00777FC2" w:rsidRPr="00777FC2">
        <w:rPr>
          <w:color w:val="000000"/>
        </w:rPr>
        <w:t xml:space="preserve">(CITEL) </w:t>
      </w:r>
      <w:hyperlink r:id="rId20" w:tgtFrame="_blank" w:history="1">
        <w:r w:rsidR="00777FC2" w:rsidRPr="00777FC2">
          <w:rPr>
            <w:rStyle w:val="Hyperlink"/>
            <w:color w:val="095E54"/>
          </w:rPr>
          <w:t>INF-45</w:t>
        </w:r>
      </w:hyperlink>
      <w:r w:rsidR="00777FC2" w:rsidRPr="00777FC2">
        <w:rPr>
          <w:color w:val="000000"/>
        </w:rPr>
        <w:t xml:space="preserve"> (RCC)</w:t>
      </w:r>
      <w:r w:rsidR="000A619E">
        <w:rPr>
          <w:color w:val="000000"/>
        </w:rPr>
        <w:t>.</w:t>
      </w:r>
    </w:p>
    <w:p w14:paraId="31B76BAC" w14:textId="7B541117" w:rsidR="00234973" w:rsidRDefault="00234973" w:rsidP="00234973">
      <w:pPr>
        <w:pStyle w:val="ListParagraph"/>
        <w:ind w:left="426"/>
        <w:jc w:val="both"/>
        <w:rPr>
          <w:color w:val="000000"/>
        </w:rPr>
      </w:pPr>
    </w:p>
    <w:p w14:paraId="49F53DF9" w14:textId="77777777" w:rsidR="003F3339" w:rsidRPr="00187A60" w:rsidRDefault="003F3339" w:rsidP="003F3339">
      <w:pPr>
        <w:ind w:left="360" w:firstLineChars="33" w:firstLine="66"/>
        <w:rPr>
          <w:bCs/>
          <w:i/>
          <w:iCs/>
          <w:sz w:val="20"/>
          <w:szCs w:val="20"/>
          <w:lang w:val="en-NZ"/>
        </w:rPr>
      </w:pPr>
      <w:r w:rsidRPr="00187A60">
        <w:rPr>
          <w:bCs/>
          <w:i/>
          <w:iCs/>
          <w:sz w:val="20"/>
          <w:szCs w:val="20"/>
          <w:lang w:val="en-NZ"/>
        </w:rPr>
        <w:t>Note:</w:t>
      </w:r>
    </w:p>
    <w:p w14:paraId="6320A94C" w14:textId="254BB0BD" w:rsidR="00234973" w:rsidRPr="003F3339" w:rsidRDefault="003F3339" w:rsidP="003F3339">
      <w:pPr>
        <w:ind w:left="360" w:firstLineChars="33" w:firstLine="66"/>
        <w:rPr>
          <w:bCs/>
          <w:i/>
          <w:iCs/>
          <w:sz w:val="20"/>
          <w:szCs w:val="20"/>
          <w:lang w:val="en-NZ"/>
        </w:rPr>
      </w:pPr>
      <w:r w:rsidRPr="00187A60">
        <w:rPr>
          <w:bCs/>
          <w:i/>
          <w:iCs/>
          <w:sz w:val="20"/>
          <w:szCs w:val="20"/>
          <w:lang w:val="en-NZ"/>
        </w:rPr>
        <w:t>*Input documents related to modification of Draft CPM report.</w:t>
      </w:r>
    </w:p>
    <w:p w14:paraId="26D36DDD" w14:textId="67019384" w:rsidR="005206E9" w:rsidRPr="00C1147F" w:rsidRDefault="005206E9" w:rsidP="00C1147F">
      <w:pPr>
        <w:spacing w:after="120"/>
        <w:ind w:left="708"/>
        <w:jc w:val="both"/>
      </w:pPr>
    </w:p>
    <w:p w14:paraId="182A6C43"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696638F2" w14:textId="74EF6886" w:rsidR="002A0111" w:rsidRPr="00C1147F" w:rsidRDefault="002A0111" w:rsidP="00C1147F">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1A3978D" w14:textId="17937A72"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C1147F">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9903F8">
        <w:rPr>
          <w:b/>
          <w:lang w:val="en-NZ" w:eastAsia="ko-KR"/>
        </w:rPr>
        <w:t>5</w:t>
      </w:r>
      <w:r w:rsidRPr="00441526">
        <w:rPr>
          <w:b/>
          <w:lang w:val="en-NZ" w:eastAsia="ko-KR"/>
        </w:rPr>
        <w:t>/INP-</w:t>
      </w:r>
      <w:r w:rsidR="007D6CDC">
        <w:rPr>
          <w:b/>
          <w:lang w:val="en-NZ" w:eastAsia="ko-KR"/>
        </w:rPr>
        <w:t>1</w:t>
      </w:r>
      <w:r w:rsidR="006B6A04">
        <w:rPr>
          <w:b/>
          <w:lang w:val="en-NZ" w:eastAsia="ko-KR"/>
        </w:rPr>
        <w:t>7</w:t>
      </w:r>
    </w:p>
    <w:p w14:paraId="46DF12D6" w14:textId="77777777" w:rsidR="0090165C" w:rsidRPr="0090165C" w:rsidRDefault="0090165C" w:rsidP="0090165C">
      <w:pPr>
        <w:ind w:left="708"/>
        <w:jc w:val="both"/>
        <w:rPr>
          <w:lang w:val="en-NZ"/>
        </w:rPr>
      </w:pPr>
      <w:r w:rsidRPr="0090165C">
        <w:rPr>
          <w:lang w:val="en-NZ"/>
        </w:rPr>
        <w:t>The frequency band 17.3–17.7 GHz is assigned to feeder links for the broadcasting satellite service in Japan, and the incumbent services in this frequency band and its adjacent bands including such feeder links are necessary to be protected. Unless the feeder links for the broadcasting satellite service are protected, Japan does not support new primary allocation of the fixed-satellite service.</w:t>
      </w:r>
    </w:p>
    <w:p w14:paraId="43270B19" w14:textId="77777777" w:rsidR="002A0111" w:rsidRPr="00441526" w:rsidRDefault="002A0111" w:rsidP="003D3D47">
      <w:pPr>
        <w:jc w:val="both"/>
        <w:rPr>
          <w:lang w:val="en-NZ"/>
        </w:rPr>
      </w:pPr>
    </w:p>
    <w:p w14:paraId="4BE19BD1" w14:textId="4E1405E4" w:rsidR="002A0111" w:rsidRPr="00D510D6" w:rsidRDefault="002A0111" w:rsidP="003D3D47">
      <w:pPr>
        <w:spacing w:after="120"/>
        <w:jc w:val="both"/>
        <w:rPr>
          <w:b/>
          <w:lang w:eastAsia="ko-KR"/>
        </w:rPr>
      </w:pPr>
      <w:r w:rsidRPr="00441526">
        <w:rPr>
          <w:b/>
          <w:lang w:val="en-NZ" w:eastAsia="ko-KR"/>
        </w:rPr>
        <w:t xml:space="preserve">3.1.2 </w:t>
      </w:r>
      <w:r w:rsidRPr="00441526">
        <w:rPr>
          <w:b/>
          <w:lang w:val="en-NZ" w:eastAsia="ko-KR"/>
        </w:rPr>
        <w:tab/>
      </w:r>
      <w:r w:rsidR="008E1F05" w:rsidRPr="007D6CDC">
        <w:rPr>
          <w:b/>
          <w:lang w:val="en-NZ" w:eastAsia="ko-KR"/>
        </w:rPr>
        <w:t xml:space="preserve">Bangladesh (People’s Republic of)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9903F8">
        <w:rPr>
          <w:b/>
          <w:lang w:val="en-NZ" w:eastAsia="ko-KR"/>
        </w:rPr>
        <w:t>5</w:t>
      </w:r>
      <w:r w:rsidRPr="00441526">
        <w:rPr>
          <w:b/>
          <w:lang w:val="en-NZ" w:eastAsia="ko-KR"/>
        </w:rPr>
        <w:t>/INP-</w:t>
      </w:r>
      <w:r w:rsidR="008E1F05">
        <w:rPr>
          <w:b/>
          <w:lang w:val="en-NZ" w:eastAsia="ko-KR"/>
        </w:rPr>
        <w:t>35</w:t>
      </w:r>
    </w:p>
    <w:p w14:paraId="21B7F8C9" w14:textId="77777777" w:rsidR="008E1F05" w:rsidRPr="008E1F05" w:rsidRDefault="008E1F05" w:rsidP="008E1F05">
      <w:pPr>
        <w:ind w:left="708"/>
        <w:jc w:val="both"/>
        <w:rPr>
          <w:lang w:val="en-NZ"/>
        </w:rPr>
      </w:pPr>
      <w:r w:rsidRPr="008E1F05">
        <w:rPr>
          <w:lang w:val="en-NZ"/>
        </w:rPr>
        <w:t xml:space="preserve">In order to satisfy this agenda item, Bangladesh administration prefers method B of the draft CPM report to WRC-2023, </w:t>
      </w:r>
      <w:r w:rsidRPr="00D11C68">
        <w:rPr>
          <w:lang w:val="en-NZ"/>
        </w:rPr>
        <w:t>if the studies show that the new allocation is feasible and the protection of AP30A Feeder Link in Region 3 is addressed</w:t>
      </w:r>
      <w:r>
        <w:rPr>
          <w:lang w:val="en-NZ"/>
        </w:rPr>
        <w:t>.</w:t>
      </w:r>
    </w:p>
    <w:p w14:paraId="527F937C" w14:textId="65275464" w:rsidR="002A0111" w:rsidRPr="00441526" w:rsidRDefault="002A0111" w:rsidP="00197CAF">
      <w:pPr>
        <w:jc w:val="both"/>
        <w:rPr>
          <w:lang w:val="en-NZ"/>
        </w:rPr>
      </w:pPr>
      <w:r w:rsidRPr="00441526">
        <w:rPr>
          <w:lang w:val="en-NZ"/>
        </w:rPr>
        <w:t xml:space="preserve"> </w:t>
      </w:r>
    </w:p>
    <w:p w14:paraId="0349DDC2" w14:textId="47B741B9" w:rsidR="002A0111" w:rsidRPr="00441526" w:rsidRDefault="002A0111" w:rsidP="003D3D47">
      <w:pPr>
        <w:spacing w:after="120"/>
        <w:jc w:val="both"/>
        <w:rPr>
          <w:b/>
          <w:lang w:val="en-NZ" w:eastAsia="ko-KR"/>
        </w:rPr>
      </w:pPr>
      <w:r w:rsidRPr="00441526">
        <w:rPr>
          <w:b/>
          <w:lang w:val="en-NZ" w:eastAsia="ko-KR"/>
        </w:rPr>
        <w:t>3.1.</w:t>
      </w:r>
      <w:r w:rsidR="007D6CDC">
        <w:rPr>
          <w:b/>
          <w:lang w:val="en-NZ" w:eastAsia="ko-KR"/>
        </w:rPr>
        <w:t>3</w:t>
      </w:r>
      <w:r w:rsidRPr="00441526">
        <w:rPr>
          <w:b/>
          <w:lang w:val="en-NZ" w:eastAsia="ko-KR"/>
        </w:rPr>
        <w:tab/>
      </w:r>
      <w:r w:rsidR="008E1F05" w:rsidRPr="007D6CDC">
        <w:rPr>
          <w:b/>
          <w:lang w:val="en-NZ" w:eastAsia="ko-KR"/>
        </w:rPr>
        <w:t xml:space="preserve">Iran (Islamic Republic of) </w:t>
      </w:r>
      <w:r w:rsidRPr="007D6CDC">
        <w:t>-</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9903F8">
        <w:rPr>
          <w:b/>
          <w:lang w:val="en-NZ" w:eastAsia="ko-KR"/>
        </w:rPr>
        <w:t>5</w:t>
      </w:r>
      <w:r w:rsidRPr="00441526">
        <w:rPr>
          <w:b/>
          <w:lang w:val="en-NZ" w:eastAsia="ko-KR"/>
        </w:rPr>
        <w:t>/INP</w:t>
      </w:r>
      <w:r w:rsidR="008E1F05">
        <w:rPr>
          <w:b/>
          <w:lang w:val="en-NZ" w:eastAsia="ko-KR"/>
        </w:rPr>
        <w:t>-39</w:t>
      </w:r>
    </w:p>
    <w:p w14:paraId="1FF769A3" w14:textId="536CD14E" w:rsidR="008E1F05" w:rsidRPr="008E1F05" w:rsidRDefault="008E1F05" w:rsidP="008E1F05">
      <w:pPr>
        <w:spacing w:before="240"/>
        <w:ind w:left="708"/>
        <w:jc w:val="both"/>
        <w:rPr>
          <w:lang w:val="en-NZ"/>
        </w:rPr>
      </w:pPr>
      <w:r w:rsidRPr="008E1F05">
        <w:rPr>
          <w:lang w:val="en-NZ"/>
        </w:rPr>
        <w:t>This Administration supports Alternative 2 for modification to RR No. 5.516A in Method B (4/1.19/5.2.2) in order to ensure the protection of the space station receivers of the broadcasting-satellite service feeder link in Regions 1 and 3 of Appendix 30A. This administration is also of the view that the protection of space station receivers of the broadcasting-satellite service operating under Appendix 30A is totally ignored in the Alternative one to modify RR No. 5.516A</w:t>
      </w:r>
      <w:r w:rsidR="005A4A69">
        <w:rPr>
          <w:lang w:val="en-NZ"/>
        </w:rPr>
        <w:t>.</w:t>
      </w:r>
    </w:p>
    <w:p w14:paraId="719C4CE2" w14:textId="77777777" w:rsidR="008E1F05" w:rsidRPr="008E1F05" w:rsidRDefault="008E1F05" w:rsidP="008E1F05">
      <w:pPr>
        <w:spacing w:before="240"/>
        <w:ind w:left="708"/>
        <w:jc w:val="both"/>
        <w:rPr>
          <w:lang w:val="en-NZ"/>
        </w:rPr>
      </w:pPr>
      <w:bookmarkStart w:id="7" w:name="_Hlk124281624"/>
      <w:r w:rsidRPr="008E1F05">
        <w:rPr>
          <w:lang w:val="en-NZ"/>
        </w:rPr>
        <w:t xml:space="preserve">This administration is also of the view that the following regulatory text needs to be added to the current Alternative 2 for modification to RR No. 5.516A in Method B: </w:t>
      </w:r>
    </w:p>
    <w:p w14:paraId="143E5C8F" w14:textId="10A67F58" w:rsidR="008E1F05" w:rsidRPr="008E1F05" w:rsidRDefault="008E1F05" w:rsidP="008E1F05">
      <w:pPr>
        <w:spacing w:before="240"/>
        <w:ind w:left="708"/>
        <w:jc w:val="both"/>
        <w:rPr>
          <w:lang w:val="en-NZ"/>
        </w:rPr>
      </w:pPr>
      <w:r w:rsidRPr="008E1F05">
        <w:rPr>
          <w:lang w:val="en-NZ"/>
        </w:rPr>
        <w:t>“In order to implement the commitment with regards to fixed-satellite service allocation in Region 2, the notifying administration of the fixed-satellite service at the time of notification under Article 11 of Radio Regulation, submitting Appendix 4 information to ITU shall also provide a firm commitment that in the case of unacceptable interference undertake to immediately cease emission or reduce the interference to an acceptable level and that the inter-satellite system is capable to make this commitment immediately”</w:t>
      </w:r>
      <w:r w:rsidR="005A4A69">
        <w:rPr>
          <w:lang w:val="en-NZ"/>
        </w:rPr>
        <w:t>.</w:t>
      </w:r>
    </w:p>
    <w:bookmarkEnd w:id="7"/>
    <w:p w14:paraId="32544713" w14:textId="3710335C" w:rsidR="008E1F05" w:rsidRPr="008E1F05" w:rsidRDefault="008E1F05" w:rsidP="0031795F">
      <w:pPr>
        <w:spacing w:before="240"/>
        <w:ind w:left="708"/>
        <w:jc w:val="both"/>
        <w:rPr>
          <w:lang w:val="en-NZ"/>
        </w:rPr>
      </w:pPr>
      <w:r w:rsidRPr="008E1F05">
        <w:rPr>
          <w:lang w:val="en-NZ"/>
        </w:rPr>
        <w:t xml:space="preserve">This administration is of the view that a non-geostationary-satellite system operating in Region 2 under the new allocation, shall meet the </w:t>
      </w:r>
      <w:proofErr w:type="spellStart"/>
      <w:r w:rsidRPr="008E1F05">
        <w:rPr>
          <w:lang w:val="en-NZ"/>
        </w:rPr>
        <w:t>epfd</w:t>
      </w:r>
      <w:proofErr w:type="spellEnd"/>
      <w:r w:rsidRPr="008E1F05">
        <w:rPr>
          <w:lang w:val="en-NZ"/>
        </w:rPr>
        <w:t xml:space="preserve"> limits of  Article 22, TABLE  22-3 for the 17.3-17.7 GHz band at any position in the orbit with respect to all receiving space station in the broadcasting-satellite feeder link of Appendix 30A. Based on that the </w:t>
      </w:r>
      <w:r w:rsidRPr="008E1F05">
        <w:rPr>
          <w:lang w:val="en-NZ"/>
        </w:rPr>
        <w:lastRenderedPageBreak/>
        <w:t>Islamic Republic of Iran supports Alternative 2 for the ADD RR No. 22.5F.Y in Method B in order to ensure the protection of the space station receivers of the broadcasting-satellite service feeder link in Regions 1 and 3 of Appendix 30A.</w:t>
      </w:r>
    </w:p>
    <w:p w14:paraId="3DB40CA7" w14:textId="77777777" w:rsidR="007D6CDC" w:rsidRDefault="007D6CDC" w:rsidP="007D6CDC">
      <w:pPr>
        <w:ind w:left="708"/>
        <w:jc w:val="both"/>
        <w:rPr>
          <w:lang w:val="en-NZ"/>
        </w:rPr>
      </w:pPr>
    </w:p>
    <w:p w14:paraId="52C80ABA" w14:textId="16691A73" w:rsidR="007D6CDC" w:rsidRPr="00441526" w:rsidRDefault="007D6CDC" w:rsidP="007D6CDC">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8E1F05" w:rsidRPr="0097584A">
        <w:rPr>
          <w:b/>
          <w:lang w:val="en-NZ" w:eastAsia="ko-KR"/>
        </w:rPr>
        <w:t xml:space="preserve">Viet Nam (Socialist Republic of) </w:t>
      </w:r>
      <w:r w:rsidRPr="007D6CDC">
        <w:t>-</w:t>
      </w:r>
      <w:r w:rsidRPr="00441526">
        <w:t xml:space="preserve"> </w:t>
      </w:r>
      <w:r w:rsidRPr="00441526">
        <w:rPr>
          <w:b/>
          <w:lang w:val="en-NZ" w:eastAsia="ko-KR"/>
        </w:rPr>
        <w:t>Document APG</w:t>
      </w:r>
      <w:r>
        <w:rPr>
          <w:b/>
          <w:lang w:val="en-NZ" w:eastAsia="ko-KR"/>
        </w:rPr>
        <w:t>23</w:t>
      </w:r>
      <w:r w:rsidRPr="00441526">
        <w:rPr>
          <w:b/>
          <w:lang w:val="en-NZ" w:eastAsia="ko-KR"/>
        </w:rPr>
        <w:t>-</w:t>
      </w:r>
      <w:r w:rsidR="009903F8">
        <w:rPr>
          <w:b/>
          <w:lang w:val="en-NZ" w:eastAsia="ko-KR"/>
        </w:rPr>
        <w:t>5</w:t>
      </w:r>
      <w:r w:rsidRPr="00441526">
        <w:rPr>
          <w:b/>
          <w:lang w:val="en-NZ" w:eastAsia="ko-KR"/>
        </w:rPr>
        <w:t>/INP-</w:t>
      </w:r>
      <w:r w:rsidR="008E1F05">
        <w:rPr>
          <w:b/>
          <w:lang w:val="en-NZ" w:eastAsia="ko-KR"/>
        </w:rPr>
        <w:t>55</w:t>
      </w:r>
    </w:p>
    <w:p w14:paraId="05C8B2B8" w14:textId="1CCFBF31" w:rsidR="007D6CDC" w:rsidRPr="008E1F05" w:rsidRDefault="008E1F05" w:rsidP="008E1F05">
      <w:pPr>
        <w:ind w:left="709"/>
        <w:jc w:val="both"/>
        <w:rPr>
          <w:lang w:val="en-NZ"/>
        </w:rPr>
      </w:pPr>
      <w:r w:rsidRPr="008E1F05">
        <w:rPr>
          <w:color w:val="201F1E"/>
          <w:shd w:val="clear" w:color="auto" w:fill="FFFFFF"/>
          <w:lang w:val="en-NZ"/>
        </w:rPr>
        <w:t>For synchronization of frequency bands across Regions, Vietnam supports Method B.</w:t>
      </w:r>
    </w:p>
    <w:p w14:paraId="78B855FF" w14:textId="77777777" w:rsidR="007D6CDC" w:rsidRPr="00441526" w:rsidRDefault="007D6CDC" w:rsidP="007D6CDC">
      <w:pPr>
        <w:ind w:left="708"/>
        <w:jc w:val="both"/>
        <w:rPr>
          <w:lang w:val="en-NZ"/>
        </w:rPr>
      </w:pPr>
    </w:p>
    <w:p w14:paraId="57D59308" w14:textId="7EE2785E" w:rsidR="007D6CDC" w:rsidRPr="00441526" w:rsidRDefault="007D6CDC" w:rsidP="007D6CDC">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8E1F05">
        <w:rPr>
          <w:b/>
          <w:lang w:val="en-NZ" w:eastAsia="ko-KR"/>
        </w:rPr>
        <w:t>Australia</w:t>
      </w:r>
      <w:r w:rsidRPr="007D6CDC">
        <w:rPr>
          <w:b/>
          <w:lang w:val="en-NZ" w:eastAsia="ko-KR"/>
        </w:rPr>
        <w:t xml:space="preserve"> </w:t>
      </w:r>
      <w:r w:rsidRPr="007D6CDC">
        <w:t>-</w:t>
      </w:r>
      <w:r w:rsidRPr="00441526">
        <w:t xml:space="preserve"> </w:t>
      </w:r>
      <w:r w:rsidRPr="00441526">
        <w:rPr>
          <w:b/>
          <w:lang w:val="en-NZ" w:eastAsia="ko-KR"/>
        </w:rPr>
        <w:t>Document APG</w:t>
      </w:r>
      <w:r>
        <w:rPr>
          <w:b/>
          <w:lang w:val="en-NZ" w:eastAsia="ko-KR"/>
        </w:rPr>
        <w:t>23</w:t>
      </w:r>
      <w:r w:rsidRPr="00441526">
        <w:rPr>
          <w:b/>
          <w:lang w:val="en-NZ" w:eastAsia="ko-KR"/>
        </w:rPr>
        <w:t>-</w:t>
      </w:r>
      <w:r w:rsidR="009903F8">
        <w:rPr>
          <w:b/>
          <w:lang w:val="en-NZ" w:eastAsia="ko-KR"/>
        </w:rPr>
        <w:t>5</w:t>
      </w:r>
      <w:r w:rsidRPr="00441526">
        <w:rPr>
          <w:b/>
          <w:lang w:val="en-NZ" w:eastAsia="ko-KR"/>
        </w:rPr>
        <w:t>/INP-</w:t>
      </w:r>
      <w:r w:rsidR="008E1F05">
        <w:rPr>
          <w:b/>
          <w:lang w:val="en-NZ" w:eastAsia="ko-KR"/>
        </w:rPr>
        <w:t>59</w:t>
      </w:r>
    </w:p>
    <w:p w14:paraId="1945BD59" w14:textId="77777777" w:rsidR="008E1F05" w:rsidRPr="008E1F05" w:rsidRDefault="008E1F05" w:rsidP="008E1F05">
      <w:pPr>
        <w:ind w:left="709"/>
        <w:jc w:val="both"/>
        <w:rPr>
          <w:lang w:val="en-NZ"/>
        </w:rPr>
      </w:pPr>
      <w:r w:rsidRPr="008E1F05">
        <w:rPr>
          <w:lang w:val="en-NZ"/>
        </w:rPr>
        <w:t>Australia supports arrangements that are consistent with the rational and efficient use of Australia’s sovereign assets in the radiofrequency spectrum. Noting that this is a Region 2 issue, Australia does not currently have a position on the proposed new primary allocation, however, protection for existing Appendix 30A satellite networks should be ensured.</w:t>
      </w:r>
    </w:p>
    <w:p w14:paraId="190343CA" w14:textId="77777777" w:rsidR="007D6CDC" w:rsidRDefault="007D6CDC" w:rsidP="007D6CDC">
      <w:pPr>
        <w:ind w:left="708"/>
        <w:jc w:val="both"/>
        <w:rPr>
          <w:lang w:val="en-NZ"/>
        </w:rPr>
      </w:pPr>
    </w:p>
    <w:p w14:paraId="168C3A71" w14:textId="506D292C" w:rsidR="0097584A" w:rsidRPr="00441526" w:rsidRDefault="0097584A" w:rsidP="0097584A">
      <w:pPr>
        <w:spacing w:after="120"/>
        <w:jc w:val="both"/>
        <w:rPr>
          <w:b/>
          <w:lang w:val="en-NZ" w:eastAsia="ko-KR"/>
        </w:rPr>
      </w:pPr>
      <w:r w:rsidRPr="00441526">
        <w:rPr>
          <w:b/>
          <w:lang w:val="en-NZ" w:eastAsia="ko-KR"/>
        </w:rPr>
        <w:t>3.1.</w:t>
      </w:r>
      <w:r>
        <w:rPr>
          <w:b/>
          <w:lang w:val="en-NZ" w:eastAsia="ko-KR"/>
        </w:rPr>
        <w:t>6</w:t>
      </w:r>
      <w:r w:rsidRPr="00441526">
        <w:rPr>
          <w:b/>
          <w:lang w:val="en-NZ" w:eastAsia="ko-KR"/>
        </w:rPr>
        <w:tab/>
      </w:r>
      <w:r w:rsidR="008E1F05" w:rsidRPr="00DD507F">
        <w:rPr>
          <w:b/>
          <w:lang w:val="en-NZ" w:eastAsia="ko-KR"/>
        </w:rPr>
        <w:t>China (People’s Republic of)</w:t>
      </w:r>
      <w:r w:rsidR="008E1F05" w:rsidRPr="007D6CDC">
        <w:rPr>
          <w:b/>
          <w:lang w:val="en-NZ" w:eastAsia="ko-KR"/>
        </w:rPr>
        <w:t xml:space="preserve"> </w:t>
      </w:r>
      <w:r w:rsidRPr="0097584A">
        <w:t>-</w:t>
      </w:r>
      <w:r w:rsidRPr="00441526">
        <w:t xml:space="preserve"> </w:t>
      </w:r>
      <w:r w:rsidRPr="00441526">
        <w:rPr>
          <w:b/>
          <w:lang w:val="en-NZ" w:eastAsia="ko-KR"/>
        </w:rPr>
        <w:t>Document APG</w:t>
      </w:r>
      <w:r>
        <w:rPr>
          <w:b/>
          <w:lang w:val="en-NZ" w:eastAsia="ko-KR"/>
        </w:rPr>
        <w:t>23</w:t>
      </w:r>
      <w:r w:rsidRPr="00441526">
        <w:rPr>
          <w:b/>
          <w:lang w:val="en-NZ" w:eastAsia="ko-KR"/>
        </w:rPr>
        <w:t>-</w:t>
      </w:r>
      <w:r w:rsidR="009903F8">
        <w:rPr>
          <w:b/>
          <w:lang w:val="en-NZ" w:eastAsia="ko-KR"/>
        </w:rPr>
        <w:t>5</w:t>
      </w:r>
      <w:r w:rsidRPr="00441526">
        <w:rPr>
          <w:b/>
          <w:lang w:val="en-NZ" w:eastAsia="ko-KR"/>
        </w:rPr>
        <w:t>/INP-</w:t>
      </w:r>
      <w:r w:rsidR="008E1F05">
        <w:rPr>
          <w:b/>
          <w:lang w:val="en-NZ" w:eastAsia="ko-KR"/>
        </w:rPr>
        <w:t>91</w:t>
      </w:r>
    </w:p>
    <w:p w14:paraId="704414D1" w14:textId="77777777" w:rsidR="008E1F05" w:rsidRPr="00B8477F" w:rsidRDefault="008E1F05" w:rsidP="008E1F05">
      <w:pPr>
        <w:spacing w:beforeLines="50" w:before="120" w:afterLines="50" w:after="120"/>
        <w:ind w:left="709"/>
        <w:jc w:val="both"/>
      </w:pPr>
      <w:r w:rsidRPr="00B8477F">
        <w:rPr>
          <w:rFonts w:eastAsia="SimSun" w:hint="eastAsia"/>
          <w:lang w:eastAsia="zh-CN"/>
        </w:rPr>
        <w:t xml:space="preserve">With respect to the condition of </w:t>
      </w:r>
      <w:r w:rsidRPr="00B8477F">
        <w:rPr>
          <w:lang w:eastAsia="zh-CN"/>
        </w:rPr>
        <w:t>sharing and compatibility studies</w:t>
      </w:r>
      <w:r w:rsidRPr="00B8477F">
        <w:rPr>
          <w:rFonts w:hint="eastAsia"/>
        </w:rPr>
        <w:t>, t</w:t>
      </w:r>
      <w:r w:rsidRPr="00B8477F">
        <w:t>his administration is of the view</w:t>
      </w:r>
      <w:r w:rsidRPr="00B8477F">
        <w:rPr>
          <w:rFonts w:eastAsia="SimSun" w:hint="eastAsia"/>
          <w:lang w:eastAsia="zh-CN"/>
        </w:rPr>
        <w:t>s</w:t>
      </w:r>
      <w:r w:rsidRPr="00B8477F">
        <w:t xml:space="preserve"> that</w:t>
      </w:r>
      <w:r w:rsidRPr="00B8477F">
        <w:rPr>
          <w:rFonts w:hint="eastAsia"/>
        </w:rPr>
        <w:t>:</w:t>
      </w:r>
    </w:p>
    <w:p w14:paraId="1128669F" w14:textId="77777777" w:rsidR="00DB471E" w:rsidRDefault="008E1F05" w:rsidP="00DB471E">
      <w:pPr>
        <w:numPr>
          <w:ilvl w:val="0"/>
          <w:numId w:val="28"/>
        </w:numPr>
        <w:spacing w:beforeLines="50" w:before="120" w:afterLines="50" w:after="120"/>
        <w:ind w:leftChars="295" w:left="1133" w:hangingChars="177" w:hanging="425"/>
        <w:jc w:val="both"/>
        <w:rPr>
          <w:rFonts w:eastAsia="SimSun"/>
          <w:lang w:eastAsia="zh-CN"/>
        </w:rPr>
      </w:pPr>
      <w:r w:rsidRPr="004911C5">
        <w:rPr>
          <w:rFonts w:eastAsia="SimSun"/>
          <w:lang w:eastAsia="zh-CN"/>
        </w:rPr>
        <w:t>The new allocation to FSS in Region 2 in the band 17.3-17.7 GHz (space-to-Earth) shall not adversely affect existing allocations and services for Region 3 and shall not impose any constraints to the incumbent services operating in the concerned frequency bands and adjacent bands in Region 3.</w:t>
      </w:r>
    </w:p>
    <w:p w14:paraId="5F6A65F2" w14:textId="2708A180" w:rsidR="008E1F05" w:rsidRPr="00DB471E" w:rsidRDefault="008E1F05" w:rsidP="00DB471E">
      <w:pPr>
        <w:numPr>
          <w:ilvl w:val="0"/>
          <w:numId w:val="28"/>
        </w:numPr>
        <w:spacing w:beforeLines="50" w:before="120" w:afterLines="50" w:after="120"/>
        <w:ind w:leftChars="295" w:left="1133" w:hangingChars="177" w:hanging="425"/>
        <w:jc w:val="both"/>
        <w:rPr>
          <w:rFonts w:eastAsia="SimSun"/>
          <w:lang w:eastAsia="zh-CN"/>
        </w:rPr>
      </w:pPr>
      <w:r w:rsidRPr="00DB471E">
        <w:rPr>
          <w:rFonts w:eastAsia="SimSun" w:hint="eastAsia"/>
          <w:lang w:eastAsia="zh-CN"/>
        </w:rPr>
        <w:t xml:space="preserve">As there is no frequency allocation of FSS in </w:t>
      </w:r>
      <w:r w:rsidRPr="00DB471E">
        <w:rPr>
          <w:rFonts w:eastAsia="SimSun"/>
          <w:lang w:eastAsia="zh-CN"/>
        </w:rPr>
        <w:t xml:space="preserve">Region </w:t>
      </w:r>
      <w:r w:rsidRPr="00DB471E">
        <w:rPr>
          <w:rFonts w:eastAsia="SimSun" w:hint="eastAsia"/>
          <w:lang w:eastAsia="zh-CN"/>
        </w:rPr>
        <w:t>3</w:t>
      </w:r>
      <w:r w:rsidRPr="00DB471E">
        <w:rPr>
          <w:rFonts w:eastAsia="SimSun"/>
          <w:lang w:eastAsia="zh-CN"/>
        </w:rPr>
        <w:t xml:space="preserve"> in the band 17.3-17.7 GHz (space-to-Earth)</w:t>
      </w:r>
      <w:r w:rsidRPr="00DB471E">
        <w:rPr>
          <w:rFonts w:eastAsia="SimSun" w:hint="eastAsia"/>
          <w:lang w:eastAsia="zh-CN"/>
        </w:rPr>
        <w:t>,</w:t>
      </w:r>
      <w:r w:rsidRPr="00DB471E">
        <w:rPr>
          <w:rFonts w:eastAsia="SimSun"/>
          <w:lang w:eastAsia="zh-CN"/>
        </w:rPr>
        <w:t xml:space="preserve"> </w:t>
      </w:r>
      <w:r w:rsidRPr="00DB471E">
        <w:rPr>
          <w:rFonts w:eastAsia="SimSun" w:hint="eastAsia"/>
          <w:lang w:eastAsia="zh-CN"/>
        </w:rPr>
        <w:t xml:space="preserve">any </w:t>
      </w:r>
      <w:r w:rsidRPr="00DB471E">
        <w:rPr>
          <w:rFonts w:eastAsia="SimSun"/>
          <w:lang w:eastAsia="zh-CN"/>
        </w:rPr>
        <w:t>new allocation in Region 2 in the band 17.3-17.7 GHz</w:t>
      </w:r>
      <w:r w:rsidRPr="00DB471E">
        <w:rPr>
          <w:rFonts w:eastAsia="SimSun" w:hint="eastAsia"/>
          <w:lang w:eastAsia="zh-CN"/>
        </w:rPr>
        <w:t xml:space="preserve"> used</w:t>
      </w:r>
      <w:r w:rsidRPr="00DB471E">
        <w:rPr>
          <w:rFonts w:eastAsia="SimSun"/>
          <w:lang w:eastAsia="zh-CN"/>
        </w:rPr>
        <w:t xml:space="preserve"> by a non-geostationary satellite system in the fixed-satellite service</w:t>
      </w:r>
      <w:r w:rsidRPr="00DB471E">
        <w:rPr>
          <w:rFonts w:eastAsia="SimSun" w:hint="eastAsia"/>
          <w:lang w:eastAsia="zh-CN"/>
        </w:rPr>
        <w:t xml:space="preserve">, may cause </w:t>
      </w:r>
      <w:r w:rsidRPr="00DB471E">
        <w:rPr>
          <w:rFonts w:eastAsia="SimSun"/>
          <w:lang w:eastAsia="zh-CN"/>
        </w:rPr>
        <w:t>potential</w:t>
      </w:r>
      <w:r w:rsidRPr="00DB471E">
        <w:rPr>
          <w:rFonts w:eastAsia="SimSun" w:hint="eastAsia"/>
          <w:lang w:eastAsia="zh-CN"/>
        </w:rPr>
        <w:t xml:space="preserve"> </w:t>
      </w:r>
      <w:r w:rsidRPr="00DB471E">
        <w:rPr>
          <w:rFonts w:eastAsia="SimSun"/>
          <w:lang w:eastAsia="zh-CN"/>
        </w:rPr>
        <w:t>interference</w:t>
      </w:r>
      <w:r w:rsidRPr="00DB471E">
        <w:rPr>
          <w:rFonts w:eastAsia="SimSun" w:hint="eastAsia"/>
          <w:lang w:eastAsia="zh-CN"/>
        </w:rPr>
        <w:t xml:space="preserve"> to </w:t>
      </w:r>
      <w:r w:rsidRPr="00DB471E">
        <w:rPr>
          <w:rFonts w:eastAsia="SimSun"/>
          <w:lang w:eastAsia="zh-CN"/>
        </w:rPr>
        <w:t>existing allocations and services for Region 3</w:t>
      </w:r>
      <w:r w:rsidRPr="00DB471E">
        <w:rPr>
          <w:rFonts w:eastAsia="SimSun" w:hint="eastAsia"/>
          <w:lang w:eastAsia="zh-CN"/>
        </w:rPr>
        <w:t xml:space="preserve"> c</w:t>
      </w:r>
      <w:r w:rsidRPr="00DB471E">
        <w:rPr>
          <w:rFonts w:eastAsia="SimSun"/>
          <w:lang w:eastAsia="zh-CN"/>
        </w:rPr>
        <w:t>onsidering the operating characteristics of satellite system</w:t>
      </w:r>
      <w:r w:rsidRPr="00DB471E">
        <w:rPr>
          <w:rFonts w:eastAsia="SimSun" w:hint="eastAsia"/>
          <w:lang w:eastAsia="zh-CN"/>
        </w:rPr>
        <w:t xml:space="preserve">. The </w:t>
      </w:r>
      <w:r w:rsidRPr="00DB471E">
        <w:rPr>
          <w:rFonts w:eastAsia="SimSun"/>
          <w:lang w:eastAsia="zh-CN"/>
        </w:rPr>
        <w:t>new allocation to FSS in Region 2 in the band 17.3-17.7 GHz (space-to-Earth) shall</w:t>
      </w:r>
      <w:r w:rsidRPr="00DB471E">
        <w:rPr>
          <w:rFonts w:eastAsia="SimSun" w:hint="eastAsia"/>
          <w:lang w:eastAsia="zh-CN"/>
        </w:rPr>
        <w:t xml:space="preserve"> </w:t>
      </w:r>
      <w:r w:rsidRPr="00DB471E">
        <w:rPr>
          <w:rFonts w:eastAsia="SimSun"/>
          <w:lang w:eastAsia="zh-CN"/>
        </w:rPr>
        <w:t>limited to geostationary satellites</w:t>
      </w:r>
      <w:r w:rsidRPr="00DB471E">
        <w:rPr>
          <w:rFonts w:eastAsia="SimSun" w:hint="eastAsia"/>
          <w:lang w:eastAsia="zh-CN"/>
        </w:rPr>
        <w:t>.</w:t>
      </w:r>
    </w:p>
    <w:p w14:paraId="50B9A284" w14:textId="7C9C872E" w:rsidR="0097584A" w:rsidRDefault="0097584A" w:rsidP="0097584A">
      <w:pPr>
        <w:ind w:left="708"/>
        <w:jc w:val="both"/>
        <w:rPr>
          <w:lang w:val="en-NZ"/>
        </w:rPr>
      </w:pPr>
    </w:p>
    <w:p w14:paraId="015A7DCC" w14:textId="262263AA" w:rsidR="0097584A" w:rsidRPr="00441526" w:rsidRDefault="0097584A" w:rsidP="0097584A">
      <w:pPr>
        <w:spacing w:after="120"/>
        <w:jc w:val="both"/>
        <w:rPr>
          <w:b/>
          <w:lang w:val="en-NZ" w:eastAsia="ko-KR"/>
        </w:rPr>
      </w:pPr>
      <w:r w:rsidRPr="00441526">
        <w:rPr>
          <w:b/>
          <w:lang w:val="en-NZ" w:eastAsia="ko-KR"/>
        </w:rPr>
        <w:t>3.1.</w:t>
      </w:r>
      <w:r>
        <w:rPr>
          <w:b/>
          <w:lang w:val="en-NZ" w:eastAsia="ko-KR"/>
        </w:rPr>
        <w:t>7</w:t>
      </w:r>
      <w:r w:rsidRPr="00441526">
        <w:rPr>
          <w:b/>
          <w:lang w:val="en-NZ" w:eastAsia="ko-KR"/>
        </w:rPr>
        <w:tab/>
      </w:r>
      <w:r w:rsidR="008E1F05">
        <w:rPr>
          <w:b/>
          <w:lang w:val="en-NZ" w:eastAsia="ko-KR"/>
        </w:rPr>
        <w:t>Malaysia</w:t>
      </w:r>
      <w:r w:rsidRPr="0097584A">
        <w:rPr>
          <w:b/>
          <w:lang w:val="en-NZ" w:eastAsia="ko-KR"/>
        </w:rPr>
        <w:t xml:space="preserve"> </w:t>
      </w:r>
      <w:r w:rsidRPr="0097584A">
        <w:t>-</w:t>
      </w:r>
      <w:r w:rsidRPr="00441526">
        <w:t xml:space="preserve"> </w:t>
      </w:r>
      <w:r w:rsidRPr="00441526">
        <w:rPr>
          <w:b/>
          <w:lang w:val="en-NZ" w:eastAsia="ko-KR"/>
        </w:rPr>
        <w:t>Document APG</w:t>
      </w:r>
      <w:r>
        <w:rPr>
          <w:b/>
          <w:lang w:val="en-NZ" w:eastAsia="ko-KR"/>
        </w:rPr>
        <w:t>23</w:t>
      </w:r>
      <w:r w:rsidRPr="00441526">
        <w:rPr>
          <w:b/>
          <w:lang w:val="en-NZ" w:eastAsia="ko-KR"/>
        </w:rPr>
        <w:t>-</w:t>
      </w:r>
      <w:r w:rsidR="009903F8">
        <w:rPr>
          <w:b/>
          <w:lang w:val="en-NZ" w:eastAsia="ko-KR"/>
        </w:rPr>
        <w:t>5</w:t>
      </w:r>
      <w:r w:rsidRPr="00441526">
        <w:rPr>
          <w:b/>
          <w:lang w:val="en-NZ" w:eastAsia="ko-KR"/>
        </w:rPr>
        <w:t>/INP-</w:t>
      </w:r>
      <w:r w:rsidR="008E1F05">
        <w:rPr>
          <w:b/>
          <w:lang w:val="en-NZ" w:eastAsia="ko-KR"/>
        </w:rPr>
        <w:t>98</w:t>
      </w:r>
    </w:p>
    <w:p w14:paraId="2E0B7A0B" w14:textId="77777777" w:rsidR="005A4A69" w:rsidRDefault="008E1F05" w:rsidP="005A4A69">
      <w:pPr>
        <w:ind w:left="709"/>
        <w:jc w:val="both"/>
        <w:rPr>
          <w:rFonts w:eastAsia="Times New Roman"/>
          <w:color w:val="000000" w:themeColor="text1"/>
          <w:lang w:val="en-MY"/>
        </w:rPr>
      </w:pPr>
      <w:r w:rsidRPr="00851354">
        <w:rPr>
          <w:rFonts w:eastAsia="Times New Roman"/>
          <w:color w:val="000000" w:themeColor="text1"/>
          <w:lang w:val="en-MY"/>
        </w:rPr>
        <w:t xml:space="preserve">Malaysia supports possible allocation to the </w:t>
      </w:r>
      <w:r>
        <w:rPr>
          <w:rFonts w:eastAsia="Times New Roman"/>
          <w:color w:val="000000" w:themeColor="text1"/>
          <w:lang w:val="en-MY"/>
        </w:rPr>
        <w:t>FSS</w:t>
      </w:r>
      <w:r w:rsidRPr="00851354">
        <w:rPr>
          <w:rFonts w:eastAsia="Times New Roman"/>
          <w:color w:val="000000" w:themeColor="text1"/>
          <w:lang w:val="en-MY"/>
        </w:rPr>
        <w:t xml:space="preserve"> in Region 2 in the frequency band 17.3-17.7 GHz (space-to-Earth) while ensuring protection to existing allocations and services in the same and adjacent frequency bands in Region 3.</w:t>
      </w:r>
    </w:p>
    <w:p w14:paraId="7CF313AB" w14:textId="3457F980" w:rsidR="008E1F05" w:rsidRPr="00851354" w:rsidRDefault="008E1F05" w:rsidP="005A4A69">
      <w:pPr>
        <w:spacing w:before="240" w:after="120"/>
        <w:ind w:left="709"/>
        <w:jc w:val="both"/>
        <w:rPr>
          <w:rFonts w:eastAsia="Times New Roman"/>
          <w:color w:val="000000" w:themeColor="text1"/>
          <w:lang w:val="en-MY"/>
        </w:rPr>
      </w:pPr>
      <w:r w:rsidRPr="00851354">
        <w:rPr>
          <w:rFonts w:eastAsia="Times New Roman"/>
          <w:color w:val="000000" w:themeColor="text1"/>
          <w:lang w:val="en-MY"/>
        </w:rPr>
        <w:t xml:space="preserve">Malaysia is of the view that the additional allocation to Region 2 shall protect the receiving space stations operating under </w:t>
      </w:r>
      <w:r>
        <w:rPr>
          <w:rFonts w:eastAsia="Times New Roman"/>
          <w:color w:val="000000" w:themeColor="text1"/>
          <w:lang w:val="en-MY"/>
        </w:rPr>
        <w:t xml:space="preserve">RR </w:t>
      </w:r>
      <w:r w:rsidRPr="00851354">
        <w:rPr>
          <w:rFonts w:eastAsia="Times New Roman"/>
          <w:color w:val="000000" w:themeColor="text1"/>
          <w:lang w:val="en-MY"/>
        </w:rPr>
        <w:t xml:space="preserve">Appendix </w:t>
      </w:r>
      <w:r w:rsidRPr="00437E09">
        <w:rPr>
          <w:rFonts w:eastAsia="Times New Roman"/>
          <w:b/>
          <w:bCs/>
          <w:color w:val="000000" w:themeColor="text1"/>
          <w:lang w:val="en-MY"/>
        </w:rPr>
        <w:t>30A</w:t>
      </w:r>
      <w:r w:rsidRPr="00851354">
        <w:rPr>
          <w:rFonts w:eastAsia="Times New Roman"/>
          <w:color w:val="000000" w:themeColor="text1"/>
          <w:lang w:val="en-MY"/>
        </w:rPr>
        <w:t xml:space="preserve">. Therefore, Malaysia supports </w:t>
      </w:r>
      <w:r w:rsidRPr="00E71A9B">
        <w:rPr>
          <w:rFonts w:eastAsia="Times New Roman"/>
          <w:b/>
          <w:bCs/>
          <w:color w:val="000000" w:themeColor="text1"/>
          <w:lang w:val="en-MY"/>
        </w:rPr>
        <w:t>Method B Alternative 2</w:t>
      </w:r>
      <w:r w:rsidRPr="00851354">
        <w:rPr>
          <w:rFonts w:eastAsia="Times New Roman"/>
          <w:color w:val="000000" w:themeColor="text1"/>
          <w:lang w:val="en-MY"/>
        </w:rPr>
        <w:t>.</w:t>
      </w:r>
    </w:p>
    <w:p w14:paraId="5E1DBD53" w14:textId="77777777" w:rsidR="002A0111" w:rsidRPr="00441526" w:rsidRDefault="002A0111" w:rsidP="00551169">
      <w:pPr>
        <w:spacing w:after="120"/>
        <w:ind w:left="708"/>
        <w:jc w:val="both"/>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6951B0B2" w14:textId="714C0DAF" w:rsidR="0031795F" w:rsidRDefault="0031795F" w:rsidP="00A913DA">
      <w:pPr>
        <w:spacing w:before="240" w:after="120"/>
        <w:jc w:val="both"/>
        <w:rPr>
          <w:lang w:val="en-NZ"/>
        </w:rPr>
      </w:pPr>
      <w:r w:rsidRPr="00027B9E">
        <w:rPr>
          <w:lang w:val="en-NZ"/>
        </w:rPr>
        <w:t xml:space="preserve">APT Members express their concerns on the protection to the existing primary allocation and services in the frequency band considered under the </w:t>
      </w:r>
      <w:r w:rsidR="00EB74FF">
        <w:rPr>
          <w:lang w:val="en-NZ"/>
        </w:rPr>
        <w:t>a</w:t>
      </w:r>
      <w:r w:rsidRPr="00027B9E">
        <w:rPr>
          <w:lang w:val="en-NZ"/>
        </w:rPr>
        <w:t xml:space="preserve">genda </w:t>
      </w:r>
      <w:r w:rsidR="00EB74FF">
        <w:rPr>
          <w:lang w:val="en-NZ"/>
        </w:rPr>
        <w:t>i</w:t>
      </w:r>
      <w:r w:rsidRPr="00027B9E">
        <w:rPr>
          <w:lang w:val="en-NZ"/>
        </w:rPr>
        <w:t xml:space="preserve">tem 1.19 of WRC-23, including Appendix </w:t>
      </w:r>
      <w:r w:rsidRPr="00A913DA">
        <w:rPr>
          <w:b/>
          <w:bCs/>
          <w:lang w:val="en-NZ"/>
        </w:rPr>
        <w:t>30A</w:t>
      </w:r>
      <w:r w:rsidRPr="00027B9E">
        <w:rPr>
          <w:lang w:val="en-NZ"/>
        </w:rPr>
        <w:t xml:space="preserve"> satellite networks.</w:t>
      </w:r>
    </w:p>
    <w:p w14:paraId="764A9879" w14:textId="351418DB" w:rsidR="005A4A69" w:rsidRDefault="0059091D" w:rsidP="00A913DA">
      <w:pPr>
        <w:spacing w:before="240" w:after="120"/>
        <w:jc w:val="both"/>
        <w:rPr>
          <w:lang w:eastAsia="ja-JP"/>
        </w:rPr>
      </w:pPr>
      <w:r>
        <w:rPr>
          <w:lang w:val="en-NZ"/>
        </w:rPr>
        <w:t>Some APT Members are of the view that</w:t>
      </w:r>
      <w:r w:rsidR="00CF6015">
        <w:rPr>
          <w:lang w:eastAsia="ja-JP"/>
        </w:rPr>
        <w:t xml:space="preserve"> t</w:t>
      </w:r>
      <w:r w:rsidR="00027B9E" w:rsidRPr="005A4A69">
        <w:rPr>
          <w:lang w:eastAsia="ja-JP"/>
        </w:rPr>
        <w:t xml:space="preserve">he issue of revision of RR </w:t>
      </w:r>
      <w:r w:rsidR="00364BFA">
        <w:rPr>
          <w:lang w:eastAsia="ja-JP"/>
        </w:rPr>
        <w:t xml:space="preserve">Article </w:t>
      </w:r>
      <w:r w:rsidR="00027B9E" w:rsidRPr="00A913DA">
        <w:rPr>
          <w:b/>
          <w:bCs/>
          <w:lang w:eastAsia="ja-JP"/>
        </w:rPr>
        <w:t>22</w:t>
      </w:r>
      <w:r w:rsidR="00027B9E" w:rsidRPr="005A4A69">
        <w:rPr>
          <w:lang w:eastAsia="ja-JP"/>
        </w:rPr>
        <w:t xml:space="preserve"> </w:t>
      </w:r>
      <w:proofErr w:type="gramStart"/>
      <w:r w:rsidR="00027B9E" w:rsidRPr="005A4A69">
        <w:rPr>
          <w:lang w:eastAsia="ja-JP"/>
        </w:rPr>
        <w:t>as a whole needs</w:t>
      </w:r>
      <w:proofErr w:type="gramEnd"/>
      <w:r w:rsidR="00027B9E" w:rsidRPr="005A4A69">
        <w:rPr>
          <w:lang w:eastAsia="ja-JP"/>
        </w:rPr>
        <w:t xml:space="preserve"> to be further studied in order to clarify where the protected areas are, in the case where an </w:t>
      </w:r>
      <w:proofErr w:type="spellStart"/>
      <w:r w:rsidR="00027B9E" w:rsidRPr="005A4A69">
        <w:rPr>
          <w:lang w:eastAsia="ja-JP"/>
        </w:rPr>
        <w:t>epfd</w:t>
      </w:r>
      <w:proofErr w:type="spellEnd"/>
      <w:r w:rsidR="00027B9E" w:rsidRPr="005A4A69">
        <w:rPr>
          <w:lang w:eastAsia="ja-JP"/>
        </w:rPr>
        <w:t xml:space="preserve"> limitation shall be met by a non-geostationary satellite system that is not allowed to operate in all </w:t>
      </w:r>
      <w:r w:rsidR="00AC7F80">
        <w:rPr>
          <w:lang w:eastAsia="ja-JP"/>
        </w:rPr>
        <w:t>three</w:t>
      </w:r>
      <w:r w:rsidR="00AC7F80" w:rsidRPr="005A4A69">
        <w:rPr>
          <w:lang w:eastAsia="ja-JP"/>
        </w:rPr>
        <w:t xml:space="preserve"> </w:t>
      </w:r>
      <w:r w:rsidR="00027B9E" w:rsidRPr="005A4A69">
        <w:rPr>
          <w:lang w:eastAsia="ja-JP"/>
        </w:rPr>
        <w:t xml:space="preserve">Regions. In this case, it should be clarified whether the victim service is protected in all </w:t>
      </w:r>
      <w:r w:rsidR="00AC7F80">
        <w:rPr>
          <w:lang w:eastAsia="ja-JP"/>
        </w:rPr>
        <w:lastRenderedPageBreak/>
        <w:t>three</w:t>
      </w:r>
      <w:r w:rsidR="00027B9E" w:rsidRPr="005A4A69">
        <w:rPr>
          <w:lang w:eastAsia="ja-JP"/>
        </w:rPr>
        <w:t xml:space="preserve"> Regions, as long as the non-GSO satellite system has emission and regardless of non-GSO satellite location in the orbit</w:t>
      </w:r>
      <w:r w:rsidR="00027B9E" w:rsidRPr="00027B9E">
        <w:rPr>
          <w:lang w:eastAsia="ja-JP"/>
        </w:rPr>
        <w:t>.</w:t>
      </w:r>
    </w:p>
    <w:p w14:paraId="3D0FDE2B" w14:textId="1392231F" w:rsidR="002A0111" w:rsidRDefault="003E37CB" w:rsidP="00A913DA">
      <w:pPr>
        <w:spacing w:before="240" w:after="240"/>
        <w:jc w:val="both"/>
        <w:rPr>
          <w:lang w:eastAsia="ja-JP"/>
        </w:rPr>
      </w:pPr>
      <w:r>
        <w:rPr>
          <w:lang w:eastAsia="ja-JP"/>
        </w:rPr>
        <w:t xml:space="preserve">Considering the opinion made under Section 5, the APG 23-5 meeting encourages the APT Members make the input contribution to the CPM23-2 meeting to provide any other Method to satisfy the </w:t>
      </w:r>
      <w:r w:rsidR="0071466A">
        <w:rPr>
          <w:lang w:eastAsia="ja-JP"/>
        </w:rPr>
        <w:t>a</w:t>
      </w:r>
      <w:r>
        <w:rPr>
          <w:lang w:eastAsia="ja-JP"/>
        </w:rPr>
        <w:t xml:space="preserve">genda </w:t>
      </w:r>
      <w:r w:rsidR="0071466A">
        <w:rPr>
          <w:lang w:eastAsia="ja-JP"/>
        </w:rPr>
        <w:t>i</w:t>
      </w:r>
      <w:r>
        <w:rPr>
          <w:lang w:eastAsia="ja-JP"/>
        </w:rPr>
        <w:t>tem 1.19.</w:t>
      </w:r>
    </w:p>
    <w:p w14:paraId="493B2DF3" w14:textId="43A5C626" w:rsidR="0097584A" w:rsidRPr="00BE031A" w:rsidRDefault="002A0111" w:rsidP="00E13F66">
      <w:pPr>
        <w:spacing w:beforeLines="50" w:before="120" w:after="120"/>
        <w:jc w:val="both"/>
        <w:rPr>
          <w:b/>
          <w:lang w:val="en-NZ" w:eastAsia="ko-KR"/>
        </w:rPr>
      </w:pPr>
      <w:r w:rsidRPr="00441526">
        <w:rPr>
          <w:b/>
          <w:lang w:val="en-NZ" w:eastAsia="ko-KR"/>
        </w:rPr>
        <w:t xml:space="preserve">4. </w:t>
      </w:r>
      <w:r w:rsidRPr="00441526">
        <w:rPr>
          <w:b/>
          <w:lang w:val="en-NZ" w:eastAsia="ko-KR"/>
        </w:rPr>
        <w:tab/>
        <w:t>APT Preliminary View</w:t>
      </w:r>
      <w:r w:rsidR="00A37EA3">
        <w:rPr>
          <w:b/>
          <w:lang w:val="en-NZ" w:eastAsia="ko-KR"/>
        </w:rPr>
        <w:t>s</w:t>
      </w:r>
    </w:p>
    <w:p w14:paraId="0B3F275A" w14:textId="532563E8" w:rsidR="0031795F" w:rsidRDefault="00CB2F81" w:rsidP="00A913DA">
      <w:pPr>
        <w:spacing w:before="240" w:after="120"/>
        <w:jc w:val="both"/>
        <w:rPr>
          <w:lang w:val="en-NZ"/>
        </w:rPr>
      </w:pPr>
      <w:r w:rsidRPr="00CB2F81">
        <w:rPr>
          <w:rFonts w:hint="eastAsia"/>
          <w:lang w:val="en-NZ"/>
        </w:rPr>
        <w:t>A</w:t>
      </w:r>
      <w:r w:rsidRPr="00CB2F81">
        <w:rPr>
          <w:lang w:val="en-NZ"/>
        </w:rPr>
        <w:t>PT</w:t>
      </w:r>
      <w:r w:rsidR="007D38B5">
        <w:rPr>
          <w:lang w:val="en-NZ"/>
        </w:rPr>
        <w:t xml:space="preserve"> Members</w:t>
      </w:r>
      <w:r w:rsidRPr="00CB2F81">
        <w:rPr>
          <w:lang w:val="en-NZ"/>
        </w:rPr>
        <w:t xml:space="preserve"> </w:t>
      </w:r>
      <w:r w:rsidR="00DB471E">
        <w:rPr>
          <w:lang w:val="en-NZ"/>
        </w:rPr>
        <w:t>are considering</w:t>
      </w:r>
      <w:r w:rsidR="00DB471E" w:rsidRPr="00CB2F81">
        <w:rPr>
          <w:lang w:val="en-NZ"/>
        </w:rPr>
        <w:t xml:space="preserve"> </w:t>
      </w:r>
      <w:r w:rsidRPr="00CB2F81">
        <w:rPr>
          <w:lang w:val="en-NZ"/>
        </w:rPr>
        <w:t>Method</w:t>
      </w:r>
      <w:r>
        <w:rPr>
          <w:lang w:val="en-NZ"/>
        </w:rPr>
        <w:t xml:space="preserve"> </w:t>
      </w:r>
      <w:r w:rsidR="00CC4D14">
        <w:rPr>
          <w:lang w:val="en-NZ"/>
        </w:rPr>
        <w:t xml:space="preserve">A and </w:t>
      </w:r>
      <w:r>
        <w:rPr>
          <w:lang w:val="en-NZ"/>
        </w:rPr>
        <w:t xml:space="preserve">B to address this agenda item </w:t>
      </w:r>
      <w:r w:rsidR="007D38B5">
        <w:rPr>
          <w:lang w:val="en-NZ"/>
        </w:rPr>
        <w:t xml:space="preserve">and </w:t>
      </w:r>
      <w:r w:rsidR="00DB471E">
        <w:rPr>
          <w:lang w:val="en-NZ"/>
        </w:rPr>
        <w:t xml:space="preserve">noting </w:t>
      </w:r>
      <w:r w:rsidR="007D38B5">
        <w:rPr>
          <w:lang w:val="en-NZ"/>
        </w:rPr>
        <w:t>several concerns</w:t>
      </w:r>
      <w:r w:rsidR="0031795F">
        <w:rPr>
          <w:lang w:val="en-NZ"/>
        </w:rPr>
        <w:t xml:space="preserve"> as follows:</w:t>
      </w:r>
    </w:p>
    <w:p w14:paraId="48EC3BEF" w14:textId="419A6A89" w:rsidR="00CB2F81" w:rsidRDefault="00CB2F81" w:rsidP="00B47F86">
      <w:pPr>
        <w:pStyle w:val="ListParagraph"/>
        <w:numPr>
          <w:ilvl w:val="0"/>
          <w:numId w:val="31"/>
        </w:numPr>
        <w:spacing w:before="240" w:after="120"/>
        <w:ind w:left="1069"/>
        <w:jc w:val="both"/>
        <w:rPr>
          <w:lang w:val="en-NZ"/>
        </w:rPr>
      </w:pPr>
      <w:r w:rsidRPr="0031795F">
        <w:rPr>
          <w:lang w:val="en-NZ"/>
        </w:rPr>
        <w:t xml:space="preserve">the importance to ensure </w:t>
      </w:r>
      <w:r w:rsidRPr="0031795F">
        <w:rPr>
          <w:rFonts w:eastAsia="Times New Roman"/>
          <w:color w:val="000000" w:themeColor="text1"/>
          <w:lang w:val="en-MY"/>
        </w:rPr>
        <w:t xml:space="preserve">protection to existing allocations and services and </w:t>
      </w:r>
      <w:r w:rsidRPr="0031795F">
        <w:rPr>
          <w:rFonts w:eastAsia="SimSun"/>
          <w:lang w:eastAsia="zh-CN"/>
        </w:rPr>
        <w:t xml:space="preserve">shall not impose any constraints to the incumbent service operating the </w:t>
      </w:r>
      <w:r w:rsidRPr="0031795F">
        <w:rPr>
          <w:rFonts w:eastAsia="Times New Roman"/>
          <w:color w:val="000000" w:themeColor="text1"/>
          <w:lang w:val="en-MY"/>
        </w:rPr>
        <w:t>same and adjacent frequency bands in Region 3</w:t>
      </w:r>
      <w:r w:rsidR="0031795F">
        <w:rPr>
          <w:lang w:val="en-NZ"/>
        </w:rPr>
        <w:t>.</w:t>
      </w:r>
    </w:p>
    <w:p w14:paraId="55D4F0CE" w14:textId="4ED1AD89" w:rsidR="00B47F86" w:rsidRDefault="00BF093B" w:rsidP="00B47F86">
      <w:pPr>
        <w:pStyle w:val="ListParagraph"/>
        <w:numPr>
          <w:ilvl w:val="0"/>
          <w:numId w:val="31"/>
        </w:numPr>
        <w:spacing w:before="240" w:after="120"/>
        <w:ind w:left="1069"/>
        <w:jc w:val="both"/>
        <w:rPr>
          <w:lang w:val="en-NZ"/>
        </w:rPr>
      </w:pPr>
      <w:r>
        <w:rPr>
          <w:lang w:val="en-NZ"/>
        </w:rPr>
        <w:t>consider</w:t>
      </w:r>
      <w:r w:rsidRPr="0031795F">
        <w:rPr>
          <w:lang w:val="en-NZ"/>
        </w:rPr>
        <w:t xml:space="preserve"> </w:t>
      </w:r>
      <w:r w:rsidR="007D38B5" w:rsidRPr="0031795F">
        <w:rPr>
          <w:lang w:val="en-NZ"/>
        </w:rPr>
        <w:t xml:space="preserve">Alternative 2 for modification to RR No. </w:t>
      </w:r>
      <w:r w:rsidR="007D38B5" w:rsidRPr="00A913DA">
        <w:rPr>
          <w:b/>
          <w:bCs/>
          <w:lang w:val="en-NZ"/>
        </w:rPr>
        <w:t>5.516A</w:t>
      </w:r>
      <w:r w:rsidR="007D38B5" w:rsidRPr="0031795F">
        <w:rPr>
          <w:lang w:val="en-NZ"/>
        </w:rPr>
        <w:t xml:space="preserve"> in Method B (4/1.19/5.2.2) in order to ensure the protection of the space station receivers of the broadcasting-satellite service feeder link in </w:t>
      </w:r>
      <w:proofErr w:type="gramStart"/>
      <w:r w:rsidR="007D38B5" w:rsidRPr="0031795F">
        <w:rPr>
          <w:lang w:val="en-NZ"/>
        </w:rPr>
        <w:t>Regions</w:t>
      </w:r>
      <w:proofErr w:type="gramEnd"/>
      <w:r w:rsidR="007D38B5" w:rsidRPr="0031795F">
        <w:rPr>
          <w:lang w:val="en-NZ"/>
        </w:rPr>
        <w:t xml:space="preserve"> 1 and 3 of Appendix </w:t>
      </w:r>
      <w:r w:rsidR="007D38B5" w:rsidRPr="00A913DA">
        <w:rPr>
          <w:b/>
          <w:bCs/>
          <w:lang w:val="en-NZ"/>
        </w:rPr>
        <w:t>30A</w:t>
      </w:r>
      <w:r w:rsidR="007D38B5">
        <w:rPr>
          <w:lang w:val="en-NZ"/>
        </w:rPr>
        <w:t xml:space="preserve"> and </w:t>
      </w:r>
      <w:r w:rsidR="00CB2F81" w:rsidRPr="000F6867">
        <w:rPr>
          <w:lang w:val="en-NZ"/>
        </w:rPr>
        <w:t>propose</w:t>
      </w:r>
      <w:r w:rsidR="00CB2F81" w:rsidRPr="007D38B5">
        <w:rPr>
          <w:lang w:val="en-NZ"/>
        </w:rPr>
        <w:t xml:space="preserve"> the following regulatory text to be added to the current Alternative 2</w:t>
      </w:r>
      <w:r w:rsidR="003C36FE" w:rsidRPr="007D38B5">
        <w:rPr>
          <w:lang w:val="en-NZ"/>
        </w:rPr>
        <w:t xml:space="preserve"> of Method B</w:t>
      </w:r>
      <w:r w:rsidR="00CB2F81" w:rsidRPr="007D38B5">
        <w:rPr>
          <w:lang w:val="en-NZ"/>
        </w:rPr>
        <w:t xml:space="preserve"> for modification to RR No. </w:t>
      </w:r>
      <w:r w:rsidR="00CB2F81" w:rsidRPr="00A913DA">
        <w:rPr>
          <w:b/>
          <w:bCs/>
          <w:lang w:val="en-NZ"/>
        </w:rPr>
        <w:t>5.516A</w:t>
      </w:r>
      <w:r w:rsidR="00CB2F81" w:rsidRPr="007D38B5">
        <w:rPr>
          <w:lang w:val="en-NZ"/>
        </w:rPr>
        <w:t xml:space="preserve">: </w:t>
      </w:r>
    </w:p>
    <w:p w14:paraId="74337218" w14:textId="049E8FDE" w:rsidR="0031795F" w:rsidRPr="00BB05A9" w:rsidRDefault="00CB2F81">
      <w:pPr>
        <w:pStyle w:val="ListParagraph"/>
        <w:spacing w:before="240" w:after="120"/>
        <w:ind w:left="1069"/>
        <w:jc w:val="both"/>
        <w:rPr>
          <w:lang w:val="en-NZ"/>
        </w:rPr>
      </w:pPr>
      <w:r w:rsidRPr="00B47F86">
        <w:rPr>
          <w:lang w:val="en-NZ"/>
        </w:rPr>
        <w:t xml:space="preserve">“In order to implement the commitment with regards to fixed-satellite service allocation in Region 2, the notifying administration of the fixed-satellite service at the time of notification under Article </w:t>
      </w:r>
      <w:r w:rsidRPr="00A913DA">
        <w:rPr>
          <w:b/>
          <w:bCs/>
          <w:lang w:val="en-NZ"/>
        </w:rPr>
        <w:t>11</w:t>
      </w:r>
      <w:r w:rsidRPr="00B47F86">
        <w:rPr>
          <w:lang w:val="en-NZ"/>
        </w:rPr>
        <w:t xml:space="preserve"> of Radio Regulation, submitting Appendix </w:t>
      </w:r>
      <w:r w:rsidRPr="00A913DA">
        <w:rPr>
          <w:b/>
          <w:bCs/>
          <w:lang w:val="en-NZ"/>
        </w:rPr>
        <w:t>4</w:t>
      </w:r>
      <w:r w:rsidRPr="00B47F86">
        <w:rPr>
          <w:lang w:val="en-NZ"/>
        </w:rPr>
        <w:t xml:space="preserve"> information to ITU shall also provide a firm commitment that in the case of unacceptable interference undertake to immediately cease emission or reduce the interference to an acceptable level</w:t>
      </w:r>
      <w:r w:rsidRPr="00BB05A9">
        <w:rPr>
          <w:lang w:val="en-NZ"/>
        </w:rPr>
        <w:t>”</w:t>
      </w:r>
      <w:r w:rsidR="00BF093B" w:rsidRPr="00BB05A9">
        <w:rPr>
          <w:lang w:val="en-NZ"/>
        </w:rPr>
        <w:t>.</w:t>
      </w:r>
      <w:r w:rsidR="00BB05A9" w:rsidRPr="00BB05A9">
        <w:rPr>
          <w:lang w:val="en-NZ"/>
        </w:rPr>
        <w:t xml:space="preserve"> </w:t>
      </w:r>
    </w:p>
    <w:p w14:paraId="6BFD776C" w14:textId="51551A52" w:rsidR="001C3DA5" w:rsidRPr="005A4A69" w:rsidRDefault="00BF093B" w:rsidP="002A62F4">
      <w:pPr>
        <w:pStyle w:val="ListParagraph"/>
        <w:numPr>
          <w:ilvl w:val="0"/>
          <w:numId w:val="31"/>
        </w:numPr>
        <w:spacing w:before="240" w:after="120"/>
        <w:ind w:left="1069"/>
        <w:jc w:val="both"/>
        <w:rPr>
          <w:lang w:eastAsia="ja-JP"/>
        </w:rPr>
      </w:pPr>
      <w:r>
        <w:rPr>
          <w:lang w:val="en-NZ"/>
        </w:rPr>
        <w:t>consider</w:t>
      </w:r>
      <w:r w:rsidRPr="0031795F">
        <w:rPr>
          <w:lang w:val="en-NZ"/>
        </w:rPr>
        <w:t xml:space="preserve"> </w:t>
      </w:r>
      <w:r w:rsidR="000C6132" w:rsidRPr="0031795F">
        <w:rPr>
          <w:lang w:val="en-NZ"/>
        </w:rPr>
        <w:t xml:space="preserve">Alternative 2 for the ADD RR No. </w:t>
      </w:r>
      <w:r w:rsidR="000C6132" w:rsidRPr="00A913DA">
        <w:rPr>
          <w:b/>
          <w:bCs/>
          <w:lang w:val="en-NZ"/>
        </w:rPr>
        <w:t>22.5F.Y</w:t>
      </w:r>
      <w:r w:rsidR="000C6132" w:rsidRPr="0031795F">
        <w:rPr>
          <w:lang w:val="en-NZ"/>
        </w:rPr>
        <w:t xml:space="preserve"> in Method B in order to ensure the protection of the space station receivers of the broadcasting-satellite service feeder link in </w:t>
      </w:r>
      <w:proofErr w:type="gramStart"/>
      <w:r w:rsidR="000C6132" w:rsidRPr="0031795F">
        <w:rPr>
          <w:lang w:val="en-NZ"/>
        </w:rPr>
        <w:t>Regions</w:t>
      </w:r>
      <w:proofErr w:type="gramEnd"/>
      <w:r w:rsidR="000C6132" w:rsidRPr="0031795F">
        <w:rPr>
          <w:lang w:val="en-NZ"/>
        </w:rPr>
        <w:t xml:space="preserve"> 1 and 3 of Appendix </w:t>
      </w:r>
      <w:r w:rsidR="000C6132" w:rsidRPr="00A913DA">
        <w:rPr>
          <w:b/>
          <w:bCs/>
          <w:lang w:val="en-NZ"/>
        </w:rPr>
        <w:t>30A</w:t>
      </w:r>
      <w:r w:rsidR="0031795F">
        <w:rPr>
          <w:lang w:val="en-NZ"/>
        </w:rPr>
        <w:t>.</w:t>
      </w:r>
    </w:p>
    <w:p w14:paraId="4C8DEE1D" w14:textId="72E92C45" w:rsidR="0059091D" w:rsidRPr="00D35542" w:rsidRDefault="0059091D" w:rsidP="00CF6015">
      <w:pPr>
        <w:pStyle w:val="ListParagraph"/>
        <w:numPr>
          <w:ilvl w:val="0"/>
          <w:numId w:val="31"/>
        </w:numPr>
        <w:spacing w:before="240" w:after="120"/>
        <w:ind w:left="1069"/>
        <w:jc w:val="both"/>
        <w:rPr>
          <w:lang w:val="en-NZ"/>
        </w:rPr>
      </w:pPr>
      <w:r w:rsidRPr="00563D5C">
        <w:rPr>
          <w:lang w:eastAsia="ja-JP"/>
        </w:rPr>
        <w:t xml:space="preserve">a non-geostationary-satellite system operating in </w:t>
      </w:r>
      <w:proofErr w:type="gramStart"/>
      <w:r w:rsidRPr="00563D5C">
        <w:rPr>
          <w:lang w:eastAsia="ja-JP"/>
        </w:rPr>
        <w:t>Region</w:t>
      </w:r>
      <w:proofErr w:type="gramEnd"/>
      <w:r w:rsidRPr="00563D5C">
        <w:rPr>
          <w:lang w:eastAsia="ja-JP"/>
        </w:rPr>
        <w:t xml:space="preserve"> 2 shall meet the </w:t>
      </w:r>
      <w:proofErr w:type="spellStart"/>
      <w:r w:rsidRPr="00563D5C">
        <w:rPr>
          <w:lang w:eastAsia="ja-JP"/>
        </w:rPr>
        <w:t>epfd</w:t>
      </w:r>
      <w:proofErr w:type="spellEnd"/>
      <w:r w:rsidRPr="00563D5C">
        <w:rPr>
          <w:lang w:eastAsia="ja-JP"/>
        </w:rPr>
        <w:t xml:space="preserve"> limits of the table for the 17.3-17.7 GHz band at any position in the orbit with respect to all receiving space station in the broadcasting-satellite feeder link of Appendix </w:t>
      </w:r>
      <w:r w:rsidRPr="00A913DA">
        <w:rPr>
          <w:b/>
          <w:bCs/>
          <w:lang w:eastAsia="ja-JP"/>
        </w:rPr>
        <w:t>30A</w:t>
      </w:r>
      <w:r w:rsidRPr="00563D5C">
        <w:rPr>
          <w:lang w:eastAsia="ja-JP"/>
        </w:rPr>
        <w:t>, in all three regions</w:t>
      </w:r>
      <w:r w:rsidRPr="00D35542">
        <w:rPr>
          <w:lang w:eastAsia="ja-JP"/>
        </w:rPr>
        <w:t>.</w:t>
      </w:r>
    </w:p>
    <w:p w14:paraId="71B31DA6" w14:textId="77777777" w:rsidR="003C36FE" w:rsidRPr="003C36FE" w:rsidRDefault="003C36FE" w:rsidP="003E0C0B">
      <w:pPr>
        <w:spacing w:after="120"/>
        <w:ind w:left="708"/>
        <w:jc w:val="both"/>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5B659424" w14:textId="2FA0110C" w:rsidR="00835E76" w:rsidRDefault="0018079B" w:rsidP="00A913DA">
      <w:pPr>
        <w:spacing w:before="240" w:after="120"/>
        <w:jc w:val="both"/>
        <w:rPr>
          <w:lang w:val="en-NZ"/>
        </w:rPr>
      </w:pPr>
      <w:r w:rsidRPr="00563D5C">
        <w:rPr>
          <w:lang w:val="en-NZ"/>
        </w:rPr>
        <w:t xml:space="preserve">Some APT Members are of view </w:t>
      </w:r>
      <w:r w:rsidR="00D86157">
        <w:rPr>
          <w:lang w:val="en-NZ"/>
        </w:rPr>
        <w:t xml:space="preserve">that </w:t>
      </w:r>
      <w:r w:rsidRPr="00563D5C">
        <w:rPr>
          <w:lang w:val="en-NZ"/>
        </w:rPr>
        <w:t xml:space="preserve">the new allocation to FSS in Region 2 in the band 17.3-17.7 GHz (space-to-Earth) </w:t>
      </w:r>
      <w:r w:rsidR="00B443E0">
        <w:rPr>
          <w:lang w:val="en-NZ"/>
        </w:rPr>
        <w:t>needs to be</w:t>
      </w:r>
      <w:r w:rsidRPr="00563D5C">
        <w:rPr>
          <w:lang w:val="en-NZ"/>
        </w:rPr>
        <w:t xml:space="preserve"> limited to geostationary satellites in order to avoid potential interference to existing allocations and services for Region 3 whom have not frequency allocation for FSS (space-to-Earth).</w:t>
      </w:r>
    </w:p>
    <w:p w14:paraId="76CE3F06" w14:textId="77777777" w:rsidR="003E0C0B" w:rsidRPr="00B443E0" w:rsidRDefault="003E0C0B" w:rsidP="003E0C0B">
      <w:pPr>
        <w:spacing w:after="120"/>
        <w:ind w:left="708"/>
        <w:jc w:val="both"/>
        <w:rPr>
          <w:lang w:val="en-NZ"/>
        </w:rPr>
      </w:pPr>
    </w:p>
    <w:p w14:paraId="278E603F" w14:textId="7AFE1AE0"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6BD96AFA" w14:textId="2128F2CC" w:rsidR="0097584A" w:rsidRDefault="0097584A" w:rsidP="00A913DA">
      <w:pPr>
        <w:spacing w:before="240"/>
        <w:jc w:val="both"/>
        <w:rPr>
          <w:lang w:val="en-NZ"/>
        </w:rPr>
      </w:pPr>
      <w:r>
        <w:rPr>
          <w:lang w:val="en-NZ"/>
        </w:rPr>
        <w:t xml:space="preserve">APT Members are invited to </w:t>
      </w:r>
      <w:r w:rsidR="003E0C0B">
        <w:rPr>
          <w:lang w:val="en-NZ"/>
        </w:rPr>
        <w:t>actively participate at</w:t>
      </w:r>
      <w:r>
        <w:rPr>
          <w:lang w:val="en-NZ"/>
        </w:rPr>
        <w:t xml:space="preserve"> the </w:t>
      </w:r>
      <w:r w:rsidR="003E0C0B">
        <w:rPr>
          <w:lang w:val="en-NZ"/>
        </w:rPr>
        <w:t>CPM23-2</w:t>
      </w:r>
      <w:r>
        <w:rPr>
          <w:lang w:val="en-NZ"/>
        </w:rPr>
        <w:t xml:space="preserve"> </w:t>
      </w:r>
      <w:r w:rsidR="00214979">
        <w:rPr>
          <w:lang w:val="en-NZ"/>
        </w:rPr>
        <w:t xml:space="preserve">meeting </w:t>
      </w:r>
      <w:r>
        <w:rPr>
          <w:lang w:val="en-NZ"/>
        </w:rPr>
        <w:t xml:space="preserve">and are encouraged to submit their contributions for further considerations at the next </w:t>
      </w:r>
      <w:r w:rsidR="003D5365">
        <w:rPr>
          <w:lang w:val="en-NZ"/>
        </w:rPr>
        <w:t xml:space="preserve">APG </w:t>
      </w:r>
      <w:r>
        <w:rPr>
          <w:lang w:val="en-NZ"/>
        </w:rPr>
        <w:t>meeting.</w:t>
      </w:r>
    </w:p>
    <w:p w14:paraId="350D51D8" w14:textId="77777777" w:rsidR="002A0111" w:rsidRPr="00441526" w:rsidRDefault="002A0111" w:rsidP="00551169">
      <w:pPr>
        <w:spacing w:after="120"/>
        <w:ind w:left="708"/>
        <w:jc w:val="both"/>
        <w:rPr>
          <w:lang w:val="en-NZ"/>
        </w:rPr>
      </w:pPr>
    </w:p>
    <w:p w14:paraId="5B098CA8" w14:textId="77777777" w:rsidR="003D3D47" w:rsidRDefault="002A0111" w:rsidP="00A03D78">
      <w:pPr>
        <w:jc w:val="both"/>
        <w:rPr>
          <w:lang w:val="en-NZ"/>
        </w:rPr>
      </w:pPr>
      <w:r>
        <w:rPr>
          <w:b/>
          <w:lang w:val="en-NZ"/>
        </w:rPr>
        <w:lastRenderedPageBreak/>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0E746A26" w14:textId="652B4681" w:rsidR="002A0111" w:rsidRDefault="002A0111" w:rsidP="0039401B">
      <w:pPr>
        <w:ind w:firstLine="720"/>
        <w:jc w:val="both"/>
        <w:rPr>
          <w:lang w:val="en-NZ"/>
        </w:rPr>
      </w:pPr>
      <w:r w:rsidRPr="006F518F">
        <w:rPr>
          <w:lang w:val="en-NZ"/>
        </w:rPr>
        <w:t>APG</w:t>
      </w:r>
      <w:r w:rsidR="006B09DB">
        <w:rPr>
          <w:lang w:val="en-NZ"/>
        </w:rPr>
        <w:t>23</w:t>
      </w:r>
      <w:r w:rsidR="003D3D47">
        <w:rPr>
          <w:lang w:val="en-NZ"/>
        </w:rPr>
        <w:t>-</w:t>
      </w:r>
      <w:r w:rsidR="008E1F05">
        <w:rPr>
          <w:lang w:val="en-NZ"/>
        </w:rPr>
        <w:t>5</w:t>
      </w:r>
      <w:r w:rsidR="003D3D47">
        <w:rPr>
          <w:lang w:val="en-NZ"/>
        </w:rPr>
        <w:t>)</w:t>
      </w:r>
    </w:p>
    <w:p w14:paraId="483C9F66" w14:textId="77777777" w:rsidR="007C5A2B" w:rsidRPr="00441526" w:rsidRDefault="007C5A2B" w:rsidP="0039401B">
      <w:pPr>
        <w:ind w:firstLine="720"/>
        <w:jc w:val="both"/>
        <w:rPr>
          <w:lang w:val="en-NZ"/>
        </w:rPr>
      </w:pPr>
    </w:p>
    <w:p w14:paraId="068D2A12" w14:textId="62FE27AD" w:rsidR="00346AA4" w:rsidRDefault="005206E9" w:rsidP="00346AA4">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1AD7F71" w14:textId="7EEF1B4F" w:rsidR="007C5A2B" w:rsidRPr="00441526" w:rsidRDefault="007C5A2B" w:rsidP="007C5A2B">
      <w:pPr>
        <w:spacing w:after="120"/>
        <w:jc w:val="both"/>
        <w:rPr>
          <w:b/>
          <w:lang w:val="en-NZ" w:eastAsia="ko-KR"/>
        </w:rPr>
      </w:pPr>
      <w:r>
        <w:rPr>
          <w:b/>
          <w:lang w:val="en-NZ" w:eastAsia="ko-KR"/>
        </w:rPr>
        <w:t>7</w:t>
      </w:r>
      <w:r w:rsidRPr="00441526">
        <w:rPr>
          <w:b/>
          <w:lang w:val="en-NZ" w:eastAsia="ko-KR"/>
        </w:rPr>
        <w:t>.1.</w:t>
      </w:r>
      <w:r>
        <w:rPr>
          <w:b/>
          <w:lang w:val="en-NZ" w:eastAsia="ko-KR"/>
        </w:rPr>
        <w:t>1</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/INF-</w:t>
      </w:r>
      <w:r>
        <w:rPr>
          <w:b/>
          <w:lang w:val="en-NZ" w:eastAsia="ko-KR"/>
        </w:rPr>
        <w:t>39</w:t>
      </w:r>
    </w:p>
    <w:p w14:paraId="67FEEFB6" w14:textId="77777777" w:rsidR="007C5A2B" w:rsidRDefault="007C5A2B" w:rsidP="007C5A2B">
      <w:pPr>
        <w:autoSpaceDE w:val="0"/>
        <w:autoSpaceDN w:val="0"/>
        <w:adjustRightInd w:val="0"/>
        <w:ind w:left="709"/>
        <w:jc w:val="both"/>
        <w:rPr>
          <w:rFonts w:eastAsia="Batang"/>
          <w:lang w:val="en-ID"/>
        </w:rPr>
      </w:pPr>
      <w:r w:rsidRPr="007C5A2B">
        <w:rPr>
          <w:rFonts w:eastAsia="Batang"/>
          <w:lang w:val="en-ID"/>
        </w:rPr>
        <w:t>CEPT supports a new FSS (space-to-Earth) allocation in Region 2 in the frequency band 17.3-17.7 GHz, which facilitates</w:t>
      </w:r>
      <w:r>
        <w:rPr>
          <w:rFonts w:eastAsia="Batang"/>
          <w:lang w:val="en-ID"/>
        </w:rPr>
        <w:t xml:space="preserve"> </w:t>
      </w:r>
      <w:r w:rsidRPr="007C5A2B">
        <w:rPr>
          <w:rFonts w:eastAsia="Batang"/>
          <w:lang w:val="en-ID"/>
        </w:rPr>
        <w:t>the use of spectrum available to networks and systems in the FSS across Regions.</w:t>
      </w:r>
    </w:p>
    <w:p w14:paraId="4B4503BE" w14:textId="77777777" w:rsidR="007C5A2B" w:rsidRDefault="007C5A2B" w:rsidP="00346AA4">
      <w:pPr>
        <w:spacing w:after="120"/>
        <w:jc w:val="both"/>
        <w:rPr>
          <w:b/>
          <w:lang w:val="en-NZ" w:eastAsia="ko-KR"/>
        </w:rPr>
      </w:pPr>
    </w:p>
    <w:p w14:paraId="16D6FB81" w14:textId="76C4562F" w:rsidR="00346AA4" w:rsidRPr="00346AA4" w:rsidRDefault="00346AA4" w:rsidP="00346AA4">
      <w:pPr>
        <w:spacing w:after="120"/>
        <w:jc w:val="both"/>
        <w:rPr>
          <w:b/>
          <w:lang w:val="en-NZ" w:eastAsia="ko-KR"/>
        </w:rPr>
      </w:pPr>
      <w:r w:rsidRPr="00346AA4">
        <w:rPr>
          <w:b/>
          <w:lang w:val="en-NZ" w:eastAsia="ko-KR"/>
        </w:rPr>
        <w:t>7.1.</w:t>
      </w:r>
      <w:r w:rsidR="007C5A2B">
        <w:rPr>
          <w:b/>
          <w:lang w:val="en-NZ" w:eastAsia="ko-KR"/>
        </w:rPr>
        <w:t>2</w:t>
      </w:r>
      <w:r w:rsidRPr="00346AA4">
        <w:rPr>
          <w:b/>
          <w:lang w:val="en-NZ" w:eastAsia="ko-KR"/>
        </w:rPr>
        <w:t xml:space="preserve"> </w:t>
      </w:r>
      <w:r w:rsidRPr="00346AA4">
        <w:rPr>
          <w:b/>
          <w:lang w:val="en-NZ" w:eastAsia="ko-KR"/>
        </w:rPr>
        <w:tab/>
        <w:t xml:space="preserve">CITEL </w:t>
      </w:r>
      <w:r w:rsidRPr="00441526">
        <w:t xml:space="preserve">- </w:t>
      </w:r>
      <w:r w:rsidRPr="00346AA4">
        <w:rPr>
          <w:b/>
          <w:lang w:val="en-NZ" w:eastAsia="ko-KR"/>
        </w:rPr>
        <w:t>Document APG23-</w:t>
      </w:r>
      <w:r w:rsidR="008831E7">
        <w:rPr>
          <w:b/>
          <w:lang w:val="en-NZ" w:eastAsia="ko-KR"/>
        </w:rPr>
        <w:t>5</w:t>
      </w:r>
      <w:r w:rsidRPr="00346AA4">
        <w:rPr>
          <w:b/>
          <w:lang w:val="en-NZ" w:eastAsia="ko-KR"/>
        </w:rPr>
        <w:t>/INF-</w:t>
      </w:r>
      <w:r w:rsidR="001B39C7">
        <w:rPr>
          <w:b/>
          <w:lang w:val="en-NZ" w:eastAsia="ko-KR"/>
        </w:rPr>
        <w:t>43</w:t>
      </w:r>
    </w:p>
    <w:p w14:paraId="127658F9" w14:textId="77777777" w:rsidR="008831E7" w:rsidRPr="008831E7" w:rsidRDefault="008831E7" w:rsidP="008831E7">
      <w:pPr>
        <w:ind w:left="708"/>
        <w:jc w:val="both"/>
        <w:rPr>
          <w:lang w:val="en-NZ"/>
        </w:rPr>
      </w:pPr>
      <w:r w:rsidRPr="008831E7">
        <w:rPr>
          <w:lang w:val="en-NZ"/>
        </w:rPr>
        <w:t>Support the following proposals:</w:t>
      </w:r>
    </w:p>
    <w:p w14:paraId="703A9FC7" w14:textId="1CB70B5C" w:rsidR="008831E7" w:rsidRPr="008831E7" w:rsidRDefault="008831E7" w:rsidP="008831E7">
      <w:pPr>
        <w:numPr>
          <w:ilvl w:val="0"/>
          <w:numId w:val="18"/>
        </w:numPr>
        <w:ind w:leftChars="322" w:left="1133"/>
        <w:jc w:val="both"/>
        <w:rPr>
          <w:lang w:val="en-NZ"/>
        </w:rPr>
      </w:pPr>
      <w:r w:rsidRPr="008831E7">
        <w:rPr>
          <w:lang w:val="en-NZ"/>
        </w:rPr>
        <w:t>Changes to the Frequency Allocations table of Article 5 of the Radio Regulations, and to</w:t>
      </w:r>
      <w:r>
        <w:rPr>
          <w:lang w:val="en-NZ"/>
        </w:rPr>
        <w:t xml:space="preserve"> </w:t>
      </w:r>
      <w:r w:rsidRPr="008831E7">
        <w:rPr>
          <w:lang w:val="en-NZ"/>
        </w:rPr>
        <w:t>the respective footnotes 5.484A, 5.516A and 5.517;</w:t>
      </w:r>
    </w:p>
    <w:p w14:paraId="5713CB32" w14:textId="2F4F3459" w:rsidR="008831E7" w:rsidRPr="008831E7" w:rsidRDefault="008831E7" w:rsidP="008831E7">
      <w:pPr>
        <w:numPr>
          <w:ilvl w:val="0"/>
          <w:numId w:val="18"/>
        </w:numPr>
        <w:ind w:leftChars="322" w:left="1133"/>
        <w:jc w:val="both"/>
        <w:rPr>
          <w:lang w:val="en-NZ"/>
        </w:rPr>
      </w:pPr>
      <w:r w:rsidRPr="008831E7">
        <w:rPr>
          <w:lang w:val="en-NZ"/>
        </w:rPr>
        <w:t>Addition of two new notes stating that, in Region 2, a Non-GSO system operating in the</w:t>
      </w:r>
      <w:r>
        <w:rPr>
          <w:lang w:val="en-NZ"/>
        </w:rPr>
        <w:t xml:space="preserve"> </w:t>
      </w:r>
      <w:r w:rsidRPr="008831E7">
        <w:rPr>
          <w:lang w:val="en-NZ"/>
        </w:rPr>
        <w:t>FSS must always respect the limits of Article 22 of the Radio Regulations;</w:t>
      </w:r>
    </w:p>
    <w:p w14:paraId="2D67271D" w14:textId="17B4CD1F" w:rsidR="008831E7" w:rsidRPr="008831E7" w:rsidRDefault="008831E7" w:rsidP="008831E7">
      <w:pPr>
        <w:numPr>
          <w:ilvl w:val="0"/>
          <w:numId w:val="18"/>
        </w:numPr>
        <w:ind w:leftChars="322" w:left="1133"/>
        <w:jc w:val="both"/>
        <w:rPr>
          <w:lang w:val="en-NZ"/>
        </w:rPr>
      </w:pPr>
      <w:r w:rsidRPr="008831E7">
        <w:rPr>
          <w:lang w:val="en-NZ"/>
        </w:rPr>
        <w:t>Changes to Article 7 of the Appendix 30A to consider this new FSS allocation;</w:t>
      </w:r>
    </w:p>
    <w:p w14:paraId="2628A6B0" w14:textId="5409D171" w:rsidR="00346AA4" w:rsidRPr="008831E7" w:rsidRDefault="008831E7" w:rsidP="008831E7">
      <w:pPr>
        <w:numPr>
          <w:ilvl w:val="0"/>
          <w:numId w:val="18"/>
        </w:numPr>
        <w:ind w:leftChars="322" w:left="1133"/>
        <w:jc w:val="both"/>
        <w:rPr>
          <w:lang w:val="en-NZ"/>
        </w:rPr>
      </w:pPr>
      <w:r w:rsidRPr="008831E7">
        <w:rPr>
          <w:lang w:val="en-NZ"/>
        </w:rPr>
        <w:t>Consequential changes to the table 5-1 of Appendix 5 to the Radio Regulations and the</w:t>
      </w:r>
      <w:r>
        <w:rPr>
          <w:lang w:val="en-NZ"/>
        </w:rPr>
        <w:t xml:space="preserve"> s</w:t>
      </w:r>
      <w:r w:rsidRPr="008831E7">
        <w:rPr>
          <w:lang w:val="en-NZ"/>
        </w:rPr>
        <w:t>uppression of the Resolution 174 (WRC-19).</w:t>
      </w:r>
    </w:p>
    <w:p w14:paraId="6DFCEA3E" w14:textId="77777777" w:rsidR="008831E7" w:rsidRPr="008831E7" w:rsidRDefault="008831E7" w:rsidP="008831E7">
      <w:pPr>
        <w:ind w:left="708"/>
        <w:jc w:val="both"/>
        <w:rPr>
          <w:lang w:val="en-NZ"/>
        </w:rPr>
      </w:pPr>
    </w:p>
    <w:p w14:paraId="008F72F3" w14:textId="3D4F5E44" w:rsidR="00346AA4" w:rsidRPr="00346AA4" w:rsidRDefault="00346AA4" w:rsidP="00346AA4">
      <w:pPr>
        <w:spacing w:after="120"/>
        <w:jc w:val="both"/>
        <w:rPr>
          <w:b/>
          <w:lang w:val="en-NZ" w:eastAsia="ko-KR"/>
        </w:rPr>
      </w:pPr>
      <w:r w:rsidRPr="00346AA4">
        <w:rPr>
          <w:b/>
          <w:lang w:val="en-NZ" w:eastAsia="ko-KR"/>
        </w:rPr>
        <w:t>7.1.</w:t>
      </w:r>
      <w:r w:rsidR="007C5A2B">
        <w:rPr>
          <w:b/>
          <w:lang w:val="en-NZ" w:eastAsia="ko-KR"/>
        </w:rPr>
        <w:t>3</w:t>
      </w:r>
      <w:r w:rsidRPr="00346AA4">
        <w:rPr>
          <w:b/>
          <w:lang w:val="en-NZ" w:eastAsia="ko-KR"/>
        </w:rPr>
        <w:t xml:space="preserve"> </w:t>
      </w:r>
      <w:r w:rsidRPr="00346AA4">
        <w:rPr>
          <w:b/>
          <w:lang w:val="en-NZ" w:eastAsia="ko-KR"/>
        </w:rPr>
        <w:tab/>
        <w:t xml:space="preserve">RCC </w:t>
      </w:r>
      <w:r w:rsidRPr="00441526">
        <w:t xml:space="preserve">- </w:t>
      </w:r>
      <w:r w:rsidRPr="00346AA4">
        <w:rPr>
          <w:b/>
          <w:lang w:val="en-NZ" w:eastAsia="ko-KR"/>
        </w:rPr>
        <w:t>Document APG23-</w:t>
      </w:r>
      <w:r w:rsidR="001B39C7">
        <w:rPr>
          <w:b/>
          <w:lang w:val="en-NZ" w:eastAsia="ko-KR"/>
        </w:rPr>
        <w:t>5</w:t>
      </w:r>
      <w:r w:rsidRPr="00346AA4">
        <w:rPr>
          <w:b/>
          <w:lang w:val="en-NZ" w:eastAsia="ko-KR"/>
        </w:rPr>
        <w:t>/INF-4</w:t>
      </w:r>
      <w:r w:rsidR="001B39C7">
        <w:rPr>
          <w:b/>
          <w:lang w:val="en-NZ" w:eastAsia="ko-KR"/>
        </w:rPr>
        <w:t>5</w:t>
      </w:r>
    </w:p>
    <w:p w14:paraId="65F81E0F" w14:textId="05D83F87" w:rsidR="007C5A2B" w:rsidRDefault="003F7C4B" w:rsidP="007C5A2B">
      <w:pPr>
        <w:autoSpaceDE w:val="0"/>
        <w:autoSpaceDN w:val="0"/>
        <w:adjustRightInd w:val="0"/>
        <w:ind w:left="709"/>
        <w:jc w:val="both"/>
        <w:rPr>
          <w:rFonts w:eastAsia="Batang"/>
          <w:lang w:val="en-ID"/>
        </w:rPr>
      </w:pPr>
      <w:r w:rsidRPr="003F7C4B">
        <w:rPr>
          <w:rFonts w:eastAsia="Batang"/>
          <w:lang w:val="en-ID"/>
        </w:rPr>
        <w:t>The RCC Administrations are of the view that, considering a</w:t>
      </w:r>
      <w:r>
        <w:rPr>
          <w:rFonts w:eastAsia="Batang"/>
          <w:lang w:val="en-ID"/>
        </w:rPr>
        <w:t xml:space="preserve"> </w:t>
      </w:r>
      <w:r w:rsidRPr="003F7C4B">
        <w:rPr>
          <w:rFonts w:eastAsia="Batang"/>
          <w:lang w:val="en-ID"/>
        </w:rPr>
        <w:t>new primary allocation of frequency band 17.3-17.7 GHz to</w:t>
      </w:r>
      <w:r>
        <w:rPr>
          <w:rFonts w:eastAsia="Batang"/>
          <w:lang w:val="en-ID"/>
        </w:rPr>
        <w:t xml:space="preserve"> </w:t>
      </w:r>
      <w:r w:rsidRPr="003F7C4B">
        <w:rPr>
          <w:rFonts w:eastAsia="Batang"/>
          <w:lang w:val="en-ID"/>
        </w:rPr>
        <w:t>the fixed-satellite service in the space-to-Earth direction in</w:t>
      </w:r>
      <w:r>
        <w:rPr>
          <w:rFonts w:eastAsia="Batang"/>
          <w:lang w:val="en-ID"/>
        </w:rPr>
        <w:t xml:space="preserve"> </w:t>
      </w:r>
      <w:r w:rsidRPr="003F7C4B">
        <w:rPr>
          <w:rFonts w:eastAsia="Batang"/>
          <w:lang w:val="en-ID"/>
        </w:rPr>
        <w:t>Region 2, the existing services in Region 1 within this and</w:t>
      </w:r>
      <w:r>
        <w:rPr>
          <w:rFonts w:eastAsia="Batang"/>
          <w:lang w:val="en-ID"/>
        </w:rPr>
        <w:t xml:space="preserve"> </w:t>
      </w:r>
      <w:r w:rsidRPr="003F7C4B">
        <w:rPr>
          <w:rFonts w:eastAsia="Batang"/>
          <w:lang w:val="en-ID"/>
        </w:rPr>
        <w:t>adjacent frequency bands shall be protected</w:t>
      </w:r>
      <w:r w:rsidR="00346AA4" w:rsidRPr="003F7C4B">
        <w:rPr>
          <w:lang w:val="en-NZ"/>
        </w:rPr>
        <w:t>.</w:t>
      </w:r>
    </w:p>
    <w:p w14:paraId="400B66B4" w14:textId="77777777" w:rsidR="007C5A2B" w:rsidRPr="007C5A2B" w:rsidRDefault="007C5A2B" w:rsidP="007C5A2B">
      <w:pPr>
        <w:autoSpaceDE w:val="0"/>
        <w:autoSpaceDN w:val="0"/>
        <w:adjustRightInd w:val="0"/>
        <w:ind w:left="709"/>
        <w:jc w:val="both"/>
        <w:rPr>
          <w:rFonts w:eastAsia="Batang"/>
          <w:lang w:val="en-ID"/>
        </w:rPr>
      </w:pPr>
    </w:p>
    <w:p w14:paraId="28EC94B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7131451" w14:textId="31198047" w:rsidR="002A0111" w:rsidRPr="002752C9" w:rsidRDefault="005206E9" w:rsidP="002A0111">
      <w:pPr>
        <w:spacing w:after="120"/>
        <w:jc w:val="both"/>
        <w:rPr>
          <w:b/>
          <w:lang w:val="en-ID" w:eastAsia="ko-KR"/>
        </w:rPr>
      </w:pPr>
      <w:r w:rsidRPr="002752C9">
        <w:rPr>
          <w:b/>
          <w:lang w:val="en-ID" w:eastAsia="ko-KR"/>
        </w:rPr>
        <w:t>7</w:t>
      </w:r>
      <w:r w:rsidR="002A0111" w:rsidRPr="002752C9">
        <w:rPr>
          <w:b/>
          <w:lang w:val="en-ID" w:eastAsia="ko-KR"/>
        </w:rPr>
        <w:t xml:space="preserve">.2.1 </w:t>
      </w:r>
      <w:r w:rsidR="002A0111" w:rsidRPr="002752C9">
        <w:rPr>
          <w:b/>
          <w:lang w:val="en-ID" w:eastAsia="ko-KR"/>
        </w:rPr>
        <w:tab/>
      </w:r>
      <w:r w:rsidR="00BF4446" w:rsidRPr="002752C9">
        <w:rPr>
          <w:b/>
          <w:lang w:val="en-ID" w:eastAsia="ko-KR"/>
        </w:rPr>
        <w:t>WMO</w:t>
      </w:r>
      <w:r w:rsidR="002A0111" w:rsidRPr="002752C9">
        <w:rPr>
          <w:b/>
          <w:lang w:val="en-ID" w:eastAsia="ko-KR"/>
        </w:rPr>
        <w:t xml:space="preserve"> </w:t>
      </w:r>
      <w:r w:rsidR="002A0111" w:rsidRPr="002752C9">
        <w:rPr>
          <w:lang w:val="en-ID"/>
        </w:rPr>
        <w:t xml:space="preserve">- </w:t>
      </w:r>
      <w:r w:rsidR="002A0111" w:rsidRPr="002752C9">
        <w:rPr>
          <w:b/>
          <w:lang w:val="en-ID" w:eastAsia="ko-KR"/>
        </w:rPr>
        <w:t>Document APG</w:t>
      </w:r>
      <w:r w:rsidR="006B09DB" w:rsidRPr="002752C9">
        <w:rPr>
          <w:b/>
          <w:lang w:val="en-ID" w:eastAsia="ko-KR"/>
        </w:rPr>
        <w:t>23</w:t>
      </w:r>
      <w:r w:rsidR="002A0111" w:rsidRPr="002752C9">
        <w:rPr>
          <w:b/>
          <w:lang w:val="en-ID" w:eastAsia="ko-KR"/>
        </w:rPr>
        <w:t>-</w:t>
      </w:r>
      <w:r w:rsidR="00E56614">
        <w:rPr>
          <w:b/>
          <w:lang w:val="en-ID" w:eastAsia="ko-KR"/>
        </w:rPr>
        <w:t>5</w:t>
      </w:r>
      <w:r w:rsidR="002A0111" w:rsidRPr="002752C9">
        <w:rPr>
          <w:b/>
          <w:lang w:val="en-ID" w:eastAsia="ko-KR"/>
        </w:rPr>
        <w:t>/INF-</w:t>
      </w:r>
      <w:r w:rsidR="00BF4446" w:rsidRPr="002752C9">
        <w:rPr>
          <w:b/>
          <w:lang w:val="en-ID" w:eastAsia="ko-KR"/>
        </w:rPr>
        <w:t>0</w:t>
      </w:r>
      <w:r w:rsidR="00E56614">
        <w:rPr>
          <w:b/>
          <w:lang w:val="en-ID" w:eastAsia="ko-KR"/>
        </w:rPr>
        <w:t>1</w:t>
      </w:r>
    </w:p>
    <w:p w14:paraId="51FF325A" w14:textId="74E6C493" w:rsidR="002A0111" w:rsidRPr="006F07D4" w:rsidRDefault="00331002" w:rsidP="00331002">
      <w:pPr>
        <w:ind w:left="708"/>
        <w:rPr>
          <w:lang w:val="it-IT"/>
        </w:rPr>
      </w:pPr>
      <w:r w:rsidRPr="006F07D4">
        <w:rPr>
          <w:lang w:val="it-IT"/>
        </w:rPr>
        <w:t>None.</w:t>
      </w:r>
    </w:p>
    <w:p w14:paraId="463B991C" w14:textId="77777777" w:rsidR="002A0111" w:rsidRPr="006F07D4" w:rsidRDefault="002A0111" w:rsidP="002A0111">
      <w:pPr>
        <w:rPr>
          <w:lang w:val="it-IT"/>
        </w:rPr>
      </w:pPr>
    </w:p>
    <w:p w14:paraId="776DAF05" w14:textId="25E50328" w:rsidR="002A0111" w:rsidRPr="002752C9" w:rsidRDefault="005206E9" w:rsidP="002A0111">
      <w:pPr>
        <w:spacing w:after="120"/>
        <w:jc w:val="both"/>
        <w:rPr>
          <w:b/>
          <w:lang w:val="it-IT" w:eastAsia="ko-KR"/>
        </w:rPr>
      </w:pPr>
      <w:r w:rsidRPr="002752C9">
        <w:rPr>
          <w:b/>
          <w:lang w:val="it-IT" w:eastAsia="ko-KR"/>
        </w:rPr>
        <w:t>7</w:t>
      </w:r>
      <w:r w:rsidR="002A0111" w:rsidRPr="002752C9">
        <w:rPr>
          <w:b/>
          <w:lang w:val="it-IT" w:eastAsia="ko-KR"/>
        </w:rPr>
        <w:t xml:space="preserve">.2.2 </w:t>
      </w:r>
      <w:r w:rsidR="002A0111" w:rsidRPr="002752C9">
        <w:rPr>
          <w:b/>
          <w:lang w:val="it-IT" w:eastAsia="ko-KR"/>
        </w:rPr>
        <w:tab/>
      </w:r>
      <w:r w:rsidR="00BF4446" w:rsidRPr="002752C9">
        <w:rPr>
          <w:b/>
          <w:lang w:val="it-IT" w:eastAsia="ko-KR"/>
        </w:rPr>
        <w:t>IARU</w:t>
      </w:r>
      <w:r w:rsidR="002A0111" w:rsidRPr="002752C9">
        <w:rPr>
          <w:b/>
          <w:lang w:val="it-IT" w:eastAsia="ko-KR"/>
        </w:rPr>
        <w:t xml:space="preserve"> </w:t>
      </w:r>
      <w:r w:rsidR="002A0111" w:rsidRPr="002752C9">
        <w:rPr>
          <w:lang w:val="it-IT"/>
        </w:rPr>
        <w:t xml:space="preserve">- </w:t>
      </w:r>
      <w:r w:rsidR="002A0111" w:rsidRPr="002752C9">
        <w:rPr>
          <w:b/>
          <w:lang w:val="it-IT" w:eastAsia="ko-KR"/>
        </w:rPr>
        <w:t>Document APG</w:t>
      </w:r>
      <w:r w:rsidR="006B09DB" w:rsidRPr="002752C9">
        <w:rPr>
          <w:b/>
          <w:lang w:val="it-IT" w:eastAsia="ko-KR"/>
        </w:rPr>
        <w:t>23</w:t>
      </w:r>
      <w:r w:rsidR="002A0111" w:rsidRPr="002752C9">
        <w:rPr>
          <w:b/>
          <w:lang w:val="it-IT" w:eastAsia="ko-KR"/>
        </w:rPr>
        <w:t>-</w:t>
      </w:r>
      <w:r w:rsidR="00AA0AAD">
        <w:rPr>
          <w:b/>
          <w:lang w:val="it-IT" w:eastAsia="ko-KR"/>
        </w:rPr>
        <w:t>5</w:t>
      </w:r>
      <w:r w:rsidR="002A0111" w:rsidRPr="002752C9">
        <w:rPr>
          <w:b/>
          <w:lang w:val="it-IT" w:eastAsia="ko-KR"/>
        </w:rPr>
        <w:t>/INF-</w:t>
      </w:r>
      <w:r w:rsidR="00BF4446" w:rsidRPr="002752C9">
        <w:rPr>
          <w:b/>
          <w:lang w:val="it-IT" w:eastAsia="ko-KR"/>
        </w:rPr>
        <w:t>2</w:t>
      </w:r>
      <w:r w:rsidR="00AA0AAD">
        <w:rPr>
          <w:b/>
          <w:lang w:val="it-IT" w:eastAsia="ko-KR"/>
        </w:rPr>
        <w:t>1</w:t>
      </w:r>
    </w:p>
    <w:p w14:paraId="45E04994" w14:textId="08B75BEC" w:rsidR="002A0111" w:rsidRPr="00441526" w:rsidRDefault="00BF4446" w:rsidP="00BF4446">
      <w:pPr>
        <w:ind w:left="708"/>
        <w:rPr>
          <w:lang w:val="en-NZ"/>
        </w:rPr>
      </w:pPr>
      <w:r>
        <w:rPr>
          <w:lang w:val="en-NZ"/>
        </w:rPr>
        <w:t>None</w:t>
      </w:r>
      <w:r w:rsidR="002A0111" w:rsidRPr="00441526">
        <w:rPr>
          <w:lang w:val="en-NZ"/>
        </w:rPr>
        <w:t>.</w:t>
      </w:r>
    </w:p>
    <w:p w14:paraId="487388DC" w14:textId="77777777" w:rsidR="002A0111" w:rsidRPr="00441526" w:rsidRDefault="002A0111" w:rsidP="002A0111">
      <w:pPr>
        <w:rPr>
          <w:lang w:val="en-NZ"/>
        </w:rPr>
      </w:pPr>
    </w:p>
    <w:p w14:paraId="13562E73" w14:textId="77777777" w:rsidR="002A0111" w:rsidRPr="00441526" w:rsidRDefault="002A0111" w:rsidP="002A0111">
      <w:pPr>
        <w:jc w:val="both"/>
        <w:rPr>
          <w:lang w:val="en-NZ"/>
        </w:rPr>
      </w:pPr>
    </w:p>
    <w:p w14:paraId="6C40B30A" w14:textId="77777777" w:rsidR="002A0111" w:rsidRPr="00441526" w:rsidRDefault="002A0111" w:rsidP="002A0111">
      <w:pPr>
        <w:rPr>
          <w:b/>
          <w:lang w:val="en-NZ"/>
        </w:rPr>
      </w:pPr>
    </w:p>
    <w:p w14:paraId="47D45828" w14:textId="7270B6BE" w:rsidR="00654896" w:rsidRPr="00346AA4" w:rsidRDefault="002A0111" w:rsidP="00346AA4">
      <w:pPr>
        <w:jc w:val="center"/>
        <w:rPr>
          <w:snapToGrid w:val="0"/>
          <w:lang w:val="en-NZ"/>
        </w:rPr>
      </w:pPr>
      <w:r w:rsidRPr="00441526">
        <w:rPr>
          <w:lang w:val="en-NZ"/>
        </w:rPr>
        <w:t>____________</w:t>
      </w:r>
    </w:p>
    <w:sectPr w:rsidR="00654896" w:rsidRPr="00346AA4" w:rsidSect="00C516C7">
      <w:headerReference w:type="default" r:id="rId21"/>
      <w:footerReference w:type="even" r:id="rId22"/>
      <w:footerReference w:type="default" r:id="rId23"/>
      <w:headerReference w:type="first" r:id="rId24"/>
      <w:footerReference w:type="first" r:id="rId2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83A7" w14:textId="77777777" w:rsidR="00686238" w:rsidRDefault="00686238">
      <w:r>
        <w:separator/>
      </w:r>
    </w:p>
  </w:endnote>
  <w:endnote w:type="continuationSeparator" w:id="0">
    <w:p w14:paraId="03855D6D" w14:textId="77777777" w:rsidR="00686238" w:rsidRDefault="0068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5C0CFBF3"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8E1F05">
      <w:rPr>
        <w:lang w:eastAsia="ko-KR"/>
      </w:rPr>
      <w:t>5</w:t>
    </w:r>
    <w:r w:rsidR="002A0111">
      <w:rPr>
        <w:lang w:eastAsia="ko-KR"/>
      </w:rPr>
      <w:t>/</w:t>
    </w:r>
    <w:r w:rsidR="00A43A81">
      <w:rPr>
        <w:lang w:eastAsia="ko-KR"/>
      </w:rPr>
      <w:t>OUT</w:t>
    </w:r>
    <w:r>
      <w:rPr>
        <w:lang w:eastAsia="ko-KR"/>
      </w:rPr>
      <w:t>-</w:t>
    </w:r>
    <w:r w:rsidR="00A43A81">
      <w:rPr>
        <w:rStyle w:val="PageNumber"/>
      </w:rPr>
      <w:t>31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E13F66">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E13F66">
      <w:rPr>
        <w:rStyle w:val="PageNumber"/>
        <w:noProof/>
      </w:rPr>
      <w:t>6</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Layout w:type="fixed"/>
      <w:tblCellMar>
        <w:left w:w="57" w:type="dxa"/>
        <w:right w:w="57" w:type="dxa"/>
      </w:tblCellMar>
      <w:tblLook w:val="0000" w:firstRow="0" w:lastRow="0" w:firstColumn="0" w:lastColumn="0" w:noHBand="0" w:noVBand="0"/>
    </w:tblPr>
    <w:tblGrid>
      <w:gridCol w:w="1276"/>
      <w:gridCol w:w="3544"/>
      <w:gridCol w:w="4252"/>
    </w:tblGrid>
    <w:tr w:rsidR="003805ED" w14:paraId="671CD267" w14:textId="77777777" w:rsidTr="00433923">
      <w:trPr>
        <w:cantSplit/>
        <w:trHeight w:val="204"/>
        <w:jc w:val="center"/>
      </w:trPr>
      <w:tc>
        <w:tcPr>
          <w:tcW w:w="1276" w:type="dxa"/>
          <w:tcBorders>
            <w:top w:val="single" w:sz="12" w:space="0" w:color="auto"/>
          </w:tcBorders>
        </w:tcPr>
        <w:p w14:paraId="34097821" w14:textId="77777777" w:rsidR="003805ED" w:rsidRPr="00155F6B" w:rsidRDefault="003805ED" w:rsidP="003805ED">
          <w:pPr>
            <w:rPr>
              <w:b/>
              <w:bCs/>
            </w:rPr>
          </w:pPr>
          <w:r w:rsidRPr="00155F6B">
            <w:rPr>
              <w:b/>
              <w:bCs/>
            </w:rPr>
            <w:t>Contact:</w:t>
          </w:r>
        </w:p>
      </w:tc>
      <w:tc>
        <w:tcPr>
          <w:tcW w:w="3544" w:type="dxa"/>
          <w:tcBorders>
            <w:top w:val="single" w:sz="12" w:space="0" w:color="auto"/>
          </w:tcBorders>
        </w:tcPr>
        <w:p w14:paraId="6A524867" w14:textId="77777777" w:rsidR="003805ED" w:rsidRDefault="003805ED" w:rsidP="003805ED">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Fenhong CHENG</w:t>
          </w:r>
        </w:p>
        <w:p w14:paraId="71B07D05" w14:textId="77777777" w:rsidR="003805ED" w:rsidRPr="00155F6B" w:rsidRDefault="003805ED" w:rsidP="003805ED">
          <w:pPr>
            <w:pStyle w:val="Equation"/>
            <w:tabs>
              <w:tab w:val="clear" w:pos="4820"/>
              <w:tab w:val="clear" w:pos="9639"/>
              <w:tab w:val="left" w:pos="1191"/>
              <w:tab w:val="left" w:pos="1588"/>
              <w:tab w:val="left" w:pos="1985"/>
            </w:tabs>
            <w:spacing w:beforeLines="0" w:before="0"/>
            <w:rPr>
              <w:rFonts w:eastAsia="Batang"/>
              <w:szCs w:val="24"/>
              <w:lang w:eastAsia="ko-KR"/>
            </w:rPr>
          </w:pPr>
          <w:r w:rsidRPr="00DB6303">
            <w:t xml:space="preserve">Mrunmaya </w:t>
          </w:r>
          <w:r>
            <w:t>Pattanaik</w:t>
          </w:r>
        </w:p>
        <w:p w14:paraId="1AB90E59" w14:textId="77777777" w:rsidR="003805ED" w:rsidRPr="00155F6B" w:rsidRDefault="003805ED" w:rsidP="003805ED">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rPr>
            <w:t>Co-Chairs, WP4</w:t>
          </w:r>
        </w:p>
      </w:tc>
      <w:tc>
        <w:tcPr>
          <w:tcW w:w="4252" w:type="dxa"/>
          <w:tcBorders>
            <w:top w:val="single" w:sz="12" w:space="0" w:color="auto"/>
          </w:tcBorders>
        </w:tcPr>
        <w:p w14:paraId="4868249A" w14:textId="77777777" w:rsidR="003805ED" w:rsidRDefault="003805ED" w:rsidP="003805ED">
          <w:pPr>
            <w:ind w:leftChars="35" w:left="281" w:hanging="197"/>
          </w:pPr>
          <w:r w:rsidRPr="00E50679">
            <w:rPr>
              <w:b/>
              <w:bCs/>
            </w:rPr>
            <w:t>Email</w:t>
          </w:r>
          <w:r w:rsidRPr="00E50679">
            <w:rPr>
              <w:rFonts w:hint="eastAsia"/>
              <w:b/>
              <w:bCs/>
            </w:rPr>
            <w:t>:</w:t>
          </w:r>
          <w:r>
            <w:t xml:space="preserve"> </w:t>
          </w:r>
          <w:hyperlink r:id="rId1" w:history="1">
            <w:r w:rsidRPr="00083138">
              <w:rPr>
                <w:rStyle w:val="Hyperlink"/>
              </w:rPr>
              <w:t>chengfenhong@chinasatcom.com</w:t>
            </w:r>
          </w:hyperlink>
          <w:r>
            <w:t xml:space="preserve"> </w:t>
          </w:r>
        </w:p>
        <w:p w14:paraId="5E511198" w14:textId="77777777" w:rsidR="003805ED" w:rsidRPr="00155F6B" w:rsidRDefault="003805ED" w:rsidP="003805ED">
          <w:pPr>
            <w:rPr>
              <w:lang w:eastAsia="ja-JP"/>
            </w:rPr>
          </w:pPr>
          <w:r>
            <w:rPr>
              <w:lang w:eastAsia="ja-JP"/>
            </w:rPr>
            <w:t xml:space="preserve">              </w:t>
          </w:r>
          <w:hyperlink r:id="rId2" w:history="1">
            <w:r w:rsidRPr="00083138">
              <w:rPr>
                <w:rStyle w:val="Hyperlink"/>
                <w:lang w:eastAsia="ja-JP"/>
              </w:rPr>
              <w:t>pattanaik.mr@gov.in</w:t>
            </w:r>
          </w:hyperlink>
          <w:r>
            <w:rPr>
              <w:lang w:eastAsia="ja-JP"/>
            </w:rPr>
            <w:t xml:space="preserve"> </w:t>
          </w:r>
        </w:p>
      </w:tc>
    </w:tr>
  </w:tbl>
  <w:p w14:paraId="227B9787" w14:textId="77777777" w:rsidR="0097693B" w:rsidRPr="003805ED" w:rsidRDefault="0097693B" w:rsidP="0038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0FE2" w14:textId="77777777" w:rsidR="00686238" w:rsidRDefault="00686238">
      <w:r>
        <w:separator/>
      </w:r>
    </w:p>
  </w:footnote>
  <w:footnote w:type="continuationSeparator" w:id="0">
    <w:p w14:paraId="1DDF810F" w14:textId="77777777" w:rsidR="00686238" w:rsidRDefault="0068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355626A"/>
    <w:multiLevelType w:val="hybridMultilevel"/>
    <w:tmpl w:val="758A9B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6E44ECE"/>
    <w:multiLevelType w:val="hybridMultilevel"/>
    <w:tmpl w:val="0FEE82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3A519E5"/>
    <w:multiLevelType w:val="hybridMultilevel"/>
    <w:tmpl w:val="1CB0EE9C"/>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70862"/>
    <w:multiLevelType w:val="hybridMultilevel"/>
    <w:tmpl w:val="33FCBC70"/>
    <w:lvl w:ilvl="0" w:tplc="81F65682">
      <w:start w:val="1"/>
      <w:numFmt w:val="bullet"/>
      <w:lvlText w:val=""/>
      <w:lvlJc w:val="left"/>
      <w:pPr>
        <w:ind w:left="720" w:hanging="360"/>
      </w:pPr>
      <w:rPr>
        <w:rFonts w:ascii="Symbol" w:hAnsi="Symbol" w:hint="default"/>
      </w:rPr>
    </w:lvl>
    <w:lvl w:ilvl="1" w:tplc="3356F6B8">
      <w:start w:val="1"/>
      <w:numFmt w:val="decimal"/>
      <w:lvlText w:val="%2."/>
      <w:lvlJc w:val="left"/>
      <w:pPr>
        <w:ind w:left="1440" w:hanging="360"/>
      </w:pPr>
      <w:rPr>
        <w:rFonts w:hint="default"/>
        <w:b w:val="0"/>
        <w:bCs w:val="0"/>
      </w:rPr>
    </w:lvl>
    <w:lvl w:ilvl="2" w:tplc="38090001">
      <w:start w:val="1"/>
      <w:numFmt w:val="bullet"/>
      <w:lvlText w:val=""/>
      <w:lvlJc w:val="left"/>
      <w:pPr>
        <w:ind w:left="2160" w:hanging="360"/>
      </w:pPr>
      <w:rPr>
        <w:rFonts w:ascii="Symbol" w:hAnsi="Symbol" w:hint="default"/>
      </w:rPr>
    </w:lvl>
    <w:lvl w:ilvl="3" w:tplc="38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18509ED"/>
    <w:multiLevelType w:val="hybridMultilevel"/>
    <w:tmpl w:val="EE9C99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C5B80"/>
    <w:multiLevelType w:val="hybridMultilevel"/>
    <w:tmpl w:val="E8F241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70C0425E"/>
    <w:multiLevelType w:val="hybridMultilevel"/>
    <w:tmpl w:val="9092D4E4"/>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7C62D51"/>
    <w:multiLevelType w:val="multilevel"/>
    <w:tmpl w:val="8536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437859"/>
    <w:multiLevelType w:val="hybridMultilevel"/>
    <w:tmpl w:val="9092D4E4"/>
    <w:lvl w:ilvl="0" w:tplc="38090017">
      <w:start w:val="1"/>
      <w:numFmt w:val="lowerLetter"/>
      <w:lvlText w:val="%1)"/>
      <w:lvlJc w:val="left"/>
      <w:pPr>
        <w:ind w:left="1713" w:hanging="360"/>
      </w:pPr>
    </w:lvl>
    <w:lvl w:ilvl="1" w:tplc="38090019">
      <w:start w:val="1"/>
      <w:numFmt w:val="lowerLetter"/>
      <w:lvlText w:val="%2."/>
      <w:lvlJc w:val="left"/>
      <w:pPr>
        <w:ind w:left="2433" w:hanging="360"/>
      </w:pPr>
    </w:lvl>
    <w:lvl w:ilvl="2" w:tplc="3809001B">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BF36463"/>
    <w:multiLevelType w:val="hybridMultilevel"/>
    <w:tmpl w:val="F2483E76"/>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310359410">
    <w:abstractNumId w:val="14"/>
  </w:num>
  <w:num w:numId="2" w16cid:durableId="1151755121">
    <w:abstractNumId w:val="8"/>
  </w:num>
  <w:num w:numId="3" w16cid:durableId="1095397297">
    <w:abstractNumId w:val="6"/>
  </w:num>
  <w:num w:numId="4" w16cid:durableId="854348606">
    <w:abstractNumId w:val="22"/>
  </w:num>
  <w:num w:numId="5" w16cid:durableId="1217859534">
    <w:abstractNumId w:val="12"/>
  </w:num>
  <w:num w:numId="6" w16cid:durableId="1837575862">
    <w:abstractNumId w:val="15"/>
  </w:num>
  <w:num w:numId="7" w16cid:durableId="418673363">
    <w:abstractNumId w:val="4"/>
  </w:num>
  <w:num w:numId="8" w16cid:durableId="781605552">
    <w:abstractNumId w:val="1"/>
  </w:num>
  <w:num w:numId="9" w16cid:durableId="476847698">
    <w:abstractNumId w:val="27"/>
  </w:num>
  <w:num w:numId="10" w16cid:durableId="1365322589">
    <w:abstractNumId w:val="19"/>
  </w:num>
  <w:num w:numId="11" w16cid:durableId="1038510165">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2033508">
    <w:abstractNumId w:val="17"/>
  </w:num>
  <w:num w:numId="13" w16cid:durableId="1317105401">
    <w:abstractNumId w:val="0"/>
  </w:num>
  <w:num w:numId="14" w16cid:durableId="2084718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848469">
    <w:abstractNumId w:val="9"/>
  </w:num>
  <w:num w:numId="16" w16cid:durableId="426269782">
    <w:abstractNumId w:val="28"/>
  </w:num>
  <w:num w:numId="17" w16cid:durableId="1651445840">
    <w:abstractNumId w:val="18"/>
  </w:num>
  <w:num w:numId="18" w16cid:durableId="690226098">
    <w:abstractNumId w:val="16"/>
  </w:num>
  <w:num w:numId="19" w16cid:durableId="2093501205">
    <w:abstractNumId w:val="24"/>
  </w:num>
  <w:num w:numId="20" w16cid:durableId="496849708">
    <w:abstractNumId w:val="11"/>
  </w:num>
  <w:num w:numId="21" w16cid:durableId="1261839317">
    <w:abstractNumId w:val="23"/>
  </w:num>
  <w:num w:numId="22" w16cid:durableId="456066821">
    <w:abstractNumId w:val="30"/>
  </w:num>
  <w:num w:numId="23" w16cid:durableId="486631794">
    <w:abstractNumId w:val="10"/>
  </w:num>
  <w:num w:numId="24" w16cid:durableId="2019960287">
    <w:abstractNumId w:val="26"/>
  </w:num>
  <w:num w:numId="25" w16cid:durableId="756054123">
    <w:abstractNumId w:val="13"/>
  </w:num>
  <w:num w:numId="26" w16cid:durableId="366639193">
    <w:abstractNumId w:val="2"/>
  </w:num>
  <w:num w:numId="27" w16cid:durableId="963196080">
    <w:abstractNumId w:val="25"/>
  </w:num>
  <w:num w:numId="28" w16cid:durableId="605112685">
    <w:abstractNumId w:val="29"/>
  </w:num>
  <w:num w:numId="29" w16cid:durableId="627248340">
    <w:abstractNumId w:val="21"/>
  </w:num>
  <w:num w:numId="30" w16cid:durableId="618143389">
    <w:abstractNumId w:val="7"/>
  </w:num>
  <w:num w:numId="31" w16cid:durableId="1054616599">
    <w:abstractNumId w:val="3"/>
  </w:num>
  <w:num w:numId="32" w16cid:durableId="2029477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1D16"/>
    <w:rsid w:val="00027B9E"/>
    <w:rsid w:val="0003595B"/>
    <w:rsid w:val="00036517"/>
    <w:rsid w:val="00036CC9"/>
    <w:rsid w:val="00040149"/>
    <w:rsid w:val="00055FC7"/>
    <w:rsid w:val="00070642"/>
    <w:rsid w:val="000713CF"/>
    <w:rsid w:val="00075C14"/>
    <w:rsid w:val="000822B5"/>
    <w:rsid w:val="00087233"/>
    <w:rsid w:val="00094B87"/>
    <w:rsid w:val="000A012B"/>
    <w:rsid w:val="000A5418"/>
    <w:rsid w:val="000A619E"/>
    <w:rsid w:val="000C5B21"/>
    <w:rsid w:val="000C6132"/>
    <w:rsid w:val="000D47FB"/>
    <w:rsid w:val="000E710F"/>
    <w:rsid w:val="000F345F"/>
    <w:rsid w:val="000F517C"/>
    <w:rsid w:val="000F5540"/>
    <w:rsid w:val="000F5F06"/>
    <w:rsid w:val="000F6867"/>
    <w:rsid w:val="000F7569"/>
    <w:rsid w:val="00105F1A"/>
    <w:rsid w:val="00116CE7"/>
    <w:rsid w:val="00125FBD"/>
    <w:rsid w:val="00131B45"/>
    <w:rsid w:val="001339F8"/>
    <w:rsid w:val="001409B2"/>
    <w:rsid w:val="00152636"/>
    <w:rsid w:val="001539DD"/>
    <w:rsid w:val="00156782"/>
    <w:rsid w:val="00157890"/>
    <w:rsid w:val="00161257"/>
    <w:rsid w:val="00165F01"/>
    <w:rsid w:val="001731F4"/>
    <w:rsid w:val="0018079B"/>
    <w:rsid w:val="00181B1E"/>
    <w:rsid w:val="00185069"/>
    <w:rsid w:val="00185B88"/>
    <w:rsid w:val="0019115C"/>
    <w:rsid w:val="001916F2"/>
    <w:rsid w:val="001930A7"/>
    <w:rsid w:val="00196568"/>
    <w:rsid w:val="00197C18"/>
    <w:rsid w:val="00197CAF"/>
    <w:rsid w:val="001A2F16"/>
    <w:rsid w:val="001B1804"/>
    <w:rsid w:val="001B18C2"/>
    <w:rsid w:val="001B39C7"/>
    <w:rsid w:val="001C3DA5"/>
    <w:rsid w:val="001C443F"/>
    <w:rsid w:val="001C61A5"/>
    <w:rsid w:val="001C6707"/>
    <w:rsid w:val="001D5D7E"/>
    <w:rsid w:val="001E48FE"/>
    <w:rsid w:val="001E6D61"/>
    <w:rsid w:val="001F5947"/>
    <w:rsid w:val="00202410"/>
    <w:rsid w:val="00206E13"/>
    <w:rsid w:val="00214979"/>
    <w:rsid w:val="00214A0C"/>
    <w:rsid w:val="0021588B"/>
    <w:rsid w:val="002161B6"/>
    <w:rsid w:val="002216AC"/>
    <w:rsid w:val="00224D40"/>
    <w:rsid w:val="0023212E"/>
    <w:rsid w:val="00234973"/>
    <w:rsid w:val="00236F44"/>
    <w:rsid w:val="002475E2"/>
    <w:rsid w:val="002506D2"/>
    <w:rsid w:val="00250DE2"/>
    <w:rsid w:val="00254A1B"/>
    <w:rsid w:val="00254E19"/>
    <w:rsid w:val="0026064A"/>
    <w:rsid w:val="00264566"/>
    <w:rsid w:val="002752C9"/>
    <w:rsid w:val="0027654D"/>
    <w:rsid w:val="002824EB"/>
    <w:rsid w:val="0028454D"/>
    <w:rsid w:val="00291C9E"/>
    <w:rsid w:val="002926D4"/>
    <w:rsid w:val="00296DD6"/>
    <w:rsid w:val="0029734E"/>
    <w:rsid w:val="002A0111"/>
    <w:rsid w:val="002A3CF5"/>
    <w:rsid w:val="002A5F7C"/>
    <w:rsid w:val="002A62F4"/>
    <w:rsid w:val="002B06A3"/>
    <w:rsid w:val="002B435C"/>
    <w:rsid w:val="002B447F"/>
    <w:rsid w:val="002C07DA"/>
    <w:rsid w:val="002C2A49"/>
    <w:rsid w:val="002C7EA9"/>
    <w:rsid w:val="002F575D"/>
    <w:rsid w:val="003113D7"/>
    <w:rsid w:val="00311E8A"/>
    <w:rsid w:val="0031795F"/>
    <w:rsid w:val="00331002"/>
    <w:rsid w:val="0034125C"/>
    <w:rsid w:val="00342F20"/>
    <w:rsid w:val="00346AA4"/>
    <w:rsid w:val="00351EC2"/>
    <w:rsid w:val="00360377"/>
    <w:rsid w:val="00364BFA"/>
    <w:rsid w:val="00366548"/>
    <w:rsid w:val="0038005B"/>
    <w:rsid w:val="003805ED"/>
    <w:rsid w:val="003809C7"/>
    <w:rsid w:val="0038236C"/>
    <w:rsid w:val="00393DCD"/>
    <w:rsid w:val="0039401B"/>
    <w:rsid w:val="00395B40"/>
    <w:rsid w:val="003A2006"/>
    <w:rsid w:val="003A25AB"/>
    <w:rsid w:val="003A6568"/>
    <w:rsid w:val="003B3011"/>
    <w:rsid w:val="003B4FD1"/>
    <w:rsid w:val="003B6263"/>
    <w:rsid w:val="003C29E6"/>
    <w:rsid w:val="003C36FE"/>
    <w:rsid w:val="003C64A7"/>
    <w:rsid w:val="003D1128"/>
    <w:rsid w:val="003D1671"/>
    <w:rsid w:val="003D3D47"/>
    <w:rsid w:val="003D3FDA"/>
    <w:rsid w:val="003D51DE"/>
    <w:rsid w:val="003D5365"/>
    <w:rsid w:val="003D6D00"/>
    <w:rsid w:val="003D7CBE"/>
    <w:rsid w:val="003D7E1E"/>
    <w:rsid w:val="003E0C0B"/>
    <w:rsid w:val="003E166F"/>
    <w:rsid w:val="003E37CB"/>
    <w:rsid w:val="003E586D"/>
    <w:rsid w:val="003F0C19"/>
    <w:rsid w:val="003F307E"/>
    <w:rsid w:val="003F3339"/>
    <w:rsid w:val="003F7C4B"/>
    <w:rsid w:val="004001E5"/>
    <w:rsid w:val="0041313C"/>
    <w:rsid w:val="00420822"/>
    <w:rsid w:val="00420C74"/>
    <w:rsid w:val="00441526"/>
    <w:rsid w:val="00445AB4"/>
    <w:rsid w:val="004465AA"/>
    <w:rsid w:val="00446A5E"/>
    <w:rsid w:val="004533C4"/>
    <w:rsid w:val="0045458F"/>
    <w:rsid w:val="004633B4"/>
    <w:rsid w:val="00463ECF"/>
    <w:rsid w:val="004664D5"/>
    <w:rsid w:val="00477DB9"/>
    <w:rsid w:val="00495CED"/>
    <w:rsid w:val="004A2F96"/>
    <w:rsid w:val="004A4BDF"/>
    <w:rsid w:val="004B3553"/>
    <w:rsid w:val="004B3F4B"/>
    <w:rsid w:val="004D0C1E"/>
    <w:rsid w:val="004D64BB"/>
    <w:rsid w:val="004E1FCA"/>
    <w:rsid w:val="004E47D6"/>
    <w:rsid w:val="004E706B"/>
    <w:rsid w:val="004F4F23"/>
    <w:rsid w:val="00503189"/>
    <w:rsid w:val="005165CB"/>
    <w:rsid w:val="00516BD1"/>
    <w:rsid w:val="005206E9"/>
    <w:rsid w:val="0052684C"/>
    <w:rsid w:val="00526D01"/>
    <w:rsid w:val="00530E8C"/>
    <w:rsid w:val="00535D34"/>
    <w:rsid w:val="00545933"/>
    <w:rsid w:val="00551169"/>
    <w:rsid w:val="00552105"/>
    <w:rsid w:val="005562F2"/>
    <w:rsid w:val="00557544"/>
    <w:rsid w:val="00562A61"/>
    <w:rsid w:val="00563D5C"/>
    <w:rsid w:val="00565BBB"/>
    <w:rsid w:val="00571B26"/>
    <w:rsid w:val="00585F3C"/>
    <w:rsid w:val="00586CA0"/>
    <w:rsid w:val="00587875"/>
    <w:rsid w:val="0059091D"/>
    <w:rsid w:val="005A4A69"/>
    <w:rsid w:val="005A63EB"/>
    <w:rsid w:val="005A6637"/>
    <w:rsid w:val="005B0876"/>
    <w:rsid w:val="005C33B6"/>
    <w:rsid w:val="005D6202"/>
    <w:rsid w:val="005D6E98"/>
    <w:rsid w:val="00606B7B"/>
    <w:rsid w:val="00607E2B"/>
    <w:rsid w:val="00611000"/>
    <w:rsid w:val="006139D6"/>
    <w:rsid w:val="00616D1B"/>
    <w:rsid w:val="00623CE1"/>
    <w:rsid w:val="00627880"/>
    <w:rsid w:val="0063062B"/>
    <w:rsid w:val="00634A82"/>
    <w:rsid w:val="00637351"/>
    <w:rsid w:val="00646166"/>
    <w:rsid w:val="00652BDD"/>
    <w:rsid w:val="00654896"/>
    <w:rsid w:val="006621F0"/>
    <w:rsid w:val="006647BA"/>
    <w:rsid w:val="00667229"/>
    <w:rsid w:val="0068132E"/>
    <w:rsid w:val="00682BE5"/>
    <w:rsid w:val="00683846"/>
    <w:rsid w:val="00686238"/>
    <w:rsid w:val="00690FED"/>
    <w:rsid w:val="006939A5"/>
    <w:rsid w:val="006A014C"/>
    <w:rsid w:val="006B09DB"/>
    <w:rsid w:val="006B6A04"/>
    <w:rsid w:val="006C11FC"/>
    <w:rsid w:val="006D5223"/>
    <w:rsid w:val="006D5970"/>
    <w:rsid w:val="006E12FC"/>
    <w:rsid w:val="006F07D4"/>
    <w:rsid w:val="006F0F24"/>
    <w:rsid w:val="006F2B2E"/>
    <w:rsid w:val="006F6A5C"/>
    <w:rsid w:val="00703F6F"/>
    <w:rsid w:val="007052B3"/>
    <w:rsid w:val="00705962"/>
    <w:rsid w:val="00707C21"/>
    <w:rsid w:val="00712451"/>
    <w:rsid w:val="0071466A"/>
    <w:rsid w:val="00717DE9"/>
    <w:rsid w:val="0072518B"/>
    <w:rsid w:val="00731041"/>
    <w:rsid w:val="007329E4"/>
    <w:rsid w:val="00732F08"/>
    <w:rsid w:val="007342F0"/>
    <w:rsid w:val="0074190C"/>
    <w:rsid w:val="00744658"/>
    <w:rsid w:val="007460B3"/>
    <w:rsid w:val="0075493D"/>
    <w:rsid w:val="00762576"/>
    <w:rsid w:val="007673CA"/>
    <w:rsid w:val="00777FC2"/>
    <w:rsid w:val="00791060"/>
    <w:rsid w:val="007926EA"/>
    <w:rsid w:val="007A00F5"/>
    <w:rsid w:val="007A6811"/>
    <w:rsid w:val="007B150E"/>
    <w:rsid w:val="007B5626"/>
    <w:rsid w:val="007B6124"/>
    <w:rsid w:val="007C5A2B"/>
    <w:rsid w:val="007D38B5"/>
    <w:rsid w:val="007D3C53"/>
    <w:rsid w:val="007D6CDC"/>
    <w:rsid w:val="007E3A0F"/>
    <w:rsid w:val="007F0AE6"/>
    <w:rsid w:val="007F2628"/>
    <w:rsid w:val="007F2FBA"/>
    <w:rsid w:val="007F3EA7"/>
    <w:rsid w:val="00800B8A"/>
    <w:rsid w:val="00800C3A"/>
    <w:rsid w:val="0080570B"/>
    <w:rsid w:val="008148E1"/>
    <w:rsid w:val="00822B33"/>
    <w:rsid w:val="008319BF"/>
    <w:rsid w:val="00835E76"/>
    <w:rsid w:val="008415F0"/>
    <w:rsid w:val="008433C2"/>
    <w:rsid w:val="00844457"/>
    <w:rsid w:val="008454C8"/>
    <w:rsid w:val="00846932"/>
    <w:rsid w:val="00851D78"/>
    <w:rsid w:val="00867523"/>
    <w:rsid w:val="0087122A"/>
    <w:rsid w:val="008831E7"/>
    <w:rsid w:val="00885D67"/>
    <w:rsid w:val="008A016F"/>
    <w:rsid w:val="008A1A0D"/>
    <w:rsid w:val="008A72E1"/>
    <w:rsid w:val="008A76ED"/>
    <w:rsid w:val="008B3C72"/>
    <w:rsid w:val="008B4D5F"/>
    <w:rsid w:val="008C5FED"/>
    <w:rsid w:val="008D0265"/>
    <w:rsid w:val="008D0E09"/>
    <w:rsid w:val="008E1F05"/>
    <w:rsid w:val="008F1BD4"/>
    <w:rsid w:val="0090165C"/>
    <w:rsid w:val="009024C6"/>
    <w:rsid w:val="00903007"/>
    <w:rsid w:val="0091069D"/>
    <w:rsid w:val="00923816"/>
    <w:rsid w:val="0092727B"/>
    <w:rsid w:val="0093074B"/>
    <w:rsid w:val="00930E64"/>
    <w:rsid w:val="009356FF"/>
    <w:rsid w:val="00943CF9"/>
    <w:rsid w:val="0095356C"/>
    <w:rsid w:val="00956F8C"/>
    <w:rsid w:val="00961D57"/>
    <w:rsid w:val="0097584A"/>
    <w:rsid w:val="00976716"/>
    <w:rsid w:val="0097693B"/>
    <w:rsid w:val="009903F8"/>
    <w:rsid w:val="00993355"/>
    <w:rsid w:val="009963F7"/>
    <w:rsid w:val="009A11CB"/>
    <w:rsid w:val="009A4A6D"/>
    <w:rsid w:val="009A77C1"/>
    <w:rsid w:val="009B44DD"/>
    <w:rsid w:val="009B4894"/>
    <w:rsid w:val="009B7E42"/>
    <w:rsid w:val="009C7235"/>
    <w:rsid w:val="009D46CE"/>
    <w:rsid w:val="009D4ADA"/>
    <w:rsid w:val="009E13DD"/>
    <w:rsid w:val="009E2077"/>
    <w:rsid w:val="009F547A"/>
    <w:rsid w:val="00A03D78"/>
    <w:rsid w:val="00A0503B"/>
    <w:rsid w:val="00A059CD"/>
    <w:rsid w:val="00A13265"/>
    <w:rsid w:val="00A14900"/>
    <w:rsid w:val="00A20F89"/>
    <w:rsid w:val="00A2159F"/>
    <w:rsid w:val="00A21786"/>
    <w:rsid w:val="00A23C16"/>
    <w:rsid w:val="00A324FF"/>
    <w:rsid w:val="00A37EA3"/>
    <w:rsid w:val="00A43A81"/>
    <w:rsid w:val="00A529BC"/>
    <w:rsid w:val="00A5346C"/>
    <w:rsid w:val="00A53F51"/>
    <w:rsid w:val="00A562F0"/>
    <w:rsid w:val="00A564FB"/>
    <w:rsid w:val="00A614C1"/>
    <w:rsid w:val="00A61EA6"/>
    <w:rsid w:val="00A63294"/>
    <w:rsid w:val="00A63942"/>
    <w:rsid w:val="00A657BF"/>
    <w:rsid w:val="00A71136"/>
    <w:rsid w:val="00A913DA"/>
    <w:rsid w:val="00A92578"/>
    <w:rsid w:val="00AA0AAD"/>
    <w:rsid w:val="00AA474C"/>
    <w:rsid w:val="00AB57E2"/>
    <w:rsid w:val="00AC35EF"/>
    <w:rsid w:val="00AC4D5B"/>
    <w:rsid w:val="00AC6F54"/>
    <w:rsid w:val="00AC7365"/>
    <w:rsid w:val="00AC7F80"/>
    <w:rsid w:val="00AD1DDB"/>
    <w:rsid w:val="00AD2697"/>
    <w:rsid w:val="00AD7E5F"/>
    <w:rsid w:val="00AE0CC4"/>
    <w:rsid w:val="00AE3066"/>
    <w:rsid w:val="00AE4EB7"/>
    <w:rsid w:val="00AE70E7"/>
    <w:rsid w:val="00AF68E4"/>
    <w:rsid w:val="00AF6ECA"/>
    <w:rsid w:val="00AF7D36"/>
    <w:rsid w:val="00B00A87"/>
    <w:rsid w:val="00B01AA1"/>
    <w:rsid w:val="00B06025"/>
    <w:rsid w:val="00B30C81"/>
    <w:rsid w:val="00B30DA1"/>
    <w:rsid w:val="00B368D7"/>
    <w:rsid w:val="00B443E0"/>
    <w:rsid w:val="00B4793B"/>
    <w:rsid w:val="00B47F86"/>
    <w:rsid w:val="00B56099"/>
    <w:rsid w:val="00B6253D"/>
    <w:rsid w:val="00B64A60"/>
    <w:rsid w:val="00B661AC"/>
    <w:rsid w:val="00B8468D"/>
    <w:rsid w:val="00B937D7"/>
    <w:rsid w:val="00B939C7"/>
    <w:rsid w:val="00B95DFA"/>
    <w:rsid w:val="00B96B67"/>
    <w:rsid w:val="00BB05A9"/>
    <w:rsid w:val="00BB0EA4"/>
    <w:rsid w:val="00BB67B6"/>
    <w:rsid w:val="00BC57EF"/>
    <w:rsid w:val="00BC69DB"/>
    <w:rsid w:val="00BE031A"/>
    <w:rsid w:val="00BE6B6B"/>
    <w:rsid w:val="00BF093B"/>
    <w:rsid w:val="00BF25F9"/>
    <w:rsid w:val="00BF4446"/>
    <w:rsid w:val="00C00B04"/>
    <w:rsid w:val="00C06B9A"/>
    <w:rsid w:val="00C1147F"/>
    <w:rsid w:val="00C13FD5"/>
    <w:rsid w:val="00C15633"/>
    <w:rsid w:val="00C15799"/>
    <w:rsid w:val="00C32E84"/>
    <w:rsid w:val="00C33869"/>
    <w:rsid w:val="00C35415"/>
    <w:rsid w:val="00C357AD"/>
    <w:rsid w:val="00C35841"/>
    <w:rsid w:val="00C516C7"/>
    <w:rsid w:val="00C51C5F"/>
    <w:rsid w:val="00C554CC"/>
    <w:rsid w:val="00C6069C"/>
    <w:rsid w:val="00C70477"/>
    <w:rsid w:val="00C72AD4"/>
    <w:rsid w:val="00C74745"/>
    <w:rsid w:val="00C85119"/>
    <w:rsid w:val="00C95C48"/>
    <w:rsid w:val="00CA41E7"/>
    <w:rsid w:val="00CA420A"/>
    <w:rsid w:val="00CB2F81"/>
    <w:rsid w:val="00CC4D14"/>
    <w:rsid w:val="00CC4E00"/>
    <w:rsid w:val="00CD170C"/>
    <w:rsid w:val="00CD320B"/>
    <w:rsid w:val="00CD3F37"/>
    <w:rsid w:val="00CD5431"/>
    <w:rsid w:val="00CD78FD"/>
    <w:rsid w:val="00CE4B90"/>
    <w:rsid w:val="00CE4B93"/>
    <w:rsid w:val="00CE7F83"/>
    <w:rsid w:val="00CF2491"/>
    <w:rsid w:val="00CF3963"/>
    <w:rsid w:val="00CF6015"/>
    <w:rsid w:val="00D01848"/>
    <w:rsid w:val="00D0247D"/>
    <w:rsid w:val="00D1252E"/>
    <w:rsid w:val="00D13D9D"/>
    <w:rsid w:val="00D14AFE"/>
    <w:rsid w:val="00D20C13"/>
    <w:rsid w:val="00D2190A"/>
    <w:rsid w:val="00D22598"/>
    <w:rsid w:val="00D33DF1"/>
    <w:rsid w:val="00D35542"/>
    <w:rsid w:val="00D416A3"/>
    <w:rsid w:val="00D459A2"/>
    <w:rsid w:val="00D510D6"/>
    <w:rsid w:val="00D530FF"/>
    <w:rsid w:val="00D53688"/>
    <w:rsid w:val="00D5407A"/>
    <w:rsid w:val="00D57772"/>
    <w:rsid w:val="00D72AE3"/>
    <w:rsid w:val="00D75A4D"/>
    <w:rsid w:val="00D8478B"/>
    <w:rsid w:val="00D86151"/>
    <w:rsid w:val="00D86157"/>
    <w:rsid w:val="00D9172D"/>
    <w:rsid w:val="00D94862"/>
    <w:rsid w:val="00D97E84"/>
    <w:rsid w:val="00DA5641"/>
    <w:rsid w:val="00DA7595"/>
    <w:rsid w:val="00DA78FF"/>
    <w:rsid w:val="00DB0A68"/>
    <w:rsid w:val="00DB471E"/>
    <w:rsid w:val="00DC37FC"/>
    <w:rsid w:val="00DC43A3"/>
    <w:rsid w:val="00DC4CF3"/>
    <w:rsid w:val="00DC5C01"/>
    <w:rsid w:val="00DD55B3"/>
    <w:rsid w:val="00DD7C09"/>
    <w:rsid w:val="00DF0EB4"/>
    <w:rsid w:val="00DF111E"/>
    <w:rsid w:val="00DF49AB"/>
    <w:rsid w:val="00E0124F"/>
    <w:rsid w:val="00E13F66"/>
    <w:rsid w:val="00E56614"/>
    <w:rsid w:val="00E5762A"/>
    <w:rsid w:val="00E62F3D"/>
    <w:rsid w:val="00E64A49"/>
    <w:rsid w:val="00E674D3"/>
    <w:rsid w:val="00E70FD0"/>
    <w:rsid w:val="00E72B2C"/>
    <w:rsid w:val="00E7309D"/>
    <w:rsid w:val="00E77C4B"/>
    <w:rsid w:val="00E81CA9"/>
    <w:rsid w:val="00E9301F"/>
    <w:rsid w:val="00E9690A"/>
    <w:rsid w:val="00E97DC7"/>
    <w:rsid w:val="00EB74FF"/>
    <w:rsid w:val="00EC30FC"/>
    <w:rsid w:val="00EC3ED4"/>
    <w:rsid w:val="00ED2DD5"/>
    <w:rsid w:val="00F000EF"/>
    <w:rsid w:val="00F00939"/>
    <w:rsid w:val="00F21CF1"/>
    <w:rsid w:val="00F2504E"/>
    <w:rsid w:val="00F25854"/>
    <w:rsid w:val="00F2585B"/>
    <w:rsid w:val="00F4053F"/>
    <w:rsid w:val="00F516E7"/>
    <w:rsid w:val="00F52D47"/>
    <w:rsid w:val="00F536EA"/>
    <w:rsid w:val="00F57BF7"/>
    <w:rsid w:val="00F6263E"/>
    <w:rsid w:val="00F627C2"/>
    <w:rsid w:val="00F736FD"/>
    <w:rsid w:val="00F84067"/>
    <w:rsid w:val="00FA50B4"/>
    <w:rsid w:val="00FB6E83"/>
    <w:rsid w:val="00FC156A"/>
    <w:rsid w:val="00FC5C91"/>
    <w:rsid w:val="00FD6235"/>
    <w:rsid w:val="00FE13D1"/>
    <w:rsid w:val="00FE3DE5"/>
    <w:rsid w:val="00FE467A"/>
    <w:rsid w:val="00FF56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463ECF"/>
    <w:rPr>
      <w:rFonts w:eastAsia="BatangChe"/>
      <w:sz w:val="24"/>
      <w:szCs w:val="24"/>
    </w:rPr>
  </w:style>
  <w:style w:type="character" w:styleId="FollowedHyperlink">
    <w:name w:val="FollowedHyperlink"/>
    <w:basedOn w:val="DefaultParagraphFont"/>
    <w:semiHidden/>
    <w:unhideWhenUsed/>
    <w:rsid w:val="00C1147F"/>
    <w:rPr>
      <w:color w:val="800080" w:themeColor="followedHyperlink"/>
      <w:u w:val="single"/>
    </w:rPr>
  </w:style>
  <w:style w:type="paragraph" w:styleId="NormalWeb">
    <w:name w:val="Normal (Web)"/>
    <w:basedOn w:val="Normal"/>
    <w:uiPriority w:val="99"/>
    <w:semiHidden/>
    <w:unhideWhenUsed/>
    <w:rsid w:val="0039401B"/>
    <w:pPr>
      <w:spacing w:before="100" w:beforeAutospacing="1" w:after="100" w:afterAutospacing="1"/>
    </w:pPr>
    <w:rPr>
      <w:rFonts w:eastAsia="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6104">
      <w:bodyDiv w:val="1"/>
      <w:marLeft w:val="0"/>
      <w:marRight w:val="0"/>
      <w:marTop w:val="0"/>
      <w:marBottom w:val="0"/>
      <w:divBdr>
        <w:top w:val="none" w:sz="0" w:space="0" w:color="auto"/>
        <w:left w:val="none" w:sz="0" w:space="0" w:color="auto"/>
        <w:bottom w:val="none" w:sz="0" w:space="0" w:color="auto"/>
        <w:right w:val="none" w:sz="0" w:space="0" w:color="auto"/>
      </w:divBdr>
    </w:div>
    <w:div w:id="280460321">
      <w:bodyDiv w:val="1"/>
      <w:marLeft w:val="0"/>
      <w:marRight w:val="0"/>
      <w:marTop w:val="0"/>
      <w:marBottom w:val="0"/>
      <w:divBdr>
        <w:top w:val="none" w:sz="0" w:space="0" w:color="auto"/>
        <w:left w:val="none" w:sz="0" w:space="0" w:color="auto"/>
        <w:bottom w:val="none" w:sz="0" w:space="0" w:color="auto"/>
        <w:right w:val="none" w:sz="0" w:space="0" w:color="auto"/>
      </w:divBdr>
      <w:divsChild>
        <w:div w:id="1561944008">
          <w:marLeft w:val="0"/>
          <w:marRight w:val="0"/>
          <w:marTop w:val="0"/>
          <w:marBottom w:val="0"/>
          <w:divBdr>
            <w:top w:val="none" w:sz="0" w:space="0" w:color="auto"/>
            <w:left w:val="none" w:sz="0" w:space="0" w:color="auto"/>
            <w:bottom w:val="none" w:sz="0" w:space="0" w:color="auto"/>
            <w:right w:val="none" w:sz="0" w:space="0" w:color="auto"/>
          </w:divBdr>
          <w:divsChild>
            <w:div w:id="1132478020">
              <w:marLeft w:val="0"/>
              <w:marRight w:val="0"/>
              <w:marTop w:val="0"/>
              <w:marBottom w:val="0"/>
              <w:divBdr>
                <w:top w:val="none" w:sz="0" w:space="0" w:color="auto"/>
                <w:left w:val="none" w:sz="0" w:space="0" w:color="auto"/>
                <w:bottom w:val="none" w:sz="0" w:space="0" w:color="auto"/>
                <w:right w:val="none" w:sz="0" w:space="0" w:color="auto"/>
              </w:divBdr>
              <w:divsChild>
                <w:div w:id="175072655">
                  <w:marLeft w:val="0"/>
                  <w:marRight w:val="0"/>
                  <w:marTop w:val="0"/>
                  <w:marBottom w:val="0"/>
                  <w:divBdr>
                    <w:top w:val="none" w:sz="0" w:space="0" w:color="auto"/>
                    <w:left w:val="none" w:sz="0" w:space="0" w:color="auto"/>
                    <w:bottom w:val="none" w:sz="0" w:space="0" w:color="auto"/>
                    <w:right w:val="none" w:sz="0" w:space="0" w:color="auto"/>
                  </w:divBdr>
                  <w:divsChild>
                    <w:div w:id="14465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98009">
      <w:bodyDiv w:val="1"/>
      <w:marLeft w:val="0"/>
      <w:marRight w:val="0"/>
      <w:marTop w:val="0"/>
      <w:marBottom w:val="0"/>
      <w:divBdr>
        <w:top w:val="none" w:sz="0" w:space="0" w:color="auto"/>
        <w:left w:val="none" w:sz="0" w:space="0" w:color="auto"/>
        <w:bottom w:val="none" w:sz="0" w:space="0" w:color="auto"/>
        <w:right w:val="none" w:sz="0" w:space="0" w:color="auto"/>
      </w:divBdr>
    </w:div>
    <w:div w:id="987975449">
      <w:bodyDiv w:val="1"/>
      <w:marLeft w:val="0"/>
      <w:marRight w:val="0"/>
      <w:marTop w:val="0"/>
      <w:marBottom w:val="0"/>
      <w:divBdr>
        <w:top w:val="none" w:sz="0" w:space="0" w:color="auto"/>
        <w:left w:val="none" w:sz="0" w:space="0" w:color="auto"/>
        <w:bottom w:val="none" w:sz="0" w:space="0" w:color="auto"/>
        <w:right w:val="none" w:sz="0" w:space="0" w:color="auto"/>
      </w:divBdr>
    </w:div>
    <w:div w:id="1211766576">
      <w:bodyDiv w:val="1"/>
      <w:marLeft w:val="0"/>
      <w:marRight w:val="0"/>
      <w:marTop w:val="0"/>
      <w:marBottom w:val="0"/>
      <w:divBdr>
        <w:top w:val="none" w:sz="0" w:space="0" w:color="auto"/>
        <w:left w:val="none" w:sz="0" w:space="0" w:color="auto"/>
        <w:bottom w:val="none" w:sz="0" w:space="0" w:color="auto"/>
        <w:right w:val="none" w:sz="0" w:space="0" w:color="auto"/>
      </w:divBdr>
    </w:div>
    <w:div w:id="1269046019">
      <w:bodyDiv w:val="1"/>
      <w:marLeft w:val="0"/>
      <w:marRight w:val="0"/>
      <w:marTop w:val="0"/>
      <w:marBottom w:val="0"/>
      <w:divBdr>
        <w:top w:val="none" w:sz="0" w:space="0" w:color="auto"/>
        <w:left w:val="none" w:sz="0" w:space="0" w:color="auto"/>
        <w:bottom w:val="none" w:sz="0" w:space="0" w:color="auto"/>
        <w:right w:val="none" w:sz="0" w:space="0" w:color="auto"/>
      </w:divBdr>
      <w:divsChild>
        <w:div w:id="1801846863">
          <w:marLeft w:val="0"/>
          <w:marRight w:val="0"/>
          <w:marTop w:val="0"/>
          <w:marBottom w:val="0"/>
          <w:divBdr>
            <w:top w:val="none" w:sz="0" w:space="0" w:color="auto"/>
            <w:left w:val="none" w:sz="0" w:space="0" w:color="auto"/>
            <w:bottom w:val="none" w:sz="0" w:space="0" w:color="auto"/>
            <w:right w:val="none" w:sz="0" w:space="0" w:color="auto"/>
          </w:divBdr>
          <w:divsChild>
            <w:div w:id="1675261636">
              <w:marLeft w:val="0"/>
              <w:marRight w:val="0"/>
              <w:marTop w:val="0"/>
              <w:marBottom w:val="0"/>
              <w:divBdr>
                <w:top w:val="none" w:sz="0" w:space="0" w:color="auto"/>
                <w:left w:val="none" w:sz="0" w:space="0" w:color="auto"/>
                <w:bottom w:val="none" w:sz="0" w:space="0" w:color="auto"/>
                <w:right w:val="none" w:sz="0" w:space="0" w:color="auto"/>
              </w:divBdr>
              <w:divsChild>
                <w:div w:id="673000090">
                  <w:marLeft w:val="0"/>
                  <w:marRight w:val="0"/>
                  <w:marTop w:val="0"/>
                  <w:marBottom w:val="0"/>
                  <w:divBdr>
                    <w:top w:val="none" w:sz="0" w:space="0" w:color="auto"/>
                    <w:left w:val="none" w:sz="0" w:space="0" w:color="auto"/>
                    <w:bottom w:val="none" w:sz="0" w:space="0" w:color="auto"/>
                    <w:right w:val="none" w:sz="0" w:space="0" w:color="auto"/>
                  </w:divBdr>
                  <w:divsChild>
                    <w:div w:id="838689173">
                      <w:marLeft w:val="0"/>
                      <w:marRight w:val="0"/>
                      <w:marTop w:val="0"/>
                      <w:marBottom w:val="0"/>
                      <w:divBdr>
                        <w:top w:val="none" w:sz="0" w:space="0" w:color="auto"/>
                        <w:left w:val="none" w:sz="0" w:space="0" w:color="auto"/>
                        <w:bottom w:val="none" w:sz="0" w:space="0" w:color="auto"/>
                        <w:right w:val="none" w:sz="0" w:space="0" w:color="auto"/>
                      </w:divBdr>
                    </w:div>
                    <w:div w:id="10264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663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646">
      <w:bodyDiv w:val="1"/>
      <w:marLeft w:val="0"/>
      <w:marRight w:val="0"/>
      <w:marTop w:val="0"/>
      <w:marBottom w:val="0"/>
      <w:divBdr>
        <w:top w:val="none" w:sz="0" w:space="0" w:color="auto"/>
        <w:left w:val="none" w:sz="0" w:space="0" w:color="auto"/>
        <w:bottom w:val="none" w:sz="0" w:space="0" w:color="auto"/>
        <w:right w:val="none" w:sz="0" w:space="0" w:color="auto"/>
      </w:divBdr>
    </w:div>
    <w:div w:id="2121954009">
      <w:bodyDiv w:val="1"/>
      <w:marLeft w:val="0"/>
      <w:marRight w:val="0"/>
      <w:marTop w:val="0"/>
      <w:marBottom w:val="0"/>
      <w:divBdr>
        <w:top w:val="none" w:sz="0" w:space="0" w:color="auto"/>
        <w:left w:val="none" w:sz="0" w:space="0" w:color="auto"/>
        <w:bottom w:val="none" w:sz="0" w:space="0" w:color="auto"/>
        <w:right w:val="none" w:sz="0" w:space="0" w:color="auto"/>
      </w:divBdr>
      <w:divsChild>
        <w:div w:id="526603013">
          <w:marLeft w:val="0"/>
          <w:marRight w:val="0"/>
          <w:marTop w:val="0"/>
          <w:marBottom w:val="0"/>
          <w:divBdr>
            <w:top w:val="none" w:sz="0" w:space="0" w:color="auto"/>
            <w:left w:val="none" w:sz="0" w:space="0" w:color="auto"/>
            <w:bottom w:val="none" w:sz="0" w:space="0" w:color="auto"/>
            <w:right w:val="none" w:sz="0" w:space="0" w:color="auto"/>
          </w:divBdr>
          <w:divsChild>
            <w:div w:id="786192468">
              <w:marLeft w:val="0"/>
              <w:marRight w:val="0"/>
              <w:marTop w:val="0"/>
              <w:marBottom w:val="0"/>
              <w:divBdr>
                <w:top w:val="none" w:sz="0" w:space="0" w:color="auto"/>
                <w:left w:val="none" w:sz="0" w:space="0" w:color="auto"/>
                <w:bottom w:val="none" w:sz="0" w:space="0" w:color="auto"/>
                <w:right w:val="none" w:sz="0" w:space="0" w:color="auto"/>
              </w:divBdr>
              <w:divsChild>
                <w:div w:id="1390037602">
                  <w:marLeft w:val="0"/>
                  <w:marRight w:val="0"/>
                  <w:marTop w:val="0"/>
                  <w:marBottom w:val="0"/>
                  <w:divBdr>
                    <w:top w:val="none" w:sz="0" w:space="0" w:color="auto"/>
                    <w:left w:val="none" w:sz="0" w:space="0" w:color="auto"/>
                    <w:bottom w:val="none" w:sz="0" w:space="0" w:color="auto"/>
                    <w:right w:val="none" w:sz="0" w:space="0" w:color="auto"/>
                  </w:divBdr>
                  <w:divsChild>
                    <w:div w:id="12281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3/02/APG23-5-INP-55_Viet_Nam-WP4-Preliminary_Views_on_WRC-23_Agenda_Items_1.15_1.16_1.18_1.19_and_7.docx" TargetMode="External"/><Relationship Id="rId18" Type="http://schemas.openxmlformats.org/officeDocument/2006/relationships/hyperlink" Target="https://www.apt.int/sites/default/files/2023/02/APG23-5-INF-39_Status_of_CEPT_preparation_for_WRC-23_and_RA-2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t.int/sites/default/files/2023/02/APG23-5-INP-39_Iran-WP4-Preliminary_Views_on_WRC_23_Agenda_Items_1.15_1.16_1.17_1.18_1.19_and_7.docx" TargetMode="External"/><Relationship Id="rId17" Type="http://schemas.openxmlformats.org/officeDocument/2006/relationships/hyperlink" Target="https://www.apt.int/sites/default/files/2023/01/APG23-5-INF-03_Brief_on_AI1.19.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pt.int/sites/default/files/2023/02/APG23-5-INP-98_Malaysia-WP4-Preliminary_Views_on_WRC-23_Agenda_Items_1.15_1.16_1.19_and_7.docx" TargetMode="External"/><Relationship Id="rId20" Type="http://schemas.openxmlformats.org/officeDocument/2006/relationships/hyperlink" Target="https://www.apt.int/sites/default/files/2023/02/APG23-5-INF-45_Status_of_RCC_preparation_to_the_WRC-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P-35_Bangladesh_WP4-Preliminary_Views_on_WRC_23_Agenda_Items_1.15_1.16_1.17_1.18_and_1.19.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t.int/sites/default/files/2023/02/APG23-5-INP-91_China-WP4-Preliminary_Views_on_WRC-23_Agenda_Items_1.15_1.16_1.17_1.18_1.19_and_7.docx" TargetMode="External"/><Relationship Id="rId23" Type="http://schemas.openxmlformats.org/officeDocument/2006/relationships/footer" Target="footer2.xml"/><Relationship Id="rId10" Type="http://schemas.openxmlformats.org/officeDocument/2006/relationships/hyperlink" Target="https://www.apt.int/sites/default/files/2023/02/APG23-5-INP-24_Japan-WP4-Proposed_modification_to_the_Chapter_3_of_draft_CPM_Report.docx" TargetMode="External"/><Relationship Id="rId19" Type="http://schemas.openxmlformats.org/officeDocument/2006/relationships/hyperlink" Target="https://www.apt.int/sites/default/files/2023/02/APG23-5-INF-43_CITEL_preparation_for_WRC-23.pdf" TargetMode="External"/><Relationship Id="rId4" Type="http://schemas.openxmlformats.org/officeDocument/2006/relationships/settings" Target="settings.xml"/><Relationship Id="rId9" Type="http://schemas.openxmlformats.org/officeDocument/2006/relationships/hyperlink" Target="https://www.apt.int/sites/default/files/2023/02/APG23-5-INP-17_Japan-WP4-Preliminary_Views_on_WRC-23_Agenda_Items_1.15_1.16_1.17_1.18_1.19_and_7.docx" TargetMode="External"/><Relationship Id="rId14" Type="http://schemas.openxmlformats.org/officeDocument/2006/relationships/hyperlink" Target="https://www.apt.int/sites/default/files/2023/02/APG23-5-INP-59_Australia-WP4-Preliminary_Views_on_WRC-23_Agenda_Items_1.15_1.16_1.17_1.18_1.19_and_7.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pattanaik.mr@gov.in" TargetMode="External"/><Relationship Id="rId1" Type="http://schemas.openxmlformats.org/officeDocument/2006/relationships/hyperlink" Target="mailto:chengfenhong@chinasat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E815-D076-4F60-87F8-E6E4D14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14380</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2023-03-13T02:58:00Z</dcterms:created>
  <dcterms:modified xsi:type="dcterms:W3CDTF">2023-03-13T02:58:00Z</dcterms:modified>
</cp:coreProperties>
</file>