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7C0D45" w14:paraId="1689429E" w14:textId="77777777" w:rsidTr="007E1FDD">
        <w:trPr>
          <w:cantSplit/>
          <w:trHeight w:val="288"/>
        </w:trPr>
        <w:tc>
          <w:tcPr>
            <w:tcW w:w="1399" w:type="dxa"/>
            <w:vMerge w:val="restart"/>
          </w:tcPr>
          <w:p w14:paraId="308B07B0" w14:textId="77777777" w:rsidR="007E1FDD" w:rsidRPr="007C0D45"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sidRPr="007C0D45">
              <w:rPr>
                <w:kern w:val="2"/>
                <w:sz w:val="24"/>
                <w:szCs w:val="24"/>
                <w:lang w:val="en-GB" w:eastAsia="en-GB"/>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7C0D45" w:rsidRDefault="007E1FDD" w:rsidP="007E7497">
            <w:pPr>
              <w:spacing w:before="40"/>
              <w:rPr>
                <w:sz w:val="22"/>
                <w:szCs w:val="22"/>
              </w:rPr>
            </w:pPr>
            <w:r w:rsidRPr="007C0D45">
              <w:rPr>
                <w:sz w:val="22"/>
                <w:szCs w:val="22"/>
              </w:rPr>
              <w:t>ASIA-PACIFIC TELECOMMUNITY</w:t>
            </w:r>
          </w:p>
        </w:tc>
        <w:tc>
          <w:tcPr>
            <w:tcW w:w="2160" w:type="dxa"/>
          </w:tcPr>
          <w:p w14:paraId="441FE461" w14:textId="77777777" w:rsidR="007E1FDD" w:rsidRPr="007C0D45" w:rsidRDefault="007E1FDD" w:rsidP="007E7497">
            <w:pPr>
              <w:pStyle w:val="Heading8"/>
              <w:spacing w:before="40"/>
              <w:rPr>
                <w:sz w:val="24"/>
                <w:szCs w:val="24"/>
              </w:rPr>
            </w:pPr>
            <w:r w:rsidRPr="007C0D45">
              <w:rPr>
                <w:sz w:val="24"/>
                <w:szCs w:val="24"/>
              </w:rPr>
              <w:t>Document No:</w:t>
            </w:r>
          </w:p>
        </w:tc>
      </w:tr>
      <w:tr w:rsidR="003D25E1" w:rsidRPr="007C0D45" w14:paraId="73D940FB" w14:textId="77777777" w:rsidTr="007E7497">
        <w:trPr>
          <w:cantSplit/>
          <w:trHeight w:val="504"/>
        </w:trPr>
        <w:tc>
          <w:tcPr>
            <w:tcW w:w="1399" w:type="dxa"/>
            <w:vMerge/>
          </w:tcPr>
          <w:p w14:paraId="2ACD7806" w14:textId="77777777" w:rsidR="003D25E1" w:rsidRPr="007C0D45" w:rsidRDefault="003D25E1" w:rsidP="000D7C75"/>
        </w:tc>
        <w:tc>
          <w:tcPr>
            <w:tcW w:w="5760" w:type="dxa"/>
            <w:vAlign w:val="center"/>
          </w:tcPr>
          <w:p w14:paraId="278242BE" w14:textId="77777777" w:rsidR="007E1FDD" w:rsidRPr="007C0D45" w:rsidRDefault="00C73F61" w:rsidP="007E7497">
            <w:pPr>
              <w:spacing w:before="40"/>
              <w:rPr>
                <w:b/>
              </w:rPr>
            </w:pPr>
            <w:r w:rsidRPr="007C0D45">
              <w:rPr>
                <w:b/>
              </w:rPr>
              <w:t xml:space="preserve">The </w:t>
            </w:r>
            <w:r w:rsidR="00BB33AC" w:rsidRPr="007C0D45">
              <w:rPr>
                <w:b/>
              </w:rPr>
              <w:t>6</w:t>
            </w:r>
            <w:r w:rsidR="003D25E1" w:rsidRPr="007C0D45">
              <w:rPr>
                <w:b/>
              </w:rPr>
              <w:t>th Meeting of the APT Conference Preparatory</w:t>
            </w:r>
          </w:p>
          <w:p w14:paraId="4B472E37" w14:textId="77777777" w:rsidR="003D25E1" w:rsidRPr="007C0D45" w:rsidRDefault="00C73F61" w:rsidP="007E7497">
            <w:pPr>
              <w:spacing w:line="0" w:lineRule="atLeast"/>
            </w:pPr>
            <w:r w:rsidRPr="007C0D45">
              <w:rPr>
                <w:b/>
              </w:rPr>
              <w:t>Group for WRC-</w:t>
            </w:r>
            <w:r w:rsidR="00BB33AC" w:rsidRPr="007C0D45">
              <w:rPr>
                <w:b/>
              </w:rPr>
              <w:t>23</w:t>
            </w:r>
            <w:r w:rsidRPr="007C0D45">
              <w:rPr>
                <w:b/>
              </w:rPr>
              <w:t xml:space="preserve"> (APG</w:t>
            </w:r>
            <w:r w:rsidR="00BB33AC" w:rsidRPr="007C0D45">
              <w:rPr>
                <w:b/>
              </w:rPr>
              <w:t>23</w:t>
            </w:r>
            <w:r w:rsidRPr="007C0D45">
              <w:rPr>
                <w:b/>
              </w:rPr>
              <w:t>-</w:t>
            </w:r>
            <w:r w:rsidR="00BB33AC" w:rsidRPr="007C0D45">
              <w:rPr>
                <w:b/>
              </w:rPr>
              <w:t>6</w:t>
            </w:r>
            <w:r w:rsidR="003D25E1" w:rsidRPr="007C0D45">
              <w:rPr>
                <w:b/>
              </w:rPr>
              <w:t>)</w:t>
            </w:r>
          </w:p>
        </w:tc>
        <w:tc>
          <w:tcPr>
            <w:tcW w:w="2160" w:type="dxa"/>
          </w:tcPr>
          <w:p w14:paraId="04C4E0DB" w14:textId="2F524DE5" w:rsidR="007E1FDD" w:rsidRPr="007C0D45" w:rsidRDefault="007E1FDD" w:rsidP="007E7497">
            <w:pPr>
              <w:spacing w:before="40"/>
              <w:rPr>
                <w:rFonts w:eastAsia="SimSun"/>
                <w:b/>
                <w:bCs/>
                <w:lang w:val="fr-FR" w:eastAsia="zh-CN"/>
              </w:rPr>
            </w:pPr>
            <w:r w:rsidRPr="007C0D45">
              <w:rPr>
                <w:b/>
                <w:bCs/>
                <w:lang w:val="fr-FR"/>
              </w:rPr>
              <w:t>AP</w:t>
            </w:r>
            <w:r w:rsidR="00C73F61" w:rsidRPr="007C0D45">
              <w:rPr>
                <w:b/>
                <w:bCs/>
                <w:lang w:val="fr-FR"/>
              </w:rPr>
              <w:t>G</w:t>
            </w:r>
            <w:r w:rsidR="00BB33AC" w:rsidRPr="007C0D45">
              <w:rPr>
                <w:b/>
                <w:bCs/>
                <w:lang w:val="fr-FR"/>
              </w:rPr>
              <w:t>23</w:t>
            </w:r>
            <w:r w:rsidR="00C73F61" w:rsidRPr="007C0D45">
              <w:rPr>
                <w:b/>
                <w:bCs/>
                <w:lang w:val="fr-FR"/>
              </w:rPr>
              <w:t>-</w:t>
            </w:r>
            <w:r w:rsidR="00BB33AC" w:rsidRPr="007C0D45">
              <w:rPr>
                <w:b/>
                <w:bCs/>
                <w:lang w:val="fr-FR"/>
              </w:rPr>
              <w:t>6</w:t>
            </w:r>
            <w:r w:rsidRPr="007C0D45">
              <w:rPr>
                <w:b/>
                <w:bCs/>
                <w:lang w:val="fr-FR"/>
              </w:rPr>
              <w:t>/</w:t>
            </w:r>
            <w:r w:rsidR="003C4477">
              <w:rPr>
                <w:rFonts w:eastAsia="SimSun"/>
                <w:b/>
                <w:bCs/>
                <w:lang w:val="fr-FR" w:eastAsia="zh-CN"/>
              </w:rPr>
              <w:t>OUT</w:t>
            </w:r>
            <w:r w:rsidR="000F24F4">
              <w:rPr>
                <w:rFonts w:eastAsia="SimSun"/>
                <w:b/>
                <w:bCs/>
                <w:lang w:val="fr-FR" w:eastAsia="zh-CN"/>
              </w:rPr>
              <w:t>-</w:t>
            </w:r>
            <w:r w:rsidR="003C4477">
              <w:rPr>
                <w:rFonts w:eastAsia="SimSun"/>
                <w:b/>
                <w:bCs/>
                <w:lang w:val="fr-FR" w:eastAsia="zh-CN"/>
              </w:rPr>
              <w:t>19</w:t>
            </w:r>
          </w:p>
          <w:p w14:paraId="0FF2E21E" w14:textId="25D4A763" w:rsidR="003D25E1" w:rsidRPr="007C0D45" w:rsidRDefault="003D25E1" w:rsidP="007E1FDD">
            <w:pPr>
              <w:rPr>
                <w:rFonts w:eastAsia="SimSun"/>
                <w:b/>
                <w:bCs/>
                <w:lang w:val="en-GB" w:eastAsia="zh-CN"/>
              </w:rPr>
            </w:pPr>
          </w:p>
        </w:tc>
      </w:tr>
      <w:tr w:rsidR="007E1FDD" w:rsidRPr="007C0D45" w14:paraId="4B861CA3" w14:textId="77777777" w:rsidTr="007E1FDD">
        <w:trPr>
          <w:cantSplit/>
          <w:trHeight w:val="288"/>
        </w:trPr>
        <w:tc>
          <w:tcPr>
            <w:tcW w:w="1399" w:type="dxa"/>
            <w:vMerge/>
          </w:tcPr>
          <w:p w14:paraId="709EE434" w14:textId="77777777" w:rsidR="007E1FDD" w:rsidRPr="007C0D45" w:rsidRDefault="007E1FDD" w:rsidP="000D7C75">
            <w:pPr>
              <w:rPr>
                <w:lang w:val="en-GB"/>
              </w:rPr>
            </w:pPr>
          </w:p>
        </w:tc>
        <w:tc>
          <w:tcPr>
            <w:tcW w:w="5760" w:type="dxa"/>
            <w:vAlign w:val="bottom"/>
          </w:tcPr>
          <w:p w14:paraId="1AA58505" w14:textId="77777777" w:rsidR="007E1FDD" w:rsidRPr="007C0D45" w:rsidRDefault="00BB33AC" w:rsidP="004523AA">
            <w:pPr>
              <w:spacing w:before="40"/>
              <w:rPr>
                <w:b/>
              </w:rPr>
            </w:pPr>
            <w:r w:rsidRPr="007C0D45">
              <w:t>14</w:t>
            </w:r>
            <w:r w:rsidR="00C73F61" w:rsidRPr="007C0D45">
              <w:t xml:space="preserve"> – </w:t>
            </w:r>
            <w:r w:rsidRPr="007C0D45">
              <w:t>19</w:t>
            </w:r>
            <w:r w:rsidR="007E1FDD" w:rsidRPr="007C0D45">
              <w:t xml:space="preserve"> </w:t>
            </w:r>
            <w:r w:rsidR="00C73F61" w:rsidRPr="007C0D45">
              <w:t>August</w:t>
            </w:r>
            <w:r w:rsidR="007E1FDD" w:rsidRPr="007C0D45">
              <w:t xml:space="preserve"> 20</w:t>
            </w:r>
            <w:r w:rsidRPr="007C0D45">
              <w:t>23</w:t>
            </w:r>
            <w:r w:rsidR="007E1FDD" w:rsidRPr="007C0D45">
              <w:t xml:space="preserve">, </w:t>
            </w:r>
            <w:r w:rsidRPr="007C0D45">
              <w:t>Brisbane</w:t>
            </w:r>
            <w:r w:rsidR="007E1FDD" w:rsidRPr="007C0D45">
              <w:t xml:space="preserve">, </w:t>
            </w:r>
            <w:r w:rsidRPr="007C0D45">
              <w:t>Australia</w:t>
            </w:r>
          </w:p>
        </w:tc>
        <w:tc>
          <w:tcPr>
            <w:tcW w:w="2160" w:type="dxa"/>
            <w:vAlign w:val="bottom"/>
          </w:tcPr>
          <w:p w14:paraId="5AECDA78" w14:textId="2C36BCD1" w:rsidR="007E1FDD" w:rsidRPr="007C0D45" w:rsidRDefault="003C4477" w:rsidP="003C4477">
            <w:pPr>
              <w:spacing w:before="40"/>
              <w:rPr>
                <w:bCs/>
              </w:rPr>
            </w:pPr>
            <w:r>
              <w:rPr>
                <w:rFonts w:eastAsia="SimSun"/>
                <w:bCs/>
                <w:lang w:eastAsia="zh-CN"/>
              </w:rPr>
              <w:t>1</w:t>
            </w:r>
            <w:r w:rsidR="00D75C96">
              <w:rPr>
                <w:rFonts w:eastAsia="SimSun"/>
                <w:bCs/>
                <w:lang w:eastAsia="zh-CN"/>
              </w:rPr>
              <w:t>9</w:t>
            </w:r>
            <w:r w:rsidRPr="007C0D45">
              <w:rPr>
                <w:bCs/>
              </w:rPr>
              <w:t xml:space="preserve"> </w:t>
            </w:r>
            <w:r w:rsidR="00C13196" w:rsidRPr="007C0D45">
              <w:rPr>
                <w:bCs/>
              </w:rPr>
              <w:t>August</w:t>
            </w:r>
            <w:r w:rsidR="007E1FDD" w:rsidRPr="007C0D45">
              <w:rPr>
                <w:bCs/>
              </w:rPr>
              <w:t xml:space="preserve"> 20</w:t>
            </w:r>
            <w:r w:rsidR="00BB33AC" w:rsidRPr="007C0D45">
              <w:rPr>
                <w:bCs/>
              </w:rPr>
              <w:t>23</w:t>
            </w:r>
          </w:p>
        </w:tc>
      </w:tr>
    </w:tbl>
    <w:p w14:paraId="73057A65" w14:textId="77777777" w:rsidR="00133947" w:rsidRPr="007C0D45" w:rsidRDefault="00133947" w:rsidP="00DA7595">
      <w:pPr>
        <w:rPr>
          <w:lang w:eastAsia="ko-KR"/>
        </w:rPr>
      </w:pPr>
    </w:p>
    <w:p w14:paraId="34356516" w14:textId="77777777" w:rsidR="007E7497" w:rsidRPr="007C0D45" w:rsidRDefault="007E7497" w:rsidP="00DA7595">
      <w:pPr>
        <w:rPr>
          <w:lang w:eastAsia="ko-KR"/>
        </w:rPr>
      </w:pPr>
    </w:p>
    <w:p w14:paraId="0B5FBB6E" w14:textId="769A2F93" w:rsidR="009D4B7A" w:rsidRPr="007C0D45" w:rsidRDefault="00836E86" w:rsidP="009D4B7A">
      <w:pPr>
        <w:jc w:val="center"/>
        <w:rPr>
          <w:rFonts w:eastAsia="SimSun"/>
          <w:lang w:val="en-NZ" w:eastAsia="zh-CN"/>
        </w:rPr>
      </w:pPr>
      <w:r>
        <w:rPr>
          <w:rFonts w:eastAsia="SimSun"/>
          <w:lang w:val="en-NZ" w:eastAsia="zh-CN"/>
        </w:rPr>
        <w:t>Working Party 2</w:t>
      </w:r>
    </w:p>
    <w:p w14:paraId="72A6339A" w14:textId="77777777" w:rsidR="009D4B7A" w:rsidRPr="007C0D45" w:rsidRDefault="009D4B7A" w:rsidP="009D4B7A">
      <w:pPr>
        <w:jc w:val="center"/>
        <w:rPr>
          <w:bCs/>
          <w:caps/>
          <w:lang w:val="en-NZ"/>
        </w:rPr>
      </w:pPr>
    </w:p>
    <w:p w14:paraId="3433E5DC" w14:textId="61B872DD" w:rsidR="003C4477" w:rsidRDefault="00104039" w:rsidP="009D4B7A">
      <w:pPr>
        <w:jc w:val="center"/>
        <w:rPr>
          <w:b/>
          <w:bCs/>
          <w:caps/>
          <w:lang w:val="en-NZ"/>
        </w:rPr>
      </w:pPr>
      <w:r w:rsidRPr="007C0D45">
        <w:rPr>
          <w:b/>
          <w:bCs/>
          <w:caps/>
          <w:lang w:val="en-NZ"/>
        </w:rPr>
        <w:t>APT</w:t>
      </w:r>
      <w:r w:rsidR="009D4B7A" w:rsidRPr="007C0D45">
        <w:rPr>
          <w:b/>
          <w:bCs/>
          <w:caps/>
          <w:lang w:val="en-NZ"/>
        </w:rPr>
        <w:t xml:space="preserve"> VIEW</w:t>
      </w:r>
      <w:r w:rsidRPr="007C0D45">
        <w:rPr>
          <w:b/>
          <w:bCs/>
          <w:caps/>
          <w:lang w:val="en-NZ"/>
        </w:rPr>
        <w:t xml:space="preserve"> and Preliminary APT Common Proposal</w:t>
      </w:r>
    </w:p>
    <w:p w14:paraId="6D168BD3" w14:textId="3373FD6F" w:rsidR="009D4B7A" w:rsidRPr="007C0D45" w:rsidRDefault="009D4B7A" w:rsidP="009D4B7A">
      <w:pPr>
        <w:jc w:val="center"/>
        <w:rPr>
          <w:rFonts w:eastAsia="SimSun"/>
          <w:b/>
          <w:bCs/>
          <w:caps/>
          <w:lang w:val="en-NZ" w:eastAsia="zh-CN"/>
        </w:rPr>
      </w:pPr>
      <w:r w:rsidRPr="007C0D45">
        <w:rPr>
          <w:b/>
          <w:bCs/>
          <w:caps/>
          <w:lang w:val="en-NZ"/>
        </w:rPr>
        <w:t>on WRC-23 agenda item 1.</w:t>
      </w:r>
      <w:r w:rsidR="009C638D" w:rsidRPr="007C0D45">
        <w:rPr>
          <w:rFonts w:eastAsia="SimSun" w:hint="eastAsia"/>
          <w:b/>
          <w:bCs/>
          <w:caps/>
          <w:lang w:val="en-NZ" w:eastAsia="zh-CN"/>
        </w:rPr>
        <w:t>10</w:t>
      </w:r>
    </w:p>
    <w:p w14:paraId="14FEFD0A" w14:textId="77777777" w:rsidR="009D4B7A" w:rsidRPr="007C0D45" w:rsidRDefault="009D4B7A" w:rsidP="009D4B7A">
      <w:pPr>
        <w:spacing w:after="120"/>
        <w:rPr>
          <w:lang w:val="en-NZ"/>
        </w:rPr>
      </w:pPr>
    </w:p>
    <w:p w14:paraId="153E24F4" w14:textId="1E0167FE" w:rsidR="009D4B7A" w:rsidRPr="007C0D45" w:rsidRDefault="009D4B7A" w:rsidP="009D4B7A">
      <w:pPr>
        <w:spacing w:after="120"/>
        <w:jc w:val="both"/>
        <w:rPr>
          <w:lang w:val="en-NZ"/>
        </w:rPr>
      </w:pPr>
      <w:r w:rsidRPr="007C0D45">
        <w:rPr>
          <w:b/>
          <w:lang w:val="en-NZ"/>
        </w:rPr>
        <w:t>Agenda Item 1.</w:t>
      </w:r>
      <w:r w:rsidR="009C638D" w:rsidRPr="007C0D45">
        <w:rPr>
          <w:rFonts w:eastAsia="SimSun" w:hint="eastAsia"/>
          <w:b/>
          <w:lang w:val="en-NZ" w:eastAsia="zh-CN"/>
        </w:rPr>
        <w:t>10</w:t>
      </w:r>
      <w:r w:rsidRPr="007C0D45">
        <w:rPr>
          <w:b/>
          <w:lang w:val="en-NZ"/>
        </w:rPr>
        <w:t xml:space="preserve">: </w:t>
      </w:r>
    </w:p>
    <w:p w14:paraId="0C1C6096" w14:textId="1091EC08" w:rsidR="009D4B7A" w:rsidRPr="007C0D45" w:rsidRDefault="009C638D" w:rsidP="009D4B7A">
      <w:pPr>
        <w:spacing w:after="120"/>
        <w:jc w:val="both"/>
        <w:rPr>
          <w:i/>
          <w:lang w:val="en-NZ"/>
        </w:rPr>
      </w:pPr>
      <w:r w:rsidRPr="007C0D45">
        <w:rPr>
          <w:i/>
          <w:lang w:val="en-NZ"/>
        </w:rPr>
        <w:t xml:space="preserve">to conduct studies on spectrum needs, coexistence with radiocommunication services and regulatory measures for possible new allocations for the aeronautical mobile service for the use of non-safety aeronautical mobile applications, in accordance with Resolution </w:t>
      </w:r>
      <w:r w:rsidRPr="007C0D45">
        <w:rPr>
          <w:b/>
          <w:i/>
          <w:lang w:val="en-NZ"/>
        </w:rPr>
        <w:t>430 (WRC 19)</w:t>
      </w:r>
      <w:r w:rsidRPr="007C0D45">
        <w:rPr>
          <w:i/>
          <w:lang w:val="en-NZ"/>
        </w:rPr>
        <w:t>;</w:t>
      </w:r>
    </w:p>
    <w:p w14:paraId="37B219F5" w14:textId="77777777" w:rsidR="009D4B7A" w:rsidRPr="007C0D45" w:rsidRDefault="009D4B7A" w:rsidP="009D4B7A">
      <w:pPr>
        <w:jc w:val="both"/>
        <w:rPr>
          <w:lang w:val="en-NZ"/>
        </w:rPr>
      </w:pPr>
    </w:p>
    <w:p w14:paraId="469AA013" w14:textId="77777777" w:rsidR="009D4B7A" w:rsidRPr="007C0D45" w:rsidRDefault="009D4B7A" w:rsidP="00DF23F1">
      <w:pPr>
        <w:spacing w:after="120"/>
        <w:jc w:val="both"/>
        <w:outlineLvl w:val="0"/>
        <w:rPr>
          <w:b/>
          <w:lang w:val="en-NZ" w:eastAsia="ko-KR"/>
        </w:rPr>
      </w:pPr>
      <w:r w:rsidRPr="007C0D45">
        <w:rPr>
          <w:b/>
          <w:lang w:val="en-NZ" w:eastAsia="ko-KR"/>
        </w:rPr>
        <w:t xml:space="preserve">1. </w:t>
      </w:r>
      <w:r w:rsidRPr="007C0D45">
        <w:rPr>
          <w:b/>
          <w:lang w:val="en-NZ" w:eastAsia="ko-KR"/>
        </w:rPr>
        <w:tab/>
        <w:t>Background</w:t>
      </w:r>
    </w:p>
    <w:p w14:paraId="786DDAA7"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pPr>
      <w:r w:rsidRPr="007C0D45">
        <w:t xml:space="preserve">Resolution </w:t>
      </w:r>
      <w:r w:rsidRPr="007C0D45">
        <w:rPr>
          <w:b/>
          <w:bCs/>
        </w:rPr>
        <w:t>430 (WRC-19)</w:t>
      </w:r>
      <w:r w:rsidRPr="007C0D45">
        <w:t xml:space="preserve"> </w:t>
      </w:r>
      <w:r w:rsidRPr="007C0D45">
        <w:rPr>
          <w:rFonts w:hint="eastAsia"/>
        </w:rPr>
        <w:t xml:space="preserve">resolves to </w:t>
      </w:r>
      <w:r w:rsidRPr="007C0D45">
        <w:t>invite ITU-R to conduct, and complete in time for WRC-23:</w:t>
      </w:r>
    </w:p>
    <w:p w14:paraId="296A3B45" w14:textId="77777777" w:rsidR="009C638D" w:rsidRPr="007C0D45" w:rsidRDefault="009C638D" w:rsidP="009C638D">
      <w:pPr>
        <w:pStyle w:val="ListParagraph"/>
        <w:numPr>
          <w:ilvl w:val="0"/>
          <w:numId w:val="13"/>
        </w:numPr>
        <w:spacing w:afterLines="60" w:after="144"/>
        <w:jc w:val="both"/>
        <w:rPr>
          <w:color w:val="000000" w:themeColor="text1"/>
          <w:lang w:val="en-GB"/>
        </w:rPr>
      </w:pPr>
      <w:r w:rsidRPr="007C0D45">
        <w:rPr>
          <w:color w:val="000000" w:themeColor="text1"/>
          <w:lang w:val="en-GB"/>
        </w:rPr>
        <w:t>studies on spectrum needs for new non-safety aeronautical mobile applications for air-to-air, ground-to-air and air-to-ground communications of aircraft systems;</w:t>
      </w:r>
    </w:p>
    <w:p w14:paraId="6B70909E" w14:textId="77777777" w:rsidR="009C638D" w:rsidRPr="007C0D45" w:rsidRDefault="009C638D" w:rsidP="009C638D">
      <w:pPr>
        <w:pStyle w:val="ListParagraph"/>
        <w:numPr>
          <w:ilvl w:val="0"/>
          <w:numId w:val="13"/>
        </w:numPr>
        <w:spacing w:afterLines="60" w:after="144"/>
        <w:jc w:val="both"/>
        <w:rPr>
          <w:color w:val="000000" w:themeColor="text1"/>
          <w:lang w:val="en-GB"/>
        </w:rPr>
      </w:pPr>
      <w:r w:rsidRPr="007C0D45">
        <w:rPr>
          <w:color w:val="000000" w:themeColor="text1"/>
          <w:lang w:val="en-GB"/>
        </w:rPr>
        <w:t>sharing and compatibility studies in the frequency band 22-22.21 GHz,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14:paraId="5868F356" w14:textId="77777777" w:rsidR="009C638D" w:rsidRPr="007C0D45" w:rsidRDefault="009C638D" w:rsidP="009C638D">
      <w:pPr>
        <w:pStyle w:val="ListParagraph"/>
        <w:numPr>
          <w:ilvl w:val="0"/>
          <w:numId w:val="13"/>
        </w:numPr>
        <w:spacing w:afterLines="60" w:after="144"/>
        <w:jc w:val="both"/>
        <w:rPr>
          <w:color w:val="000000" w:themeColor="text1"/>
          <w:lang w:val="en-GB"/>
        </w:rPr>
      </w:pPr>
      <w:r w:rsidRPr="007C0D45">
        <w:rPr>
          <w:color w:val="000000" w:themeColor="text1"/>
          <w:lang w:val="en-GB"/>
        </w:rPr>
        <w:t>sharing and compatibility studies on possible new primary allocations to the aeronautical mobile service (AMS) for non-safety aeronautical applications in the frequency band 15.4-15.7 GHz, while ensuring the protection of primary services in the considered frequency bands and, as appropriate, adjacent frequency bands;</w:t>
      </w:r>
    </w:p>
    <w:p w14:paraId="4D4C0056" w14:textId="77777777" w:rsidR="009C638D" w:rsidRPr="007C0D45" w:rsidRDefault="009C638D" w:rsidP="009C638D">
      <w:pPr>
        <w:pStyle w:val="ListParagraph"/>
        <w:numPr>
          <w:ilvl w:val="0"/>
          <w:numId w:val="13"/>
        </w:numPr>
        <w:spacing w:afterLines="60" w:after="144"/>
        <w:jc w:val="both"/>
        <w:rPr>
          <w:color w:val="000000" w:themeColor="text1"/>
          <w:lang w:val="en-GB"/>
        </w:rPr>
      </w:pPr>
      <w:r w:rsidRPr="007C0D45">
        <w:rPr>
          <w:color w:val="000000" w:themeColor="text1"/>
          <w:lang w:val="en-GB"/>
        </w:rPr>
        <w:t>definition of appropriate protection for passive services and radio astronomy allocated in adjacent bands from unwanted emission of AMS.</w:t>
      </w:r>
    </w:p>
    <w:p w14:paraId="77B5B1C4"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pPr>
      <w:r w:rsidRPr="007C0D45">
        <w:t xml:space="preserve">In accordance with the results of CPM23-1, ITU-R Working Party 5B (WP 5B) was assigned to be the responsible group for the Agenda Item 1.10. </w:t>
      </w:r>
    </w:p>
    <w:p w14:paraId="107193D5"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pPr>
      <w:r w:rsidRPr="007C0D45">
        <w:t>During the recent WP5B meeting held in July</w:t>
      </w:r>
      <w:r w:rsidRPr="007C0D45">
        <w:rPr>
          <w:rFonts w:eastAsiaTheme="minorEastAsia" w:hint="eastAsia"/>
          <w:lang w:eastAsia="zh-CN"/>
        </w:rPr>
        <w:t xml:space="preserve"> 2023</w:t>
      </w:r>
      <w:r w:rsidRPr="007C0D45">
        <w:t>, the Working Document towards PDN Report ITU-R M.[NON-SAFETY AMS CHARACTERISTICS AND SHARING STUDIES] was revised with updated sharing studies with radiolocation, radio astronomy, EESS (passive) and fixed services. Finally, the meeting agreed elevating this Working Document to PDN Report.</w:t>
      </w:r>
    </w:p>
    <w:p w14:paraId="70410DF2"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pPr>
      <w:r w:rsidRPr="007C0D45">
        <w:t xml:space="preserve">Regarding the CPM Report, the following methods were proposed to satisfy this agenda item: </w:t>
      </w:r>
    </w:p>
    <w:p w14:paraId="0AC0E644"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b/>
          <w:lang w:eastAsia="zh-CN"/>
        </w:rPr>
      </w:pPr>
      <w:r w:rsidRPr="007C0D45">
        <w:rPr>
          <w:b/>
        </w:rPr>
        <w:t>Method A: No change (NOC)</w:t>
      </w:r>
    </w:p>
    <w:p w14:paraId="254E8104"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rsidRPr="007C0D45">
        <w:rPr>
          <w:rFonts w:eastAsiaTheme="minorEastAsia"/>
          <w:lang w:eastAsia="zh-CN"/>
        </w:rPr>
        <w:t>This method proposes no changes to the Radio Regulations.</w:t>
      </w:r>
    </w:p>
    <w:p w14:paraId="4FB846C7"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b/>
          <w:lang w:eastAsia="zh-CN"/>
        </w:rPr>
      </w:pPr>
      <w:r w:rsidRPr="007C0D45">
        <w:rPr>
          <w:b/>
        </w:rPr>
        <w:t>Method B: New primary AM(OR)S allocation in the frequency band 15.4-15.7 GHz</w:t>
      </w:r>
    </w:p>
    <w:p w14:paraId="6B800F57"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rsidRPr="007C0D45">
        <w:rPr>
          <w:rFonts w:eastAsiaTheme="minorEastAsia"/>
          <w:lang w:eastAsia="zh-CN"/>
        </w:rPr>
        <w:t>This method proposes to add an AM(OR)S allocation in the frequency band 15.4-15.7 GHz with an associated footnote.</w:t>
      </w:r>
    </w:p>
    <w:p w14:paraId="2AD96EA6"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b/>
          <w:lang w:eastAsia="zh-CN"/>
        </w:rPr>
      </w:pPr>
      <w:r w:rsidRPr="007C0D45">
        <w:rPr>
          <w:b/>
        </w:rPr>
        <w:lastRenderedPageBreak/>
        <w:t>Method C: Remove the exception of AM(OR)S in the frequency band 22-22.21 GHz</w:t>
      </w:r>
    </w:p>
    <w:p w14:paraId="72769B50"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rsidRPr="007C0D45">
        <w:rPr>
          <w:rFonts w:eastAsiaTheme="minorEastAsia"/>
          <w:lang w:eastAsia="zh-CN"/>
        </w:rPr>
        <w:t>This method proposes to remove the exception of aeronautical mobile service of the mobile service allocation in the frequency band 22-22.21 GHz, and to add associated footnotes.</w:t>
      </w:r>
    </w:p>
    <w:p w14:paraId="4B313111"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b/>
          <w:lang w:eastAsia="zh-CN"/>
        </w:rPr>
      </w:pPr>
      <w:r w:rsidRPr="007C0D45">
        <w:rPr>
          <w:b/>
        </w:rPr>
        <w:t>Method D: Combination of Methods B and C</w:t>
      </w:r>
    </w:p>
    <w:p w14:paraId="39342D52"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rsidRPr="007C0D45">
        <w:rPr>
          <w:rFonts w:eastAsiaTheme="minorEastAsia"/>
          <w:lang w:eastAsia="zh-CN"/>
        </w:rPr>
        <w:t>This method proposes to add an AM(OR)S allocation in the frequency band 15.4-15.7 GHz with an associated footnote, and to remove the exception to aeronautical mobile (off-route) service of the MOBILE allocation in the frequency band 22-22.21 GHz, and to add associated footnotes.</w:t>
      </w:r>
    </w:p>
    <w:p w14:paraId="21BB7BF5" w14:textId="67274961"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b/>
          <w:lang w:eastAsia="zh-CN"/>
        </w:rPr>
      </w:pPr>
      <w:r w:rsidRPr="007C0D45">
        <w:rPr>
          <w:b/>
        </w:rPr>
        <w:t xml:space="preserve">Method E: Combination of Methods B and C with 10 MHz </w:t>
      </w:r>
      <w:r w:rsidR="00B75B2C" w:rsidRPr="007C0D45">
        <w:rPr>
          <w:b/>
        </w:rPr>
        <w:t>guard bands</w:t>
      </w:r>
    </w:p>
    <w:p w14:paraId="308F1F53"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rsidRPr="007C0D45">
        <w:rPr>
          <w:rFonts w:eastAsiaTheme="minorEastAsia"/>
          <w:lang w:eastAsia="zh-CN"/>
        </w:rPr>
        <w:t>This method proposes to add an AM(OR)S allocation in the frequency band 15.41-15.7 GHz with associated footnotes, and to remove the exception to aeronautical mobile (off-route) service of the MOBILE allocation in the frequency band 22-22.2 GHz, and to add associated footnotes.</w:t>
      </w:r>
    </w:p>
    <w:p w14:paraId="7DB18B44"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rPr>
          <w:rFonts w:eastAsiaTheme="minorEastAsia"/>
          <w:lang w:eastAsia="zh-CN"/>
        </w:rPr>
      </w:pPr>
      <w:r w:rsidRPr="007C0D45">
        <w:t xml:space="preserve">All the methods propose the suppression of Resolution </w:t>
      </w:r>
      <w:r w:rsidRPr="007C0D45">
        <w:rPr>
          <w:b/>
        </w:rPr>
        <w:t>430 (WRC-19)</w:t>
      </w:r>
      <w:r w:rsidRPr="007C0D45">
        <w:t xml:space="preserve">. </w:t>
      </w:r>
    </w:p>
    <w:p w14:paraId="1F38A0EC" w14:textId="77777777" w:rsidR="009C638D" w:rsidRPr="007C0D45" w:rsidRDefault="009C638D" w:rsidP="009C638D">
      <w:pPr>
        <w:tabs>
          <w:tab w:val="left" w:pos="1134"/>
          <w:tab w:val="left" w:pos="1871"/>
          <w:tab w:val="left" w:pos="2268"/>
        </w:tabs>
        <w:overflowPunct w:val="0"/>
        <w:autoSpaceDE w:val="0"/>
        <w:autoSpaceDN w:val="0"/>
        <w:adjustRightInd w:val="0"/>
        <w:spacing w:before="120"/>
        <w:jc w:val="both"/>
        <w:textAlignment w:val="baseline"/>
      </w:pPr>
      <w:r w:rsidRPr="007C0D45">
        <w:t>The relevant ITU-R Recommendations are:</w:t>
      </w:r>
    </w:p>
    <w:p w14:paraId="5A8242E4" w14:textId="03E5533C" w:rsidR="009C638D" w:rsidRPr="007C0D45" w:rsidRDefault="009C638D" w:rsidP="009C638D">
      <w:pPr>
        <w:spacing w:before="120"/>
        <w:rPr>
          <w:rFonts w:eastAsia="SimSun"/>
          <w:lang w:eastAsia="zh-CN"/>
        </w:rPr>
      </w:pPr>
      <w:r w:rsidRPr="007C0D45">
        <w:t xml:space="preserve">Characteristics and protection criteria: </w:t>
      </w:r>
      <w:hyperlink r:id="rId9">
        <w:r w:rsidRPr="007C0D45">
          <w:rPr>
            <w:rStyle w:val="Hyperlink"/>
          </w:rPr>
          <w:t>F.758-7</w:t>
        </w:r>
      </w:hyperlink>
      <w:r w:rsidRPr="007C0D45">
        <w:t xml:space="preserve">, </w:t>
      </w:r>
      <w:hyperlink r:id="rId10">
        <w:r w:rsidRPr="007C0D45">
          <w:rPr>
            <w:rStyle w:val="Hyperlink"/>
          </w:rPr>
          <w:t>F.1495-2</w:t>
        </w:r>
      </w:hyperlink>
      <w:r w:rsidRPr="007C0D45">
        <w:t xml:space="preserve">, </w:t>
      </w:r>
      <w:hyperlink r:id="rId11">
        <w:r w:rsidRPr="007C0D45">
          <w:rPr>
            <w:rStyle w:val="Hyperlink"/>
          </w:rPr>
          <w:t>F.1565-1</w:t>
        </w:r>
      </w:hyperlink>
      <w:r w:rsidRPr="007C0D45">
        <w:t xml:space="preserve">, </w:t>
      </w:r>
      <w:hyperlink r:id="rId12">
        <w:r w:rsidRPr="007C0D45">
          <w:rPr>
            <w:rStyle w:val="Hyperlink"/>
          </w:rPr>
          <w:t>M.1461-2</w:t>
        </w:r>
      </w:hyperlink>
      <w:r w:rsidRPr="007C0D45">
        <w:t xml:space="preserve">, </w:t>
      </w:r>
      <w:hyperlink r:id="rId13">
        <w:r w:rsidRPr="007C0D45">
          <w:rPr>
            <w:rStyle w:val="Hyperlink"/>
          </w:rPr>
          <w:t>M.1730-1</w:t>
        </w:r>
      </w:hyperlink>
      <w:r w:rsidRPr="007C0D45">
        <w:t xml:space="preserve">, </w:t>
      </w:r>
      <w:hyperlink r:id="rId14">
        <w:r w:rsidRPr="007C0D45">
          <w:rPr>
            <w:rStyle w:val="Hyperlink"/>
          </w:rPr>
          <w:t>M.1825</w:t>
        </w:r>
        <w:r w:rsidRPr="007C0D45">
          <w:rPr>
            <w:rStyle w:val="Hyperlink"/>
          </w:rPr>
          <w:noBreakHyphen/>
          <w:t>0</w:t>
        </w:r>
      </w:hyperlink>
      <w:r w:rsidRPr="007C0D45">
        <w:t xml:space="preserve">, </w:t>
      </w:r>
      <w:hyperlink r:id="rId15">
        <w:r w:rsidRPr="007C0D45">
          <w:rPr>
            <w:rStyle w:val="Hyperlink"/>
          </w:rPr>
          <w:t>M.2089-0</w:t>
        </w:r>
      </w:hyperlink>
      <w:r w:rsidRPr="007C0D45">
        <w:t xml:space="preserve">, </w:t>
      </w:r>
      <w:hyperlink r:id="rId16">
        <w:r w:rsidRPr="007C0D45">
          <w:rPr>
            <w:rStyle w:val="Hyperlink"/>
          </w:rPr>
          <w:t>M.2114-0</w:t>
        </w:r>
      </w:hyperlink>
      <w:r w:rsidRPr="007C0D45">
        <w:t xml:space="preserve">, </w:t>
      </w:r>
      <w:hyperlink r:id="rId17">
        <w:r w:rsidRPr="007C0D45">
          <w:rPr>
            <w:rStyle w:val="Hyperlink"/>
          </w:rPr>
          <w:t>M.2115-0</w:t>
        </w:r>
      </w:hyperlink>
      <w:r w:rsidRPr="007C0D45">
        <w:t xml:space="preserve">, </w:t>
      </w:r>
      <w:hyperlink r:id="rId18">
        <w:r w:rsidRPr="007C0D45">
          <w:rPr>
            <w:rStyle w:val="Hyperlink"/>
          </w:rPr>
          <w:t>M.2116-0</w:t>
        </w:r>
      </w:hyperlink>
      <w:r w:rsidRPr="007C0D45">
        <w:t xml:space="preserve">, </w:t>
      </w:r>
      <w:hyperlink r:id="rId19">
        <w:r w:rsidRPr="007C0D45">
          <w:rPr>
            <w:rStyle w:val="Hyperlink"/>
          </w:rPr>
          <w:t>M.2120-0</w:t>
        </w:r>
      </w:hyperlink>
      <w:r w:rsidRPr="007C0D45">
        <w:t xml:space="preserve">, </w:t>
      </w:r>
      <w:hyperlink r:id="rId20">
        <w:r w:rsidRPr="007C0D45">
          <w:rPr>
            <w:rStyle w:val="Hyperlink"/>
          </w:rPr>
          <w:t>RA.769-2</w:t>
        </w:r>
      </w:hyperlink>
      <w:r w:rsidRPr="007C0D45">
        <w:t xml:space="preserve">, </w:t>
      </w:r>
      <w:hyperlink r:id="rId21">
        <w:r w:rsidRPr="007C0D45">
          <w:rPr>
            <w:rStyle w:val="Hyperlink"/>
          </w:rPr>
          <w:t>RA.1513-2</w:t>
        </w:r>
      </w:hyperlink>
      <w:r w:rsidRPr="007C0D45">
        <w:t xml:space="preserve">, </w:t>
      </w:r>
      <w:hyperlink r:id="rId22">
        <w:r w:rsidRPr="007C0D45">
          <w:rPr>
            <w:rStyle w:val="Hyperlink"/>
          </w:rPr>
          <w:t>RS.1861</w:t>
        </w:r>
        <w:r w:rsidRPr="007C0D45">
          <w:rPr>
            <w:rStyle w:val="Hyperlink"/>
          </w:rPr>
          <w:noBreakHyphen/>
          <w:t>1</w:t>
        </w:r>
      </w:hyperlink>
      <w:r w:rsidRPr="007C0D45">
        <w:t xml:space="preserve">, </w:t>
      </w:r>
      <w:hyperlink r:id="rId23">
        <w:r w:rsidRPr="007C0D45">
          <w:rPr>
            <w:rStyle w:val="Hyperlink"/>
          </w:rPr>
          <w:t>RS.2017</w:t>
        </w:r>
        <w:r w:rsidRPr="007C0D45">
          <w:rPr>
            <w:rStyle w:val="Hyperlink"/>
          </w:rPr>
          <w:noBreakHyphen/>
          <w:t>0</w:t>
        </w:r>
      </w:hyperlink>
      <w:r w:rsidRPr="007C0D45">
        <w:t>, and WDPDN Recommendation ITU-R M.[15.4-15.7_GH</w:t>
      </w:r>
      <w:r w:rsidRPr="007C0D45">
        <w:rPr>
          <w:rFonts w:eastAsia="SimSun" w:hint="eastAsia"/>
          <w:lang w:eastAsia="zh-CN"/>
        </w:rPr>
        <w:t>z</w:t>
      </w:r>
      <w:r w:rsidRPr="007C0D45">
        <w:t>_ARNS]</w:t>
      </w:r>
      <w:r w:rsidR="00DF23F1" w:rsidRPr="007C0D45">
        <w:rPr>
          <w:rFonts w:eastAsia="SimSun" w:hint="eastAsia"/>
          <w:lang w:eastAsia="zh-CN"/>
        </w:rPr>
        <w:t>.</w:t>
      </w:r>
    </w:p>
    <w:p w14:paraId="524D17C4" w14:textId="77777777" w:rsidR="009C638D" w:rsidRPr="007C0D45" w:rsidRDefault="009C638D" w:rsidP="009C638D">
      <w:pPr>
        <w:spacing w:before="120"/>
      </w:pPr>
      <w:r w:rsidRPr="007C0D45">
        <w:t xml:space="preserve">Antenna patterns: </w:t>
      </w:r>
      <w:hyperlink r:id="rId24">
        <w:r w:rsidRPr="007C0D45">
          <w:rPr>
            <w:rStyle w:val="Hyperlink"/>
          </w:rPr>
          <w:t>F.699-8</w:t>
        </w:r>
      </w:hyperlink>
      <w:r w:rsidRPr="007C0D45">
        <w:t xml:space="preserve">, </w:t>
      </w:r>
      <w:hyperlink r:id="rId25">
        <w:r w:rsidRPr="007C0D45">
          <w:rPr>
            <w:rStyle w:val="Hyperlink"/>
          </w:rPr>
          <w:t>F.1245-3</w:t>
        </w:r>
      </w:hyperlink>
      <w:r w:rsidRPr="007C0D45">
        <w:t xml:space="preserve">, </w:t>
      </w:r>
      <w:hyperlink r:id="rId26">
        <w:r w:rsidRPr="007C0D45">
          <w:rPr>
            <w:rStyle w:val="Hyperlink"/>
          </w:rPr>
          <w:t>F.1336-5</w:t>
        </w:r>
      </w:hyperlink>
      <w:r w:rsidRPr="007C0D45">
        <w:t xml:space="preserve">, </w:t>
      </w:r>
      <w:hyperlink r:id="rId27">
        <w:r w:rsidRPr="007C0D45">
          <w:rPr>
            <w:rStyle w:val="Hyperlink"/>
          </w:rPr>
          <w:t>M.1851-1</w:t>
        </w:r>
      </w:hyperlink>
      <w:r w:rsidRPr="007C0D45">
        <w:t xml:space="preserve">, </w:t>
      </w:r>
      <w:hyperlink r:id="rId28">
        <w:r w:rsidRPr="007C0D45">
          <w:rPr>
            <w:rStyle w:val="Hyperlink"/>
          </w:rPr>
          <w:t>RA.1631-0</w:t>
        </w:r>
      </w:hyperlink>
      <w:r w:rsidRPr="007C0D45">
        <w:t xml:space="preserve">, </w:t>
      </w:r>
      <w:hyperlink r:id="rId29">
        <w:r w:rsidRPr="007C0D45">
          <w:rPr>
            <w:rStyle w:val="Hyperlink"/>
          </w:rPr>
          <w:t>RS.1813-1</w:t>
        </w:r>
      </w:hyperlink>
      <w:r w:rsidRPr="007C0D45">
        <w:t xml:space="preserve">, </w:t>
      </w:r>
      <w:hyperlink r:id="rId30">
        <w:r w:rsidRPr="007C0D45">
          <w:rPr>
            <w:rStyle w:val="Hyperlink"/>
          </w:rPr>
          <w:t>S.465-6</w:t>
        </w:r>
      </w:hyperlink>
      <w:r w:rsidRPr="007C0D45">
        <w:t xml:space="preserve">, </w:t>
      </w:r>
      <w:hyperlink r:id="rId31">
        <w:r w:rsidRPr="007C0D45">
          <w:rPr>
            <w:rStyle w:val="Hyperlink"/>
          </w:rPr>
          <w:t>S.580</w:t>
        </w:r>
        <w:r w:rsidRPr="007C0D45">
          <w:rPr>
            <w:rStyle w:val="Hyperlink"/>
          </w:rPr>
          <w:noBreakHyphen/>
          <w:t>6</w:t>
        </w:r>
      </w:hyperlink>
      <w:r w:rsidRPr="007C0D45">
        <w:t xml:space="preserve">, </w:t>
      </w:r>
      <w:hyperlink r:id="rId32">
        <w:r w:rsidRPr="007C0D45">
          <w:rPr>
            <w:rStyle w:val="Hyperlink"/>
          </w:rPr>
          <w:t>S.672-4</w:t>
        </w:r>
      </w:hyperlink>
      <w:r w:rsidRPr="007C0D45">
        <w:t xml:space="preserve">, and </w:t>
      </w:r>
      <w:hyperlink r:id="rId33">
        <w:r w:rsidRPr="007C0D45">
          <w:rPr>
            <w:rStyle w:val="Hyperlink"/>
          </w:rPr>
          <w:t>SA.509-3</w:t>
        </w:r>
      </w:hyperlink>
      <w:r w:rsidRPr="007C0D45">
        <w:t>.</w:t>
      </w:r>
    </w:p>
    <w:p w14:paraId="7295AC77" w14:textId="77777777" w:rsidR="009C638D" w:rsidRPr="007C0D45" w:rsidRDefault="009C638D" w:rsidP="009C638D">
      <w:pPr>
        <w:spacing w:before="120"/>
      </w:pPr>
      <w:r w:rsidRPr="007C0D45">
        <w:rPr>
          <w:spacing w:val="-2"/>
        </w:rPr>
        <w:t xml:space="preserve">Propagation models and others: </w:t>
      </w:r>
      <w:hyperlink r:id="rId34">
        <w:r w:rsidRPr="007C0D45">
          <w:rPr>
            <w:rStyle w:val="Hyperlink"/>
          </w:rPr>
          <w:t>P.452-17</w:t>
        </w:r>
      </w:hyperlink>
      <w:r w:rsidRPr="007C0D45">
        <w:t xml:space="preserve">, </w:t>
      </w:r>
      <w:hyperlink r:id="rId35">
        <w:r w:rsidRPr="007C0D45">
          <w:rPr>
            <w:rStyle w:val="Hyperlink"/>
          </w:rPr>
          <w:t>P.453-7</w:t>
        </w:r>
      </w:hyperlink>
      <w:r w:rsidRPr="007C0D45">
        <w:t xml:space="preserve">, </w:t>
      </w:r>
      <w:hyperlink r:id="rId36">
        <w:r w:rsidRPr="007C0D45">
          <w:rPr>
            <w:rStyle w:val="Hyperlink"/>
          </w:rPr>
          <w:t>P.528-5</w:t>
        </w:r>
      </w:hyperlink>
      <w:r w:rsidRPr="007C0D45">
        <w:t xml:space="preserve">, </w:t>
      </w:r>
      <w:hyperlink r:id="rId37">
        <w:r w:rsidRPr="007C0D45">
          <w:rPr>
            <w:rStyle w:val="Hyperlink"/>
          </w:rPr>
          <w:t>P.619-5</w:t>
        </w:r>
      </w:hyperlink>
      <w:r w:rsidRPr="007C0D45">
        <w:t xml:space="preserve">, </w:t>
      </w:r>
      <w:hyperlink r:id="rId38">
        <w:r w:rsidRPr="007C0D45">
          <w:rPr>
            <w:rStyle w:val="Hyperlink"/>
          </w:rPr>
          <w:t>P.676-12</w:t>
        </w:r>
      </w:hyperlink>
      <w:r w:rsidRPr="007C0D45">
        <w:t xml:space="preserve">, </w:t>
      </w:r>
      <w:hyperlink r:id="rId39">
        <w:r w:rsidRPr="007C0D45">
          <w:rPr>
            <w:rStyle w:val="Hyperlink"/>
          </w:rPr>
          <w:t>P.835-6</w:t>
        </w:r>
      </w:hyperlink>
      <w:r w:rsidRPr="007C0D45">
        <w:t xml:space="preserve">, </w:t>
      </w:r>
      <w:hyperlink r:id="rId40">
        <w:r w:rsidRPr="007C0D45">
          <w:rPr>
            <w:rStyle w:val="Hyperlink"/>
          </w:rPr>
          <w:t>P.1409-2</w:t>
        </w:r>
      </w:hyperlink>
      <w:r w:rsidRPr="007C0D45">
        <w:t xml:space="preserve">, </w:t>
      </w:r>
      <w:hyperlink r:id="rId41">
        <w:r w:rsidRPr="007C0D45">
          <w:rPr>
            <w:rStyle w:val="Hyperlink"/>
          </w:rPr>
          <w:t>RA.1513-2</w:t>
        </w:r>
      </w:hyperlink>
      <w:r w:rsidRPr="007C0D45">
        <w:t xml:space="preserve">, </w:t>
      </w:r>
      <w:hyperlink r:id="rId42">
        <w:r w:rsidRPr="007C0D45">
          <w:rPr>
            <w:rStyle w:val="Hyperlink"/>
          </w:rPr>
          <w:t>S.1340-0</w:t>
        </w:r>
      </w:hyperlink>
      <w:r w:rsidRPr="007C0D45">
        <w:t xml:space="preserve">, </w:t>
      </w:r>
      <w:hyperlink r:id="rId43">
        <w:r w:rsidRPr="007C0D45">
          <w:rPr>
            <w:rStyle w:val="Hyperlink"/>
          </w:rPr>
          <w:t>SM.337-6</w:t>
        </w:r>
      </w:hyperlink>
      <w:r w:rsidRPr="007C0D45">
        <w:t xml:space="preserve">, and </w:t>
      </w:r>
      <w:hyperlink r:id="rId44">
        <w:r w:rsidRPr="007C0D45">
          <w:rPr>
            <w:rStyle w:val="Hyperlink"/>
          </w:rPr>
          <w:t>SM.1541-6</w:t>
        </w:r>
      </w:hyperlink>
      <w:r w:rsidRPr="007C0D45">
        <w:t>.</w:t>
      </w:r>
    </w:p>
    <w:p w14:paraId="73065181" w14:textId="77777777" w:rsidR="009C638D" w:rsidRPr="007C0D45" w:rsidRDefault="009C638D" w:rsidP="009C638D">
      <w:pPr>
        <w:spacing w:before="120"/>
      </w:pPr>
      <w:r w:rsidRPr="007C0D45">
        <w:t xml:space="preserve">The relevant sharing studies ITU-R Reports are: </w:t>
      </w:r>
      <w:hyperlink r:id="rId45">
        <w:r w:rsidRPr="007C0D45">
          <w:rPr>
            <w:rStyle w:val="Hyperlink"/>
          </w:rPr>
          <w:t>M.2230-0</w:t>
        </w:r>
      </w:hyperlink>
      <w:r w:rsidRPr="007C0D45">
        <w:t xml:space="preserve">, and </w:t>
      </w:r>
      <w:hyperlink r:id="rId46">
        <w:r w:rsidRPr="007C0D45">
          <w:rPr>
            <w:rStyle w:val="Hyperlink"/>
          </w:rPr>
          <w:t>RA.2188-0</w:t>
        </w:r>
      </w:hyperlink>
      <w:r w:rsidRPr="007C0D45">
        <w:t xml:space="preserve">, </w:t>
      </w:r>
      <w:hyperlink r:id="rId47">
        <w:r w:rsidRPr="007C0D45">
          <w:rPr>
            <w:rStyle w:val="Hyperlink"/>
          </w:rPr>
          <w:t>M.2170-0</w:t>
        </w:r>
      </w:hyperlink>
      <w:r w:rsidRPr="007C0D45">
        <w:t xml:space="preserve">, </w:t>
      </w:r>
      <w:hyperlink r:id="rId48">
        <w:r w:rsidRPr="007C0D45">
          <w:rPr>
            <w:rStyle w:val="Hyperlink"/>
          </w:rPr>
          <w:t>M.2229-0</w:t>
        </w:r>
      </w:hyperlink>
      <w:r w:rsidRPr="007C0D45">
        <w:t>.</w:t>
      </w:r>
    </w:p>
    <w:p w14:paraId="4E166D0C" w14:textId="2B00D9FE" w:rsidR="009D4B7A" w:rsidRPr="007C0D45" w:rsidRDefault="009C638D" w:rsidP="009C638D">
      <w:pPr>
        <w:spacing w:before="120"/>
        <w:rPr>
          <w:i/>
          <w:lang w:eastAsia="ko-KR"/>
        </w:rPr>
      </w:pPr>
      <w:r w:rsidRPr="007C0D45">
        <w:t>PDN Report ITU-R M.[NON-SAFETY AM(OR)S CHARACTERISTICS AND SHARING STUDIES].</w:t>
      </w:r>
    </w:p>
    <w:p w14:paraId="4D6232E9" w14:textId="77777777" w:rsidR="009D4B7A" w:rsidRPr="007C0D45" w:rsidRDefault="009D4B7A" w:rsidP="009D4B7A">
      <w:pPr>
        <w:jc w:val="both"/>
        <w:rPr>
          <w:rFonts w:eastAsia="SimSun"/>
          <w:lang w:val="en-NZ" w:eastAsia="zh-CN"/>
        </w:rPr>
      </w:pPr>
    </w:p>
    <w:p w14:paraId="5AB7BAD7" w14:textId="77777777" w:rsidR="009C638D" w:rsidRPr="007C0D45" w:rsidRDefault="009C638D" w:rsidP="009D4B7A">
      <w:pPr>
        <w:jc w:val="both"/>
        <w:rPr>
          <w:rFonts w:eastAsia="SimSun"/>
          <w:lang w:val="en-NZ" w:eastAsia="zh-CN"/>
        </w:rPr>
      </w:pPr>
    </w:p>
    <w:p w14:paraId="4B47EE69" w14:textId="77777777" w:rsidR="009D4B7A" w:rsidRPr="007C0D45" w:rsidRDefault="009D4B7A" w:rsidP="00DF23F1">
      <w:pPr>
        <w:spacing w:after="120"/>
        <w:jc w:val="both"/>
        <w:outlineLvl w:val="0"/>
        <w:rPr>
          <w:b/>
          <w:lang w:val="en-NZ" w:eastAsia="ko-KR"/>
        </w:rPr>
      </w:pPr>
      <w:r w:rsidRPr="007C0D45">
        <w:rPr>
          <w:b/>
          <w:lang w:val="en-NZ" w:eastAsia="ko-KR"/>
        </w:rPr>
        <w:t xml:space="preserve">2. </w:t>
      </w:r>
      <w:r w:rsidRPr="007C0D45">
        <w:rPr>
          <w:b/>
          <w:lang w:val="en-NZ" w:eastAsia="ko-KR"/>
        </w:rPr>
        <w:tab/>
        <w:t>Documents</w:t>
      </w:r>
    </w:p>
    <w:p w14:paraId="4DFBC39C" w14:textId="1F82923D" w:rsidR="009C638D" w:rsidRPr="007C0D45" w:rsidRDefault="009C638D" w:rsidP="009C638D">
      <w:pPr>
        <w:numPr>
          <w:ilvl w:val="0"/>
          <w:numId w:val="12"/>
        </w:numPr>
        <w:ind w:leftChars="145" w:left="708"/>
        <w:jc w:val="both"/>
        <w:rPr>
          <w:lang w:val="en-NZ"/>
        </w:rPr>
      </w:pPr>
      <w:r w:rsidRPr="007C0D45">
        <w:rPr>
          <w:lang w:val="en-NZ"/>
        </w:rPr>
        <w:t>Input Documents: APG23-6/INP-</w:t>
      </w:r>
      <w:r w:rsidRPr="007C0D45">
        <w:rPr>
          <w:rFonts w:eastAsiaTheme="minorEastAsia" w:hint="eastAsia"/>
          <w:lang w:val="en-NZ" w:eastAsia="zh-CN"/>
        </w:rPr>
        <w:t>18</w:t>
      </w:r>
      <w:r w:rsidRPr="007C0D45">
        <w:rPr>
          <w:lang w:val="en-NZ"/>
        </w:rPr>
        <w:t>(</w:t>
      </w:r>
      <w:r w:rsidRPr="007C0D45">
        <w:rPr>
          <w:rFonts w:eastAsia="SimSun" w:hint="eastAsia"/>
          <w:iCs/>
          <w:lang w:val="en-NZ" w:eastAsia="zh-CN"/>
        </w:rPr>
        <w:t>IND</w:t>
      </w:r>
      <w:r w:rsidRPr="007C0D45">
        <w:rPr>
          <w:lang w:val="en-NZ"/>
        </w:rPr>
        <w:t>), APG23-6/INP</w:t>
      </w:r>
      <w:r w:rsidRPr="007C0D45">
        <w:rPr>
          <w:rFonts w:eastAsiaTheme="minorEastAsia" w:hint="eastAsia"/>
          <w:lang w:val="en-NZ" w:eastAsia="zh-CN"/>
        </w:rPr>
        <w:t>-24</w:t>
      </w:r>
      <w:r w:rsidRPr="007C0D45">
        <w:rPr>
          <w:lang w:val="en-NZ"/>
        </w:rPr>
        <w:t>(</w:t>
      </w:r>
      <w:r w:rsidRPr="007C0D45">
        <w:rPr>
          <w:rFonts w:eastAsia="SimSun" w:hint="eastAsia"/>
          <w:iCs/>
          <w:lang w:val="en-NZ" w:eastAsia="zh-CN"/>
        </w:rPr>
        <w:t>BGD</w:t>
      </w:r>
      <w:r w:rsidRPr="007C0D45">
        <w:rPr>
          <w:lang w:val="en-NZ"/>
        </w:rPr>
        <w:t>),</w:t>
      </w:r>
      <w:r w:rsidRPr="007C0D45">
        <w:rPr>
          <w:rFonts w:eastAsiaTheme="minorEastAsia" w:hint="eastAsia"/>
          <w:lang w:val="en-NZ" w:eastAsia="zh-CN"/>
        </w:rPr>
        <w:t xml:space="preserve"> </w:t>
      </w:r>
      <w:r w:rsidRPr="007C0D45">
        <w:rPr>
          <w:lang w:val="en-NZ"/>
        </w:rPr>
        <w:t>APG23-6/INP-</w:t>
      </w:r>
      <w:r w:rsidRPr="007C0D45">
        <w:rPr>
          <w:rFonts w:eastAsiaTheme="minorEastAsia" w:hint="eastAsia"/>
          <w:lang w:val="en-NZ" w:eastAsia="zh-CN"/>
        </w:rPr>
        <w:t>31</w:t>
      </w:r>
      <w:r w:rsidRPr="007C0D45">
        <w:rPr>
          <w:lang w:val="en-NZ"/>
        </w:rPr>
        <w:t>(</w:t>
      </w:r>
      <w:r w:rsidRPr="007C0D45">
        <w:rPr>
          <w:rFonts w:eastAsia="SimSun"/>
          <w:iCs/>
          <w:lang w:val="en-NZ" w:eastAsia="zh-CN"/>
        </w:rPr>
        <w:t>J</w:t>
      </w:r>
      <w:r w:rsidRPr="007C0D45">
        <w:rPr>
          <w:lang w:val="en-NZ"/>
        </w:rPr>
        <w:t>),</w:t>
      </w:r>
      <w:r w:rsidRPr="007C0D45">
        <w:rPr>
          <w:rFonts w:eastAsiaTheme="minorEastAsia" w:hint="eastAsia"/>
          <w:lang w:val="en-NZ" w:eastAsia="zh-CN"/>
        </w:rPr>
        <w:t xml:space="preserve"> </w:t>
      </w:r>
      <w:r w:rsidRPr="007C0D45">
        <w:rPr>
          <w:lang w:val="en-NZ"/>
        </w:rPr>
        <w:t>APG23-6/INP-</w:t>
      </w:r>
      <w:r w:rsidRPr="007C0D45">
        <w:rPr>
          <w:rFonts w:eastAsiaTheme="minorEastAsia" w:hint="eastAsia"/>
          <w:lang w:val="en-NZ" w:eastAsia="zh-CN"/>
        </w:rPr>
        <w:t>48</w:t>
      </w:r>
      <w:r w:rsidRPr="007C0D45">
        <w:rPr>
          <w:lang w:val="en-NZ"/>
        </w:rPr>
        <w:t>(</w:t>
      </w:r>
      <w:r w:rsidRPr="007C0D45">
        <w:rPr>
          <w:rFonts w:eastAsia="SimSun" w:hint="eastAsia"/>
          <w:iCs/>
          <w:lang w:val="en-NZ" w:eastAsia="zh-CN"/>
        </w:rPr>
        <w:t>INS</w:t>
      </w:r>
      <w:r w:rsidRPr="007C0D45">
        <w:rPr>
          <w:lang w:val="en-NZ"/>
        </w:rPr>
        <w:t>), APG23-6/INP-</w:t>
      </w:r>
      <w:r w:rsidRPr="007C0D45">
        <w:rPr>
          <w:rFonts w:eastAsiaTheme="minorEastAsia" w:hint="eastAsia"/>
          <w:lang w:val="en-NZ" w:eastAsia="zh-CN"/>
        </w:rPr>
        <w:t>59</w:t>
      </w:r>
      <w:r w:rsidRPr="007C0D45">
        <w:rPr>
          <w:lang w:val="en-NZ"/>
        </w:rPr>
        <w:t>(</w:t>
      </w:r>
      <w:r w:rsidRPr="007C0D45">
        <w:rPr>
          <w:rFonts w:eastAsia="SimSun" w:hint="eastAsia"/>
          <w:iCs/>
          <w:lang w:val="en-NZ" w:eastAsia="zh-CN"/>
        </w:rPr>
        <w:t>T</w:t>
      </w:r>
      <w:r w:rsidR="00407B89" w:rsidRPr="007C0D45">
        <w:rPr>
          <w:rFonts w:eastAsia="SimSun" w:hint="eastAsia"/>
          <w:iCs/>
          <w:lang w:val="en-NZ" w:eastAsia="zh-CN"/>
        </w:rPr>
        <w:t>H</w:t>
      </w:r>
      <w:r w:rsidRPr="007C0D45">
        <w:rPr>
          <w:rFonts w:eastAsia="SimSun" w:hint="eastAsia"/>
          <w:iCs/>
          <w:lang w:val="en-NZ" w:eastAsia="zh-CN"/>
        </w:rPr>
        <w:t>A</w:t>
      </w:r>
      <w:r w:rsidRPr="007C0D45">
        <w:rPr>
          <w:lang w:val="en-NZ"/>
        </w:rPr>
        <w:t>), APG23-6/INP-</w:t>
      </w:r>
      <w:r w:rsidRPr="007C0D45">
        <w:rPr>
          <w:rFonts w:eastAsiaTheme="minorEastAsia" w:hint="eastAsia"/>
          <w:lang w:val="en-NZ" w:eastAsia="zh-CN"/>
        </w:rPr>
        <w:t>66R1</w:t>
      </w:r>
      <w:r w:rsidRPr="007C0D45">
        <w:rPr>
          <w:lang w:val="en-NZ"/>
        </w:rPr>
        <w:t>(</w:t>
      </w:r>
      <w:r w:rsidRPr="007C0D45">
        <w:rPr>
          <w:rFonts w:eastAsia="SimSun" w:hint="eastAsia"/>
          <w:iCs/>
          <w:lang w:val="en-NZ" w:eastAsia="zh-CN"/>
        </w:rPr>
        <w:t>IRN</w:t>
      </w:r>
      <w:r w:rsidRPr="007C0D45">
        <w:rPr>
          <w:lang w:val="en-NZ"/>
        </w:rPr>
        <w:t>), APG23-6/INP-</w:t>
      </w:r>
      <w:r w:rsidRPr="007C0D45">
        <w:rPr>
          <w:rFonts w:eastAsiaTheme="minorEastAsia" w:hint="eastAsia"/>
          <w:lang w:val="en-NZ" w:eastAsia="zh-CN"/>
        </w:rPr>
        <w:t>81</w:t>
      </w:r>
      <w:r w:rsidRPr="007C0D45">
        <w:rPr>
          <w:lang w:val="en-NZ"/>
        </w:rPr>
        <w:t>(</w:t>
      </w:r>
      <w:r w:rsidRPr="007C0D45">
        <w:rPr>
          <w:rFonts w:eastAsia="SimSun"/>
          <w:iCs/>
          <w:lang w:eastAsia="zh-CN"/>
        </w:rPr>
        <w:t>AUS</w:t>
      </w:r>
      <w:r w:rsidRPr="007C0D45">
        <w:rPr>
          <w:lang w:val="en-NZ"/>
        </w:rPr>
        <w:t>), APG23-6/INP-</w:t>
      </w:r>
      <w:r w:rsidRPr="007C0D45">
        <w:rPr>
          <w:rFonts w:eastAsiaTheme="minorEastAsia" w:hint="eastAsia"/>
          <w:lang w:val="en-NZ" w:eastAsia="zh-CN"/>
        </w:rPr>
        <w:t>88</w:t>
      </w:r>
      <w:r w:rsidRPr="007C0D45">
        <w:rPr>
          <w:lang w:val="en-NZ"/>
        </w:rPr>
        <w:t>(</w:t>
      </w:r>
      <w:r w:rsidRPr="007C0D45">
        <w:rPr>
          <w:rFonts w:eastAsia="SimSun"/>
          <w:iCs/>
          <w:lang w:eastAsia="zh-CN"/>
        </w:rPr>
        <w:t>KOR</w:t>
      </w:r>
      <w:r w:rsidRPr="007C0D45">
        <w:rPr>
          <w:lang w:val="en-NZ"/>
        </w:rPr>
        <w:t>), APG23-6/INP-</w:t>
      </w:r>
      <w:r w:rsidRPr="007C0D45">
        <w:rPr>
          <w:rFonts w:eastAsiaTheme="minorEastAsia" w:hint="eastAsia"/>
          <w:lang w:val="en-NZ" w:eastAsia="zh-CN"/>
        </w:rPr>
        <w:t>93</w:t>
      </w:r>
      <w:r w:rsidRPr="007C0D45">
        <w:rPr>
          <w:lang w:val="en-NZ"/>
        </w:rPr>
        <w:t>(</w:t>
      </w:r>
      <w:r w:rsidRPr="007C0D45">
        <w:rPr>
          <w:rFonts w:eastAsia="SimSun" w:hint="eastAsia"/>
          <w:iCs/>
          <w:lang w:eastAsia="zh-CN"/>
        </w:rPr>
        <w:t>PHI</w:t>
      </w:r>
      <w:r w:rsidRPr="007C0D45">
        <w:rPr>
          <w:lang w:val="en-NZ"/>
        </w:rPr>
        <w:t>),</w:t>
      </w:r>
      <w:r w:rsidRPr="007C0D45">
        <w:rPr>
          <w:rFonts w:eastAsiaTheme="minorEastAsia" w:hint="eastAsia"/>
          <w:lang w:val="en-NZ" w:eastAsia="zh-CN"/>
        </w:rPr>
        <w:t xml:space="preserve"> </w:t>
      </w:r>
      <w:r w:rsidRPr="007C0D45">
        <w:rPr>
          <w:lang w:val="en-NZ"/>
        </w:rPr>
        <w:t>APG23-6/INP-</w:t>
      </w:r>
      <w:r w:rsidRPr="007C0D45">
        <w:rPr>
          <w:rFonts w:eastAsiaTheme="minorEastAsia" w:hint="eastAsia"/>
          <w:lang w:val="en-NZ" w:eastAsia="zh-CN"/>
        </w:rPr>
        <w:t>104</w:t>
      </w:r>
      <w:r w:rsidRPr="007C0D45">
        <w:rPr>
          <w:lang w:val="en-NZ"/>
        </w:rPr>
        <w:t>(</w:t>
      </w:r>
      <w:r w:rsidRPr="007C0D45">
        <w:rPr>
          <w:rFonts w:eastAsia="SimSun"/>
          <w:iCs/>
          <w:lang w:eastAsia="zh-CN"/>
        </w:rPr>
        <w:t>CHN</w:t>
      </w:r>
      <w:r w:rsidRPr="007C0D45">
        <w:rPr>
          <w:lang w:val="en-NZ"/>
        </w:rPr>
        <w:t>), APG23-6/INP-</w:t>
      </w:r>
      <w:r w:rsidRPr="007C0D45">
        <w:rPr>
          <w:rFonts w:eastAsiaTheme="minorEastAsia" w:hint="eastAsia"/>
          <w:lang w:val="en-NZ" w:eastAsia="zh-CN"/>
        </w:rPr>
        <w:t>110</w:t>
      </w:r>
      <w:r w:rsidRPr="007C0D45">
        <w:rPr>
          <w:lang w:val="en-NZ"/>
        </w:rPr>
        <w:t>(</w:t>
      </w:r>
      <w:r w:rsidR="008A5BCF" w:rsidRPr="007C0D45">
        <w:rPr>
          <w:rFonts w:eastAsia="SimSun" w:hint="eastAsia"/>
          <w:iCs/>
          <w:lang w:eastAsia="zh-CN"/>
        </w:rPr>
        <w:t>MLA</w:t>
      </w:r>
      <w:r w:rsidRPr="007C0D45">
        <w:rPr>
          <w:lang w:val="en-NZ"/>
        </w:rPr>
        <w:t>),</w:t>
      </w:r>
      <w:r w:rsidRPr="007C0D45">
        <w:rPr>
          <w:rFonts w:eastAsiaTheme="minorEastAsia" w:hint="eastAsia"/>
          <w:lang w:val="en-NZ" w:eastAsia="zh-CN"/>
        </w:rPr>
        <w:t xml:space="preserve"> </w:t>
      </w:r>
      <w:r w:rsidRPr="007C0D45">
        <w:rPr>
          <w:lang w:val="en-NZ"/>
        </w:rPr>
        <w:t>APG23-6/INP-</w:t>
      </w:r>
      <w:r w:rsidRPr="007C0D45">
        <w:rPr>
          <w:rFonts w:eastAsiaTheme="minorEastAsia" w:hint="eastAsia"/>
          <w:lang w:val="en-NZ" w:eastAsia="zh-CN"/>
        </w:rPr>
        <w:t>119</w:t>
      </w:r>
      <w:r w:rsidRPr="007C0D45">
        <w:rPr>
          <w:lang w:val="en-NZ"/>
        </w:rPr>
        <w:t>(</w:t>
      </w:r>
      <w:r w:rsidRPr="007C0D45">
        <w:rPr>
          <w:rFonts w:eastAsia="SimSun"/>
          <w:iCs/>
          <w:lang w:val="en-NZ" w:eastAsia="zh-CN"/>
        </w:rPr>
        <w:t>VTN</w:t>
      </w:r>
      <w:r w:rsidRPr="007C0D45">
        <w:rPr>
          <w:lang w:val="en-NZ"/>
        </w:rPr>
        <w:t>).</w:t>
      </w:r>
    </w:p>
    <w:p w14:paraId="4E8C0C57" w14:textId="7097CC4B" w:rsidR="009C638D" w:rsidRPr="007C0D45" w:rsidRDefault="009C638D" w:rsidP="009C638D">
      <w:pPr>
        <w:numPr>
          <w:ilvl w:val="0"/>
          <w:numId w:val="12"/>
        </w:numPr>
        <w:ind w:leftChars="145" w:left="708"/>
        <w:jc w:val="both"/>
        <w:rPr>
          <w:lang w:val="en-NZ"/>
        </w:rPr>
      </w:pPr>
      <w:r w:rsidRPr="007C0D45">
        <w:rPr>
          <w:lang w:val="en-NZ"/>
        </w:rPr>
        <w:t>Information Documents: APG23-6/INF-0</w:t>
      </w:r>
      <w:r w:rsidRPr="007C0D45">
        <w:rPr>
          <w:rFonts w:eastAsiaTheme="minorEastAsia" w:hint="eastAsia"/>
          <w:lang w:val="en-NZ" w:eastAsia="zh-CN"/>
        </w:rPr>
        <w:t>2</w:t>
      </w:r>
      <w:r w:rsidRPr="007C0D45">
        <w:rPr>
          <w:lang w:val="en-NZ"/>
        </w:rPr>
        <w:t>(WMO), APG23-6/INF-</w:t>
      </w:r>
      <w:r w:rsidRPr="007C0D45">
        <w:rPr>
          <w:rFonts w:hint="eastAsia"/>
          <w:lang w:val="en-NZ"/>
        </w:rPr>
        <w:t>25</w:t>
      </w:r>
      <w:r w:rsidRPr="007C0D45">
        <w:rPr>
          <w:lang w:val="en-NZ"/>
        </w:rPr>
        <w:t>(</w:t>
      </w:r>
      <w:r w:rsidRPr="007C0D45">
        <w:rPr>
          <w:rFonts w:hint="eastAsia"/>
          <w:lang w:val="en-NZ"/>
        </w:rPr>
        <w:t>ICAO</w:t>
      </w:r>
      <w:r w:rsidRPr="007C0D45">
        <w:rPr>
          <w:lang w:val="en-NZ"/>
        </w:rPr>
        <w:t xml:space="preserve">), </w:t>
      </w:r>
      <w:r w:rsidR="0028191C" w:rsidRPr="007C0D45">
        <w:rPr>
          <w:lang w:val="en-NZ"/>
        </w:rPr>
        <w:t>APG23-6/INF-</w:t>
      </w:r>
      <w:r w:rsidR="0028191C" w:rsidRPr="007C0D45">
        <w:rPr>
          <w:rFonts w:hint="eastAsia"/>
          <w:lang w:val="en-NZ"/>
        </w:rPr>
        <w:t>2</w:t>
      </w:r>
      <w:r w:rsidR="0028191C" w:rsidRPr="007C0D45">
        <w:rPr>
          <w:rFonts w:eastAsia="SimSun" w:hint="eastAsia"/>
          <w:lang w:val="en-NZ" w:eastAsia="zh-CN"/>
        </w:rPr>
        <w:t>6</w:t>
      </w:r>
      <w:r w:rsidR="0028191C" w:rsidRPr="007C0D45">
        <w:rPr>
          <w:lang w:val="en-NZ"/>
        </w:rPr>
        <w:t>(</w:t>
      </w:r>
      <w:r w:rsidR="0028191C" w:rsidRPr="007C0D45">
        <w:rPr>
          <w:rFonts w:hint="eastAsia"/>
          <w:lang w:val="en-NZ"/>
        </w:rPr>
        <w:t>ICAO</w:t>
      </w:r>
      <w:r w:rsidR="0028191C" w:rsidRPr="007C0D45">
        <w:rPr>
          <w:lang w:val="en-NZ"/>
        </w:rPr>
        <w:t xml:space="preserve">), </w:t>
      </w:r>
      <w:r w:rsidRPr="007C0D45">
        <w:rPr>
          <w:lang w:val="en-NZ"/>
        </w:rPr>
        <w:t>APG23-6/INF-4</w:t>
      </w:r>
      <w:r w:rsidRPr="007C0D45">
        <w:rPr>
          <w:rFonts w:eastAsiaTheme="minorEastAsia" w:hint="eastAsia"/>
          <w:lang w:val="en-NZ" w:eastAsia="zh-CN"/>
        </w:rPr>
        <w:t>5</w:t>
      </w:r>
      <w:r w:rsidRPr="007C0D45">
        <w:rPr>
          <w:lang w:val="en-NZ"/>
        </w:rPr>
        <w:t>(RCC), APG23-6/INF-</w:t>
      </w:r>
      <w:r w:rsidRPr="007C0D45">
        <w:rPr>
          <w:rFonts w:eastAsiaTheme="minorEastAsia" w:hint="eastAsia"/>
          <w:lang w:val="en-NZ" w:eastAsia="zh-CN"/>
        </w:rPr>
        <w:t>46</w:t>
      </w:r>
      <w:r w:rsidRPr="007C0D45">
        <w:rPr>
          <w:lang w:val="en-NZ"/>
        </w:rPr>
        <w:t>(CEPT), APG23-6/INF-</w:t>
      </w:r>
      <w:r w:rsidRPr="007C0D45">
        <w:rPr>
          <w:rFonts w:eastAsiaTheme="minorEastAsia" w:hint="eastAsia"/>
          <w:lang w:val="en-NZ" w:eastAsia="zh-CN"/>
        </w:rPr>
        <w:t>52</w:t>
      </w:r>
      <w:r w:rsidRPr="007C0D45">
        <w:rPr>
          <w:lang w:val="en-NZ"/>
        </w:rPr>
        <w:t>(</w:t>
      </w:r>
      <w:r w:rsidRPr="007C0D45">
        <w:rPr>
          <w:rFonts w:hint="eastAsia"/>
          <w:lang w:val="en-NZ"/>
        </w:rPr>
        <w:t>CITEL</w:t>
      </w:r>
      <w:r w:rsidRPr="007C0D45">
        <w:rPr>
          <w:lang w:val="en-NZ"/>
        </w:rPr>
        <w:t>).</w:t>
      </w:r>
    </w:p>
    <w:p w14:paraId="2DFB6AC4" w14:textId="77777777" w:rsidR="009D4B7A" w:rsidRPr="007C0D45" w:rsidRDefault="009D4B7A" w:rsidP="009D4B7A">
      <w:pPr>
        <w:jc w:val="both"/>
        <w:rPr>
          <w:b/>
          <w:lang w:val="en-NZ" w:eastAsia="ko-KR"/>
        </w:rPr>
      </w:pPr>
    </w:p>
    <w:p w14:paraId="213BBC18" w14:textId="77777777" w:rsidR="009D4B7A" w:rsidRPr="007C0D45" w:rsidRDefault="009D4B7A" w:rsidP="009D4B7A">
      <w:pPr>
        <w:rPr>
          <w:b/>
          <w:lang w:val="fr-CH" w:eastAsia="ko-KR"/>
        </w:rPr>
      </w:pPr>
    </w:p>
    <w:p w14:paraId="0BABA4DC" w14:textId="77777777" w:rsidR="009D4B7A" w:rsidRPr="007C0D45" w:rsidRDefault="009D4B7A" w:rsidP="00DF23F1">
      <w:pPr>
        <w:outlineLvl w:val="0"/>
        <w:rPr>
          <w:b/>
          <w:lang w:val="en-NZ" w:eastAsia="ko-KR"/>
        </w:rPr>
      </w:pPr>
      <w:r w:rsidRPr="007C0D45">
        <w:rPr>
          <w:b/>
          <w:lang w:val="en-NZ" w:eastAsia="ko-KR"/>
        </w:rPr>
        <w:t xml:space="preserve">3. </w:t>
      </w:r>
      <w:r w:rsidRPr="007C0D45">
        <w:rPr>
          <w:b/>
          <w:lang w:val="en-NZ" w:eastAsia="ko-KR"/>
        </w:rPr>
        <w:tab/>
        <w:t>Summary of discussions</w:t>
      </w:r>
    </w:p>
    <w:p w14:paraId="52E051FB" w14:textId="77777777" w:rsidR="009D4B7A" w:rsidRPr="007C0D45" w:rsidRDefault="009D4B7A" w:rsidP="00DF23F1">
      <w:pPr>
        <w:spacing w:after="120"/>
        <w:jc w:val="both"/>
        <w:outlineLvl w:val="1"/>
        <w:rPr>
          <w:b/>
          <w:lang w:val="en-NZ" w:eastAsia="ko-KR"/>
        </w:rPr>
      </w:pPr>
      <w:r w:rsidRPr="007C0D45">
        <w:rPr>
          <w:b/>
          <w:lang w:val="en-NZ" w:eastAsia="ko-KR"/>
        </w:rPr>
        <w:t>3.1</w:t>
      </w:r>
      <w:r w:rsidRPr="007C0D45">
        <w:rPr>
          <w:b/>
          <w:lang w:val="en-NZ" w:eastAsia="ko-KR"/>
        </w:rPr>
        <w:tab/>
        <w:t>S</w:t>
      </w:r>
      <w:r w:rsidRPr="007C0D45">
        <w:rPr>
          <w:rFonts w:hint="eastAsia"/>
          <w:b/>
          <w:lang w:val="en-NZ" w:eastAsia="ko-KR"/>
        </w:rPr>
        <w:t xml:space="preserve">ummary </w:t>
      </w:r>
      <w:r w:rsidRPr="007C0D45">
        <w:rPr>
          <w:b/>
          <w:lang w:val="en-NZ" w:eastAsia="ko-KR"/>
        </w:rPr>
        <w:t>of APT Members’ views</w:t>
      </w:r>
    </w:p>
    <w:p w14:paraId="31A57D64" w14:textId="77777777" w:rsidR="009C638D" w:rsidRPr="007C0D45" w:rsidRDefault="009C638D" w:rsidP="009C638D">
      <w:pPr>
        <w:spacing w:after="120"/>
        <w:jc w:val="both"/>
        <w:outlineLvl w:val="2"/>
        <w:rPr>
          <w:rFonts w:eastAsiaTheme="minorEastAsia"/>
          <w:b/>
          <w:lang w:val="en-NZ" w:eastAsia="zh-CN"/>
        </w:rPr>
      </w:pPr>
      <w:r w:rsidRPr="007C0D45">
        <w:rPr>
          <w:b/>
          <w:lang w:val="en-NZ" w:eastAsia="ko-KR"/>
        </w:rPr>
        <w:t>3.1.</w:t>
      </w:r>
      <w:r w:rsidRPr="007C0D45">
        <w:rPr>
          <w:rFonts w:eastAsiaTheme="minorEastAsia" w:hint="eastAsia"/>
          <w:b/>
          <w:lang w:val="en-NZ" w:eastAsia="zh-CN"/>
        </w:rPr>
        <w:t>1</w:t>
      </w:r>
      <w:r w:rsidRPr="007C0D45">
        <w:rPr>
          <w:b/>
          <w:lang w:val="en-NZ" w:eastAsia="ko-KR"/>
        </w:rPr>
        <w:t xml:space="preserve"> </w:t>
      </w:r>
      <w:r w:rsidRPr="007C0D45">
        <w:rPr>
          <w:b/>
          <w:lang w:val="en-NZ" w:eastAsia="ko-KR"/>
        </w:rPr>
        <w:tab/>
      </w:r>
      <w:r w:rsidRPr="007C0D45">
        <w:rPr>
          <w:rFonts w:eastAsiaTheme="minorEastAsia" w:hint="eastAsia"/>
          <w:b/>
          <w:lang w:val="en-NZ" w:eastAsia="zh-CN"/>
        </w:rPr>
        <w:t>India</w:t>
      </w:r>
      <w:r w:rsidRPr="007C0D45">
        <w:rPr>
          <w:b/>
          <w:lang w:val="en-NZ" w:eastAsia="ko-KR"/>
        </w:rPr>
        <w:t xml:space="preserve"> </w:t>
      </w:r>
      <w:r w:rsidRPr="007C0D45">
        <w:t xml:space="preserve">- </w:t>
      </w:r>
      <w:r w:rsidRPr="007C0D45">
        <w:rPr>
          <w:b/>
          <w:lang w:val="en-NZ" w:eastAsia="ko-KR"/>
        </w:rPr>
        <w:t>Document APG23-6/INP-</w:t>
      </w:r>
      <w:r w:rsidRPr="007C0D45">
        <w:rPr>
          <w:rFonts w:eastAsiaTheme="minorEastAsia" w:hint="eastAsia"/>
          <w:b/>
          <w:lang w:val="en-NZ" w:eastAsia="zh-CN"/>
        </w:rPr>
        <w:t>18</w:t>
      </w:r>
    </w:p>
    <w:p w14:paraId="34C83C52" w14:textId="77777777" w:rsidR="009C638D" w:rsidRPr="007C0D45" w:rsidRDefault="009C638D" w:rsidP="009C638D">
      <w:pPr>
        <w:ind w:left="348"/>
        <w:jc w:val="both"/>
        <w:rPr>
          <w:lang w:val="en-NZ"/>
        </w:rPr>
      </w:pPr>
      <w:r w:rsidRPr="007C0D45">
        <w:rPr>
          <w:lang w:val="en-GB"/>
        </w:rPr>
        <w:t>India supports NOC for this Agenda Item.</w:t>
      </w:r>
    </w:p>
    <w:p w14:paraId="00BEEB36" w14:textId="77777777" w:rsidR="009C638D" w:rsidRPr="007C0D45" w:rsidRDefault="009C638D" w:rsidP="009C638D">
      <w:pPr>
        <w:jc w:val="both"/>
        <w:rPr>
          <w:lang w:val="en-NZ"/>
        </w:rPr>
      </w:pPr>
    </w:p>
    <w:p w14:paraId="37522CCB"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2</w:t>
      </w:r>
      <w:r w:rsidRPr="007C0D45">
        <w:rPr>
          <w:b/>
          <w:lang w:val="en-NZ" w:eastAsia="ko-KR"/>
        </w:rPr>
        <w:t xml:space="preserve"> </w:t>
      </w:r>
      <w:r w:rsidRPr="007C0D45">
        <w:rPr>
          <w:b/>
          <w:lang w:val="en-NZ" w:eastAsia="ko-KR"/>
        </w:rPr>
        <w:tab/>
        <w:t>Bangladesh - Document APG23-6/INP-</w:t>
      </w:r>
      <w:r w:rsidRPr="007C0D45">
        <w:rPr>
          <w:rFonts w:hint="eastAsia"/>
          <w:b/>
          <w:lang w:val="en-NZ" w:eastAsia="ko-KR"/>
        </w:rPr>
        <w:t>24</w:t>
      </w:r>
    </w:p>
    <w:p w14:paraId="668D27BC" w14:textId="77777777" w:rsidR="009C638D" w:rsidRPr="007C0D45" w:rsidRDefault="009C638D" w:rsidP="009C638D">
      <w:pPr>
        <w:ind w:left="348"/>
        <w:jc w:val="both"/>
        <w:rPr>
          <w:rFonts w:eastAsiaTheme="minorEastAsia"/>
          <w:lang w:val="en-NZ" w:eastAsia="zh-CN"/>
        </w:rPr>
      </w:pPr>
      <w:r w:rsidRPr="007C0D45">
        <w:lastRenderedPageBreak/>
        <w:t>To satisfy this agenda item, Bangladesh administration supports method B of the draft CPM report to WRC-2023. However, method D could be supported if fixed service is protected from aeronautical mobile service (AMS).</w:t>
      </w:r>
    </w:p>
    <w:p w14:paraId="503A413F" w14:textId="77777777" w:rsidR="009C638D" w:rsidRPr="007C0D45" w:rsidRDefault="009C638D" w:rsidP="009C638D">
      <w:pPr>
        <w:ind w:left="348"/>
        <w:jc w:val="both"/>
        <w:rPr>
          <w:rFonts w:eastAsiaTheme="minorEastAsia"/>
          <w:lang w:val="en-NZ" w:eastAsia="zh-CN"/>
        </w:rPr>
      </w:pPr>
    </w:p>
    <w:p w14:paraId="65E5E194"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.3</w:t>
      </w:r>
      <w:r w:rsidRPr="007C0D45">
        <w:rPr>
          <w:b/>
          <w:lang w:val="en-NZ" w:eastAsia="ko-KR"/>
        </w:rPr>
        <w:t xml:space="preserve"> </w:t>
      </w:r>
      <w:r w:rsidRPr="007C0D45">
        <w:rPr>
          <w:b/>
          <w:lang w:val="en-NZ" w:eastAsia="ko-KR"/>
        </w:rPr>
        <w:tab/>
        <w:t>Japan - Document APG23-6/INP-</w:t>
      </w:r>
      <w:r w:rsidRPr="007C0D45">
        <w:rPr>
          <w:rFonts w:hint="eastAsia"/>
          <w:b/>
          <w:lang w:val="en-NZ" w:eastAsia="ko-KR"/>
        </w:rPr>
        <w:t>31</w:t>
      </w:r>
    </w:p>
    <w:p w14:paraId="3F0BE6D9" w14:textId="77777777" w:rsidR="009C638D" w:rsidRPr="007C0D45" w:rsidRDefault="009C638D" w:rsidP="009C638D">
      <w:pPr>
        <w:ind w:left="348"/>
        <w:jc w:val="both"/>
      </w:pPr>
      <w:r w:rsidRPr="007C0D45">
        <w:t xml:space="preserve">For the new allocation of AM(OR)S to 15.4-15.7 GHz, Japan is of the view that an agreed condition to ensure the protection of current/future systems under incumbent services operated in the same frequency band (ARNS (Aeronautical Radio Navigation Service), RLS (Radiolocation Service)) and in the adjacent frequency band (RA (Radio Astronomy)) is necessary. </w:t>
      </w:r>
    </w:p>
    <w:p w14:paraId="46A3E4E1" w14:textId="77777777" w:rsidR="009C638D" w:rsidRPr="007C0D45" w:rsidRDefault="009C638D" w:rsidP="009C638D">
      <w:pPr>
        <w:ind w:left="348"/>
        <w:jc w:val="both"/>
      </w:pPr>
      <w:r w:rsidRPr="007C0D45">
        <w:t>For the new allocation of AM(OR)S to 22-22.21 GHz, Japan is also of the view that an agreed condition to ensure the protection of current/future systems under incumbent services operated in the same frequency band (MS (Mobile Service)) and in adjacent frequency band (EESS (Earth Exploration Satellite Service) (passive), RA(Radio Astronomy)) is necessary.</w:t>
      </w:r>
    </w:p>
    <w:p w14:paraId="1890619C" w14:textId="77777777" w:rsidR="009C638D" w:rsidRPr="007C0D45" w:rsidRDefault="009C638D" w:rsidP="009C638D">
      <w:pPr>
        <w:ind w:left="348"/>
        <w:jc w:val="both"/>
      </w:pPr>
    </w:p>
    <w:p w14:paraId="75FD574A" w14:textId="77777777" w:rsidR="009C638D" w:rsidRPr="007C0D45" w:rsidRDefault="009C638D" w:rsidP="009C638D">
      <w:pPr>
        <w:ind w:left="348"/>
        <w:jc w:val="both"/>
        <w:rPr>
          <w:rFonts w:eastAsiaTheme="minorEastAsia"/>
          <w:lang w:val="en-NZ" w:eastAsia="zh-CN"/>
        </w:rPr>
      </w:pPr>
      <w:r w:rsidRPr="007C0D45">
        <w:t>Reason: Japan considers that the protection of current/future systems under incumbent services should be the top priority.</w:t>
      </w:r>
    </w:p>
    <w:p w14:paraId="130AA5E0" w14:textId="77777777" w:rsidR="009C638D" w:rsidRPr="007C0D45" w:rsidRDefault="009C638D" w:rsidP="009C638D">
      <w:pPr>
        <w:ind w:left="348"/>
        <w:jc w:val="both"/>
        <w:rPr>
          <w:rFonts w:eastAsiaTheme="minorEastAsia"/>
          <w:lang w:val="en-NZ" w:eastAsia="zh-CN"/>
        </w:rPr>
      </w:pPr>
    </w:p>
    <w:p w14:paraId="1A8A3CBF"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4</w:t>
      </w:r>
      <w:r w:rsidRPr="007C0D45">
        <w:rPr>
          <w:b/>
          <w:lang w:val="en-NZ" w:eastAsia="ko-KR"/>
        </w:rPr>
        <w:t xml:space="preserve"> </w:t>
      </w:r>
      <w:r w:rsidRPr="007C0D45">
        <w:rPr>
          <w:b/>
          <w:lang w:val="en-NZ" w:eastAsia="ko-KR"/>
        </w:rPr>
        <w:tab/>
        <w:t>Indonesia - Document APG23-6/INP-</w:t>
      </w:r>
      <w:r w:rsidRPr="007C0D45">
        <w:rPr>
          <w:rFonts w:hint="eastAsia"/>
          <w:b/>
          <w:lang w:val="en-NZ" w:eastAsia="ko-KR"/>
        </w:rPr>
        <w:t>48</w:t>
      </w:r>
    </w:p>
    <w:p w14:paraId="444931F8" w14:textId="77777777" w:rsidR="009C638D" w:rsidRPr="007C0D45" w:rsidRDefault="009C638D" w:rsidP="009C638D">
      <w:pPr>
        <w:ind w:left="348"/>
        <w:jc w:val="both"/>
        <w:rPr>
          <w:lang w:val="en-NZ"/>
        </w:rPr>
      </w:pPr>
      <w:r w:rsidRPr="007C0D45">
        <w:rPr>
          <w:lang w:val="en-GB"/>
        </w:rPr>
        <w:t>Indonesia supports the possible new allocations, taking into account to ensure that it does not adversely affect the existing, and plan status or provision of aeronautical safety services as well as other services.</w:t>
      </w:r>
    </w:p>
    <w:p w14:paraId="470ED4FB" w14:textId="77777777" w:rsidR="009C638D" w:rsidRPr="007C0D45" w:rsidRDefault="009C638D" w:rsidP="009C638D">
      <w:pPr>
        <w:ind w:left="348"/>
        <w:jc w:val="both"/>
        <w:rPr>
          <w:rFonts w:eastAsiaTheme="minorEastAsia"/>
          <w:lang w:val="en-NZ" w:eastAsia="zh-CN"/>
        </w:rPr>
      </w:pPr>
    </w:p>
    <w:p w14:paraId="1F0D6B84" w14:textId="334087D5"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5</w:t>
      </w:r>
      <w:r w:rsidRPr="007C0D45">
        <w:rPr>
          <w:b/>
          <w:lang w:val="en-NZ" w:eastAsia="ko-KR"/>
        </w:rPr>
        <w:t xml:space="preserve"> </w:t>
      </w:r>
      <w:r w:rsidRPr="007C0D45">
        <w:rPr>
          <w:b/>
          <w:lang w:val="en-NZ" w:eastAsia="ko-KR"/>
        </w:rPr>
        <w:tab/>
      </w:r>
      <w:r w:rsidRPr="007C0D45">
        <w:rPr>
          <w:rFonts w:hint="eastAsia"/>
          <w:b/>
          <w:lang w:val="en-NZ" w:eastAsia="ko-KR"/>
        </w:rPr>
        <w:t>Thailand</w:t>
      </w:r>
      <w:r w:rsidR="00E611DA" w:rsidRPr="007C0D45">
        <w:rPr>
          <w:rFonts w:eastAsia="SimSun" w:hint="eastAsia"/>
          <w:b/>
          <w:lang w:val="en-NZ" w:eastAsia="zh-CN"/>
        </w:rPr>
        <w:t xml:space="preserve"> (Kingdom of)</w:t>
      </w:r>
      <w:r w:rsidRPr="007C0D45">
        <w:rPr>
          <w:b/>
          <w:lang w:val="en-NZ" w:eastAsia="ko-KR"/>
        </w:rPr>
        <w:t xml:space="preserve"> - Document APG23-6/INP-</w:t>
      </w:r>
      <w:r w:rsidRPr="007C0D45">
        <w:rPr>
          <w:rFonts w:hint="eastAsia"/>
          <w:b/>
          <w:lang w:val="en-NZ" w:eastAsia="ko-KR"/>
        </w:rPr>
        <w:t>59</w:t>
      </w:r>
    </w:p>
    <w:p w14:paraId="60E2619F" w14:textId="7F52502E" w:rsidR="009C638D" w:rsidRPr="007C0D45" w:rsidRDefault="009C638D" w:rsidP="009C638D">
      <w:pPr>
        <w:ind w:left="348"/>
        <w:jc w:val="both"/>
        <w:rPr>
          <w:rFonts w:eastAsiaTheme="minorEastAsia"/>
          <w:lang w:val="en-GB" w:eastAsia="zh-CN"/>
        </w:rPr>
      </w:pPr>
      <w:r w:rsidRPr="007C0D45">
        <w:rPr>
          <w:lang w:val="en-GB"/>
        </w:rPr>
        <w:t>Thailand supports Method A which proposes no change to the Radio Regulations due to concerns on the practicality of sharing conditions.</w:t>
      </w:r>
    </w:p>
    <w:p w14:paraId="67C7F337" w14:textId="77777777" w:rsidR="009C638D" w:rsidRPr="007C0D45" w:rsidRDefault="009C638D" w:rsidP="009C638D">
      <w:pPr>
        <w:ind w:left="348"/>
        <w:jc w:val="center"/>
        <w:rPr>
          <w:rFonts w:eastAsiaTheme="minorEastAsia"/>
          <w:lang w:val="en-NZ" w:eastAsia="zh-CN"/>
        </w:rPr>
      </w:pPr>
      <w:r w:rsidRPr="007C0D45">
        <w:rPr>
          <w:b/>
        </w:rPr>
        <w:object w:dxaOrig="1287" w:dyaOrig="797" w14:anchorId="78AA2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9.75pt" o:ole="">
            <v:imagedata r:id="rId49" o:title=""/>
          </v:shape>
          <o:OLEObject Type="Embed" ProgID="Word.Document.12" ShapeID="_x0000_i1025" DrawAspect="Icon" ObjectID="_1753937343" r:id="rId50">
            <o:FieldCodes>\s</o:FieldCodes>
          </o:OLEObject>
        </w:object>
      </w:r>
    </w:p>
    <w:p w14:paraId="7CCA78BE" w14:textId="77777777" w:rsidR="009C638D" w:rsidRPr="007C0D45" w:rsidRDefault="009C638D" w:rsidP="009C638D">
      <w:pPr>
        <w:ind w:left="348"/>
        <w:jc w:val="both"/>
        <w:rPr>
          <w:rFonts w:eastAsiaTheme="minorEastAsia"/>
          <w:lang w:val="en-NZ" w:eastAsia="zh-CN"/>
        </w:rPr>
      </w:pPr>
    </w:p>
    <w:p w14:paraId="7E870336"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6</w:t>
      </w:r>
      <w:r w:rsidRPr="007C0D45">
        <w:rPr>
          <w:b/>
          <w:lang w:val="en-NZ" w:eastAsia="ko-KR"/>
        </w:rPr>
        <w:t xml:space="preserve"> </w:t>
      </w:r>
      <w:r w:rsidRPr="007C0D45">
        <w:rPr>
          <w:b/>
          <w:lang w:val="en-NZ" w:eastAsia="ko-KR"/>
        </w:rPr>
        <w:tab/>
      </w:r>
      <w:r w:rsidRPr="007C0D45">
        <w:rPr>
          <w:rFonts w:hint="eastAsia"/>
          <w:b/>
          <w:lang w:val="en-NZ" w:eastAsia="ko-KR"/>
        </w:rPr>
        <w:t>Iran</w:t>
      </w:r>
      <w:r w:rsidRPr="007C0D45">
        <w:rPr>
          <w:b/>
          <w:lang w:val="en-NZ" w:eastAsia="ko-KR"/>
        </w:rPr>
        <w:t xml:space="preserve"> - Document APG23-6/INP-</w:t>
      </w:r>
      <w:r w:rsidRPr="007C0D45">
        <w:rPr>
          <w:rFonts w:hint="eastAsia"/>
          <w:b/>
          <w:lang w:val="en-NZ" w:eastAsia="ko-KR"/>
        </w:rPr>
        <w:t>66R1</w:t>
      </w:r>
    </w:p>
    <w:p w14:paraId="1C9327EE" w14:textId="77777777" w:rsidR="009C638D" w:rsidRPr="007C0D45" w:rsidRDefault="009C638D" w:rsidP="009C638D">
      <w:pPr>
        <w:ind w:left="348"/>
        <w:jc w:val="both"/>
        <w:rPr>
          <w:lang w:val="en-NZ"/>
        </w:rPr>
      </w:pPr>
      <w:r w:rsidRPr="007C0D45">
        <w:t>The Administration of Iran (Islamic Republic of) supports Method C which proposes to remove the exception of aeronautical mobile service of the mobile service allocation in the frequency band 22-22.21 GHz, and to add associated footnotes. However, there is a need that the protection of primary services are allocated in the 15.4-15.7 GHz and 22-22.21 GHz frequency bands and in adjacent frequency bands should be ensured. Also, AM(OR)S shall not cause unacceptable interference to nor claim protection from these services.</w:t>
      </w:r>
    </w:p>
    <w:p w14:paraId="546F8BEF" w14:textId="77777777" w:rsidR="009C638D" w:rsidRPr="007C0D45" w:rsidRDefault="009C638D" w:rsidP="009C638D">
      <w:pPr>
        <w:jc w:val="both"/>
        <w:rPr>
          <w:lang w:val="en-NZ"/>
        </w:rPr>
      </w:pPr>
    </w:p>
    <w:p w14:paraId="56582BAF"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7</w:t>
      </w:r>
      <w:r w:rsidRPr="007C0D45">
        <w:rPr>
          <w:b/>
          <w:lang w:val="en-NZ" w:eastAsia="ko-KR"/>
        </w:rPr>
        <w:t xml:space="preserve"> </w:t>
      </w:r>
      <w:r w:rsidRPr="007C0D45">
        <w:rPr>
          <w:b/>
          <w:lang w:val="en-NZ" w:eastAsia="ko-KR"/>
        </w:rPr>
        <w:tab/>
        <w:t>Australia - Document APG23-6/INP-</w:t>
      </w:r>
      <w:r w:rsidRPr="007C0D45">
        <w:rPr>
          <w:rFonts w:hint="eastAsia"/>
          <w:b/>
          <w:lang w:val="en-NZ" w:eastAsia="ko-KR"/>
        </w:rPr>
        <w:t>81</w:t>
      </w:r>
    </w:p>
    <w:p w14:paraId="0F90CCF1" w14:textId="77777777" w:rsidR="009C638D" w:rsidRPr="007C0D45" w:rsidRDefault="009C638D" w:rsidP="009C638D">
      <w:pPr>
        <w:ind w:left="348"/>
        <w:jc w:val="both"/>
      </w:pPr>
      <w:r w:rsidRPr="007C0D45">
        <w:t>Australia does not oppose new allocations to the aeronautical mobile service for use by non-safety aeronautical mobile applications on a primary basis in the frequency bands 15.4</w:t>
      </w:r>
      <w:r w:rsidRPr="007C0D45">
        <w:rPr>
          <w:rFonts w:eastAsiaTheme="minorEastAsia" w:hint="eastAsia"/>
          <w:lang w:eastAsia="zh-CN"/>
        </w:rPr>
        <w:t>-</w:t>
      </w:r>
      <w:r w:rsidRPr="007C0D45">
        <w:t xml:space="preserve"> 15.7 GHz and 22</w:t>
      </w:r>
      <w:r w:rsidRPr="007C0D45">
        <w:rPr>
          <w:rFonts w:eastAsiaTheme="minorEastAsia" w:hint="eastAsia"/>
          <w:lang w:eastAsia="zh-CN"/>
        </w:rPr>
        <w:t>-</w:t>
      </w:r>
      <w:r w:rsidRPr="007C0D45">
        <w:t>22.21 GHz.</w:t>
      </w:r>
    </w:p>
    <w:p w14:paraId="4112F066" w14:textId="77777777" w:rsidR="009C638D" w:rsidRPr="007C0D45" w:rsidRDefault="009C638D" w:rsidP="009C638D">
      <w:pPr>
        <w:ind w:left="348"/>
        <w:jc w:val="both"/>
      </w:pPr>
      <w:r w:rsidRPr="007C0D45">
        <w:t>Any such modification shall not adversely affect the status or provision of aeronautical safety services.</w:t>
      </w:r>
    </w:p>
    <w:p w14:paraId="0E9D5166" w14:textId="77777777" w:rsidR="009C638D" w:rsidRPr="007C0D45" w:rsidRDefault="009C638D" w:rsidP="009C638D">
      <w:pPr>
        <w:ind w:left="348"/>
        <w:jc w:val="both"/>
        <w:rPr>
          <w:lang w:val="en-NZ"/>
        </w:rPr>
      </w:pPr>
      <w:r w:rsidRPr="007C0D45">
        <w:t>Australia does not propose a Preliminary APT Common Proposal on this agenda item.</w:t>
      </w:r>
    </w:p>
    <w:p w14:paraId="44486F73" w14:textId="77777777" w:rsidR="009C638D" w:rsidRPr="007C0D45" w:rsidRDefault="009C638D" w:rsidP="009C638D">
      <w:pPr>
        <w:jc w:val="both"/>
        <w:rPr>
          <w:lang w:val="en-NZ"/>
        </w:rPr>
      </w:pPr>
    </w:p>
    <w:p w14:paraId="29E86DDD"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8</w:t>
      </w:r>
      <w:r w:rsidRPr="007C0D45">
        <w:rPr>
          <w:b/>
          <w:lang w:val="en-NZ" w:eastAsia="ko-KR"/>
        </w:rPr>
        <w:t xml:space="preserve"> </w:t>
      </w:r>
      <w:r w:rsidRPr="007C0D45">
        <w:rPr>
          <w:b/>
          <w:lang w:val="en-NZ" w:eastAsia="ko-KR"/>
        </w:rPr>
        <w:tab/>
        <w:t>Korea (Republic of) - Document APG23-6/INP-</w:t>
      </w:r>
      <w:r w:rsidRPr="007C0D45">
        <w:rPr>
          <w:rFonts w:hint="eastAsia"/>
          <w:b/>
          <w:lang w:val="en-NZ" w:eastAsia="ko-KR"/>
        </w:rPr>
        <w:t>88</w:t>
      </w:r>
    </w:p>
    <w:p w14:paraId="54CB7E04" w14:textId="77777777" w:rsidR="009C638D" w:rsidRPr="007C0D45" w:rsidRDefault="009C638D" w:rsidP="009C638D">
      <w:pPr>
        <w:ind w:left="348"/>
        <w:jc w:val="both"/>
        <w:rPr>
          <w:lang w:val="en-NZ"/>
        </w:rPr>
      </w:pPr>
      <w:r w:rsidRPr="007C0D45">
        <w:rPr>
          <w:bCs/>
          <w:lang w:val="en-NZ" w:eastAsia="ko-KR"/>
        </w:rPr>
        <w:t xml:space="preserve">Based on the study results conducted by ITU-R on WRC-23 agenda item 1.10 in accordance with Resolution </w:t>
      </w:r>
      <w:r w:rsidRPr="007C0D45">
        <w:rPr>
          <w:b/>
          <w:bCs/>
          <w:lang w:val="en-NZ" w:eastAsia="ko-KR"/>
        </w:rPr>
        <w:t>430 (WRC-19)</w:t>
      </w:r>
      <w:r w:rsidRPr="007C0D45">
        <w:rPr>
          <w:bCs/>
          <w:lang w:val="en-NZ" w:eastAsia="ko-KR"/>
        </w:rPr>
        <w:t xml:space="preserve">, the Republic of Korea does not oppose new allocations to </w:t>
      </w:r>
      <w:r w:rsidRPr="007C0D45">
        <w:rPr>
          <w:bCs/>
          <w:lang w:val="en-NZ" w:eastAsia="ko-KR"/>
        </w:rPr>
        <w:lastRenderedPageBreak/>
        <w:t>the aeronautical mobile service for use by non-safety aeronautical mobile applications on primary basis in the frequency bands 15.4-15.7 GHz and 22-22.21 GHz, provided that the protection of other primary services in the same and the adjacent bands is ensured.</w:t>
      </w:r>
    </w:p>
    <w:p w14:paraId="1DAE4B47" w14:textId="77777777" w:rsidR="009C638D" w:rsidRPr="007C0D45" w:rsidRDefault="009C638D" w:rsidP="009C638D">
      <w:pPr>
        <w:jc w:val="both"/>
        <w:rPr>
          <w:lang w:val="en-NZ"/>
        </w:rPr>
      </w:pPr>
    </w:p>
    <w:p w14:paraId="428AA4E1"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9</w:t>
      </w:r>
      <w:r w:rsidRPr="007C0D45">
        <w:rPr>
          <w:b/>
          <w:lang w:val="en-NZ" w:eastAsia="ko-KR"/>
        </w:rPr>
        <w:t xml:space="preserve"> </w:t>
      </w:r>
      <w:r w:rsidRPr="007C0D45">
        <w:rPr>
          <w:b/>
          <w:lang w:val="en-NZ" w:eastAsia="ko-KR"/>
        </w:rPr>
        <w:tab/>
        <w:t>Philippines - Document APG23-6/INP-</w:t>
      </w:r>
      <w:r w:rsidRPr="007C0D45">
        <w:rPr>
          <w:rFonts w:hint="eastAsia"/>
          <w:b/>
          <w:lang w:val="en-NZ" w:eastAsia="ko-KR"/>
        </w:rPr>
        <w:t>93</w:t>
      </w:r>
    </w:p>
    <w:p w14:paraId="5BE42D85" w14:textId="77777777" w:rsidR="009C638D" w:rsidRPr="007C0D45" w:rsidRDefault="009C638D" w:rsidP="009C638D">
      <w:pPr>
        <w:ind w:left="348"/>
        <w:jc w:val="both"/>
        <w:rPr>
          <w:rFonts w:eastAsiaTheme="minorEastAsia"/>
          <w:bCs/>
          <w:lang w:val="en-NZ" w:eastAsia="zh-CN"/>
        </w:rPr>
      </w:pPr>
      <w:r w:rsidRPr="007C0D45">
        <w:rPr>
          <w:bCs/>
          <w:lang w:val="en-NZ" w:eastAsia="ko-KR"/>
        </w:rPr>
        <w:t>Philippines is of the view that the protection of incumbent services in the frequency bands 15.4-15.7 GHz, 22-22.21 GHz and the adjacent frequency bands should be ensured. Our administration supports Method A which proposes no change to the Radio Regulations.</w:t>
      </w:r>
    </w:p>
    <w:p w14:paraId="5BB322BA" w14:textId="77777777" w:rsidR="009C638D" w:rsidRPr="007C0D45" w:rsidRDefault="009C638D" w:rsidP="009C638D">
      <w:pPr>
        <w:ind w:left="348"/>
        <w:jc w:val="both"/>
        <w:rPr>
          <w:rFonts w:eastAsiaTheme="minorEastAsia"/>
          <w:lang w:val="en-NZ" w:eastAsia="zh-CN"/>
        </w:rPr>
      </w:pPr>
    </w:p>
    <w:p w14:paraId="02482A7E"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10</w:t>
      </w:r>
      <w:r w:rsidRPr="007C0D45">
        <w:rPr>
          <w:b/>
          <w:lang w:val="en-NZ" w:eastAsia="ko-KR"/>
        </w:rPr>
        <w:tab/>
        <w:t>China - Document APG23-6/INP-</w:t>
      </w:r>
      <w:r w:rsidRPr="007C0D45">
        <w:rPr>
          <w:rFonts w:hint="eastAsia"/>
          <w:b/>
          <w:lang w:val="en-NZ" w:eastAsia="ko-KR"/>
        </w:rPr>
        <w:t>104</w:t>
      </w:r>
    </w:p>
    <w:p w14:paraId="2592CCFC" w14:textId="77777777" w:rsidR="009C638D" w:rsidRPr="007C0D45" w:rsidRDefault="009C638D" w:rsidP="009C638D">
      <w:pPr>
        <w:ind w:left="346"/>
        <w:jc w:val="both"/>
        <w:rPr>
          <w:rFonts w:eastAsiaTheme="minorEastAsia"/>
          <w:bCs/>
          <w:lang w:val="en-NZ" w:eastAsia="zh-CN"/>
        </w:rPr>
      </w:pPr>
      <w:r w:rsidRPr="007C0D45">
        <w:rPr>
          <w:bCs/>
          <w:lang w:val="en-NZ" w:eastAsia="ko-KR"/>
        </w:rPr>
        <w:t>China is of the view that the protection of incumbent services in the frequency bands 15.4-15.7GHz and 22-22.21GHz and the adjacent frequency bands should be ensured, and support</w:t>
      </w:r>
      <w:r w:rsidRPr="007C0D45">
        <w:rPr>
          <w:rFonts w:eastAsiaTheme="minorEastAsia" w:hint="eastAsia"/>
          <w:bCs/>
          <w:lang w:val="en-NZ" w:eastAsia="zh-CN"/>
        </w:rPr>
        <w:t>s</w:t>
      </w:r>
      <w:r w:rsidRPr="007C0D45">
        <w:rPr>
          <w:bCs/>
          <w:lang w:val="en-NZ" w:eastAsia="ko-KR"/>
        </w:rPr>
        <w:t xml:space="preserve"> Method A.</w:t>
      </w:r>
    </w:p>
    <w:p w14:paraId="0BCEB5A5" w14:textId="77777777" w:rsidR="009C638D" w:rsidRPr="007C0D45" w:rsidRDefault="009C638D" w:rsidP="009C638D">
      <w:pPr>
        <w:ind w:left="346"/>
        <w:jc w:val="both"/>
        <w:rPr>
          <w:rFonts w:eastAsiaTheme="minorEastAsia"/>
          <w:bCs/>
          <w:lang w:val="en-NZ" w:eastAsia="zh-CN"/>
        </w:rPr>
      </w:pPr>
    </w:p>
    <w:p w14:paraId="141B3A1C"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11</w:t>
      </w:r>
      <w:r w:rsidRPr="007C0D45">
        <w:rPr>
          <w:b/>
          <w:lang w:val="en-NZ" w:eastAsia="ko-KR"/>
        </w:rPr>
        <w:t xml:space="preserve"> </w:t>
      </w:r>
      <w:r w:rsidRPr="007C0D45">
        <w:rPr>
          <w:b/>
          <w:lang w:val="en-NZ" w:eastAsia="ko-KR"/>
        </w:rPr>
        <w:tab/>
      </w:r>
      <w:r w:rsidRPr="007C0D45">
        <w:rPr>
          <w:rFonts w:hint="eastAsia"/>
          <w:b/>
          <w:lang w:val="en-NZ" w:eastAsia="ko-KR"/>
        </w:rPr>
        <w:t>Malaysia</w:t>
      </w:r>
      <w:r w:rsidRPr="007C0D45">
        <w:rPr>
          <w:b/>
          <w:lang w:val="en-NZ" w:eastAsia="ko-KR"/>
        </w:rPr>
        <w:t xml:space="preserve"> - Document APG23-6/INP-</w:t>
      </w:r>
      <w:r w:rsidRPr="007C0D45">
        <w:rPr>
          <w:rFonts w:hint="eastAsia"/>
          <w:b/>
          <w:lang w:val="en-NZ" w:eastAsia="ko-KR"/>
        </w:rPr>
        <w:t>110</w:t>
      </w:r>
    </w:p>
    <w:p w14:paraId="7390FC5E" w14:textId="77777777" w:rsidR="009C638D" w:rsidRPr="007C0D45" w:rsidRDefault="009C638D" w:rsidP="009C638D">
      <w:pPr>
        <w:ind w:left="348"/>
        <w:jc w:val="both"/>
        <w:rPr>
          <w:bCs/>
          <w:lang w:val="en-NZ" w:eastAsia="ko-KR"/>
        </w:rPr>
      </w:pPr>
      <w:r w:rsidRPr="007C0D45">
        <w:rPr>
          <w:bCs/>
          <w:lang w:val="en-NZ" w:eastAsia="ko-KR"/>
        </w:rPr>
        <w:t>Malaysia supports new allocation to the AM(OR)S in the 15.4-15.7 GHz frequency band or part thereof, and/or remove the exception to AM(OR)S of the mobile allocation in the 22-22.21 GHz frequency band or part thereof.</w:t>
      </w:r>
    </w:p>
    <w:p w14:paraId="1C2E84D5" w14:textId="77777777" w:rsidR="009C638D" w:rsidRPr="007C0D45" w:rsidRDefault="009C638D" w:rsidP="009C638D">
      <w:pPr>
        <w:ind w:left="348"/>
        <w:jc w:val="both"/>
        <w:rPr>
          <w:bCs/>
          <w:lang w:val="en-NZ" w:eastAsia="ko-KR"/>
        </w:rPr>
      </w:pPr>
      <w:r w:rsidRPr="007C0D45">
        <w:rPr>
          <w:bCs/>
          <w:lang w:val="en-NZ" w:eastAsia="ko-KR"/>
        </w:rPr>
        <w:t>Malaysia also is of the view that the protection of existing primary services in the 15.4-15.7 GHz and 22-22.21 GHz frequency bands and in the adjacent frequency bands shall be ensured.</w:t>
      </w:r>
    </w:p>
    <w:p w14:paraId="3FAA9B66" w14:textId="77777777" w:rsidR="009C638D" w:rsidRPr="007C0D45" w:rsidRDefault="009C638D" w:rsidP="009C638D">
      <w:pPr>
        <w:ind w:left="348"/>
        <w:jc w:val="both"/>
        <w:rPr>
          <w:bCs/>
          <w:lang w:val="en-NZ" w:eastAsia="ko-KR"/>
        </w:rPr>
      </w:pPr>
      <w:r w:rsidRPr="007C0D45">
        <w:rPr>
          <w:bCs/>
          <w:lang w:val="en-NZ" w:eastAsia="ko-KR"/>
        </w:rPr>
        <w:t>As such, Malaysia is considering Method B and/or C or Method E to address this agenda item.</w:t>
      </w:r>
    </w:p>
    <w:p w14:paraId="0F185E7E" w14:textId="77777777" w:rsidR="009C638D" w:rsidRPr="007C0D45" w:rsidRDefault="009C638D" w:rsidP="009C638D">
      <w:pPr>
        <w:ind w:left="346"/>
        <w:jc w:val="both"/>
        <w:rPr>
          <w:rFonts w:eastAsiaTheme="minorEastAsia"/>
          <w:bCs/>
          <w:lang w:val="en-NZ" w:eastAsia="zh-CN"/>
        </w:rPr>
      </w:pPr>
    </w:p>
    <w:p w14:paraId="34EDB15C" w14:textId="77777777" w:rsidR="009C638D" w:rsidRPr="007C0D45" w:rsidRDefault="009C638D" w:rsidP="009C638D">
      <w:pPr>
        <w:spacing w:after="120"/>
        <w:jc w:val="both"/>
        <w:outlineLvl w:val="2"/>
        <w:rPr>
          <w:b/>
          <w:lang w:val="en-NZ" w:eastAsia="ko-KR"/>
        </w:rPr>
      </w:pPr>
      <w:r w:rsidRPr="007C0D45">
        <w:rPr>
          <w:b/>
          <w:lang w:val="en-NZ" w:eastAsia="ko-KR"/>
        </w:rPr>
        <w:t>3.1.</w:t>
      </w:r>
      <w:r w:rsidRPr="007C0D45">
        <w:rPr>
          <w:rFonts w:hint="eastAsia"/>
          <w:b/>
          <w:lang w:val="en-NZ" w:eastAsia="ko-KR"/>
        </w:rPr>
        <w:t>12</w:t>
      </w:r>
      <w:r w:rsidRPr="007C0D45">
        <w:rPr>
          <w:b/>
          <w:lang w:val="en-NZ" w:eastAsia="ko-KR"/>
        </w:rPr>
        <w:t xml:space="preserve"> </w:t>
      </w:r>
      <w:r w:rsidRPr="007C0D45">
        <w:rPr>
          <w:b/>
          <w:lang w:val="en-NZ" w:eastAsia="ko-KR"/>
        </w:rPr>
        <w:tab/>
        <w:t>Viet Nam - Document APG23-6/INP-</w:t>
      </w:r>
      <w:r w:rsidRPr="007C0D45">
        <w:rPr>
          <w:rFonts w:hint="eastAsia"/>
          <w:b/>
          <w:lang w:val="en-NZ" w:eastAsia="ko-KR"/>
        </w:rPr>
        <w:t>119</w:t>
      </w:r>
    </w:p>
    <w:p w14:paraId="1DB9E8FF" w14:textId="77777777" w:rsidR="009C638D" w:rsidRPr="007C0D45" w:rsidRDefault="009C638D" w:rsidP="009C638D">
      <w:pPr>
        <w:ind w:left="348"/>
        <w:jc w:val="both"/>
        <w:rPr>
          <w:lang w:val="en-GB"/>
        </w:rPr>
      </w:pPr>
      <w:r w:rsidRPr="007C0D45">
        <w:rPr>
          <w:lang w:val="en-GB"/>
        </w:rPr>
        <w:t>Viet Nam supports Method A in the CPM report.</w:t>
      </w:r>
    </w:p>
    <w:p w14:paraId="002C388F" w14:textId="77777777" w:rsidR="009C638D" w:rsidRPr="007C0D45" w:rsidRDefault="009C638D" w:rsidP="009C638D">
      <w:pPr>
        <w:ind w:left="348"/>
        <w:jc w:val="both"/>
        <w:rPr>
          <w:i/>
          <w:lang w:val="en-GB"/>
        </w:rPr>
      </w:pPr>
      <w:r w:rsidRPr="007C0D45">
        <w:rPr>
          <w:i/>
          <w:lang w:val="en-GB"/>
        </w:rPr>
        <w:t>Reasons: The frequency band 15.4-15.7 GHz is allocated to the aeronautical radionavigation service used for automatic landing systems (ALS) and unmanned aircraft detect and avoid (DAA) systems. This related to safety of life and the Recommendation for providing characteristics and protection requirements for these ARNS systems has not been published. The 22-22.21 GHz band, some studies has been summarized in CPM report that the short-term interference threshold of fixed stations may be exceeded in some situations with single-entry part and with the multiple-entry part, the long-term protection criterion of the fixed station is exceeded when high densities of such omnidirectional aircraft stations are operated within the visibility area of a sector of the fixed station.</w:t>
      </w:r>
    </w:p>
    <w:p w14:paraId="4CD069B8" w14:textId="3B828916" w:rsidR="00A51D60" w:rsidRPr="007C0D45" w:rsidRDefault="00A51D60" w:rsidP="009D4B7A">
      <w:pPr>
        <w:jc w:val="both"/>
        <w:rPr>
          <w:i/>
          <w:iCs/>
          <w:lang w:val="en-NZ"/>
        </w:rPr>
      </w:pPr>
      <w:r w:rsidRPr="007C0D45">
        <w:rPr>
          <w:i/>
          <w:iCs/>
          <w:lang w:val="en-NZ"/>
        </w:rPr>
        <w:t xml:space="preserve"> </w:t>
      </w:r>
    </w:p>
    <w:p w14:paraId="1706C93F" w14:textId="77777777" w:rsidR="009D4B7A" w:rsidRPr="007C0D45" w:rsidRDefault="009D4B7A" w:rsidP="009D4B7A">
      <w:pPr>
        <w:rPr>
          <w:lang w:val="en-NZ"/>
        </w:rPr>
      </w:pPr>
    </w:p>
    <w:p w14:paraId="7A63430F" w14:textId="77777777" w:rsidR="009D4B7A" w:rsidRPr="007C0D45" w:rsidRDefault="009D4B7A" w:rsidP="00DF23F1">
      <w:pPr>
        <w:spacing w:after="120"/>
        <w:jc w:val="both"/>
        <w:outlineLvl w:val="1"/>
        <w:rPr>
          <w:b/>
          <w:lang w:val="en-NZ"/>
        </w:rPr>
      </w:pPr>
      <w:r w:rsidRPr="007C0D45">
        <w:rPr>
          <w:b/>
          <w:lang w:val="en-NZ"/>
        </w:rPr>
        <w:t xml:space="preserve">3.2 </w:t>
      </w:r>
      <w:r w:rsidRPr="007C0D45">
        <w:rPr>
          <w:b/>
          <w:lang w:val="en-NZ"/>
        </w:rPr>
        <w:tab/>
        <w:t>S</w:t>
      </w:r>
      <w:r w:rsidRPr="007C0D45">
        <w:rPr>
          <w:b/>
          <w:lang w:val="en-NZ" w:eastAsia="ko-KR"/>
        </w:rPr>
        <w:t>ummary of issues raised du</w:t>
      </w:r>
      <w:r w:rsidRPr="007C0D45">
        <w:rPr>
          <w:b/>
          <w:lang w:val="en-NZ"/>
        </w:rPr>
        <w:t>ring the meeting</w:t>
      </w:r>
    </w:p>
    <w:p w14:paraId="2FA8DC77" w14:textId="5CF45B48" w:rsidR="00C91E38" w:rsidRPr="007C0D45" w:rsidRDefault="00C91E38" w:rsidP="009C4CFF">
      <w:pPr>
        <w:numPr>
          <w:ilvl w:val="0"/>
          <w:numId w:val="12"/>
        </w:numPr>
        <w:ind w:leftChars="145" w:left="708"/>
        <w:jc w:val="both"/>
        <w:rPr>
          <w:lang w:val="en-NZ"/>
        </w:rPr>
      </w:pPr>
      <w:r w:rsidRPr="007C0D45">
        <w:rPr>
          <w:lang w:val="en-NZ"/>
        </w:rPr>
        <w:t xml:space="preserve">Due to the divergence of the Methods </w:t>
      </w:r>
      <w:r w:rsidR="005066D9" w:rsidRPr="007C0D45">
        <w:rPr>
          <w:rFonts w:eastAsia="SimSun"/>
          <w:lang w:val="en-NZ" w:eastAsia="zh-CN"/>
        </w:rPr>
        <w:t xml:space="preserve">or views </w:t>
      </w:r>
      <w:r w:rsidRPr="007C0D45">
        <w:rPr>
          <w:lang w:val="en-NZ"/>
        </w:rPr>
        <w:t>proposed by APT Members</w:t>
      </w:r>
      <w:r w:rsidRPr="007C0D45">
        <w:rPr>
          <w:rFonts w:eastAsia="SimSun"/>
          <w:lang w:val="en-NZ" w:eastAsia="zh-CN"/>
        </w:rPr>
        <w:t xml:space="preserve"> to </w:t>
      </w:r>
      <w:r w:rsidRPr="007C0D45">
        <w:rPr>
          <w:lang w:val="en-NZ"/>
        </w:rPr>
        <w:t xml:space="preserve">satisfy this agenda item, it </w:t>
      </w:r>
      <w:r w:rsidR="000F24F4">
        <w:rPr>
          <w:lang w:val="en-NZ"/>
        </w:rPr>
        <w:t>was</w:t>
      </w:r>
      <w:r w:rsidR="000F24F4" w:rsidRPr="007C0D45">
        <w:rPr>
          <w:lang w:val="en-NZ"/>
        </w:rPr>
        <w:t xml:space="preserve"> </w:t>
      </w:r>
      <w:r w:rsidRPr="007C0D45">
        <w:rPr>
          <w:lang w:val="en-NZ"/>
        </w:rPr>
        <w:t xml:space="preserve">not </w:t>
      </w:r>
      <w:r w:rsidR="000F24F4">
        <w:rPr>
          <w:rFonts w:eastAsia="SimSun"/>
          <w:lang w:val="en-NZ" w:eastAsia="zh-CN"/>
        </w:rPr>
        <w:t>pos</w:t>
      </w:r>
      <w:r w:rsidR="00D57D15">
        <w:rPr>
          <w:rFonts w:eastAsia="SimSun"/>
          <w:lang w:val="en-NZ" w:eastAsia="zh-CN"/>
        </w:rPr>
        <w:t>s</w:t>
      </w:r>
      <w:r w:rsidR="000F24F4">
        <w:rPr>
          <w:rFonts w:eastAsia="SimSun"/>
          <w:lang w:val="en-NZ" w:eastAsia="zh-CN"/>
        </w:rPr>
        <w:t>ible</w:t>
      </w:r>
      <w:r w:rsidR="000F24F4" w:rsidRPr="007C0D45">
        <w:rPr>
          <w:lang w:val="en-NZ"/>
        </w:rPr>
        <w:t xml:space="preserve"> </w:t>
      </w:r>
      <w:r w:rsidRPr="007C0D45">
        <w:rPr>
          <w:lang w:val="en-NZ"/>
        </w:rPr>
        <w:t>to develop a Preliminary APT Common Proposal</w:t>
      </w:r>
      <w:r w:rsidRPr="007C0D45">
        <w:rPr>
          <w:rFonts w:eastAsia="SimSun"/>
          <w:lang w:val="en-NZ" w:eastAsia="zh-CN"/>
        </w:rPr>
        <w:t xml:space="preserve"> (PACP) </w:t>
      </w:r>
      <w:r w:rsidR="000F24F4">
        <w:rPr>
          <w:rFonts w:eastAsia="SimSun"/>
          <w:lang w:val="en-NZ" w:eastAsia="zh-CN"/>
        </w:rPr>
        <w:t>for</w:t>
      </w:r>
      <w:r w:rsidR="000F24F4" w:rsidRPr="007C0D45">
        <w:rPr>
          <w:rFonts w:eastAsia="SimSun"/>
          <w:lang w:val="en-NZ" w:eastAsia="zh-CN"/>
        </w:rPr>
        <w:t xml:space="preserve"> </w:t>
      </w:r>
      <w:r w:rsidRPr="007C0D45">
        <w:rPr>
          <w:rFonts w:eastAsia="SimSun"/>
          <w:lang w:val="en-NZ" w:eastAsia="zh-CN"/>
        </w:rPr>
        <w:t>this agenda item</w:t>
      </w:r>
      <w:r w:rsidR="005066D9" w:rsidRPr="007C0D45">
        <w:rPr>
          <w:rFonts w:eastAsia="SimSun"/>
          <w:lang w:val="en-NZ" w:eastAsia="zh-CN"/>
        </w:rPr>
        <w:t xml:space="preserve"> at the APG23-6 meeting</w:t>
      </w:r>
      <w:r w:rsidRPr="007C0D45">
        <w:rPr>
          <w:rFonts w:eastAsia="SimSun"/>
          <w:lang w:val="en-NZ" w:eastAsia="zh-CN"/>
        </w:rPr>
        <w:t>.</w:t>
      </w:r>
    </w:p>
    <w:p w14:paraId="3F8F5E68" w14:textId="167E5569" w:rsidR="00C91E38" w:rsidRPr="007C0D45" w:rsidRDefault="00C91E38" w:rsidP="009C4CFF">
      <w:pPr>
        <w:numPr>
          <w:ilvl w:val="0"/>
          <w:numId w:val="12"/>
        </w:numPr>
        <w:ind w:leftChars="145" w:left="708"/>
        <w:jc w:val="both"/>
        <w:rPr>
          <w:lang w:val="en-NZ"/>
        </w:rPr>
      </w:pPr>
      <w:r w:rsidRPr="007C0D45">
        <w:rPr>
          <w:lang w:val="en-NZ"/>
        </w:rPr>
        <w:t>APT Members</w:t>
      </w:r>
      <w:r w:rsidRPr="007C0D45">
        <w:rPr>
          <w:rFonts w:eastAsia="SimSun"/>
          <w:lang w:val="en-NZ" w:eastAsia="zh-CN"/>
        </w:rPr>
        <w:t xml:space="preserve"> are encouraged to actively participate </w:t>
      </w:r>
      <w:r w:rsidR="005066D9" w:rsidRPr="007C0D45">
        <w:rPr>
          <w:rFonts w:eastAsia="SimSun"/>
          <w:lang w:val="en-NZ" w:eastAsia="zh-CN"/>
        </w:rPr>
        <w:t xml:space="preserve">in </w:t>
      </w:r>
      <w:r w:rsidRPr="007C0D45">
        <w:rPr>
          <w:rFonts w:eastAsia="SimSun"/>
          <w:lang w:val="en-NZ" w:eastAsia="zh-CN"/>
        </w:rPr>
        <w:t xml:space="preserve">the discussion at WRC-23 </w:t>
      </w:r>
      <w:r w:rsidR="00D57D15">
        <w:rPr>
          <w:rFonts w:eastAsia="SimSun"/>
          <w:lang w:val="en-NZ" w:eastAsia="zh-CN"/>
        </w:rPr>
        <w:t xml:space="preserve">with the views </w:t>
      </w:r>
      <w:r w:rsidRPr="007C0D45">
        <w:rPr>
          <w:rFonts w:eastAsia="SimSun"/>
          <w:lang w:val="en-NZ" w:eastAsia="zh-CN"/>
        </w:rPr>
        <w:t xml:space="preserve">to </w:t>
      </w:r>
      <w:r w:rsidR="005066D9" w:rsidRPr="007C0D45">
        <w:rPr>
          <w:rFonts w:eastAsia="SimSun"/>
          <w:lang w:val="en-NZ" w:eastAsia="zh-CN"/>
        </w:rPr>
        <w:t>implement</w:t>
      </w:r>
      <w:r w:rsidRPr="007C0D45">
        <w:rPr>
          <w:rFonts w:eastAsia="SimSun"/>
          <w:lang w:val="en-NZ" w:eastAsia="zh-CN"/>
        </w:rPr>
        <w:t xml:space="preserve"> their views </w:t>
      </w:r>
      <w:r w:rsidR="00D57D15" w:rsidRPr="007C0D45">
        <w:rPr>
          <w:rFonts w:eastAsia="SimSun"/>
          <w:lang w:val="en-NZ" w:eastAsia="zh-CN"/>
        </w:rPr>
        <w:t>o</w:t>
      </w:r>
      <w:r w:rsidR="00D57D15">
        <w:rPr>
          <w:rFonts w:eastAsia="SimSun"/>
          <w:lang w:val="en-NZ" w:eastAsia="zh-CN"/>
        </w:rPr>
        <w:t>n</w:t>
      </w:r>
      <w:r w:rsidR="00D57D15" w:rsidRPr="007C0D45">
        <w:rPr>
          <w:rFonts w:eastAsia="SimSun"/>
          <w:lang w:val="en-NZ" w:eastAsia="zh-CN"/>
        </w:rPr>
        <w:t xml:space="preserve"> </w:t>
      </w:r>
      <w:r w:rsidRPr="007C0D45">
        <w:rPr>
          <w:rFonts w:eastAsia="SimSun"/>
          <w:lang w:val="en-NZ" w:eastAsia="zh-CN"/>
        </w:rPr>
        <w:t>this agenda item.</w:t>
      </w:r>
    </w:p>
    <w:p w14:paraId="552FE4B9" w14:textId="77777777" w:rsidR="009D4B7A" w:rsidRPr="007C0D45" w:rsidRDefault="009D4B7A" w:rsidP="009D4B7A">
      <w:pPr>
        <w:jc w:val="both"/>
        <w:rPr>
          <w:lang w:val="en-NZ"/>
        </w:rPr>
      </w:pPr>
    </w:p>
    <w:p w14:paraId="29666327" w14:textId="77777777" w:rsidR="009D4B7A" w:rsidRPr="007C0D45" w:rsidRDefault="009D4B7A" w:rsidP="009D4B7A">
      <w:pPr>
        <w:jc w:val="both"/>
        <w:rPr>
          <w:lang w:val="en-NZ"/>
        </w:rPr>
      </w:pPr>
    </w:p>
    <w:p w14:paraId="57F68FC1" w14:textId="7A04804F" w:rsidR="009D4B7A" w:rsidRPr="007C0D45" w:rsidRDefault="009D4B7A" w:rsidP="00DF23F1">
      <w:pPr>
        <w:outlineLvl w:val="0"/>
        <w:rPr>
          <w:b/>
          <w:lang w:val="en-NZ" w:eastAsia="ko-KR"/>
        </w:rPr>
      </w:pPr>
      <w:r w:rsidRPr="007C0D45">
        <w:rPr>
          <w:b/>
          <w:lang w:val="en-NZ" w:eastAsia="ko-KR"/>
        </w:rPr>
        <w:t xml:space="preserve">4. </w:t>
      </w:r>
      <w:r w:rsidRPr="007C0D45">
        <w:rPr>
          <w:b/>
          <w:lang w:val="en-NZ" w:eastAsia="ko-KR"/>
        </w:rPr>
        <w:tab/>
        <w:t>APT View(s)</w:t>
      </w:r>
    </w:p>
    <w:p w14:paraId="3B300DFD" w14:textId="77777777" w:rsidR="00F60437" w:rsidRPr="007C0D45" w:rsidRDefault="00F60437" w:rsidP="005C652D">
      <w:pPr>
        <w:ind w:left="708"/>
        <w:jc w:val="both"/>
        <w:rPr>
          <w:i/>
          <w:iCs/>
          <w:lang w:val="en-NZ"/>
        </w:rPr>
      </w:pPr>
    </w:p>
    <w:p w14:paraId="5B5ADEB1" w14:textId="04EAA0B0" w:rsidR="005B4C4E" w:rsidRPr="007C0D45" w:rsidRDefault="005C652D" w:rsidP="005B4C4E">
      <w:pPr>
        <w:ind w:left="708"/>
        <w:jc w:val="both"/>
        <w:rPr>
          <w:iCs/>
          <w:lang w:val="en-NZ"/>
        </w:rPr>
      </w:pPr>
      <w:r w:rsidRPr="007C0D45">
        <w:rPr>
          <w:iCs/>
          <w:lang w:val="en-NZ"/>
        </w:rPr>
        <w:lastRenderedPageBreak/>
        <w:t xml:space="preserve">The APT </w:t>
      </w:r>
      <w:r w:rsidR="00406EAB" w:rsidRPr="007C0D45">
        <w:rPr>
          <w:iCs/>
          <w:lang w:val="en-NZ"/>
        </w:rPr>
        <w:t xml:space="preserve">has </w:t>
      </w:r>
      <w:r w:rsidR="00F0783B" w:rsidRPr="007C0D45">
        <w:rPr>
          <w:iCs/>
          <w:lang w:val="en-NZ"/>
        </w:rPr>
        <w:t xml:space="preserve">considered </w:t>
      </w:r>
      <w:r w:rsidR="00406EAB" w:rsidRPr="007C0D45">
        <w:rPr>
          <w:iCs/>
          <w:lang w:val="en-NZ"/>
        </w:rPr>
        <w:t>agenda item</w:t>
      </w:r>
      <w:r w:rsidR="00F0783B" w:rsidRPr="007C0D45">
        <w:rPr>
          <w:rFonts w:eastAsia="SimSun"/>
          <w:iCs/>
          <w:lang w:val="en-NZ" w:eastAsia="zh-CN"/>
        </w:rPr>
        <w:t xml:space="preserve"> 1.10</w:t>
      </w:r>
      <w:r w:rsidR="00406EAB" w:rsidRPr="007C0D45">
        <w:rPr>
          <w:iCs/>
          <w:lang w:val="en-NZ"/>
        </w:rPr>
        <w:t xml:space="preserve"> but has not </w:t>
      </w:r>
      <w:r w:rsidR="008A481F" w:rsidRPr="007C0D45">
        <w:rPr>
          <w:iCs/>
          <w:lang w:val="en-NZ"/>
        </w:rPr>
        <w:t xml:space="preserve">developed </w:t>
      </w:r>
      <w:r w:rsidR="00406EAB" w:rsidRPr="007C0D45">
        <w:rPr>
          <w:iCs/>
          <w:lang w:val="en-NZ"/>
        </w:rPr>
        <w:t>a Preliminary APT Common Proposal on the matter.</w:t>
      </w:r>
      <w:r w:rsidR="005B4C4E" w:rsidRPr="007C0D45">
        <w:rPr>
          <w:iCs/>
          <w:lang w:val="en-NZ"/>
        </w:rPr>
        <w:t xml:space="preserve"> The APT has however </w:t>
      </w:r>
      <w:r w:rsidR="000F24F4">
        <w:rPr>
          <w:iCs/>
          <w:lang w:val="en-NZ"/>
        </w:rPr>
        <w:t>agreed</w:t>
      </w:r>
      <w:r w:rsidR="000F24F4" w:rsidRPr="007C0D45">
        <w:rPr>
          <w:iCs/>
          <w:lang w:val="en-NZ"/>
        </w:rPr>
        <w:t xml:space="preserve"> </w:t>
      </w:r>
      <w:r w:rsidR="00F0783B" w:rsidRPr="007C0D45">
        <w:rPr>
          <w:iCs/>
          <w:lang w:val="en-NZ"/>
        </w:rPr>
        <w:t xml:space="preserve">the following view(s) on the </w:t>
      </w:r>
      <w:r w:rsidR="005B4C4E" w:rsidRPr="007C0D45">
        <w:rPr>
          <w:iCs/>
          <w:lang w:val="en-NZ"/>
        </w:rPr>
        <w:t>agenda item</w:t>
      </w:r>
      <w:r w:rsidR="00F0783B" w:rsidRPr="007C0D45">
        <w:rPr>
          <w:rFonts w:eastAsia="SimSun"/>
          <w:iCs/>
          <w:lang w:val="en-NZ" w:eastAsia="zh-CN"/>
        </w:rPr>
        <w:t xml:space="preserve"> 1.10</w:t>
      </w:r>
      <w:r w:rsidR="005B4C4E" w:rsidRPr="007C0D45">
        <w:rPr>
          <w:iCs/>
          <w:lang w:val="en-NZ"/>
        </w:rPr>
        <w:t>.</w:t>
      </w:r>
      <w:r w:rsidR="006A7077" w:rsidRPr="007C0D45">
        <w:rPr>
          <w:iCs/>
          <w:lang w:val="en-NZ"/>
        </w:rPr>
        <w:t xml:space="preserve"> </w:t>
      </w:r>
    </w:p>
    <w:p w14:paraId="56511D96" w14:textId="481E2310" w:rsidR="005C652D" w:rsidRPr="007C0D45" w:rsidRDefault="005C652D" w:rsidP="005C652D">
      <w:pPr>
        <w:ind w:left="708"/>
        <w:jc w:val="both"/>
        <w:rPr>
          <w:i/>
          <w:iCs/>
          <w:lang w:val="en-NZ"/>
        </w:rPr>
      </w:pPr>
    </w:p>
    <w:p w14:paraId="099CB6E0" w14:textId="1440D1C6" w:rsidR="00F0783B" w:rsidRPr="00E2609D" w:rsidRDefault="00F0783B" w:rsidP="00E2609D">
      <w:pPr>
        <w:ind w:left="708"/>
        <w:jc w:val="both"/>
        <w:rPr>
          <w:iCs/>
          <w:lang w:val="en-NZ"/>
        </w:rPr>
      </w:pPr>
      <w:r w:rsidRPr="00E2609D">
        <w:rPr>
          <w:iCs/>
          <w:lang w:val="en-NZ"/>
        </w:rPr>
        <w:t xml:space="preserve">APT Members are of the view that the protection of existing primary services in the 15.4-15.7 GHz and 22-22.21 GHz frequency bands and, in adjacent frequency bands </w:t>
      </w:r>
      <w:r w:rsidR="000F24F4" w:rsidRPr="00E2609D">
        <w:rPr>
          <w:iCs/>
          <w:lang w:val="en-NZ"/>
        </w:rPr>
        <w:t>sh</w:t>
      </w:r>
      <w:r w:rsidR="000F24F4">
        <w:rPr>
          <w:iCs/>
          <w:lang w:val="en-NZ"/>
        </w:rPr>
        <w:t>all</w:t>
      </w:r>
      <w:r w:rsidR="000F24F4" w:rsidRPr="00E2609D">
        <w:rPr>
          <w:iCs/>
          <w:lang w:val="en-NZ"/>
        </w:rPr>
        <w:t xml:space="preserve"> </w:t>
      </w:r>
      <w:r w:rsidRPr="00E2609D">
        <w:rPr>
          <w:iCs/>
          <w:lang w:val="en-NZ"/>
        </w:rPr>
        <w:t>be ensured.</w:t>
      </w:r>
      <w:r w:rsidR="00024DC4" w:rsidRPr="00E2609D">
        <w:rPr>
          <w:iCs/>
          <w:lang w:val="en-NZ"/>
        </w:rPr>
        <w:t xml:space="preserve"> </w:t>
      </w:r>
      <w:r w:rsidR="000F24F4">
        <w:rPr>
          <w:iCs/>
          <w:lang w:val="en-NZ"/>
        </w:rPr>
        <w:t>APT Members a</w:t>
      </w:r>
      <w:r w:rsidR="000F24F4" w:rsidRPr="00E2609D">
        <w:rPr>
          <w:iCs/>
          <w:lang w:val="en-NZ"/>
        </w:rPr>
        <w:t>lso</w:t>
      </w:r>
      <w:r w:rsidR="000F24F4">
        <w:rPr>
          <w:iCs/>
          <w:lang w:val="en-NZ"/>
        </w:rPr>
        <w:t xml:space="preserve"> are of the view</w:t>
      </w:r>
      <w:r w:rsidR="003C4477">
        <w:rPr>
          <w:iCs/>
          <w:lang w:val="en-NZ"/>
        </w:rPr>
        <w:t xml:space="preserve"> </w:t>
      </w:r>
      <w:r w:rsidR="000F24F4">
        <w:rPr>
          <w:iCs/>
          <w:lang w:val="en-NZ"/>
        </w:rPr>
        <w:t>that any</w:t>
      </w:r>
      <w:r w:rsidR="00024DC4" w:rsidRPr="00E2609D">
        <w:rPr>
          <w:rFonts w:hint="eastAsia"/>
          <w:iCs/>
          <w:lang w:val="en-NZ"/>
        </w:rPr>
        <w:t xml:space="preserve"> potential</w:t>
      </w:r>
      <w:r w:rsidR="000B3E21" w:rsidRPr="00E2609D">
        <w:rPr>
          <w:rFonts w:hint="eastAsia"/>
          <w:iCs/>
          <w:lang w:val="en-NZ"/>
        </w:rPr>
        <w:t xml:space="preserve"> new allocations of</w:t>
      </w:r>
      <w:r w:rsidR="00024DC4" w:rsidRPr="00E2609D">
        <w:rPr>
          <w:rFonts w:hint="eastAsia"/>
          <w:iCs/>
          <w:lang w:val="en-NZ"/>
        </w:rPr>
        <w:t xml:space="preserve"> </w:t>
      </w:r>
      <w:r w:rsidR="00024DC4" w:rsidRPr="00E2609D">
        <w:rPr>
          <w:iCs/>
          <w:lang w:val="en-NZ"/>
        </w:rPr>
        <w:t>AM(OR)S shall not cause unacceptable interference to</w:t>
      </w:r>
      <w:r w:rsidR="00D57D15">
        <w:rPr>
          <w:iCs/>
          <w:lang w:val="en-NZ"/>
        </w:rPr>
        <w:t>,</w:t>
      </w:r>
      <w:r w:rsidR="00024DC4" w:rsidRPr="00E2609D">
        <w:rPr>
          <w:iCs/>
          <w:lang w:val="en-NZ"/>
        </w:rPr>
        <w:t xml:space="preserve"> nor claim protection from services</w:t>
      </w:r>
      <w:r w:rsidR="00D57D15">
        <w:rPr>
          <w:iCs/>
          <w:lang w:val="en-NZ"/>
        </w:rPr>
        <w:t xml:space="preserve"> to which the bands are allocated together with a firm objective, actionable evidence, measurable and enforceable commitment at the time of submission to that agenda item to undertake compliance with non-interference and non-protection conditions.</w:t>
      </w:r>
    </w:p>
    <w:p w14:paraId="4F42A01F" w14:textId="6F3CD4B5" w:rsidR="005C652D" w:rsidRPr="007C0D45" w:rsidRDefault="005C652D" w:rsidP="009D4B7A">
      <w:pPr>
        <w:rPr>
          <w:lang w:val="en-NZ"/>
        </w:rPr>
      </w:pPr>
    </w:p>
    <w:p w14:paraId="0394B043" w14:textId="77777777" w:rsidR="009D4B7A" w:rsidRPr="007C0D45" w:rsidRDefault="009D4B7A" w:rsidP="00117CF2">
      <w:pPr>
        <w:rPr>
          <w:lang w:val="en-NZ"/>
        </w:rPr>
      </w:pPr>
    </w:p>
    <w:p w14:paraId="7A3A9F47" w14:textId="1B47244F" w:rsidR="009D4B7A" w:rsidRPr="007C0D45" w:rsidRDefault="009D4B7A" w:rsidP="00117CF2">
      <w:pPr>
        <w:spacing w:after="120"/>
        <w:jc w:val="both"/>
        <w:outlineLvl w:val="0"/>
        <w:rPr>
          <w:b/>
          <w:lang w:val="en-NZ" w:eastAsia="ko-KR"/>
        </w:rPr>
      </w:pPr>
      <w:r w:rsidRPr="007C0D45">
        <w:rPr>
          <w:b/>
          <w:lang w:val="en-NZ" w:eastAsia="ko-KR"/>
        </w:rPr>
        <w:t xml:space="preserve">5. </w:t>
      </w:r>
      <w:r w:rsidRPr="007C0D45">
        <w:rPr>
          <w:b/>
          <w:lang w:val="en-NZ" w:eastAsia="ko-KR"/>
        </w:rPr>
        <w:tab/>
      </w:r>
      <w:r w:rsidR="00DB6EC4" w:rsidRPr="007C0D45">
        <w:rPr>
          <w:b/>
          <w:lang w:val="en-NZ" w:eastAsia="ko-KR"/>
        </w:rPr>
        <w:t>Preliminary APT Common Proposal</w:t>
      </w:r>
    </w:p>
    <w:p w14:paraId="208C2159" w14:textId="57FE0E2C" w:rsidR="009D4B7A" w:rsidRPr="007C0D45" w:rsidRDefault="007C0D45" w:rsidP="009D4B7A">
      <w:pPr>
        <w:numPr>
          <w:ilvl w:val="0"/>
          <w:numId w:val="12"/>
        </w:numPr>
        <w:ind w:leftChars="145" w:left="708"/>
        <w:jc w:val="both"/>
        <w:rPr>
          <w:lang w:val="en-NZ"/>
        </w:rPr>
      </w:pPr>
      <w:r w:rsidRPr="007C0D45">
        <w:rPr>
          <w:rFonts w:eastAsia="SimSun" w:hint="eastAsia"/>
          <w:lang w:val="en-NZ" w:eastAsia="zh-CN"/>
        </w:rPr>
        <w:t>None</w:t>
      </w:r>
      <w:r w:rsidR="002C520E" w:rsidRPr="007C0D45">
        <w:rPr>
          <w:lang w:val="en-NZ"/>
        </w:rPr>
        <w:t>.</w:t>
      </w:r>
    </w:p>
    <w:p w14:paraId="3AE817BE" w14:textId="59708068" w:rsidR="009D4B7A" w:rsidRPr="007C0D45" w:rsidRDefault="009D4B7A" w:rsidP="007C0D45">
      <w:pPr>
        <w:jc w:val="center"/>
        <w:rPr>
          <w:rFonts w:eastAsia="SimSun"/>
          <w:lang w:val="en-NZ" w:eastAsia="zh-CN"/>
        </w:rPr>
      </w:pPr>
    </w:p>
    <w:p w14:paraId="74E3A7A4" w14:textId="77777777" w:rsidR="009D4B7A" w:rsidRPr="007C0D45" w:rsidRDefault="009D4B7A" w:rsidP="009D4B7A">
      <w:pPr>
        <w:rPr>
          <w:lang w:val="en-NZ"/>
        </w:rPr>
      </w:pPr>
    </w:p>
    <w:p w14:paraId="5CA333B1" w14:textId="089C44C5" w:rsidR="009D4B7A" w:rsidRPr="007C0D45" w:rsidRDefault="009D4B7A" w:rsidP="00117CF2">
      <w:pPr>
        <w:spacing w:after="120"/>
        <w:jc w:val="both"/>
        <w:outlineLvl w:val="0"/>
        <w:rPr>
          <w:b/>
          <w:lang w:val="en-NZ" w:eastAsia="ko-KR"/>
        </w:rPr>
      </w:pPr>
      <w:r w:rsidRPr="007C0D45">
        <w:rPr>
          <w:b/>
          <w:lang w:val="en-NZ" w:eastAsia="ko-KR"/>
        </w:rPr>
        <w:t xml:space="preserve">6. </w:t>
      </w:r>
      <w:r w:rsidRPr="007C0D45">
        <w:rPr>
          <w:b/>
          <w:lang w:val="en-NZ" w:eastAsia="ko-KR"/>
        </w:rPr>
        <w:tab/>
        <w:t>Issues for Consideration at APG</w:t>
      </w:r>
      <w:r w:rsidR="00DB6EC4" w:rsidRPr="007C0D45">
        <w:rPr>
          <w:b/>
          <w:lang w:val="en-NZ" w:eastAsia="ko-KR"/>
        </w:rPr>
        <w:t xml:space="preserve"> Coordination</w:t>
      </w:r>
      <w:r w:rsidRPr="007C0D45">
        <w:rPr>
          <w:b/>
          <w:lang w:val="en-NZ" w:eastAsia="ko-KR"/>
        </w:rPr>
        <w:t xml:space="preserve"> Meeting</w:t>
      </w:r>
      <w:r w:rsidR="00DB6EC4" w:rsidRPr="007C0D45">
        <w:rPr>
          <w:b/>
          <w:lang w:val="en-NZ" w:eastAsia="ko-KR"/>
        </w:rPr>
        <w:t xml:space="preserve"> at WRC-23 (if any)</w:t>
      </w:r>
    </w:p>
    <w:p w14:paraId="17A0C9E2" w14:textId="15BC570C" w:rsidR="009C4CFF" w:rsidRPr="007C0D45" w:rsidRDefault="009C4CFF" w:rsidP="005066D9">
      <w:pPr>
        <w:numPr>
          <w:ilvl w:val="0"/>
          <w:numId w:val="12"/>
        </w:numPr>
        <w:ind w:leftChars="145" w:left="708"/>
        <w:jc w:val="both"/>
        <w:rPr>
          <w:lang w:val="en-NZ"/>
        </w:rPr>
      </w:pPr>
      <w:r w:rsidRPr="007C0D45">
        <w:rPr>
          <w:rFonts w:eastAsia="SimSun"/>
          <w:lang w:val="en-NZ" w:eastAsia="zh-CN"/>
        </w:rPr>
        <w:t>The following table shows the views of APT Members on this agenda item</w:t>
      </w:r>
      <w:r w:rsidR="002C6E43">
        <w:rPr>
          <w:rFonts w:eastAsia="SimSun"/>
          <w:lang w:val="en-NZ" w:eastAsia="zh-CN"/>
        </w:rPr>
        <w:t xml:space="preserve"> in the APG23-6 meeting</w:t>
      </w:r>
      <w:r w:rsidRPr="007C0D45">
        <w:rPr>
          <w:rFonts w:eastAsia="SimSun"/>
          <w:lang w:val="en-NZ" w:eastAsia="zh-CN"/>
        </w:rPr>
        <w:t>:</w:t>
      </w:r>
    </w:p>
    <w:tbl>
      <w:tblPr>
        <w:tblStyle w:val="TableGrid"/>
        <w:tblW w:w="0" w:type="auto"/>
        <w:jc w:val="center"/>
        <w:tblLook w:val="04A0" w:firstRow="1" w:lastRow="0" w:firstColumn="1" w:lastColumn="0" w:noHBand="0" w:noVBand="1"/>
      </w:tblPr>
      <w:tblGrid>
        <w:gridCol w:w="6031"/>
        <w:gridCol w:w="3132"/>
      </w:tblGrid>
      <w:tr w:rsidR="009C4CFF" w:rsidRPr="00E2609D" w14:paraId="674A9E48" w14:textId="77777777" w:rsidTr="00E2609D">
        <w:trPr>
          <w:trHeight w:val="20"/>
          <w:jc w:val="center"/>
        </w:trPr>
        <w:tc>
          <w:tcPr>
            <w:tcW w:w="9322" w:type="dxa"/>
            <w:vAlign w:val="center"/>
          </w:tcPr>
          <w:p w14:paraId="74F759A5"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Method A (NOC)</w:t>
            </w:r>
          </w:p>
        </w:tc>
        <w:tc>
          <w:tcPr>
            <w:tcW w:w="4852" w:type="dxa"/>
            <w:vAlign w:val="center"/>
          </w:tcPr>
          <w:p w14:paraId="5036F465" w14:textId="0F25AC48" w:rsidR="009C4CFF" w:rsidRPr="00E2609D" w:rsidRDefault="009C4CFF">
            <w:pPr>
              <w:jc w:val="center"/>
              <w:rPr>
                <w:rFonts w:ascii="Times New Roman" w:hAnsi="Times New Roman" w:cs="Times New Roman"/>
              </w:rPr>
            </w:pPr>
            <w:r w:rsidRPr="00E2609D">
              <w:rPr>
                <w:rFonts w:ascii="Times New Roman" w:hAnsi="Times New Roman" w:cs="Times New Roman"/>
              </w:rPr>
              <w:t>IND, T</w:t>
            </w:r>
            <w:r w:rsidR="006C1258" w:rsidRPr="00E2609D">
              <w:rPr>
                <w:rFonts w:ascii="Times New Roman" w:eastAsia="SimSun" w:hAnsi="Times New Roman" w:cs="Times New Roman"/>
              </w:rPr>
              <w:t>H</w:t>
            </w:r>
            <w:r w:rsidRPr="00E2609D">
              <w:rPr>
                <w:rFonts w:ascii="Times New Roman" w:hAnsi="Times New Roman" w:cs="Times New Roman"/>
              </w:rPr>
              <w:t>A, PHI, CHN, VTN</w:t>
            </w:r>
          </w:p>
        </w:tc>
      </w:tr>
      <w:tr w:rsidR="009C4CFF" w:rsidRPr="00E2609D" w14:paraId="7533382C" w14:textId="77777777" w:rsidTr="00E2609D">
        <w:trPr>
          <w:trHeight w:val="20"/>
          <w:jc w:val="center"/>
        </w:trPr>
        <w:tc>
          <w:tcPr>
            <w:tcW w:w="9322" w:type="dxa"/>
            <w:vAlign w:val="center"/>
          </w:tcPr>
          <w:p w14:paraId="34A716F5"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Method B/D</w:t>
            </w:r>
          </w:p>
        </w:tc>
        <w:tc>
          <w:tcPr>
            <w:tcW w:w="4852" w:type="dxa"/>
            <w:vAlign w:val="center"/>
          </w:tcPr>
          <w:p w14:paraId="092896F0"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BGD</w:t>
            </w:r>
          </w:p>
        </w:tc>
      </w:tr>
      <w:tr w:rsidR="009C4CFF" w:rsidRPr="00E2609D" w14:paraId="3EC790C4" w14:textId="77777777" w:rsidTr="00E2609D">
        <w:trPr>
          <w:trHeight w:val="20"/>
          <w:jc w:val="center"/>
        </w:trPr>
        <w:tc>
          <w:tcPr>
            <w:tcW w:w="9322" w:type="dxa"/>
            <w:vAlign w:val="center"/>
          </w:tcPr>
          <w:p w14:paraId="48FED8A9"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Method C</w:t>
            </w:r>
          </w:p>
        </w:tc>
        <w:tc>
          <w:tcPr>
            <w:tcW w:w="4852" w:type="dxa"/>
            <w:vAlign w:val="center"/>
          </w:tcPr>
          <w:p w14:paraId="73CA9BCA"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IRN</w:t>
            </w:r>
          </w:p>
        </w:tc>
      </w:tr>
      <w:tr w:rsidR="009C4CFF" w:rsidRPr="00E2609D" w14:paraId="53965830" w14:textId="77777777" w:rsidTr="00E2609D">
        <w:trPr>
          <w:trHeight w:val="20"/>
          <w:jc w:val="center"/>
        </w:trPr>
        <w:tc>
          <w:tcPr>
            <w:tcW w:w="9322" w:type="dxa"/>
            <w:vAlign w:val="center"/>
          </w:tcPr>
          <w:p w14:paraId="090976C3"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Supports/Not opposes new allocations (Method B/C/D/E)</w:t>
            </w:r>
          </w:p>
        </w:tc>
        <w:tc>
          <w:tcPr>
            <w:tcW w:w="4852" w:type="dxa"/>
            <w:vAlign w:val="center"/>
          </w:tcPr>
          <w:p w14:paraId="4B1DDC39"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 xml:space="preserve"> INS, KOR</w:t>
            </w:r>
          </w:p>
        </w:tc>
      </w:tr>
      <w:tr w:rsidR="009C4CFF" w:rsidRPr="00E2609D" w14:paraId="2AD62305" w14:textId="77777777" w:rsidTr="00E2609D">
        <w:trPr>
          <w:trHeight w:val="20"/>
          <w:jc w:val="center"/>
        </w:trPr>
        <w:tc>
          <w:tcPr>
            <w:tcW w:w="9322" w:type="dxa"/>
            <w:vAlign w:val="center"/>
          </w:tcPr>
          <w:p w14:paraId="49C20F57"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Not opposes new allocations (Method B/C/D/E) and not proposes a PACP</w:t>
            </w:r>
          </w:p>
        </w:tc>
        <w:tc>
          <w:tcPr>
            <w:tcW w:w="4852" w:type="dxa"/>
            <w:vAlign w:val="center"/>
          </w:tcPr>
          <w:p w14:paraId="34D357A5"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AUS</w:t>
            </w:r>
          </w:p>
        </w:tc>
      </w:tr>
      <w:tr w:rsidR="009C4CFF" w:rsidRPr="00E2609D" w14:paraId="69F335AB" w14:textId="77777777" w:rsidTr="00E2609D">
        <w:trPr>
          <w:trHeight w:val="20"/>
          <w:jc w:val="center"/>
        </w:trPr>
        <w:tc>
          <w:tcPr>
            <w:tcW w:w="9322" w:type="dxa"/>
            <w:vAlign w:val="center"/>
          </w:tcPr>
          <w:p w14:paraId="740A34A1" w14:textId="786A7FCF" w:rsidR="009C4CFF" w:rsidRPr="00E2609D" w:rsidRDefault="006C1258" w:rsidP="009C4CFF">
            <w:pPr>
              <w:jc w:val="center"/>
              <w:rPr>
                <w:rFonts w:ascii="Times New Roman" w:hAnsi="Times New Roman" w:cs="Times New Roman"/>
              </w:rPr>
            </w:pPr>
            <w:r w:rsidRPr="00E2609D">
              <w:rPr>
                <w:rFonts w:ascii="Times New Roman" w:eastAsia="SimSun" w:hAnsi="Times New Roman" w:cs="Times New Roman"/>
              </w:rPr>
              <w:t xml:space="preserve">Considering </w:t>
            </w:r>
            <w:r w:rsidR="009C4CFF" w:rsidRPr="00E2609D">
              <w:rPr>
                <w:rFonts w:ascii="Times New Roman" w:hAnsi="Times New Roman" w:cs="Times New Roman"/>
              </w:rPr>
              <w:t>Method B/C/E</w:t>
            </w:r>
          </w:p>
        </w:tc>
        <w:tc>
          <w:tcPr>
            <w:tcW w:w="4852" w:type="dxa"/>
            <w:vAlign w:val="center"/>
          </w:tcPr>
          <w:p w14:paraId="4691FF12"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MLA</w:t>
            </w:r>
          </w:p>
        </w:tc>
      </w:tr>
      <w:tr w:rsidR="009C4CFF" w:rsidRPr="00E2609D" w14:paraId="12EE4188" w14:textId="77777777" w:rsidTr="00E2609D">
        <w:trPr>
          <w:trHeight w:val="20"/>
          <w:jc w:val="center"/>
        </w:trPr>
        <w:tc>
          <w:tcPr>
            <w:tcW w:w="9322" w:type="dxa"/>
            <w:vAlign w:val="center"/>
          </w:tcPr>
          <w:p w14:paraId="325EE30C"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An agreed condition to ensure the protection of current/future systems under incumbent services operated in the same frequency band and in the adjacent frequency band is necessary.</w:t>
            </w:r>
          </w:p>
        </w:tc>
        <w:tc>
          <w:tcPr>
            <w:tcW w:w="4852" w:type="dxa"/>
            <w:vAlign w:val="center"/>
          </w:tcPr>
          <w:p w14:paraId="7D391BD9" w14:textId="77777777" w:rsidR="009C4CFF" w:rsidRPr="00E2609D" w:rsidRDefault="009C4CFF" w:rsidP="009C4CFF">
            <w:pPr>
              <w:jc w:val="center"/>
              <w:rPr>
                <w:rFonts w:ascii="Times New Roman" w:hAnsi="Times New Roman" w:cs="Times New Roman"/>
              </w:rPr>
            </w:pPr>
            <w:r w:rsidRPr="00E2609D">
              <w:rPr>
                <w:rFonts w:ascii="Times New Roman" w:hAnsi="Times New Roman" w:cs="Times New Roman"/>
              </w:rPr>
              <w:t>J</w:t>
            </w:r>
          </w:p>
        </w:tc>
      </w:tr>
    </w:tbl>
    <w:p w14:paraId="674585B1" w14:textId="77777777" w:rsidR="005320C5" w:rsidRPr="007C0D45" w:rsidRDefault="005320C5" w:rsidP="009C4CFF">
      <w:pPr>
        <w:ind w:left="348"/>
        <w:jc w:val="both"/>
        <w:rPr>
          <w:rFonts w:eastAsia="SimSun"/>
          <w:lang w:val="en-NZ" w:eastAsia="zh-CN"/>
        </w:rPr>
      </w:pPr>
    </w:p>
    <w:p w14:paraId="5369C189" w14:textId="5006DDDF" w:rsidR="009D4B7A" w:rsidRPr="007C0D45" w:rsidRDefault="005066D9" w:rsidP="005066D9">
      <w:pPr>
        <w:numPr>
          <w:ilvl w:val="0"/>
          <w:numId w:val="12"/>
        </w:numPr>
        <w:ind w:leftChars="145" w:left="708"/>
        <w:jc w:val="both"/>
        <w:rPr>
          <w:lang w:val="en-NZ"/>
        </w:rPr>
      </w:pPr>
      <w:r w:rsidRPr="007C0D45">
        <w:rPr>
          <w:lang w:val="en-NZ"/>
        </w:rPr>
        <w:t>APT Members are encouraged to actively participate in the APG Coordination Meeting</w:t>
      </w:r>
      <w:r w:rsidRPr="007C0D45">
        <w:rPr>
          <w:rFonts w:eastAsia="SimSun"/>
          <w:lang w:val="en-NZ" w:eastAsia="zh-CN"/>
        </w:rPr>
        <w:t>s</w:t>
      </w:r>
      <w:r w:rsidRPr="007C0D45">
        <w:rPr>
          <w:lang w:val="en-NZ"/>
        </w:rPr>
        <w:t xml:space="preserve"> at WRC-23</w:t>
      </w:r>
      <w:r w:rsidR="002C6E43">
        <w:rPr>
          <w:lang w:val="en-NZ"/>
        </w:rPr>
        <w:t>.</w:t>
      </w:r>
    </w:p>
    <w:p w14:paraId="1B329550" w14:textId="77777777" w:rsidR="009D4B7A" w:rsidRPr="007C0D45" w:rsidRDefault="009D4B7A" w:rsidP="009D4B7A">
      <w:pPr>
        <w:jc w:val="both"/>
        <w:rPr>
          <w:lang w:val="en-NZ"/>
        </w:rPr>
      </w:pPr>
    </w:p>
    <w:p w14:paraId="7E96F128" w14:textId="77777777" w:rsidR="009D4B7A" w:rsidRPr="007C0D45" w:rsidRDefault="009D4B7A" w:rsidP="009D4B7A">
      <w:pPr>
        <w:jc w:val="both"/>
        <w:rPr>
          <w:lang w:val="en-NZ"/>
        </w:rPr>
      </w:pPr>
    </w:p>
    <w:p w14:paraId="7FAE763A" w14:textId="2C0BFAE4" w:rsidR="00026369" w:rsidRPr="007C0D45" w:rsidRDefault="009D4B7A" w:rsidP="00117CF2">
      <w:pPr>
        <w:jc w:val="both"/>
        <w:outlineLvl w:val="0"/>
        <w:rPr>
          <w:lang w:val="en-NZ"/>
        </w:rPr>
      </w:pPr>
      <w:r w:rsidRPr="007C0D45">
        <w:rPr>
          <w:b/>
          <w:lang w:val="en-NZ"/>
        </w:rPr>
        <w:t xml:space="preserve">7. </w:t>
      </w:r>
      <w:r w:rsidRPr="007C0D45">
        <w:rPr>
          <w:b/>
          <w:lang w:val="en-NZ"/>
        </w:rPr>
        <w:tab/>
        <w:t xml:space="preserve">Views from Other Organisations </w:t>
      </w:r>
    </w:p>
    <w:p w14:paraId="3A7A77B2" w14:textId="77777777" w:rsidR="009D4B7A" w:rsidRPr="007C0D45" w:rsidRDefault="009D4B7A" w:rsidP="00117CF2">
      <w:pPr>
        <w:spacing w:after="120"/>
        <w:jc w:val="both"/>
        <w:outlineLvl w:val="1"/>
        <w:rPr>
          <w:b/>
          <w:lang w:val="en-NZ" w:eastAsia="ko-KR"/>
        </w:rPr>
      </w:pPr>
      <w:r w:rsidRPr="007C0D45">
        <w:rPr>
          <w:b/>
          <w:lang w:val="en-NZ" w:eastAsia="ko-KR"/>
        </w:rPr>
        <w:t xml:space="preserve">7.1 </w:t>
      </w:r>
      <w:r w:rsidRPr="007C0D45">
        <w:rPr>
          <w:b/>
          <w:lang w:val="en-NZ" w:eastAsia="ko-KR"/>
        </w:rPr>
        <w:tab/>
        <w:t>Regional Groups</w:t>
      </w:r>
    </w:p>
    <w:p w14:paraId="45E075DA" w14:textId="77777777" w:rsidR="001723F4" w:rsidRPr="007C0D45" w:rsidRDefault="009D4B7A" w:rsidP="00117CF2">
      <w:pPr>
        <w:spacing w:after="120"/>
        <w:jc w:val="both"/>
        <w:outlineLvl w:val="2"/>
        <w:rPr>
          <w:rFonts w:eastAsiaTheme="minorEastAsia"/>
          <w:b/>
          <w:lang w:val="en-NZ" w:eastAsia="zh-CN"/>
        </w:rPr>
      </w:pPr>
      <w:r w:rsidRPr="007C0D45">
        <w:rPr>
          <w:b/>
          <w:lang w:val="en-NZ" w:eastAsia="ko-KR"/>
        </w:rPr>
        <w:t xml:space="preserve">7.1.1 </w:t>
      </w:r>
      <w:r w:rsidRPr="007C0D45">
        <w:rPr>
          <w:b/>
          <w:lang w:val="en-NZ" w:eastAsia="ko-KR"/>
        </w:rPr>
        <w:tab/>
        <w:t>ASMG</w:t>
      </w:r>
      <w:r w:rsidRPr="007C0D45">
        <w:t xml:space="preserve"> - </w:t>
      </w:r>
      <w:r w:rsidRPr="007C0D45">
        <w:rPr>
          <w:b/>
          <w:lang w:val="en-NZ" w:eastAsia="ko-KR"/>
        </w:rPr>
        <w:t xml:space="preserve">Document </w:t>
      </w:r>
      <w:r w:rsidR="001723F4" w:rsidRPr="007C0D45">
        <w:rPr>
          <w:b/>
          <w:lang w:val="en-NZ" w:eastAsia="ko-KR"/>
        </w:rPr>
        <w:t>APG23-</w:t>
      </w:r>
      <w:r w:rsidR="001723F4" w:rsidRPr="007C0D45">
        <w:rPr>
          <w:rFonts w:eastAsiaTheme="minorEastAsia" w:hint="eastAsia"/>
          <w:b/>
          <w:lang w:val="en-NZ" w:eastAsia="zh-CN"/>
        </w:rPr>
        <w:t>4</w:t>
      </w:r>
      <w:r w:rsidR="001723F4" w:rsidRPr="007C0D45">
        <w:rPr>
          <w:b/>
          <w:lang w:val="en-NZ" w:eastAsia="ko-KR"/>
        </w:rPr>
        <w:t>/INF-</w:t>
      </w:r>
      <w:r w:rsidR="001723F4" w:rsidRPr="007C0D45">
        <w:rPr>
          <w:rFonts w:eastAsiaTheme="minorEastAsia" w:hint="eastAsia"/>
          <w:b/>
          <w:lang w:val="en-NZ" w:eastAsia="zh-CN"/>
        </w:rPr>
        <w:t>21</w:t>
      </w:r>
    </w:p>
    <w:p w14:paraId="4F15FE17" w14:textId="77777777" w:rsidR="001723F4" w:rsidRPr="007C0D45" w:rsidRDefault="001723F4" w:rsidP="001723F4">
      <w:pPr>
        <w:numPr>
          <w:ilvl w:val="0"/>
          <w:numId w:val="12"/>
        </w:numPr>
        <w:ind w:leftChars="145" w:left="708"/>
        <w:jc w:val="both"/>
        <w:rPr>
          <w:lang w:val="en-NZ"/>
        </w:rPr>
      </w:pPr>
      <w:r w:rsidRPr="007C0D45">
        <w:rPr>
          <w:lang w:val="en-NZ"/>
        </w:rPr>
        <w:t>Follow on</w:t>
      </w:r>
      <w:r w:rsidRPr="007C0D45">
        <w:rPr>
          <w:rFonts w:eastAsiaTheme="minorEastAsia" w:hint="eastAsia"/>
          <w:lang w:val="en-NZ" w:eastAsia="zh-CN"/>
        </w:rPr>
        <w:t>-</w:t>
      </w:r>
      <w:r w:rsidRPr="007C0D45">
        <w:rPr>
          <w:lang w:val="en-NZ"/>
        </w:rPr>
        <w:t>going studies with the need to provide the necessary protection for incumbent services in the</w:t>
      </w:r>
      <w:r w:rsidRPr="007C0D45">
        <w:rPr>
          <w:rFonts w:eastAsiaTheme="minorEastAsia" w:hint="eastAsia"/>
          <w:lang w:val="en-NZ" w:eastAsia="zh-CN"/>
        </w:rPr>
        <w:t xml:space="preserve"> </w:t>
      </w:r>
      <w:r w:rsidRPr="007C0D45">
        <w:rPr>
          <w:lang w:val="en-NZ"/>
        </w:rPr>
        <w:t>frequency bands under study and adjacent bands, and consider the possibility of adding a new allocation to the</w:t>
      </w:r>
      <w:r w:rsidRPr="007C0D45">
        <w:rPr>
          <w:rFonts w:eastAsiaTheme="minorEastAsia" w:hint="eastAsia"/>
          <w:lang w:val="en-NZ" w:eastAsia="zh-CN"/>
        </w:rPr>
        <w:t xml:space="preserve"> </w:t>
      </w:r>
      <w:r w:rsidRPr="007C0D45">
        <w:rPr>
          <w:lang w:val="en-NZ"/>
        </w:rPr>
        <w:t>aeronautical mobile service for non-safety aeronautical mobile applications in the frequency bands under study</w:t>
      </w:r>
      <w:r w:rsidRPr="007C0D45">
        <w:rPr>
          <w:rFonts w:hint="eastAsia"/>
          <w:lang w:val="en-NZ"/>
        </w:rPr>
        <w:t>.</w:t>
      </w:r>
    </w:p>
    <w:p w14:paraId="33B06EE3" w14:textId="77777777" w:rsidR="009D4B7A" w:rsidRPr="007C0D45" w:rsidRDefault="009D4B7A" w:rsidP="009D4B7A">
      <w:pPr>
        <w:rPr>
          <w:lang w:val="en-NZ"/>
        </w:rPr>
      </w:pPr>
    </w:p>
    <w:p w14:paraId="129ADC19" w14:textId="6797A166" w:rsidR="009D4B7A" w:rsidRPr="007C0D45" w:rsidRDefault="009D4B7A" w:rsidP="00117CF2">
      <w:pPr>
        <w:spacing w:after="120"/>
        <w:jc w:val="both"/>
        <w:outlineLvl w:val="2"/>
        <w:rPr>
          <w:b/>
          <w:lang w:val="en-NZ" w:eastAsia="ko-KR"/>
        </w:rPr>
      </w:pPr>
      <w:r w:rsidRPr="007C0D45">
        <w:rPr>
          <w:b/>
          <w:lang w:val="en-NZ" w:eastAsia="ko-KR"/>
        </w:rPr>
        <w:t xml:space="preserve">7.1.2 </w:t>
      </w:r>
      <w:r w:rsidRPr="007C0D45">
        <w:rPr>
          <w:b/>
          <w:lang w:val="en-NZ" w:eastAsia="ko-KR"/>
        </w:rPr>
        <w:tab/>
        <w:t>ATU - Document APG23-</w:t>
      </w:r>
      <w:r w:rsidR="00941F28">
        <w:rPr>
          <w:b/>
          <w:lang w:val="en-NZ" w:eastAsia="ko-KR"/>
        </w:rPr>
        <w:t>6</w:t>
      </w:r>
      <w:r w:rsidR="001723F4" w:rsidRPr="007C0D45">
        <w:rPr>
          <w:b/>
          <w:lang w:val="en-NZ" w:eastAsia="ko-KR"/>
        </w:rPr>
        <w:t>/INF-</w:t>
      </w:r>
      <w:r w:rsidR="00941F28">
        <w:rPr>
          <w:b/>
          <w:lang w:val="en-NZ" w:eastAsia="ko-KR"/>
        </w:rPr>
        <w:t>55</w:t>
      </w:r>
    </w:p>
    <w:p w14:paraId="7B614175" w14:textId="77777777" w:rsidR="00941F28" w:rsidRPr="00941F28" w:rsidRDefault="00941F28" w:rsidP="00941F28">
      <w:pPr>
        <w:numPr>
          <w:ilvl w:val="0"/>
          <w:numId w:val="14"/>
        </w:numPr>
        <w:jc w:val="lowKashida"/>
        <w:rPr>
          <w:iCs/>
          <w:sz w:val="28"/>
          <w:szCs w:val="28"/>
        </w:rPr>
      </w:pPr>
      <w:r w:rsidRPr="00941F28">
        <w:rPr>
          <w:b/>
          <w:bCs/>
          <w:iCs/>
          <w:lang w:bidi="ar-EG"/>
        </w:rPr>
        <w:lastRenderedPageBreak/>
        <w:t>Support</w:t>
      </w:r>
      <w:r w:rsidRPr="00941F28">
        <w:rPr>
          <w:iCs/>
          <w:lang w:bidi="ar-EG"/>
        </w:rPr>
        <w:t xml:space="preserve"> </w:t>
      </w:r>
      <w:r w:rsidRPr="00941F28">
        <w:rPr>
          <w:b/>
          <w:bCs/>
          <w:iCs/>
          <w:lang w:bidi="ar-EG"/>
        </w:rPr>
        <w:t>Method E</w:t>
      </w:r>
      <w:r w:rsidRPr="00941F28">
        <w:rPr>
          <w:iCs/>
          <w:lang w:bidi="ar-EG"/>
        </w:rPr>
        <w:t xml:space="preserve">, that is the </w:t>
      </w:r>
      <w:r w:rsidRPr="00941F28">
        <w:t>Combination of Methods B and C with 10 MHz guard bands.</w:t>
      </w:r>
    </w:p>
    <w:p w14:paraId="5D191EE3" w14:textId="77777777" w:rsidR="00941F28" w:rsidRPr="00941F28" w:rsidRDefault="00941F28" w:rsidP="00941F28">
      <w:pPr>
        <w:pStyle w:val="Reasons"/>
        <w:numPr>
          <w:ilvl w:val="0"/>
          <w:numId w:val="14"/>
        </w:numPr>
        <w:rPr>
          <w:rFonts w:eastAsia="Calibri"/>
          <w:iCs/>
          <w:szCs w:val="24"/>
          <w:lang w:val="en-US" w:bidi="ar-EG"/>
        </w:rPr>
      </w:pPr>
      <w:r w:rsidRPr="00941F28">
        <w:rPr>
          <w:rFonts w:eastAsia="Calibri"/>
          <w:b/>
          <w:bCs/>
          <w:iCs/>
          <w:szCs w:val="24"/>
          <w:lang w:val="en-US" w:bidi="ar-EG"/>
        </w:rPr>
        <w:t>In order to</w:t>
      </w:r>
      <w:r w:rsidRPr="00941F28">
        <w:rPr>
          <w:rFonts w:eastAsia="Calibri"/>
          <w:iCs/>
          <w:szCs w:val="24"/>
          <w:lang w:val="en-US" w:bidi="ar-EG"/>
        </w:rPr>
        <w:t xml:space="preserve"> provide a new allocation in the band 15.41-15.7 GHz to the aeronautical mobile (off</w:t>
      </w:r>
      <w:r w:rsidRPr="00941F28">
        <w:rPr>
          <w:rFonts w:eastAsia="Calibri"/>
          <w:iCs/>
          <w:szCs w:val="24"/>
          <w:lang w:val="en-US" w:bidi="ar-EG"/>
        </w:rPr>
        <w:noBreakHyphen/>
        <w:t xml:space="preserve">route) service for introduction of new non-safety aeronautical mobile applications (off-route). </w:t>
      </w:r>
    </w:p>
    <w:p w14:paraId="27C2CE32" w14:textId="77777777" w:rsidR="00941F28" w:rsidRPr="00941F28" w:rsidRDefault="00941F28" w:rsidP="00941F28">
      <w:pPr>
        <w:numPr>
          <w:ilvl w:val="0"/>
          <w:numId w:val="14"/>
        </w:numPr>
        <w:jc w:val="lowKashida"/>
        <w:rPr>
          <w:iCs/>
          <w:lang w:bidi="ar-EG"/>
        </w:rPr>
      </w:pPr>
      <w:r w:rsidRPr="00941F28">
        <w:rPr>
          <w:b/>
          <w:bCs/>
          <w:iCs/>
          <w:lang w:bidi="ar-EG"/>
        </w:rPr>
        <w:t>In order to</w:t>
      </w:r>
      <w:r w:rsidRPr="00941F28">
        <w:rPr>
          <w:iCs/>
          <w:lang w:bidi="ar-EG"/>
        </w:rPr>
        <w:t xml:space="preserve"> provide a new allocation in the band 22-22.2 GHz to the aeronautical mobile (off</w:t>
      </w:r>
      <w:r w:rsidRPr="00941F28">
        <w:rPr>
          <w:iCs/>
          <w:lang w:bidi="ar-EG"/>
        </w:rPr>
        <w:noBreakHyphen/>
        <w:t>route) service for introduction of new non-safety aeronautical mobile (off-route) applications.</w:t>
      </w:r>
    </w:p>
    <w:p w14:paraId="78EFD8BE" w14:textId="77777777" w:rsidR="009D4B7A" w:rsidRPr="007C0D45" w:rsidRDefault="009D4B7A" w:rsidP="009D4B7A">
      <w:pPr>
        <w:rPr>
          <w:b/>
          <w:lang w:val="en-NZ"/>
        </w:rPr>
      </w:pPr>
    </w:p>
    <w:p w14:paraId="4E3E82C1" w14:textId="02F99439" w:rsidR="009D4B7A" w:rsidRPr="007C0D45" w:rsidRDefault="009D4B7A" w:rsidP="00117CF2">
      <w:pPr>
        <w:spacing w:after="120"/>
        <w:jc w:val="both"/>
        <w:outlineLvl w:val="2"/>
        <w:rPr>
          <w:b/>
          <w:lang w:val="en-NZ" w:eastAsia="ko-KR"/>
        </w:rPr>
      </w:pPr>
      <w:r w:rsidRPr="007C0D45">
        <w:rPr>
          <w:b/>
          <w:lang w:val="en-NZ" w:eastAsia="ko-KR"/>
        </w:rPr>
        <w:t xml:space="preserve">7.1.3 </w:t>
      </w:r>
      <w:r w:rsidRPr="007C0D45">
        <w:rPr>
          <w:b/>
          <w:lang w:val="en-NZ" w:eastAsia="ko-KR"/>
        </w:rPr>
        <w:tab/>
        <w:t>CEPT - Document APG23-</w:t>
      </w:r>
      <w:r w:rsidR="006B480A" w:rsidRPr="007C0D45">
        <w:rPr>
          <w:b/>
          <w:lang w:val="en-NZ" w:eastAsia="ko-KR"/>
        </w:rPr>
        <w:t>6</w:t>
      </w:r>
      <w:r w:rsidR="001723F4" w:rsidRPr="007C0D45">
        <w:rPr>
          <w:b/>
          <w:lang w:val="en-NZ" w:eastAsia="ko-KR"/>
        </w:rPr>
        <w:t>/INF-</w:t>
      </w:r>
      <w:r w:rsidR="001723F4" w:rsidRPr="007C0D45">
        <w:rPr>
          <w:rFonts w:hint="eastAsia"/>
          <w:b/>
          <w:lang w:val="en-NZ" w:eastAsia="ko-KR"/>
        </w:rPr>
        <w:t>46</w:t>
      </w:r>
    </w:p>
    <w:p w14:paraId="39393B2A" w14:textId="430FF530" w:rsidR="00A33954" w:rsidRPr="007C0D45" w:rsidRDefault="00A33954" w:rsidP="00A33954">
      <w:pPr>
        <w:ind w:left="348"/>
        <w:rPr>
          <w:lang w:val="en-NZ"/>
        </w:rPr>
      </w:pPr>
      <w:r w:rsidRPr="007C0D45">
        <w:rPr>
          <w:lang w:val="en-NZ"/>
        </w:rPr>
        <w:t>CEPT acknowledges the need for additional spectrum to fulfil the increasing demand for non-safety aeronautical mobile applications.</w:t>
      </w:r>
      <w:r w:rsidRPr="007C0D45">
        <w:rPr>
          <w:rFonts w:eastAsia="SimSun" w:hint="eastAsia"/>
          <w:lang w:val="en-NZ" w:eastAsia="zh-CN"/>
        </w:rPr>
        <w:t xml:space="preserve"> </w:t>
      </w:r>
      <w:r w:rsidRPr="007C0D45">
        <w:rPr>
          <w:lang w:val="en-NZ"/>
        </w:rPr>
        <w:t>Therefore, CEPT supports new allocations to AM(OR)S for non-safety application in the whole range or a part of the frequency bands 15.4-15.7 GHz and 22-22.21 GHz while:</w:t>
      </w:r>
    </w:p>
    <w:p w14:paraId="639F87F5" w14:textId="0EF27DF5" w:rsidR="00A33954" w:rsidRPr="007C0D45" w:rsidRDefault="00A33954" w:rsidP="00A33954">
      <w:pPr>
        <w:numPr>
          <w:ilvl w:val="0"/>
          <w:numId w:val="12"/>
        </w:numPr>
        <w:ind w:leftChars="145" w:left="708"/>
        <w:rPr>
          <w:lang w:val="en-NZ"/>
        </w:rPr>
      </w:pPr>
      <w:r w:rsidRPr="007C0D45">
        <w:rPr>
          <w:lang w:val="en-NZ"/>
        </w:rPr>
        <w:t>ensuring protection of the EESS/SRS (passive), and the RAS from unwanted emissions of the AM(OR)S;</w:t>
      </w:r>
    </w:p>
    <w:p w14:paraId="7A2FA9B4" w14:textId="594382DB" w:rsidR="00A33954" w:rsidRPr="007C0D45" w:rsidRDefault="00A33954" w:rsidP="00A33954">
      <w:pPr>
        <w:numPr>
          <w:ilvl w:val="0"/>
          <w:numId w:val="12"/>
        </w:numPr>
        <w:ind w:leftChars="145" w:left="708"/>
        <w:rPr>
          <w:lang w:val="en-NZ"/>
        </w:rPr>
      </w:pPr>
      <w:r w:rsidRPr="007C0D45">
        <w:rPr>
          <w:lang w:val="en-NZ"/>
        </w:rPr>
        <w:t>not claiming protection nor create harmful interference to radiolocation and aeronautical navigation services in the 15.4-15.7 GHz frequency band;</w:t>
      </w:r>
    </w:p>
    <w:p w14:paraId="118E4738" w14:textId="2FB81D2E" w:rsidR="00A33954" w:rsidRPr="007C0D45" w:rsidRDefault="00A33954" w:rsidP="00A33954">
      <w:pPr>
        <w:numPr>
          <w:ilvl w:val="0"/>
          <w:numId w:val="12"/>
        </w:numPr>
        <w:ind w:leftChars="145" w:left="708"/>
        <w:rPr>
          <w:lang w:val="en-NZ"/>
        </w:rPr>
      </w:pPr>
      <w:r w:rsidRPr="007C0D45">
        <w:rPr>
          <w:lang w:val="en-NZ"/>
        </w:rPr>
        <w:t>ensuring protection of the primary allocations to fixed-satellite (Earth-to-space) service in the frequency band 15.43-15.63 GHz;</w:t>
      </w:r>
    </w:p>
    <w:p w14:paraId="1A4EE751" w14:textId="6599B37D" w:rsidR="00A33954" w:rsidRPr="007C0D45" w:rsidRDefault="00A33954" w:rsidP="00A33954">
      <w:pPr>
        <w:numPr>
          <w:ilvl w:val="0"/>
          <w:numId w:val="12"/>
        </w:numPr>
        <w:ind w:leftChars="145" w:left="708"/>
        <w:rPr>
          <w:lang w:val="en-NZ"/>
        </w:rPr>
      </w:pPr>
      <w:r w:rsidRPr="007C0D45">
        <w:rPr>
          <w:lang w:val="en-NZ"/>
        </w:rPr>
        <w:t>ensuring protection of the primary allocations to the fixed and mobile services in the frequency band 22-22.21 GHz noting that the frequency range 21.2-23.6 GHz is allocated to the fixed service;</w:t>
      </w:r>
    </w:p>
    <w:p w14:paraId="600CDC33" w14:textId="76D7777D" w:rsidR="00A33954" w:rsidRPr="007C0D45" w:rsidRDefault="00A33954" w:rsidP="00A33954">
      <w:pPr>
        <w:numPr>
          <w:ilvl w:val="0"/>
          <w:numId w:val="12"/>
        </w:numPr>
        <w:ind w:leftChars="145" w:left="708"/>
        <w:rPr>
          <w:lang w:val="en-NZ"/>
        </w:rPr>
      </w:pPr>
      <w:r w:rsidRPr="007C0D45">
        <w:rPr>
          <w:lang w:val="en-NZ"/>
        </w:rPr>
        <w:t>considering that RR No. 5.149 applies, also recognizing that some CEPT administrations operate RAS under their National regulation with a primary or secondary status in the frequency band 22.00-22.21 GHz.</w:t>
      </w:r>
    </w:p>
    <w:p w14:paraId="4F2AF77C" w14:textId="68687F32" w:rsidR="009D4B7A" w:rsidRPr="007C0D45" w:rsidRDefault="00A33954" w:rsidP="00A33954">
      <w:pPr>
        <w:ind w:left="348"/>
        <w:rPr>
          <w:lang w:val="en-NZ"/>
        </w:rPr>
      </w:pPr>
      <w:r w:rsidRPr="007C0D45">
        <w:rPr>
          <w:lang w:val="en-NZ"/>
        </w:rPr>
        <w:t>Noting that some CEPT Administrations operate water vapour radiometers in the frequency range 22-22.5 GHz utilized by some radio astronomy stations and in a variety of environmental applications, including weather forecasting and nowcasting, as well as climate monitoring for meteorology, CEPT will also ensure their necessary protection.</w:t>
      </w:r>
    </w:p>
    <w:p w14:paraId="3E6533ED" w14:textId="77777777" w:rsidR="009D4B7A" w:rsidRPr="007C0D45" w:rsidRDefault="009D4B7A" w:rsidP="009D4B7A">
      <w:pPr>
        <w:rPr>
          <w:lang w:val="en-NZ"/>
        </w:rPr>
      </w:pPr>
    </w:p>
    <w:p w14:paraId="4B85E9CE" w14:textId="773DAE3D" w:rsidR="009D4B7A" w:rsidRPr="007C0D45" w:rsidRDefault="009D4B7A" w:rsidP="00117CF2">
      <w:pPr>
        <w:spacing w:after="120"/>
        <w:jc w:val="both"/>
        <w:outlineLvl w:val="2"/>
        <w:rPr>
          <w:b/>
          <w:lang w:val="en-NZ" w:eastAsia="ko-KR"/>
        </w:rPr>
      </w:pPr>
      <w:r w:rsidRPr="007C0D45">
        <w:rPr>
          <w:b/>
          <w:lang w:val="en-NZ" w:eastAsia="ko-KR"/>
        </w:rPr>
        <w:t xml:space="preserve">7.1.4 </w:t>
      </w:r>
      <w:r w:rsidRPr="007C0D45">
        <w:rPr>
          <w:b/>
          <w:lang w:val="en-NZ" w:eastAsia="ko-KR"/>
        </w:rPr>
        <w:tab/>
        <w:t>CITEL - Document APG23-</w:t>
      </w:r>
      <w:r w:rsidR="006B480A" w:rsidRPr="007C0D45">
        <w:rPr>
          <w:b/>
          <w:lang w:val="en-NZ" w:eastAsia="ko-KR"/>
        </w:rPr>
        <w:t>6</w:t>
      </w:r>
      <w:r w:rsidR="001723F4" w:rsidRPr="007C0D45">
        <w:rPr>
          <w:b/>
          <w:lang w:val="en-NZ" w:eastAsia="ko-KR"/>
        </w:rPr>
        <w:t>/INF-</w:t>
      </w:r>
      <w:r w:rsidR="001723F4" w:rsidRPr="007C0D45">
        <w:rPr>
          <w:rFonts w:hint="eastAsia"/>
          <w:b/>
          <w:lang w:val="en-NZ" w:eastAsia="ko-KR"/>
        </w:rPr>
        <w:t>52</w:t>
      </w:r>
    </w:p>
    <w:p w14:paraId="5212BBF1" w14:textId="77777777" w:rsidR="00E1535C" w:rsidRPr="007C0D45" w:rsidRDefault="00E1535C" w:rsidP="00E1535C">
      <w:pPr>
        <w:spacing w:beforeLines="50" w:before="120"/>
        <w:ind w:left="348"/>
        <w:rPr>
          <w:b/>
          <w:lang w:val="en-NZ"/>
        </w:rPr>
      </w:pPr>
      <w:r w:rsidRPr="007C0D45">
        <w:rPr>
          <w:b/>
          <w:lang w:val="en-NZ"/>
        </w:rPr>
        <w:t>Draft Inter-American Proposal:</w:t>
      </w:r>
    </w:p>
    <w:p w14:paraId="33C0EA5D" w14:textId="4546E5BF" w:rsidR="00E1535C" w:rsidRPr="007C0D45" w:rsidRDefault="00E1535C" w:rsidP="00E1535C">
      <w:pPr>
        <w:spacing w:beforeLines="50" w:before="120"/>
        <w:ind w:left="348"/>
        <w:rPr>
          <w:lang w:val="en-NZ"/>
        </w:rPr>
      </w:pPr>
      <w:r w:rsidRPr="007C0D45">
        <w:rPr>
          <w:lang w:val="en-NZ"/>
        </w:rPr>
        <w:t xml:space="preserve">A number of Administrations provided Preliminary Proposal at recent CITEL meeting. This proposal is based on the sharing and compatibility studies carried out in line with Resolution </w:t>
      </w:r>
      <w:r w:rsidRPr="007C0D45">
        <w:rPr>
          <w:b/>
          <w:lang w:val="en-NZ"/>
        </w:rPr>
        <w:t>430 (WRC-19)</w:t>
      </w:r>
      <w:r w:rsidRPr="007C0D45">
        <w:rPr>
          <w:lang w:val="en-NZ"/>
        </w:rPr>
        <w:t xml:space="preserve"> in the frequency bands 15.4-15.7 GHz and 22 -22.21 GHz in consideration of new allocation for aeronautical mobile service for non-safety applications.</w:t>
      </w:r>
    </w:p>
    <w:p w14:paraId="0AEBB526" w14:textId="417448C7" w:rsidR="00E1535C" w:rsidRPr="007C0D45" w:rsidRDefault="00E1535C" w:rsidP="00E1535C">
      <w:pPr>
        <w:numPr>
          <w:ilvl w:val="0"/>
          <w:numId w:val="12"/>
        </w:numPr>
        <w:spacing w:beforeLines="50" w:before="120"/>
        <w:ind w:leftChars="145" w:left="708"/>
        <w:rPr>
          <w:lang w:val="en-NZ"/>
        </w:rPr>
      </w:pPr>
      <w:r w:rsidRPr="007C0D45">
        <w:rPr>
          <w:b/>
          <w:lang w:val="en-NZ"/>
        </w:rPr>
        <w:t>NOC</w:t>
      </w:r>
      <w:r w:rsidRPr="007C0D45">
        <w:rPr>
          <w:lang w:val="en-NZ"/>
        </w:rPr>
        <w:t xml:space="preserve"> in relation to frequency band 15.4-15.7 GHz</w:t>
      </w:r>
    </w:p>
    <w:p w14:paraId="0F913199" w14:textId="0AF53ADF" w:rsidR="00E1535C" w:rsidRPr="007C0D45" w:rsidRDefault="00E1535C" w:rsidP="00E1535C">
      <w:pPr>
        <w:numPr>
          <w:ilvl w:val="0"/>
          <w:numId w:val="12"/>
        </w:numPr>
        <w:spacing w:beforeLines="50" w:before="120"/>
        <w:ind w:leftChars="145" w:left="708"/>
        <w:rPr>
          <w:lang w:val="en-NZ"/>
        </w:rPr>
      </w:pPr>
      <w:r w:rsidRPr="007C0D45">
        <w:rPr>
          <w:b/>
          <w:lang w:val="en-NZ"/>
        </w:rPr>
        <w:t>NOC</w:t>
      </w:r>
      <w:r w:rsidRPr="007C0D45">
        <w:rPr>
          <w:lang w:val="en-NZ"/>
        </w:rPr>
        <w:t xml:space="preserve"> in relation to frequency band 22.0-22.21 GHz</w:t>
      </w:r>
    </w:p>
    <w:p w14:paraId="6B677473" w14:textId="0079417E" w:rsidR="009D4B7A" w:rsidRPr="007C0D45" w:rsidRDefault="00E1535C" w:rsidP="00E1535C">
      <w:pPr>
        <w:numPr>
          <w:ilvl w:val="0"/>
          <w:numId w:val="12"/>
        </w:numPr>
        <w:spacing w:beforeLines="50" w:before="120"/>
        <w:ind w:leftChars="145" w:left="708"/>
        <w:rPr>
          <w:lang w:val="en-NZ"/>
        </w:rPr>
      </w:pPr>
      <w:r w:rsidRPr="007C0D45">
        <w:rPr>
          <w:lang w:val="en-NZ"/>
        </w:rPr>
        <w:t>SUP RESOLUTION</w:t>
      </w:r>
      <w:r w:rsidRPr="007C0D45">
        <w:rPr>
          <w:b/>
          <w:lang w:val="en-NZ"/>
        </w:rPr>
        <w:t xml:space="preserve"> 430 (WRC-19)</w:t>
      </w:r>
      <w:r w:rsidRPr="007C0D45">
        <w:rPr>
          <w:lang w:val="en-NZ"/>
        </w:rPr>
        <w:t xml:space="preserve"> – Consequential to the results of studies at ITU-R in relation to this Resolution.</w:t>
      </w:r>
    </w:p>
    <w:p w14:paraId="7AEB6034" w14:textId="77777777" w:rsidR="009D4B7A" w:rsidRPr="007C0D45" w:rsidRDefault="009D4B7A" w:rsidP="009D4B7A">
      <w:pPr>
        <w:spacing w:after="120"/>
        <w:jc w:val="both"/>
        <w:rPr>
          <w:b/>
          <w:lang w:val="en-NZ" w:eastAsia="ko-KR"/>
        </w:rPr>
      </w:pPr>
    </w:p>
    <w:p w14:paraId="32D6919E" w14:textId="205ED122" w:rsidR="009D4B7A" w:rsidRPr="007C0D45" w:rsidRDefault="009D4B7A" w:rsidP="00117CF2">
      <w:pPr>
        <w:spacing w:after="120"/>
        <w:jc w:val="both"/>
        <w:outlineLvl w:val="2"/>
        <w:rPr>
          <w:b/>
          <w:lang w:val="en-NZ" w:eastAsia="ko-KR"/>
        </w:rPr>
      </w:pPr>
      <w:r w:rsidRPr="007C0D45">
        <w:rPr>
          <w:b/>
          <w:lang w:val="en-NZ" w:eastAsia="ko-KR"/>
        </w:rPr>
        <w:t xml:space="preserve">7.1.5 </w:t>
      </w:r>
      <w:r w:rsidRPr="007C0D45">
        <w:rPr>
          <w:b/>
          <w:lang w:val="en-NZ" w:eastAsia="ko-KR"/>
        </w:rPr>
        <w:tab/>
        <w:t>RCC - Document APG23-</w:t>
      </w:r>
      <w:r w:rsidR="006B480A" w:rsidRPr="007C0D45">
        <w:rPr>
          <w:b/>
          <w:lang w:val="en-NZ" w:eastAsia="ko-KR"/>
        </w:rPr>
        <w:t>6</w:t>
      </w:r>
      <w:r w:rsidR="001723F4" w:rsidRPr="007C0D45">
        <w:rPr>
          <w:b/>
          <w:lang w:val="en-NZ" w:eastAsia="ko-KR"/>
        </w:rPr>
        <w:t>/INF-</w:t>
      </w:r>
      <w:r w:rsidR="001723F4" w:rsidRPr="007C0D45">
        <w:rPr>
          <w:rFonts w:hint="eastAsia"/>
          <w:b/>
          <w:lang w:val="en-NZ" w:eastAsia="ko-KR"/>
        </w:rPr>
        <w:t>45</w:t>
      </w:r>
    </w:p>
    <w:p w14:paraId="207D873F" w14:textId="77777777" w:rsidR="00514980" w:rsidRPr="007C0D45" w:rsidRDefault="00514980" w:rsidP="00514980">
      <w:pPr>
        <w:ind w:left="348"/>
        <w:rPr>
          <w:lang w:val="en-NZ"/>
        </w:rPr>
      </w:pPr>
      <w:r w:rsidRPr="007C0D45">
        <w:rPr>
          <w:lang w:val="en-NZ"/>
        </w:rPr>
        <w:t xml:space="preserve">The RCC Telecommunication Administrations do not object to the new allocations to the Aeronautical Mobile Service in the frequency band 15.4 - 15.7 GHz, as well as to removal </w:t>
      </w:r>
      <w:r w:rsidRPr="007C0D45">
        <w:rPr>
          <w:lang w:val="en-NZ"/>
        </w:rPr>
        <w:lastRenderedPageBreak/>
        <w:t>of restrictions for the use of the frequency band 22–22.21 GHz by the Aeronautical Mobile Service, providing the protection conditions for the following services:</w:t>
      </w:r>
    </w:p>
    <w:p w14:paraId="0ABA4445" w14:textId="590D6328" w:rsidR="00514980" w:rsidRPr="007C0D45" w:rsidRDefault="00514980" w:rsidP="00514980">
      <w:pPr>
        <w:numPr>
          <w:ilvl w:val="0"/>
          <w:numId w:val="12"/>
        </w:numPr>
        <w:ind w:leftChars="145" w:left="708"/>
        <w:rPr>
          <w:lang w:val="en-NZ"/>
        </w:rPr>
      </w:pPr>
      <w:r w:rsidRPr="007C0D45">
        <w:rPr>
          <w:lang w:val="en-NZ"/>
        </w:rPr>
        <w:t>Radiolocation and Aeronautical Radionavigation Service in the frequency band 15.4-15.7 GHz, Fixed-Satellite Service in the frequency band 15.43-15.63 GHz and Fixed Service in the frequency band 22-22.21 GHz;</w:t>
      </w:r>
    </w:p>
    <w:p w14:paraId="26D9D060" w14:textId="0AD597A0" w:rsidR="00514980" w:rsidRPr="007C0D45" w:rsidRDefault="00514980" w:rsidP="00514980">
      <w:pPr>
        <w:numPr>
          <w:ilvl w:val="0"/>
          <w:numId w:val="12"/>
        </w:numPr>
        <w:ind w:leftChars="145" w:left="708"/>
        <w:rPr>
          <w:lang w:val="en-NZ"/>
        </w:rPr>
      </w:pPr>
      <w:r w:rsidRPr="007C0D45">
        <w:rPr>
          <w:lang w:val="en-NZ"/>
        </w:rPr>
        <w:t xml:space="preserve">Radio Astronomy Service in the frequency bands 15.35-15.4 GHz and 22.21-22.5 by limiting unwanted emissions from stations in the Aeronautical Mobile Service in these frequency bands. </w:t>
      </w:r>
    </w:p>
    <w:p w14:paraId="6C9D356F" w14:textId="0D1BCD64" w:rsidR="009D4B7A" w:rsidRPr="007C0D45" w:rsidRDefault="00514980" w:rsidP="00A33954">
      <w:pPr>
        <w:spacing w:beforeLines="50" w:before="120"/>
        <w:ind w:left="346"/>
        <w:rPr>
          <w:rFonts w:eastAsia="SimSun"/>
          <w:lang w:val="en-NZ" w:eastAsia="zh-CN"/>
        </w:rPr>
      </w:pPr>
      <w:r w:rsidRPr="007C0D45">
        <w:rPr>
          <w:lang w:val="en-NZ"/>
        </w:rPr>
        <w:t>The stations in the Aeronautical Mobile Service in the frequency bands 15.4-15.7 GHz and 22- 22.21 GHz, when operating outside the national territory, cannot claim protection from interference caused by stations of other primary services.</w:t>
      </w:r>
    </w:p>
    <w:p w14:paraId="3F26866E" w14:textId="3DA4E7E6" w:rsidR="00514980" w:rsidRPr="007C0D45" w:rsidRDefault="00514980" w:rsidP="00A33954">
      <w:pPr>
        <w:spacing w:beforeLines="50" w:before="120"/>
        <w:ind w:left="346"/>
        <w:rPr>
          <w:rFonts w:eastAsia="SimSun"/>
          <w:lang w:val="en-NZ" w:eastAsia="zh-CN"/>
        </w:rPr>
      </w:pPr>
      <w:r w:rsidRPr="007C0D45">
        <w:rPr>
          <w:rFonts w:eastAsia="SimSun"/>
          <w:lang w:val="en-NZ" w:eastAsia="zh-CN"/>
        </w:rPr>
        <w:t>Method D from the CPM Report is preferable</w:t>
      </w:r>
      <w:r w:rsidR="009825AE" w:rsidRPr="007C0D45">
        <w:rPr>
          <w:rFonts w:eastAsia="SimSun" w:hint="eastAsia"/>
          <w:lang w:val="en-NZ" w:eastAsia="zh-CN"/>
        </w:rPr>
        <w:t>.</w:t>
      </w:r>
    </w:p>
    <w:p w14:paraId="6617D7C3" w14:textId="77777777" w:rsidR="009D4B7A" w:rsidRPr="007C0D45" w:rsidRDefault="009D4B7A" w:rsidP="009D4B7A">
      <w:pPr>
        <w:rPr>
          <w:lang w:val="en-NZ"/>
        </w:rPr>
      </w:pPr>
    </w:p>
    <w:p w14:paraId="3BBD382B" w14:textId="77777777" w:rsidR="009D4B7A" w:rsidRPr="007C0D45" w:rsidRDefault="009D4B7A" w:rsidP="009D4B7A">
      <w:pPr>
        <w:rPr>
          <w:lang w:val="en-NZ"/>
        </w:rPr>
      </w:pPr>
    </w:p>
    <w:p w14:paraId="6520ABC6" w14:textId="77777777" w:rsidR="009D4B7A" w:rsidRPr="007C0D45" w:rsidRDefault="009D4B7A" w:rsidP="00117CF2">
      <w:pPr>
        <w:spacing w:after="120"/>
        <w:jc w:val="both"/>
        <w:outlineLvl w:val="1"/>
        <w:rPr>
          <w:b/>
          <w:lang w:val="en-NZ" w:eastAsia="ko-KR"/>
        </w:rPr>
      </w:pPr>
      <w:r w:rsidRPr="007C0D45">
        <w:rPr>
          <w:b/>
          <w:lang w:val="en-NZ" w:eastAsia="ko-KR"/>
        </w:rPr>
        <w:t xml:space="preserve">7.2 </w:t>
      </w:r>
      <w:r w:rsidRPr="007C0D45">
        <w:rPr>
          <w:b/>
          <w:lang w:val="en-NZ" w:eastAsia="ko-KR"/>
        </w:rPr>
        <w:tab/>
        <w:t>International Organisations</w:t>
      </w:r>
    </w:p>
    <w:p w14:paraId="6B3B9DFD" w14:textId="1240BE13" w:rsidR="009D4B7A" w:rsidRPr="007C0D45" w:rsidRDefault="009D4B7A" w:rsidP="00117CF2">
      <w:pPr>
        <w:spacing w:after="120"/>
        <w:jc w:val="both"/>
        <w:outlineLvl w:val="2"/>
        <w:rPr>
          <w:b/>
          <w:lang w:val="en-NZ" w:eastAsia="ko-KR"/>
        </w:rPr>
      </w:pPr>
      <w:r w:rsidRPr="007C0D45">
        <w:rPr>
          <w:b/>
          <w:lang w:val="en-NZ" w:eastAsia="ko-KR"/>
        </w:rPr>
        <w:t>7.2.</w:t>
      </w:r>
      <w:r w:rsidR="00CC2152" w:rsidRPr="007C0D45">
        <w:rPr>
          <w:rFonts w:hint="eastAsia"/>
          <w:b/>
          <w:lang w:val="en-NZ" w:eastAsia="ko-KR"/>
        </w:rPr>
        <w:t>1</w:t>
      </w:r>
      <w:r w:rsidRPr="007C0D45">
        <w:rPr>
          <w:b/>
          <w:lang w:val="en-NZ" w:eastAsia="ko-KR"/>
        </w:rPr>
        <w:t xml:space="preserve"> </w:t>
      </w:r>
      <w:r w:rsidRPr="007C0D45">
        <w:rPr>
          <w:b/>
          <w:lang w:val="en-NZ" w:eastAsia="ko-KR"/>
        </w:rPr>
        <w:tab/>
        <w:t>ICAO - Document APG23-</w:t>
      </w:r>
      <w:r w:rsidR="006B480A" w:rsidRPr="007C0D45">
        <w:rPr>
          <w:b/>
          <w:lang w:val="en-NZ" w:eastAsia="ko-KR"/>
        </w:rPr>
        <w:t>6</w:t>
      </w:r>
      <w:r w:rsidR="00CC2152" w:rsidRPr="007C0D45">
        <w:rPr>
          <w:b/>
          <w:lang w:val="en-NZ" w:eastAsia="ko-KR"/>
        </w:rPr>
        <w:t>/INF-</w:t>
      </w:r>
      <w:r w:rsidR="00CC2152" w:rsidRPr="007C0D45">
        <w:rPr>
          <w:rFonts w:hint="eastAsia"/>
          <w:b/>
          <w:lang w:val="en-NZ" w:eastAsia="ko-KR"/>
        </w:rPr>
        <w:t>25</w:t>
      </w:r>
    </w:p>
    <w:p w14:paraId="7FA3DE39" w14:textId="77777777" w:rsidR="00CC2152" w:rsidRPr="007C0D45" w:rsidRDefault="00CC2152" w:rsidP="00CC2152">
      <w:pPr>
        <w:numPr>
          <w:ilvl w:val="0"/>
          <w:numId w:val="12"/>
        </w:numPr>
        <w:ind w:leftChars="145" w:left="708"/>
        <w:rPr>
          <w:lang w:val="en-NZ"/>
        </w:rPr>
      </w:pPr>
      <w:r w:rsidRPr="007C0D45">
        <w:rPr>
          <w:lang w:val="en-NZ"/>
        </w:rPr>
        <w:t>Based upon the agreed results of studies, not to oppose new allocations to the aeronautical mobile service for use by non-safety aeronautical mobile applications on a primary basis in the frequency bands 15.4-15.7 GHz and 22-22.21 GHz.</w:t>
      </w:r>
    </w:p>
    <w:p w14:paraId="3779E5F4" w14:textId="4C91340E" w:rsidR="00334512" w:rsidRPr="007C0D45" w:rsidRDefault="00CC2152" w:rsidP="00CC2152">
      <w:pPr>
        <w:numPr>
          <w:ilvl w:val="0"/>
          <w:numId w:val="12"/>
        </w:numPr>
        <w:ind w:leftChars="145" w:left="708"/>
        <w:rPr>
          <w:lang w:val="en-NZ"/>
        </w:rPr>
      </w:pPr>
      <w:r w:rsidRPr="007C0D45">
        <w:rPr>
          <w:lang w:val="en-NZ"/>
        </w:rPr>
        <w:t>To ensure that any such modification does not adversely affect the status or provision of aeronautical safety services.</w:t>
      </w:r>
    </w:p>
    <w:p w14:paraId="78F7E66C" w14:textId="77777777" w:rsidR="00334512" w:rsidRPr="007C0D45" w:rsidRDefault="00334512" w:rsidP="00CE0E10">
      <w:pPr>
        <w:ind w:left="708"/>
        <w:rPr>
          <w:lang w:val="en-NZ"/>
        </w:rPr>
      </w:pPr>
    </w:p>
    <w:p w14:paraId="0AFEA66D" w14:textId="4C9D4A0B" w:rsidR="00334512" w:rsidRPr="007C0D45" w:rsidRDefault="00334512" w:rsidP="00117CF2">
      <w:pPr>
        <w:spacing w:after="120"/>
        <w:jc w:val="both"/>
        <w:outlineLvl w:val="2"/>
        <w:rPr>
          <w:b/>
          <w:lang w:val="en-NZ" w:eastAsia="ko-KR"/>
        </w:rPr>
      </w:pPr>
      <w:r w:rsidRPr="007C0D45">
        <w:rPr>
          <w:b/>
          <w:lang w:val="en-NZ" w:eastAsia="ko-KR"/>
        </w:rPr>
        <w:t>7.2.</w:t>
      </w:r>
      <w:r w:rsidR="00026369" w:rsidRPr="007C0D45">
        <w:rPr>
          <w:rFonts w:hint="eastAsia"/>
          <w:b/>
          <w:lang w:val="en-NZ" w:eastAsia="ko-KR"/>
        </w:rPr>
        <w:t>2</w:t>
      </w:r>
      <w:r w:rsidRPr="007C0D45">
        <w:rPr>
          <w:b/>
          <w:lang w:val="en-NZ" w:eastAsia="ko-KR"/>
        </w:rPr>
        <w:tab/>
        <w:t xml:space="preserve">WMO </w:t>
      </w:r>
      <w:r w:rsidR="00E371AC" w:rsidRPr="007C0D45">
        <w:rPr>
          <w:b/>
          <w:lang w:val="en-NZ" w:eastAsia="ko-KR"/>
        </w:rPr>
        <w:t>- Document APG23-6/INF-</w:t>
      </w:r>
      <w:r w:rsidR="00CC2152" w:rsidRPr="007C0D45">
        <w:rPr>
          <w:rFonts w:hint="eastAsia"/>
          <w:b/>
          <w:lang w:val="en-NZ" w:eastAsia="ko-KR"/>
        </w:rPr>
        <w:t>02</w:t>
      </w:r>
    </w:p>
    <w:p w14:paraId="47730E99" w14:textId="280EB204" w:rsidR="00334512" w:rsidRPr="007C0D45" w:rsidRDefault="00CC2152" w:rsidP="00CC2152">
      <w:pPr>
        <w:numPr>
          <w:ilvl w:val="0"/>
          <w:numId w:val="12"/>
        </w:numPr>
        <w:ind w:leftChars="145" w:left="708"/>
        <w:rPr>
          <w:lang w:val="en-NZ"/>
        </w:rPr>
      </w:pPr>
      <w:r w:rsidRPr="007C0D45">
        <w:rPr>
          <w:lang w:val="en-NZ"/>
        </w:rPr>
        <w:t>WMO is not opposed to new allocations for the aeronautical mobile service for the use of non-safety aeronautical mobile applications, if an appropriate unwanted emission limit (-23 dBW per 100 MHz) applies in the band 22.21-22.5 GHz to ensure that EESS (passive) is protected from the AM(OR)S. Option 2 of Methods C, D and E, of the CPM Report aligns with WMO objectives.</w:t>
      </w:r>
    </w:p>
    <w:p w14:paraId="2403CF09" w14:textId="77777777" w:rsidR="00334512" w:rsidRPr="007C0D45" w:rsidRDefault="00334512" w:rsidP="00334512">
      <w:pPr>
        <w:rPr>
          <w:lang w:val="en-NZ"/>
        </w:rPr>
      </w:pPr>
    </w:p>
    <w:p w14:paraId="2FDD84D1" w14:textId="412A62BD" w:rsidR="00334512" w:rsidRPr="007C0D45" w:rsidRDefault="00334512" w:rsidP="00CE0E10">
      <w:pPr>
        <w:rPr>
          <w:lang w:val="en-NZ"/>
        </w:rPr>
      </w:pPr>
    </w:p>
    <w:p w14:paraId="1D0261CB" w14:textId="2CE9DAE9" w:rsidR="00334512" w:rsidRPr="007C0D45" w:rsidRDefault="00334512" w:rsidP="00CE0E10">
      <w:pPr>
        <w:ind w:left="-80"/>
        <w:rPr>
          <w:lang w:val="en-NZ"/>
        </w:rPr>
      </w:pPr>
    </w:p>
    <w:p w14:paraId="6325EFBA" w14:textId="77777777" w:rsidR="009D4B7A" w:rsidRPr="007C0D45" w:rsidRDefault="009D4B7A" w:rsidP="009D4B7A">
      <w:pPr>
        <w:rPr>
          <w:lang w:val="en-NZ"/>
        </w:rPr>
      </w:pPr>
    </w:p>
    <w:p w14:paraId="416AAE34" w14:textId="77777777" w:rsidR="009D4B7A" w:rsidRPr="007C0D45" w:rsidRDefault="009D4B7A" w:rsidP="009D4B7A">
      <w:pPr>
        <w:jc w:val="both"/>
        <w:rPr>
          <w:lang w:val="en-NZ"/>
        </w:rPr>
      </w:pPr>
    </w:p>
    <w:p w14:paraId="34A9CF7E" w14:textId="77777777" w:rsidR="009D4B7A" w:rsidRPr="007C0D45" w:rsidRDefault="009D4B7A" w:rsidP="009D4B7A">
      <w:pPr>
        <w:rPr>
          <w:b/>
          <w:lang w:val="en-NZ"/>
        </w:rPr>
      </w:pPr>
    </w:p>
    <w:p w14:paraId="34D4C1EC" w14:textId="64E30010" w:rsidR="00C73F61" w:rsidRPr="009A4A6D" w:rsidRDefault="009D4B7A" w:rsidP="00C73F61">
      <w:pPr>
        <w:jc w:val="center"/>
        <w:rPr>
          <w:snapToGrid w:val="0"/>
        </w:rPr>
      </w:pPr>
      <w:r w:rsidRPr="007C0D45">
        <w:rPr>
          <w:lang w:val="en-NZ"/>
        </w:rPr>
        <w:t>____________</w:t>
      </w:r>
    </w:p>
    <w:sectPr w:rsidR="00C73F61" w:rsidRPr="009A4A6D" w:rsidSect="007A3E29">
      <w:headerReference w:type="default" r:id="rId51"/>
      <w:footerReference w:type="even" r:id="rId52"/>
      <w:footerReference w:type="default" r:id="rId53"/>
      <w:footerReference w:type="first" r:id="rId5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0204A" w14:textId="77777777" w:rsidR="004A6377" w:rsidRDefault="004A6377">
      <w:r>
        <w:separator/>
      </w:r>
    </w:p>
  </w:endnote>
  <w:endnote w:type="continuationSeparator" w:id="0">
    <w:p w14:paraId="7E53C612" w14:textId="77777777" w:rsidR="004A6377" w:rsidRDefault="004A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Malgun Gothic Semilight"/>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C4CFF" w:rsidRDefault="009C4CF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178B3" w14:textId="77777777" w:rsidR="009C4CFF" w:rsidRDefault="009C4CF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6786E720" w:rsidR="009C4CFF" w:rsidRDefault="009C4CFF" w:rsidP="00133947">
    <w:pPr>
      <w:pStyle w:val="Footer"/>
      <w:tabs>
        <w:tab w:val="clear" w:pos="4320"/>
        <w:tab w:val="clear" w:pos="8640"/>
        <w:tab w:val="right" w:pos="9173"/>
      </w:tabs>
      <w:jc w:val="right"/>
    </w:pPr>
    <w:r>
      <w:rPr>
        <w:rStyle w:val="PageNumber"/>
      </w:rPr>
      <w:t>A</w:t>
    </w:r>
    <w:r w:rsidR="00E2609D">
      <w:rPr>
        <w:rStyle w:val="PageNumber"/>
      </w:rPr>
      <w:t>PG23-6/</w:t>
    </w:r>
    <w:r w:rsidR="00D75C96">
      <w:rPr>
        <w:rStyle w:val="PageNumber"/>
        <w:rFonts w:eastAsia="SimSun"/>
        <w:lang w:eastAsia="zh-CN"/>
      </w:rPr>
      <w:t>OUT-19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75B2C">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75B2C">
      <w:rPr>
        <w:rStyle w:val="PageNumber"/>
        <w:noProof/>
      </w:rPr>
      <w:t>7</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9C4CFF" w14:paraId="1C60F989" w14:textId="77777777" w:rsidTr="007E7497">
      <w:trPr>
        <w:cantSplit/>
        <w:trHeight w:val="204"/>
        <w:jc w:val="center"/>
      </w:trPr>
      <w:tc>
        <w:tcPr>
          <w:tcW w:w="1152" w:type="dxa"/>
        </w:tcPr>
        <w:p w14:paraId="1E6DAB35" w14:textId="77777777" w:rsidR="009C4CFF" w:rsidRDefault="009C4CFF" w:rsidP="007E7497">
          <w:pPr>
            <w:rPr>
              <w:b/>
              <w:bCs/>
            </w:rPr>
          </w:pPr>
          <w:r>
            <w:rPr>
              <w:b/>
              <w:bCs/>
            </w:rPr>
            <w:t>Contact:</w:t>
          </w:r>
        </w:p>
      </w:tc>
      <w:tc>
        <w:tcPr>
          <w:tcW w:w="5040" w:type="dxa"/>
        </w:tcPr>
        <w:p w14:paraId="1E0F0641" w14:textId="4CD44147" w:rsidR="009C4CFF" w:rsidRPr="00E2609D" w:rsidRDefault="009C4CFF" w:rsidP="007E7497">
          <w:pPr>
            <w:pStyle w:val="Equation"/>
            <w:tabs>
              <w:tab w:val="clear" w:pos="794"/>
              <w:tab w:val="clear" w:pos="4820"/>
              <w:tab w:val="clear" w:pos="9639"/>
            </w:tabs>
            <w:spacing w:beforeLines="0"/>
            <w:rPr>
              <w:rFonts w:eastAsia="SimSun"/>
              <w:lang w:eastAsia="zh-CN"/>
            </w:rPr>
          </w:pPr>
          <w:r>
            <w:rPr>
              <w:rFonts w:eastAsia="Batang"/>
            </w:rPr>
            <w:t xml:space="preserve">Dr. </w:t>
          </w:r>
          <w:r w:rsidR="00E2609D">
            <w:rPr>
              <w:rFonts w:eastAsia="SimSun" w:hint="eastAsia"/>
              <w:lang w:eastAsia="zh-CN"/>
            </w:rPr>
            <w:t>Jicheng</w:t>
          </w:r>
          <w:r>
            <w:rPr>
              <w:rFonts w:eastAsia="Batang"/>
            </w:rPr>
            <w:t xml:space="preserve"> </w:t>
          </w:r>
          <w:r w:rsidR="00E2609D">
            <w:rPr>
              <w:rFonts w:eastAsia="SimSun" w:hint="eastAsia"/>
              <w:lang w:eastAsia="zh-CN"/>
            </w:rPr>
            <w:t>FANG</w:t>
          </w:r>
        </w:p>
        <w:p w14:paraId="736EA230" w14:textId="7032680C" w:rsidR="009C4CFF" w:rsidRPr="00E2609D" w:rsidRDefault="009C4CFF" w:rsidP="007E7497">
          <w:pPr>
            <w:pStyle w:val="Equation"/>
            <w:tabs>
              <w:tab w:val="clear" w:pos="794"/>
              <w:tab w:val="clear" w:pos="4820"/>
              <w:tab w:val="clear" w:pos="9639"/>
            </w:tabs>
            <w:spacing w:beforeLines="0"/>
            <w:rPr>
              <w:rFonts w:eastAsia="SimSun"/>
              <w:lang w:eastAsia="zh-CN"/>
            </w:rPr>
          </w:pPr>
          <w:r>
            <w:rPr>
              <w:rFonts w:eastAsia="Batang"/>
            </w:rPr>
            <w:t xml:space="preserve">Chair, </w:t>
          </w:r>
          <w:r w:rsidR="00E2609D">
            <w:rPr>
              <w:rFonts w:eastAsia="SimSun" w:hint="eastAsia"/>
              <w:lang w:eastAsia="zh-CN"/>
            </w:rPr>
            <w:t>DG1.10</w:t>
          </w:r>
        </w:p>
      </w:tc>
      <w:tc>
        <w:tcPr>
          <w:tcW w:w="3024" w:type="dxa"/>
        </w:tcPr>
        <w:p w14:paraId="7650FF59" w14:textId="7BCB5561" w:rsidR="009C4CFF" w:rsidRPr="00E2609D" w:rsidRDefault="009C4CFF" w:rsidP="00E2609D">
          <w:pPr>
            <w:rPr>
              <w:rFonts w:eastAsia="SimSun"/>
              <w:lang w:eastAsia="zh-CN"/>
            </w:rPr>
          </w:pPr>
          <w:r>
            <w:t>Email</w:t>
          </w:r>
          <w:r>
            <w:rPr>
              <w:rFonts w:hint="eastAsia"/>
            </w:rPr>
            <w:t xml:space="preserve">: </w:t>
          </w:r>
          <w:r>
            <w:t xml:space="preserve"> </w:t>
          </w:r>
          <w:r w:rsidR="00E2609D">
            <w:rPr>
              <w:rFonts w:eastAsia="SimSun" w:hint="eastAsia"/>
              <w:lang w:eastAsia="zh-CN"/>
            </w:rPr>
            <w:t>jchfang@163.com</w:t>
          </w:r>
        </w:p>
      </w:tc>
    </w:tr>
  </w:tbl>
  <w:p w14:paraId="4F51CE84" w14:textId="77777777" w:rsidR="009C4CFF" w:rsidRPr="007E7497" w:rsidRDefault="009C4CFF"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6DC7" w14:textId="77777777" w:rsidR="004A6377" w:rsidRDefault="004A6377">
      <w:r>
        <w:separator/>
      </w:r>
    </w:p>
  </w:footnote>
  <w:footnote w:type="continuationSeparator" w:id="0">
    <w:p w14:paraId="2F867B6E" w14:textId="77777777" w:rsidR="004A6377" w:rsidRDefault="004A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9C4CFF" w:rsidRDefault="009C4CFF" w:rsidP="008E3821">
    <w:pPr>
      <w:pStyle w:val="Header"/>
      <w:tabs>
        <w:tab w:val="clear" w:pos="4320"/>
        <w:tab w:val="clear" w:pos="8640"/>
      </w:tabs>
      <w:rPr>
        <w:lang w:eastAsia="ko-KR"/>
      </w:rPr>
    </w:pPr>
  </w:p>
  <w:p w14:paraId="24FDB20D" w14:textId="77777777" w:rsidR="009C4CFF" w:rsidRDefault="009C4CFF"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9516A"/>
    <w:multiLevelType w:val="hybridMultilevel"/>
    <w:tmpl w:val="E2A09FA4"/>
    <w:lvl w:ilvl="0" w:tplc="C3449088">
      <w:start w:val="1"/>
      <w:numFmt w:val="decimal"/>
      <w:lvlText w:val="%1."/>
      <w:lvlJc w:val="left"/>
      <w:pPr>
        <w:ind w:left="1080" w:hanging="360"/>
      </w:pPr>
      <w:rPr>
        <w:rFonts w:hint="default"/>
        <w:b w:val="0"/>
        <w:sz w:val="24"/>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0" w15:restartNumberingAfterBreak="0">
    <w:nsid w:val="510B472C"/>
    <w:multiLevelType w:val="multilevel"/>
    <w:tmpl w:val="510B472C"/>
    <w:lvl w:ilvl="0">
      <w:start w:val="1"/>
      <w:numFmt w:val="bullet"/>
      <w:lvlText w:val="-"/>
      <w:lvlJc w:val="left"/>
      <w:pPr>
        <w:ind w:left="760" w:hanging="360"/>
      </w:pPr>
      <w:rPr>
        <w:rFonts w:ascii="Times New Roman" w:eastAsia="BatangChe"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1101611101">
    <w:abstractNumId w:val="7"/>
  </w:num>
  <w:num w:numId="2" w16cid:durableId="1868786299">
    <w:abstractNumId w:val="5"/>
  </w:num>
  <w:num w:numId="3" w16cid:durableId="826090044">
    <w:abstractNumId w:val="4"/>
  </w:num>
  <w:num w:numId="4" w16cid:durableId="260994670">
    <w:abstractNumId w:val="11"/>
  </w:num>
  <w:num w:numId="5" w16cid:durableId="547376416">
    <w:abstractNumId w:val="6"/>
  </w:num>
  <w:num w:numId="6" w16cid:durableId="342173894">
    <w:abstractNumId w:val="8"/>
  </w:num>
  <w:num w:numId="7" w16cid:durableId="332685695">
    <w:abstractNumId w:val="3"/>
  </w:num>
  <w:num w:numId="8" w16cid:durableId="472219479">
    <w:abstractNumId w:val="2"/>
  </w:num>
  <w:num w:numId="9" w16cid:durableId="711611336">
    <w:abstractNumId w:val="13"/>
  </w:num>
  <w:num w:numId="10" w16cid:durableId="761729746">
    <w:abstractNumId w:val="0"/>
  </w:num>
  <w:num w:numId="11" w16cid:durableId="727729128">
    <w:abstractNumId w:val="12"/>
  </w:num>
  <w:num w:numId="12" w16cid:durableId="1807628293">
    <w:abstractNumId w:val="9"/>
  </w:num>
  <w:num w:numId="13" w16cid:durableId="2021196140">
    <w:abstractNumId w:val="10"/>
  </w:num>
  <w:num w:numId="14" w16cid:durableId="1204177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NZ"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24DC4"/>
    <w:rsid w:val="00026369"/>
    <w:rsid w:val="0003595B"/>
    <w:rsid w:val="00066CF9"/>
    <w:rsid w:val="000713CF"/>
    <w:rsid w:val="00075C14"/>
    <w:rsid w:val="00094B87"/>
    <w:rsid w:val="000A5201"/>
    <w:rsid w:val="000A5418"/>
    <w:rsid w:val="000A653B"/>
    <w:rsid w:val="000B1E8C"/>
    <w:rsid w:val="000B3E21"/>
    <w:rsid w:val="000B48CB"/>
    <w:rsid w:val="000B595C"/>
    <w:rsid w:val="000D7C75"/>
    <w:rsid w:val="000E702D"/>
    <w:rsid w:val="000F24F4"/>
    <w:rsid w:val="000F517C"/>
    <w:rsid w:val="000F5540"/>
    <w:rsid w:val="00104039"/>
    <w:rsid w:val="00117CF2"/>
    <w:rsid w:val="0012614F"/>
    <w:rsid w:val="0012796C"/>
    <w:rsid w:val="00130A94"/>
    <w:rsid w:val="00133947"/>
    <w:rsid w:val="00152E46"/>
    <w:rsid w:val="001539DD"/>
    <w:rsid w:val="00164353"/>
    <w:rsid w:val="001723F4"/>
    <w:rsid w:val="00196568"/>
    <w:rsid w:val="0019713F"/>
    <w:rsid w:val="001A07AA"/>
    <w:rsid w:val="001A2F16"/>
    <w:rsid w:val="001B18C2"/>
    <w:rsid w:val="001D5D7E"/>
    <w:rsid w:val="001F3D64"/>
    <w:rsid w:val="001F5947"/>
    <w:rsid w:val="0021588B"/>
    <w:rsid w:val="002216AC"/>
    <w:rsid w:val="002219FD"/>
    <w:rsid w:val="00230738"/>
    <w:rsid w:val="00241BCF"/>
    <w:rsid w:val="00254A1B"/>
    <w:rsid w:val="00272800"/>
    <w:rsid w:val="0028191C"/>
    <w:rsid w:val="0028454D"/>
    <w:rsid w:val="00286912"/>
    <w:rsid w:val="002878F7"/>
    <w:rsid w:val="00291C9E"/>
    <w:rsid w:val="002926D4"/>
    <w:rsid w:val="002962E8"/>
    <w:rsid w:val="002C07DA"/>
    <w:rsid w:val="002C520E"/>
    <w:rsid w:val="002C6E43"/>
    <w:rsid w:val="002C7EA9"/>
    <w:rsid w:val="002F3292"/>
    <w:rsid w:val="002F7AE6"/>
    <w:rsid w:val="003208A4"/>
    <w:rsid w:val="00334512"/>
    <w:rsid w:val="00342F20"/>
    <w:rsid w:val="00343067"/>
    <w:rsid w:val="003540E0"/>
    <w:rsid w:val="003548C2"/>
    <w:rsid w:val="00366A36"/>
    <w:rsid w:val="003809C7"/>
    <w:rsid w:val="003A4630"/>
    <w:rsid w:val="003A6347"/>
    <w:rsid w:val="003A6A39"/>
    <w:rsid w:val="003B03B2"/>
    <w:rsid w:val="003B6263"/>
    <w:rsid w:val="003C4477"/>
    <w:rsid w:val="003C522F"/>
    <w:rsid w:val="003C64A7"/>
    <w:rsid w:val="003D25E1"/>
    <w:rsid w:val="003D38FC"/>
    <w:rsid w:val="003D3FDA"/>
    <w:rsid w:val="00406EAB"/>
    <w:rsid w:val="00407B89"/>
    <w:rsid w:val="00410493"/>
    <w:rsid w:val="00420822"/>
    <w:rsid w:val="00444170"/>
    <w:rsid w:val="004523AA"/>
    <w:rsid w:val="0045458F"/>
    <w:rsid w:val="004633B4"/>
    <w:rsid w:val="004854EE"/>
    <w:rsid w:val="00494D01"/>
    <w:rsid w:val="004A6377"/>
    <w:rsid w:val="004B2A11"/>
    <w:rsid w:val="004B3553"/>
    <w:rsid w:val="005066D9"/>
    <w:rsid w:val="00507D02"/>
    <w:rsid w:val="00510276"/>
    <w:rsid w:val="00514980"/>
    <w:rsid w:val="00530E8C"/>
    <w:rsid w:val="005320C5"/>
    <w:rsid w:val="00543132"/>
    <w:rsid w:val="00543F7C"/>
    <w:rsid w:val="00544D55"/>
    <w:rsid w:val="00545933"/>
    <w:rsid w:val="0054610B"/>
    <w:rsid w:val="00550271"/>
    <w:rsid w:val="00557544"/>
    <w:rsid w:val="005606F6"/>
    <w:rsid w:val="00577C0A"/>
    <w:rsid w:val="00587875"/>
    <w:rsid w:val="00590C0F"/>
    <w:rsid w:val="005B4C4E"/>
    <w:rsid w:val="005C5EB6"/>
    <w:rsid w:val="005C652D"/>
    <w:rsid w:val="005D3914"/>
    <w:rsid w:val="005D6B2F"/>
    <w:rsid w:val="00607E2B"/>
    <w:rsid w:val="006139D6"/>
    <w:rsid w:val="00623CE1"/>
    <w:rsid w:val="00625254"/>
    <w:rsid w:val="0063062B"/>
    <w:rsid w:val="00667229"/>
    <w:rsid w:val="006769C2"/>
    <w:rsid w:val="00682BE5"/>
    <w:rsid w:val="00684331"/>
    <w:rsid w:val="00690FED"/>
    <w:rsid w:val="006939A5"/>
    <w:rsid w:val="006963DA"/>
    <w:rsid w:val="006A7077"/>
    <w:rsid w:val="006B0CE4"/>
    <w:rsid w:val="006B480A"/>
    <w:rsid w:val="006C1258"/>
    <w:rsid w:val="006C6E3B"/>
    <w:rsid w:val="006D79E4"/>
    <w:rsid w:val="006E12FC"/>
    <w:rsid w:val="006E66EB"/>
    <w:rsid w:val="006F00B2"/>
    <w:rsid w:val="00712451"/>
    <w:rsid w:val="00731041"/>
    <w:rsid w:val="00732F08"/>
    <w:rsid w:val="0074190C"/>
    <w:rsid w:val="00762576"/>
    <w:rsid w:val="00786E33"/>
    <w:rsid w:val="00791060"/>
    <w:rsid w:val="007A25B5"/>
    <w:rsid w:val="007A3E29"/>
    <w:rsid w:val="007B5626"/>
    <w:rsid w:val="007C0D45"/>
    <w:rsid w:val="007E1FDD"/>
    <w:rsid w:val="007E7497"/>
    <w:rsid w:val="007F08FF"/>
    <w:rsid w:val="007F4564"/>
    <w:rsid w:val="0080570B"/>
    <w:rsid w:val="008148E1"/>
    <w:rsid w:val="00816F4E"/>
    <w:rsid w:val="008203B4"/>
    <w:rsid w:val="008315F6"/>
    <w:rsid w:val="008319BF"/>
    <w:rsid w:val="008337EA"/>
    <w:rsid w:val="00836E86"/>
    <w:rsid w:val="00837E04"/>
    <w:rsid w:val="00845A38"/>
    <w:rsid w:val="008649BA"/>
    <w:rsid w:val="00871DB3"/>
    <w:rsid w:val="008950FB"/>
    <w:rsid w:val="008973DD"/>
    <w:rsid w:val="008A481F"/>
    <w:rsid w:val="008A5BCF"/>
    <w:rsid w:val="008D0E09"/>
    <w:rsid w:val="008E2079"/>
    <w:rsid w:val="008E3821"/>
    <w:rsid w:val="0094028D"/>
    <w:rsid w:val="00941F28"/>
    <w:rsid w:val="00943554"/>
    <w:rsid w:val="009544CD"/>
    <w:rsid w:val="00961B97"/>
    <w:rsid w:val="0097693B"/>
    <w:rsid w:val="00981932"/>
    <w:rsid w:val="009825AE"/>
    <w:rsid w:val="00993355"/>
    <w:rsid w:val="009A4A6D"/>
    <w:rsid w:val="009A68F7"/>
    <w:rsid w:val="009C4CFF"/>
    <w:rsid w:val="009C638D"/>
    <w:rsid w:val="009D4B7A"/>
    <w:rsid w:val="009F77D6"/>
    <w:rsid w:val="00A0503B"/>
    <w:rsid w:val="00A11F26"/>
    <w:rsid w:val="00A13265"/>
    <w:rsid w:val="00A17AC8"/>
    <w:rsid w:val="00A33954"/>
    <w:rsid w:val="00A339A1"/>
    <w:rsid w:val="00A51D60"/>
    <w:rsid w:val="00A71136"/>
    <w:rsid w:val="00AA2D8E"/>
    <w:rsid w:val="00AA474C"/>
    <w:rsid w:val="00AD2E14"/>
    <w:rsid w:val="00AD7E5F"/>
    <w:rsid w:val="00AF4BCF"/>
    <w:rsid w:val="00AF6E67"/>
    <w:rsid w:val="00B01AA1"/>
    <w:rsid w:val="00B04997"/>
    <w:rsid w:val="00B04F62"/>
    <w:rsid w:val="00B07B06"/>
    <w:rsid w:val="00B07C7A"/>
    <w:rsid w:val="00B30C81"/>
    <w:rsid w:val="00B3474C"/>
    <w:rsid w:val="00B47375"/>
    <w:rsid w:val="00B4793B"/>
    <w:rsid w:val="00B75B2C"/>
    <w:rsid w:val="00BB28DB"/>
    <w:rsid w:val="00BB33AC"/>
    <w:rsid w:val="00BC7506"/>
    <w:rsid w:val="00BE29EB"/>
    <w:rsid w:val="00C041B5"/>
    <w:rsid w:val="00C13196"/>
    <w:rsid w:val="00C15633"/>
    <w:rsid w:val="00C15799"/>
    <w:rsid w:val="00C15D35"/>
    <w:rsid w:val="00C20F4D"/>
    <w:rsid w:val="00C357AD"/>
    <w:rsid w:val="00C37512"/>
    <w:rsid w:val="00C6069C"/>
    <w:rsid w:val="00C712CE"/>
    <w:rsid w:val="00C73F61"/>
    <w:rsid w:val="00C85119"/>
    <w:rsid w:val="00C91E38"/>
    <w:rsid w:val="00CB2335"/>
    <w:rsid w:val="00CC2152"/>
    <w:rsid w:val="00CD5431"/>
    <w:rsid w:val="00CE0E10"/>
    <w:rsid w:val="00CF2491"/>
    <w:rsid w:val="00D1252E"/>
    <w:rsid w:val="00D2623A"/>
    <w:rsid w:val="00D571D6"/>
    <w:rsid w:val="00D57772"/>
    <w:rsid w:val="00D57D15"/>
    <w:rsid w:val="00D61F12"/>
    <w:rsid w:val="00D64812"/>
    <w:rsid w:val="00D72AE3"/>
    <w:rsid w:val="00D75A4D"/>
    <w:rsid w:val="00D75C96"/>
    <w:rsid w:val="00D8478B"/>
    <w:rsid w:val="00D86151"/>
    <w:rsid w:val="00D9465E"/>
    <w:rsid w:val="00DA7595"/>
    <w:rsid w:val="00DB0A68"/>
    <w:rsid w:val="00DB5EAB"/>
    <w:rsid w:val="00DB6EC4"/>
    <w:rsid w:val="00DC43A3"/>
    <w:rsid w:val="00DD7C09"/>
    <w:rsid w:val="00DF23F1"/>
    <w:rsid w:val="00DF791C"/>
    <w:rsid w:val="00E0124F"/>
    <w:rsid w:val="00E1535C"/>
    <w:rsid w:val="00E23D98"/>
    <w:rsid w:val="00E2609D"/>
    <w:rsid w:val="00E371AC"/>
    <w:rsid w:val="00E45829"/>
    <w:rsid w:val="00E5387B"/>
    <w:rsid w:val="00E545D9"/>
    <w:rsid w:val="00E611DA"/>
    <w:rsid w:val="00E62C91"/>
    <w:rsid w:val="00E639BA"/>
    <w:rsid w:val="00E65FC2"/>
    <w:rsid w:val="00E674D3"/>
    <w:rsid w:val="00E70FD0"/>
    <w:rsid w:val="00E71552"/>
    <w:rsid w:val="00E80263"/>
    <w:rsid w:val="00E82E43"/>
    <w:rsid w:val="00EA7027"/>
    <w:rsid w:val="00EC1B79"/>
    <w:rsid w:val="00EC538C"/>
    <w:rsid w:val="00EE6F70"/>
    <w:rsid w:val="00F0783B"/>
    <w:rsid w:val="00F17BE0"/>
    <w:rsid w:val="00F22807"/>
    <w:rsid w:val="00F2678E"/>
    <w:rsid w:val="00F27A79"/>
    <w:rsid w:val="00F335EF"/>
    <w:rsid w:val="00F60437"/>
    <w:rsid w:val="00F84067"/>
    <w:rsid w:val="00F871F5"/>
    <w:rsid w:val="00FA2358"/>
    <w:rsid w:val="00FC156A"/>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D1DFA"/>
  <w15:docId w15:val="{772A19A7-3EBC-4DD2-8CF5-CA44762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3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n级链接,ECC Hyperlink + (Complex) 12 pt"/>
    <w:basedOn w:val="DefaultParagraphFont"/>
    <w:uiPriority w:val="99"/>
    <w:unhideWhenUsed/>
    <w:qFormat/>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styleId="Revision">
    <w:name w:val="Revision"/>
    <w:hidden/>
    <w:uiPriority w:val="99"/>
    <w:semiHidden/>
    <w:rsid w:val="00C37512"/>
    <w:rPr>
      <w:rFonts w:eastAsia="BatangChe"/>
      <w:sz w:val="24"/>
      <w:szCs w:val="24"/>
    </w:rPr>
  </w:style>
  <w:style w:type="character" w:customStyle="1" w:styleId="ListParagraphChar">
    <w:name w:val="List Paragraph Char"/>
    <w:basedOn w:val="DefaultParagraphFont"/>
    <w:link w:val="ListParagraph"/>
    <w:uiPriority w:val="34"/>
    <w:qFormat/>
    <w:locked/>
    <w:rsid w:val="009C638D"/>
    <w:rPr>
      <w:rFonts w:eastAsia="BatangChe"/>
      <w:sz w:val="24"/>
      <w:szCs w:val="24"/>
    </w:rPr>
  </w:style>
  <w:style w:type="table" w:styleId="TableGrid">
    <w:name w:val="Table Grid"/>
    <w:basedOn w:val="TableNormal"/>
    <w:uiPriority w:val="59"/>
    <w:rsid w:val="009C4CFF"/>
    <w:rPr>
      <w:rFonts w:asciiTheme="minorHAnsi" w:eastAsiaTheme="minorEastAsia"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link w:val="ReasonsChar"/>
    <w:qFormat/>
    <w:rsid w:val="00941F28"/>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ReasonsChar">
    <w:name w:val="Reasons Char"/>
    <w:link w:val="Reasons"/>
    <w:locked/>
    <w:rsid w:val="00941F28"/>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rec/R-REC-M.1730/en" TargetMode="External"/><Relationship Id="rId18" Type="http://schemas.openxmlformats.org/officeDocument/2006/relationships/hyperlink" Target="https://www.itu.int/rec/R-REC-M.2116/en" TargetMode="External"/><Relationship Id="rId26" Type="http://schemas.openxmlformats.org/officeDocument/2006/relationships/hyperlink" Target="https://www.itu.int/rec/R-REC-F.1336/en" TargetMode="External"/><Relationship Id="rId39" Type="http://schemas.openxmlformats.org/officeDocument/2006/relationships/hyperlink" Target="https://www.itu.int/rec/R-REC-P.835/en" TargetMode="External"/><Relationship Id="rId21" Type="http://schemas.openxmlformats.org/officeDocument/2006/relationships/hyperlink" Target="https://www.itu.int/rec/R-REC-RA.1513/en" TargetMode="External"/><Relationship Id="rId34" Type="http://schemas.openxmlformats.org/officeDocument/2006/relationships/hyperlink" Target="https://www.itu.int/rec/R-REC-P.452/en" TargetMode="External"/><Relationship Id="rId42" Type="http://schemas.openxmlformats.org/officeDocument/2006/relationships/hyperlink" Target="https://www.itu.int/rec/R-REC-S.1340/en" TargetMode="External"/><Relationship Id="rId47" Type="http://schemas.openxmlformats.org/officeDocument/2006/relationships/hyperlink" Target="https://www.itu.int/pub/R-REP-M.2170" TargetMode="External"/><Relationship Id="rId50" Type="http://schemas.openxmlformats.org/officeDocument/2006/relationships/package" Target="embeddings/Microsoft_Word_Document.docx"/><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M.2114/en" TargetMode="External"/><Relationship Id="rId29" Type="http://schemas.openxmlformats.org/officeDocument/2006/relationships/hyperlink" Target="https://www.itu.int/rec/R-REC-RS.1813/en" TargetMode="External"/><Relationship Id="rId11" Type="http://schemas.openxmlformats.org/officeDocument/2006/relationships/hyperlink" Target="https://www.itu.int/rec/R-REC-F.1565/en" TargetMode="External"/><Relationship Id="rId24" Type="http://schemas.openxmlformats.org/officeDocument/2006/relationships/hyperlink" Target="https://www.itu.int/rec/R-REC-F.699/en" TargetMode="External"/><Relationship Id="rId32" Type="http://schemas.openxmlformats.org/officeDocument/2006/relationships/hyperlink" Target="https://www.itu.int/rec/R-REC-S.672/en" TargetMode="External"/><Relationship Id="rId37" Type="http://schemas.openxmlformats.org/officeDocument/2006/relationships/hyperlink" Target="https://www.itu.int/rec/R-REC-P.619/en" TargetMode="External"/><Relationship Id="rId40" Type="http://schemas.openxmlformats.org/officeDocument/2006/relationships/hyperlink" Target="https://www.itu.int/rec/R-REC-P.1409/en" TargetMode="External"/><Relationship Id="rId45" Type="http://schemas.openxmlformats.org/officeDocument/2006/relationships/hyperlink" Target="https://www.itu.int/pub/R-REP-M.2230/en"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itu.int/rec/R-REC-F.1495/en" TargetMode="External"/><Relationship Id="rId19" Type="http://schemas.openxmlformats.org/officeDocument/2006/relationships/hyperlink" Target="https://www.itu.int/rec/R-REC-M.2120/en" TargetMode="External"/><Relationship Id="rId31" Type="http://schemas.openxmlformats.org/officeDocument/2006/relationships/hyperlink" Target="https://www.itu.int/rec/R-REC-S.580/en" TargetMode="External"/><Relationship Id="rId44" Type="http://schemas.openxmlformats.org/officeDocument/2006/relationships/hyperlink" Target="https://www.itu.int/rec/R-REC-SM.154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rec/R-REC-F.758-7-201911-I/en" TargetMode="External"/><Relationship Id="rId14" Type="http://schemas.openxmlformats.org/officeDocument/2006/relationships/hyperlink" Target="https://www.itu.int/rec/R-REC-M.1825/en" TargetMode="External"/><Relationship Id="rId22" Type="http://schemas.openxmlformats.org/officeDocument/2006/relationships/hyperlink" Target="https://www.itu.int/rec/R-REC-RS.1861/en" TargetMode="External"/><Relationship Id="rId27" Type="http://schemas.openxmlformats.org/officeDocument/2006/relationships/hyperlink" Target="https://www.itu.int/rec/R-REC-M.1851/en" TargetMode="External"/><Relationship Id="rId30" Type="http://schemas.openxmlformats.org/officeDocument/2006/relationships/hyperlink" Target="https://www.itu.int/rec/R-REC-S.465/_page.print" TargetMode="External"/><Relationship Id="rId35" Type="http://schemas.openxmlformats.org/officeDocument/2006/relationships/hyperlink" Target="https://www.itu.int/rec/R-REC-P.453/en" TargetMode="External"/><Relationship Id="rId43" Type="http://schemas.openxmlformats.org/officeDocument/2006/relationships/hyperlink" Target="https://www.itu.int/rec/R-REC-SM.337/en" TargetMode="External"/><Relationship Id="rId48" Type="http://schemas.openxmlformats.org/officeDocument/2006/relationships/hyperlink" Target="https://www.itu.int/pub/R-REP-M.2229"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itu.int/rec/R-REC-M.1461/en" TargetMode="External"/><Relationship Id="rId17" Type="http://schemas.openxmlformats.org/officeDocument/2006/relationships/hyperlink" Target="https://www.itu.int/rec/R-REC-M.2115/en" TargetMode="External"/><Relationship Id="rId25" Type="http://schemas.openxmlformats.org/officeDocument/2006/relationships/hyperlink" Target="https://www.itu.int/rec/R-REC-F.1245/en" TargetMode="External"/><Relationship Id="rId33" Type="http://schemas.openxmlformats.org/officeDocument/2006/relationships/hyperlink" Target="https://www.itu.int/rec/R-REC-SA.509/en" TargetMode="External"/><Relationship Id="rId38" Type="http://schemas.openxmlformats.org/officeDocument/2006/relationships/hyperlink" Target="https://www.itu.int/rec/R-REC-P.676/en" TargetMode="External"/><Relationship Id="rId46" Type="http://schemas.openxmlformats.org/officeDocument/2006/relationships/hyperlink" Target="https://www.itu.int/pub/R-REP-RA.2188" TargetMode="External"/><Relationship Id="rId20" Type="http://schemas.openxmlformats.org/officeDocument/2006/relationships/hyperlink" Target="https://www.itu.int/rec/R-REC-RA.769/en" TargetMode="External"/><Relationship Id="rId41" Type="http://schemas.openxmlformats.org/officeDocument/2006/relationships/hyperlink" Target="https://www.itu.int/rec/R-REC-RA.1513/e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rec/R-REC-M.2089/_page.print" TargetMode="External"/><Relationship Id="rId23" Type="http://schemas.openxmlformats.org/officeDocument/2006/relationships/hyperlink" Target="https://www.itu.int/rec/R-REC-RS.2017/en" TargetMode="External"/><Relationship Id="rId28" Type="http://schemas.openxmlformats.org/officeDocument/2006/relationships/hyperlink" Target="https://www.itu.int/rec/R-REC-RA.1631/en" TargetMode="External"/><Relationship Id="rId36" Type="http://schemas.openxmlformats.org/officeDocument/2006/relationships/hyperlink" Target="https://www.itu.int/rec/R-REC-P.528/en" TargetMode="External"/><Relationship Id="rId4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5025-67BF-430E-A0B5-D7021801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2464</Words>
  <Characters>16646</Characters>
  <Application>Microsoft Office Word</Application>
  <DocSecurity>0</DocSecurity>
  <Lines>138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APT</Company>
  <LinksUpToDate>false</LinksUpToDate>
  <CharactersWithSpaces>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Nidup Gyeltshen</cp:lastModifiedBy>
  <cp:revision>6</cp:revision>
  <cp:lastPrinted>2004-07-28T02:14:00Z</cp:lastPrinted>
  <dcterms:created xsi:type="dcterms:W3CDTF">2023-08-18T09:59:00Z</dcterms:created>
  <dcterms:modified xsi:type="dcterms:W3CDTF">2023-08-18T22:03:00Z</dcterms:modified>
</cp:coreProperties>
</file>