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19" w:type="dxa"/>
        <w:tblBorders>
          <w:bottom w:val="single" w:sz="4" w:space="0" w:color="auto"/>
        </w:tblBorders>
        <w:tblLayout w:type="fixed"/>
        <w:tblCellMar>
          <w:left w:w="58" w:type="dxa"/>
          <w:right w:w="58" w:type="dxa"/>
        </w:tblCellMar>
        <w:tblLook w:val="0000" w:firstRow="0" w:lastRow="0" w:firstColumn="0" w:lastColumn="0" w:noHBand="0" w:noVBand="0"/>
      </w:tblPr>
      <w:tblGrid>
        <w:gridCol w:w="1399"/>
        <w:gridCol w:w="5760"/>
        <w:gridCol w:w="2160"/>
      </w:tblGrid>
      <w:tr w:rsidR="007E1FDD" w:rsidRPr="00891D0B" w14:paraId="1689429E" w14:textId="77777777" w:rsidTr="007E1FDD">
        <w:trPr>
          <w:cantSplit/>
          <w:trHeight w:val="288"/>
        </w:trPr>
        <w:tc>
          <w:tcPr>
            <w:tcW w:w="1399" w:type="dxa"/>
            <w:vMerge w:val="restart"/>
          </w:tcPr>
          <w:p w14:paraId="308B07B0" w14:textId="77777777" w:rsidR="007E1FDD" w:rsidRPr="00891D0B" w:rsidRDefault="007E1FDD" w:rsidP="000D7C75">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zh-CN"/>
              </w:rPr>
              <w:drawing>
                <wp:inline distT="0" distB="0" distL="0" distR="0" wp14:anchorId="6557EEF7" wp14:editId="79776300">
                  <wp:extent cx="762635"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logogreen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5" cy="716280"/>
                          </a:xfrm>
                          <a:prstGeom prst="rect">
                            <a:avLst/>
                          </a:prstGeom>
                        </pic:spPr>
                      </pic:pic>
                    </a:graphicData>
                  </a:graphic>
                </wp:inline>
              </w:drawing>
            </w:r>
          </w:p>
        </w:tc>
        <w:tc>
          <w:tcPr>
            <w:tcW w:w="5760" w:type="dxa"/>
          </w:tcPr>
          <w:p w14:paraId="60B2BD95" w14:textId="77777777" w:rsidR="007E1FDD" w:rsidRPr="00891D0B" w:rsidRDefault="007E1FDD" w:rsidP="007E7497">
            <w:pPr>
              <w:spacing w:before="40"/>
              <w:rPr>
                <w:sz w:val="22"/>
                <w:szCs w:val="22"/>
              </w:rPr>
            </w:pPr>
            <w:r w:rsidRPr="00891D0B">
              <w:rPr>
                <w:sz w:val="22"/>
                <w:szCs w:val="22"/>
              </w:rPr>
              <w:t>ASIA-PACIFIC TELECOMMUNITY</w:t>
            </w:r>
          </w:p>
        </w:tc>
        <w:tc>
          <w:tcPr>
            <w:tcW w:w="2160" w:type="dxa"/>
          </w:tcPr>
          <w:p w14:paraId="441FE461" w14:textId="77777777" w:rsidR="007E1FDD" w:rsidRPr="00891D0B" w:rsidRDefault="007E1FDD" w:rsidP="007E7497">
            <w:pPr>
              <w:pStyle w:val="Heading8"/>
              <w:spacing w:before="40"/>
              <w:rPr>
                <w:sz w:val="24"/>
                <w:szCs w:val="24"/>
              </w:rPr>
            </w:pPr>
            <w:r>
              <w:rPr>
                <w:sz w:val="24"/>
                <w:szCs w:val="24"/>
              </w:rPr>
              <w:t>Document No:</w:t>
            </w:r>
          </w:p>
        </w:tc>
      </w:tr>
      <w:tr w:rsidR="003D25E1" w:rsidRPr="00C15799" w14:paraId="73D940FB" w14:textId="77777777" w:rsidTr="007E7497">
        <w:trPr>
          <w:cantSplit/>
          <w:trHeight w:val="504"/>
        </w:trPr>
        <w:tc>
          <w:tcPr>
            <w:tcW w:w="1399" w:type="dxa"/>
            <w:vMerge/>
          </w:tcPr>
          <w:p w14:paraId="2ACD7806" w14:textId="77777777" w:rsidR="003D25E1" w:rsidRPr="00891D0B" w:rsidRDefault="003D25E1" w:rsidP="000D7C75"/>
        </w:tc>
        <w:tc>
          <w:tcPr>
            <w:tcW w:w="5760" w:type="dxa"/>
            <w:vAlign w:val="center"/>
          </w:tcPr>
          <w:p w14:paraId="278242BE" w14:textId="77777777" w:rsidR="007E1FDD" w:rsidRDefault="00C73F61" w:rsidP="007E7497">
            <w:pPr>
              <w:spacing w:before="40"/>
              <w:rPr>
                <w:b/>
              </w:rPr>
            </w:pPr>
            <w:r>
              <w:rPr>
                <w:b/>
              </w:rPr>
              <w:t xml:space="preserve">The </w:t>
            </w:r>
            <w:r w:rsidR="00BB33AC">
              <w:rPr>
                <w:b/>
              </w:rPr>
              <w:t>6</w:t>
            </w:r>
            <w:r w:rsidR="003D25E1">
              <w:rPr>
                <w:b/>
              </w:rPr>
              <w:t>th Meeting of the APT Conference Preparatory</w:t>
            </w:r>
          </w:p>
          <w:p w14:paraId="4B472E37" w14:textId="77777777" w:rsidR="003D25E1" w:rsidRPr="00891D0B" w:rsidRDefault="00C73F61" w:rsidP="007E7497">
            <w:pPr>
              <w:spacing w:line="0" w:lineRule="atLeast"/>
            </w:pPr>
            <w:r>
              <w:rPr>
                <w:b/>
              </w:rPr>
              <w:t>Group for WRC-</w:t>
            </w:r>
            <w:r w:rsidR="00BB33AC">
              <w:rPr>
                <w:b/>
              </w:rPr>
              <w:t>23</w:t>
            </w:r>
            <w:r>
              <w:rPr>
                <w:b/>
              </w:rPr>
              <w:t xml:space="preserve"> (APG</w:t>
            </w:r>
            <w:r w:rsidR="00BB33AC">
              <w:rPr>
                <w:b/>
              </w:rPr>
              <w:t>23</w:t>
            </w:r>
            <w:r>
              <w:rPr>
                <w:b/>
              </w:rPr>
              <w:t>-</w:t>
            </w:r>
            <w:r w:rsidR="00BB33AC">
              <w:rPr>
                <w:b/>
              </w:rPr>
              <w:t>6</w:t>
            </w:r>
            <w:r w:rsidR="003D25E1">
              <w:rPr>
                <w:b/>
              </w:rPr>
              <w:t>)</w:t>
            </w:r>
          </w:p>
        </w:tc>
        <w:tc>
          <w:tcPr>
            <w:tcW w:w="2160" w:type="dxa"/>
          </w:tcPr>
          <w:p w14:paraId="04C4E0DB" w14:textId="2883A3F2" w:rsidR="007E1FDD" w:rsidRDefault="007E1FDD" w:rsidP="007E7497">
            <w:pPr>
              <w:spacing w:before="40"/>
              <w:rPr>
                <w:b/>
                <w:bCs/>
                <w:lang w:val="fr-FR"/>
              </w:rPr>
            </w:pPr>
            <w:r w:rsidRPr="00C96104">
              <w:rPr>
                <w:b/>
                <w:bCs/>
                <w:lang w:val="fr-FR"/>
              </w:rPr>
              <w:t>AP</w:t>
            </w:r>
            <w:r w:rsidR="00C73F61">
              <w:rPr>
                <w:b/>
                <w:bCs/>
                <w:lang w:val="fr-FR"/>
              </w:rPr>
              <w:t>G</w:t>
            </w:r>
            <w:r w:rsidR="00BB33AC">
              <w:rPr>
                <w:b/>
                <w:bCs/>
                <w:lang w:val="fr-FR"/>
              </w:rPr>
              <w:t>23</w:t>
            </w:r>
            <w:r w:rsidR="00C73F61">
              <w:rPr>
                <w:b/>
                <w:bCs/>
                <w:lang w:val="fr-FR"/>
              </w:rPr>
              <w:t>-</w:t>
            </w:r>
            <w:r w:rsidR="00BB33AC">
              <w:rPr>
                <w:b/>
                <w:bCs/>
                <w:lang w:val="fr-FR"/>
              </w:rPr>
              <w:t>6</w:t>
            </w:r>
            <w:r>
              <w:rPr>
                <w:b/>
                <w:bCs/>
                <w:lang w:val="fr-FR"/>
              </w:rPr>
              <w:t>/</w:t>
            </w:r>
            <w:r w:rsidR="002D7337">
              <w:rPr>
                <w:b/>
                <w:bCs/>
                <w:lang w:val="fr-FR"/>
              </w:rPr>
              <w:t>OUT</w:t>
            </w:r>
            <w:r>
              <w:rPr>
                <w:b/>
                <w:bCs/>
                <w:lang w:val="fr-FR"/>
              </w:rPr>
              <w:t>-</w:t>
            </w:r>
            <w:r w:rsidR="002D7337">
              <w:rPr>
                <w:b/>
                <w:bCs/>
                <w:lang w:val="fr-FR"/>
              </w:rPr>
              <w:t>29</w:t>
            </w:r>
          </w:p>
          <w:p w14:paraId="0FF2E21E" w14:textId="7174358C" w:rsidR="003D25E1" w:rsidRPr="002D7337" w:rsidRDefault="002D7337" w:rsidP="007E1FDD">
            <w:pPr>
              <w:rPr>
                <w:rFonts w:eastAsia="SimSun"/>
                <w:b/>
                <w:bCs/>
                <w:lang w:val="en-GB" w:eastAsia="zh-CN"/>
              </w:rPr>
            </w:pPr>
            <w:r>
              <w:rPr>
                <w:rFonts w:eastAsia="SimSun" w:hint="eastAsia"/>
                <w:b/>
                <w:bCs/>
                <w:lang w:val="en-GB" w:eastAsia="zh-CN"/>
              </w:rPr>
              <w:t>(</w:t>
            </w:r>
            <w:r>
              <w:rPr>
                <w:rFonts w:eastAsia="SimSun"/>
                <w:b/>
                <w:bCs/>
                <w:lang w:val="en-GB" w:eastAsia="zh-CN"/>
              </w:rPr>
              <w:t>Rev.1)</w:t>
            </w:r>
          </w:p>
        </w:tc>
      </w:tr>
      <w:tr w:rsidR="007E1FDD" w:rsidRPr="00891D0B" w14:paraId="4B861CA3" w14:textId="77777777" w:rsidTr="007E1FDD">
        <w:trPr>
          <w:cantSplit/>
          <w:trHeight w:val="288"/>
        </w:trPr>
        <w:tc>
          <w:tcPr>
            <w:tcW w:w="1399" w:type="dxa"/>
            <w:vMerge/>
          </w:tcPr>
          <w:p w14:paraId="709EE434" w14:textId="77777777" w:rsidR="007E1FDD" w:rsidRPr="007E1FDD" w:rsidRDefault="007E1FDD" w:rsidP="000D7C75">
            <w:pPr>
              <w:rPr>
                <w:lang w:val="en-GB"/>
              </w:rPr>
            </w:pPr>
          </w:p>
        </w:tc>
        <w:tc>
          <w:tcPr>
            <w:tcW w:w="5760" w:type="dxa"/>
            <w:vAlign w:val="bottom"/>
          </w:tcPr>
          <w:p w14:paraId="1AA58505" w14:textId="77777777" w:rsidR="007E1FDD" w:rsidRPr="00712451" w:rsidRDefault="00BB33AC" w:rsidP="004523AA">
            <w:pPr>
              <w:spacing w:before="40"/>
              <w:rPr>
                <w:b/>
              </w:rPr>
            </w:pPr>
            <w:r>
              <w:t>14</w:t>
            </w:r>
            <w:r w:rsidR="00C73F61">
              <w:t xml:space="preserve"> – </w:t>
            </w:r>
            <w:r>
              <w:t>19</w:t>
            </w:r>
            <w:r w:rsidR="007E1FDD">
              <w:t xml:space="preserve"> </w:t>
            </w:r>
            <w:r w:rsidR="00C73F61">
              <w:t>August</w:t>
            </w:r>
            <w:r w:rsidR="007E1FDD">
              <w:t xml:space="preserve"> 20</w:t>
            </w:r>
            <w:r>
              <w:t>23</w:t>
            </w:r>
            <w:r w:rsidR="007E1FDD" w:rsidRPr="00891D0B">
              <w:t xml:space="preserve">, </w:t>
            </w:r>
            <w:r>
              <w:t>Brisbane</w:t>
            </w:r>
            <w:r w:rsidR="007E1FDD">
              <w:t xml:space="preserve">, </w:t>
            </w:r>
            <w:r>
              <w:t>Australia</w:t>
            </w:r>
          </w:p>
        </w:tc>
        <w:tc>
          <w:tcPr>
            <w:tcW w:w="2160" w:type="dxa"/>
            <w:vAlign w:val="bottom"/>
          </w:tcPr>
          <w:p w14:paraId="5AECDA78" w14:textId="028FBD18" w:rsidR="007E1FDD" w:rsidRPr="007E1FDD" w:rsidRDefault="00C17B46" w:rsidP="00C73F61">
            <w:pPr>
              <w:spacing w:before="40"/>
              <w:rPr>
                <w:bCs/>
              </w:rPr>
            </w:pPr>
            <w:r>
              <w:rPr>
                <w:bCs/>
              </w:rPr>
              <w:t>1</w:t>
            </w:r>
            <w:r w:rsidR="00E74E9D">
              <w:rPr>
                <w:bCs/>
              </w:rPr>
              <w:t>9</w:t>
            </w:r>
            <w:r w:rsidR="007E1FDD" w:rsidRPr="007E1FDD">
              <w:rPr>
                <w:bCs/>
              </w:rPr>
              <w:t xml:space="preserve"> </w:t>
            </w:r>
            <w:r w:rsidR="00C13196">
              <w:rPr>
                <w:bCs/>
              </w:rPr>
              <w:t>August</w:t>
            </w:r>
            <w:r w:rsidR="007E1FDD" w:rsidRPr="007E1FDD">
              <w:rPr>
                <w:bCs/>
              </w:rPr>
              <w:t xml:space="preserve"> 20</w:t>
            </w:r>
            <w:r w:rsidR="00BB33AC">
              <w:rPr>
                <w:bCs/>
              </w:rPr>
              <w:t>23</w:t>
            </w:r>
          </w:p>
        </w:tc>
      </w:tr>
    </w:tbl>
    <w:p w14:paraId="73057A65" w14:textId="77777777" w:rsidR="00133947" w:rsidRDefault="00133947" w:rsidP="00DA7595">
      <w:pPr>
        <w:rPr>
          <w:lang w:eastAsia="ko-KR"/>
        </w:rPr>
      </w:pPr>
    </w:p>
    <w:p w14:paraId="34356516" w14:textId="77777777" w:rsidR="007E7497" w:rsidRDefault="007E7497" w:rsidP="00DA7595">
      <w:pPr>
        <w:rPr>
          <w:lang w:eastAsia="ko-KR"/>
        </w:rPr>
      </w:pPr>
    </w:p>
    <w:p w14:paraId="0B5FBB6E" w14:textId="123738FE" w:rsidR="009D4B7A" w:rsidRPr="002A0111" w:rsidRDefault="00EE0381" w:rsidP="009D4B7A">
      <w:pPr>
        <w:jc w:val="center"/>
        <w:rPr>
          <w:lang w:val="en-NZ" w:eastAsia="ko-KR"/>
        </w:rPr>
      </w:pPr>
      <w:r>
        <w:rPr>
          <w:lang w:val="en-NZ" w:eastAsia="ko-KR"/>
        </w:rPr>
        <w:t xml:space="preserve">Working Party </w:t>
      </w:r>
      <w:r w:rsidR="00B92D88">
        <w:rPr>
          <w:lang w:val="en-NZ" w:eastAsia="ko-KR"/>
        </w:rPr>
        <w:t>4</w:t>
      </w:r>
    </w:p>
    <w:p w14:paraId="72A6339A" w14:textId="77777777" w:rsidR="009D4B7A" w:rsidRPr="002A0111" w:rsidRDefault="009D4B7A" w:rsidP="009D4B7A">
      <w:pPr>
        <w:jc w:val="center"/>
        <w:rPr>
          <w:bCs/>
          <w:caps/>
          <w:lang w:val="en-NZ"/>
        </w:rPr>
      </w:pPr>
    </w:p>
    <w:p w14:paraId="6D168BD3" w14:textId="61C39505" w:rsidR="009D4B7A" w:rsidRPr="00C17B46" w:rsidRDefault="00104039" w:rsidP="009D4B7A">
      <w:pPr>
        <w:jc w:val="center"/>
        <w:rPr>
          <w:b/>
          <w:bCs/>
          <w:caps/>
          <w:lang w:val="en-NZ"/>
        </w:rPr>
      </w:pPr>
      <w:r>
        <w:rPr>
          <w:b/>
          <w:bCs/>
          <w:caps/>
          <w:lang w:val="en-NZ"/>
        </w:rPr>
        <w:t>APT</w:t>
      </w:r>
      <w:r w:rsidR="009D4B7A" w:rsidRPr="00441526">
        <w:rPr>
          <w:b/>
          <w:bCs/>
          <w:caps/>
          <w:lang w:val="en-NZ"/>
        </w:rPr>
        <w:t xml:space="preserve"> VIEW</w:t>
      </w:r>
      <w:r>
        <w:rPr>
          <w:b/>
          <w:bCs/>
          <w:caps/>
          <w:lang w:val="en-NZ"/>
        </w:rPr>
        <w:t xml:space="preserve"> and </w:t>
      </w:r>
      <w:r w:rsidRPr="00104039">
        <w:rPr>
          <w:b/>
          <w:bCs/>
          <w:caps/>
          <w:lang w:val="en-NZ"/>
        </w:rPr>
        <w:t xml:space="preserve">Preliminary APT Common Proposal </w:t>
      </w:r>
      <w:r w:rsidR="009D4B7A" w:rsidRPr="00441526">
        <w:rPr>
          <w:b/>
          <w:bCs/>
          <w:caps/>
          <w:lang w:val="en-NZ"/>
        </w:rPr>
        <w:t>on WRC-</w:t>
      </w:r>
      <w:r w:rsidR="009D4B7A">
        <w:rPr>
          <w:b/>
          <w:bCs/>
          <w:caps/>
          <w:lang w:val="en-NZ"/>
        </w:rPr>
        <w:t>23</w:t>
      </w:r>
      <w:r w:rsidR="009D4B7A" w:rsidRPr="00441526">
        <w:rPr>
          <w:b/>
          <w:bCs/>
          <w:caps/>
          <w:lang w:val="en-NZ"/>
        </w:rPr>
        <w:t xml:space="preserve"> agenda item 1.</w:t>
      </w:r>
      <w:r w:rsidR="00C17B46">
        <w:rPr>
          <w:b/>
          <w:bCs/>
          <w:caps/>
          <w:lang w:val="en-NZ"/>
        </w:rPr>
        <w:t>17</w:t>
      </w:r>
    </w:p>
    <w:p w14:paraId="14FEFD0A" w14:textId="77777777" w:rsidR="009D4B7A" w:rsidRPr="00441526" w:rsidRDefault="009D4B7A" w:rsidP="009D4B7A">
      <w:pPr>
        <w:spacing w:after="120"/>
        <w:rPr>
          <w:lang w:val="en-NZ"/>
        </w:rPr>
      </w:pPr>
    </w:p>
    <w:p w14:paraId="153E24F4" w14:textId="77ACDFD7" w:rsidR="009D4B7A" w:rsidRPr="00441526" w:rsidRDefault="009D4B7A" w:rsidP="009D4B7A">
      <w:pPr>
        <w:spacing w:after="120"/>
        <w:jc w:val="both"/>
        <w:rPr>
          <w:lang w:val="en-NZ"/>
        </w:rPr>
      </w:pPr>
      <w:r w:rsidRPr="00441526">
        <w:rPr>
          <w:b/>
          <w:lang w:val="en-NZ"/>
        </w:rPr>
        <w:t>Agenda Item 1.</w:t>
      </w:r>
      <w:r w:rsidR="00C17B46">
        <w:rPr>
          <w:b/>
          <w:lang w:val="en-NZ"/>
        </w:rPr>
        <w:t>17</w:t>
      </w:r>
      <w:r w:rsidRPr="00441526">
        <w:rPr>
          <w:b/>
          <w:lang w:val="en-NZ"/>
        </w:rPr>
        <w:t xml:space="preserve">: </w:t>
      </w:r>
    </w:p>
    <w:p w14:paraId="37B219F5" w14:textId="2E2F1CED" w:rsidR="009D4B7A" w:rsidRDefault="00B94065" w:rsidP="005E7CA1">
      <w:pPr>
        <w:spacing w:after="120"/>
        <w:jc w:val="both"/>
        <w:rPr>
          <w:i/>
          <w:lang w:val="en-NZ"/>
        </w:rPr>
      </w:pPr>
      <w:r w:rsidRPr="00B94065">
        <w:rPr>
          <w:i/>
          <w:lang w:val="en-NZ"/>
        </w:rPr>
        <w:t>to determine and carry out, on the basis of the ITU-R studies in accordance with Resolution 773 (WRC 19), the appropriate regulatory actions for the provision of inter-satellite links in specific frequency bands, or portions thereof, by adding an inter-satellite service allocation where appropriate.</w:t>
      </w:r>
    </w:p>
    <w:p w14:paraId="1AE8B36D" w14:textId="77777777" w:rsidR="005E7CA1" w:rsidRPr="005E7CA1" w:rsidRDefault="005E7CA1" w:rsidP="005E7CA1">
      <w:pPr>
        <w:spacing w:after="120"/>
        <w:jc w:val="both"/>
        <w:rPr>
          <w:iCs/>
          <w:lang w:val="en-NZ"/>
        </w:rPr>
      </w:pPr>
    </w:p>
    <w:p w14:paraId="4E166D0C" w14:textId="598041E4" w:rsidR="009D4B7A" w:rsidRPr="00CF375A" w:rsidRDefault="009D4B7A" w:rsidP="00C403D9">
      <w:pPr>
        <w:spacing w:after="120"/>
        <w:jc w:val="both"/>
        <w:outlineLvl w:val="0"/>
        <w:rPr>
          <w:b/>
          <w:lang w:val="en-NZ" w:eastAsia="ko-KR"/>
        </w:rPr>
      </w:pPr>
      <w:r w:rsidRPr="00441526">
        <w:rPr>
          <w:b/>
          <w:lang w:val="en-NZ" w:eastAsia="ko-KR"/>
        </w:rPr>
        <w:t xml:space="preserve">1. </w:t>
      </w:r>
      <w:r w:rsidRPr="00441526">
        <w:rPr>
          <w:b/>
          <w:lang w:val="en-NZ" w:eastAsia="ko-KR"/>
        </w:rPr>
        <w:tab/>
        <w:t>Background</w:t>
      </w:r>
    </w:p>
    <w:p w14:paraId="3F07CAA1" w14:textId="77777777" w:rsidR="00E468F1" w:rsidRDefault="005E7CA1" w:rsidP="00E468F1">
      <w:pPr>
        <w:jc w:val="both"/>
        <w:rPr>
          <w:lang w:val="en-GB" w:eastAsia="ko-KR"/>
        </w:rPr>
      </w:pPr>
      <w:r>
        <w:rPr>
          <w:lang w:val="en-GB" w:eastAsia="ko-KR"/>
        </w:rPr>
        <w:t xml:space="preserve">In accordance with </w:t>
      </w:r>
      <w:r w:rsidRPr="006E2EC3">
        <w:rPr>
          <w:lang w:val="en-GB" w:eastAsia="ko-KR"/>
        </w:rPr>
        <w:t>Resolution</w:t>
      </w:r>
      <w:r>
        <w:rPr>
          <w:lang w:val="en-GB" w:eastAsia="ko-KR"/>
        </w:rPr>
        <w:t xml:space="preserve"> </w:t>
      </w:r>
      <w:r w:rsidRPr="006E2EC3">
        <w:rPr>
          <w:b/>
          <w:lang w:val="en-GB" w:eastAsia="ko-KR"/>
        </w:rPr>
        <w:t>773</w:t>
      </w:r>
      <w:r>
        <w:rPr>
          <w:b/>
          <w:lang w:val="en-GB" w:eastAsia="ko-KR"/>
        </w:rPr>
        <w:t xml:space="preserve"> </w:t>
      </w:r>
      <w:r w:rsidRPr="006E2EC3">
        <w:rPr>
          <w:b/>
          <w:lang w:val="en-GB" w:eastAsia="ko-KR"/>
        </w:rPr>
        <w:t>(WRC-19)</w:t>
      </w:r>
      <w:r w:rsidRPr="005E7CA1">
        <w:rPr>
          <w:bCs/>
          <w:lang w:val="en-GB" w:eastAsia="ko-KR"/>
        </w:rPr>
        <w:t>,</w:t>
      </w:r>
      <w:r>
        <w:rPr>
          <w:b/>
          <w:lang w:val="en-GB" w:eastAsia="ko-KR"/>
        </w:rPr>
        <w:t xml:space="preserve"> </w:t>
      </w:r>
      <w:r>
        <w:rPr>
          <w:lang w:val="en-GB" w:eastAsia="ko-KR"/>
        </w:rPr>
        <w:t xml:space="preserve">WRC-23 agenda item 1.17 </w:t>
      </w:r>
      <w:r w:rsidR="00B94065" w:rsidRPr="006E2EC3">
        <w:rPr>
          <w:lang w:val="en-GB" w:eastAsia="ko-KR"/>
        </w:rPr>
        <w:t>invites</w:t>
      </w:r>
      <w:r w:rsidR="00B94065">
        <w:rPr>
          <w:lang w:val="en-GB" w:eastAsia="ko-KR"/>
        </w:rPr>
        <w:t xml:space="preserve"> </w:t>
      </w:r>
      <w:r w:rsidR="00B94065" w:rsidRPr="006E2EC3">
        <w:rPr>
          <w:lang w:val="en-GB" w:eastAsia="ko-KR"/>
        </w:rPr>
        <w:t>the</w:t>
      </w:r>
      <w:r w:rsidR="00B94065">
        <w:rPr>
          <w:lang w:val="en-GB" w:eastAsia="ko-KR"/>
        </w:rPr>
        <w:t xml:space="preserve"> </w:t>
      </w:r>
      <w:r w:rsidR="00B94065" w:rsidRPr="006E2EC3">
        <w:rPr>
          <w:lang w:val="en-GB" w:eastAsia="ko-KR"/>
        </w:rPr>
        <w:t>ITU-R</w:t>
      </w:r>
      <w:r>
        <w:rPr>
          <w:lang w:val="en-GB" w:eastAsia="ko-KR"/>
        </w:rPr>
        <w:t xml:space="preserve"> Sector to </w:t>
      </w:r>
      <w:r w:rsidR="00E468F1">
        <w:rPr>
          <w:lang w:val="en-GB" w:eastAsia="ko-KR"/>
        </w:rPr>
        <w:t xml:space="preserve">carry out </w:t>
      </w:r>
      <w:r w:rsidR="00E468F1" w:rsidRPr="00E468F1">
        <w:rPr>
          <w:lang w:val="en-GB" w:eastAsia="ko-KR"/>
        </w:rPr>
        <w:t>study of technical and operational issues, and regulatory provisions for satellite-to-satellite links in the frequency bands 11.7-12.7 GHz, 18.1-18.6 GHz, 18.8-20.2 GHz and 27.5-30 GHz</w:t>
      </w:r>
      <w:r w:rsidR="00E468F1">
        <w:rPr>
          <w:lang w:val="en-GB" w:eastAsia="ko-KR"/>
        </w:rPr>
        <w:t>.</w:t>
      </w:r>
    </w:p>
    <w:p w14:paraId="45F320BD" w14:textId="707A2DF2" w:rsidR="00E55764" w:rsidRDefault="00E50C09" w:rsidP="00E50C09">
      <w:pPr>
        <w:spacing w:beforeLines="50" w:before="120"/>
        <w:jc w:val="both"/>
        <w:rPr>
          <w:lang w:val="en-GB" w:eastAsia="ko-KR"/>
        </w:rPr>
      </w:pPr>
      <w:r w:rsidRPr="00E50C09">
        <w:rPr>
          <w:lang w:val="en-GB" w:eastAsia="ko-KR"/>
        </w:rPr>
        <w:t>W</w:t>
      </w:r>
      <w:r>
        <w:rPr>
          <w:lang w:val="en-GB" w:eastAsia="ko-KR"/>
        </w:rPr>
        <w:t xml:space="preserve">orking </w:t>
      </w:r>
      <w:r w:rsidRPr="00E50C09">
        <w:rPr>
          <w:lang w:val="en-GB" w:eastAsia="ko-KR"/>
        </w:rPr>
        <w:t>P</w:t>
      </w:r>
      <w:r>
        <w:rPr>
          <w:lang w:val="en-GB" w:eastAsia="ko-KR"/>
        </w:rPr>
        <w:t>arty (WP)</w:t>
      </w:r>
      <w:r w:rsidRPr="00E50C09">
        <w:rPr>
          <w:lang w:val="en-GB" w:eastAsia="ko-KR"/>
        </w:rPr>
        <w:t xml:space="preserve"> 4A</w:t>
      </w:r>
      <w:r w:rsidR="00E55764">
        <w:rPr>
          <w:lang w:val="en-GB" w:eastAsia="ko-KR"/>
        </w:rPr>
        <w:t>,</w:t>
      </w:r>
      <w:r w:rsidRPr="00E50C09">
        <w:rPr>
          <w:lang w:val="en-GB" w:eastAsia="ko-KR"/>
        </w:rPr>
        <w:t xml:space="preserve"> </w:t>
      </w:r>
      <w:r w:rsidR="00E55764">
        <w:rPr>
          <w:lang w:val="en-GB" w:eastAsia="ko-KR"/>
        </w:rPr>
        <w:t>as</w:t>
      </w:r>
      <w:r w:rsidRPr="00E50C09">
        <w:rPr>
          <w:lang w:val="en-GB" w:eastAsia="ko-KR"/>
        </w:rPr>
        <w:t xml:space="preserve"> the responsible group</w:t>
      </w:r>
      <w:r w:rsidR="00E55764">
        <w:rPr>
          <w:lang w:val="en-GB" w:eastAsia="ko-KR"/>
        </w:rPr>
        <w:t xml:space="preserve"> in accordance with</w:t>
      </w:r>
      <w:r w:rsidRPr="00E50C09">
        <w:rPr>
          <w:lang w:val="en-GB" w:eastAsia="ko-KR"/>
        </w:rPr>
        <w:t xml:space="preserve"> the </w:t>
      </w:r>
      <w:r>
        <w:rPr>
          <w:lang w:val="en-GB" w:eastAsia="ko-KR"/>
        </w:rPr>
        <w:t xml:space="preserve">results of </w:t>
      </w:r>
      <w:r w:rsidRPr="00E50C09">
        <w:rPr>
          <w:lang w:val="en-GB" w:eastAsia="ko-KR"/>
        </w:rPr>
        <w:t>CPM23-1</w:t>
      </w:r>
      <w:r w:rsidR="004E2A78">
        <w:rPr>
          <w:lang w:val="en-GB" w:eastAsia="ko-KR"/>
        </w:rPr>
        <w:t>, has considered sharing and compatibility studies and finalized the CPM text</w:t>
      </w:r>
      <w:r>
        <w:rPr>
          <w:lang w:val="en-GB" w:eastAsia="ko-KR"/>
        </w:rPr>
        <w:t>.</w:t>
      </w:r>
    </w:p>
    <w:p w14:paraId="4956372C" w14:textId="6B468688" w:rsidR="00E50C09" w:rsidRPr="00E50C09" w:rsidRDefault="00E468F1" w:rsidP="00E50C09">
      <w:pPr>
        <w:spacing w:beforeLines="50" w:before="120"/>
        <w:jc w:val="both"/>
        <w:rPr>
          <w:rFonts w:eastAsia="SimSun"/>
          <w:lang w:eastAsia="zh-CN"/>
        </w:rPr>
      </w:pPr>
      <w:r>
        <w:rPr>
          <w:lang w:val="en-GB" w:eastAsia="ko-KR"/>
        </w:rPr>
        <w:t xml:space="preserve">The </w:t>
      </w:r>
      <w:r w:rsidR="00E50C09">
        <w:rPr>
          <w:lang w:val="en-GB" w:eastAsia="ko-KR"/>
        </w:rPr>
        <w:t>8</w:t>
      </w:r>
      <w:r w:rsidR="00E50C09" w:rsidRPr="00E50C09">
        <w:rPr>
          <w:vertAlign w:val="superscript"/>
          <w:lang w:val="en-GB" w:eastAsia="ko-KR"/>
        </w:rPr>
        <w:t>th</w:t>
      </w:r>
      <w:r>
        <w:rPr>
          <w:lang w:val="en-GB" w:eastAsia="ko-KR"/>
        </w:rPr>
        <w:t xml:space="preserve"> WP</w:t>
      </w:r>
      <w:r w:rsidR="00E50C09">
        <w:rPr>
          <w:rFonts w:eastAsia="SimSun" w:hint="eastAsia"/>
          <w:lang w:val="en-GB" w:eastAsia="zh-CN"/>
        </w:rPr>
        <w:t xml:space="preserve"> </w:t>
      </w:r>
      <w:r w:rsidR="00E50C09">
        <w:rPr>
          <w:rFonts w:eastAsia="SimSun"/>
          <w:lang w:val="en-GB" w:eastAsia="zh-CN"/>
        </w:rPr>
        <w:t xml:space="preserve">4A meeting </w:t>
      </w:r>
      <w:r w:rsidR="00E50C09" w:rsidRPr="00E50C09">
        <w:rPr>
          <w:rFonts w:eastAsia="SimSun"/>
          <w:lang w:eastAsia="zh-CN"/>
        </w:rPr>
        <w:t xml:space="preserve">produced </w:t>
      </w:r>
      <w:r w:rsidR="004E2A78">
        <w:rPr>
          <w:rFonts w:eastAsia="SimSun"/>
          <w:lang w:eastAsia="zh-CN"/>
        </w:rPr>
        <w:t>four</w:t>
      </w:r>
      <w:r w:rsidR="00E50C09" w:rsidRPr="00E50C09">
        <w:rPr>
          <w:rFonts w:eastAsia="SimSun"/>
          <w:lang w:eastAsia="zh-CN"/>
        </w:rPr>
        <w:t xml:space="preserve"> documents (Hybrid meeting in-person with remote participation from 27 June to 6 July 2023)</w:t>
      </w:r>
    </w:p>
    <w:p w14:paraId="0B8F755E" w14:textId="77777777" w:rsidR="00E50C09" w:rsidRPr="00E50C09" w:rsidRDefault="00E50C09" w:rsidP="00E50C09">
      <w:pPr>
        <w:numPr>
          <w:ilvl w:val="0"/>
          <w:numId w:val="12"/>
        </w:numPr>
        <w:ind w:leftChars="145" w:left="708"/>
        <w:jc w:val="both"/>
        <w:rPr>
          <w:lang w:val="en-NZ"/>
        </w:rPr>
      </w:pPr>
      <w:r w:rsidRPr="00E50C09">
        <w:rPr>
          <w:lang w:val="en-NZ"/>
        </w:rPr>
        <w:t>Supporting material that was developed to address WRC-23 agenda item 1.17 (</w:t>
      </w:r>
      <w:bookmarkStart w:id="0" w:name="_Hlk87001728"/>
      <w:r w:rsidRPr="00E50C09">
        <w:rPr>
          <w:rStyle w:val="Hyperlink"/>
          <w:rFonts w:eastAsia="SimSun"/>
          <w:lang w:eastAsia="zh-CN"/>
        </w:rPr>
        <w:fldChar w:fldCharType="begin"/>
      </w:r>
      <w:r w:rsidRPr="00E50C09">
        <w:rPr>
          <w:rStyle w:val="Hyperlink"/>
          <w:rFonts w:eastAsia="SimSun"/>
          <w:lang w:eastAsia="zh-CN"/>
        </w:rPr>
        <w:instrText>HYPERLINK "https://www.itu.int/dms_ties/itu-r/md/19/wp4a/c/R19-WP4A-C-0978!N15!MSW-E.docx"</w:instrText>
      </w:r>
      <w:r w:rsidRPr="00E50C09">
        <w:rPr>
          <w:rStyle w:val="Hyperlink"/>
          <w:rFonts w:eastAsia="SimSun"/>
          <w:lang w:eastAsia="zh-CN"/>
        </w:rPr>
      </w:r>
      <w:r w:rsidRPr="00E50C09">
        <w:rPr>
          <w:rStyle w:val="Hyperlink"/>
          <w:rFonts w:eastAsia="SimSun"/>
          <w:lang w:eastAsia="zh-CN"/>
        </w:rPr>
        <w:fldChar w:fldCharType="separate"/>
      </w:r>
      <w:r w:rsidRPr="00E50C09">
        <w:rPr>
          <w:rStyle w:val="Hyperlink"/>
          <w:rFonts w:eastAsia="SimSun"/>
          <w:lang w:eastAsia="zh-CN"/>
        </w:rPr>
        <w:t>Document 4A/978/</w:t>
      </w:r>
      <w:bookmarkEnd w:id="0"/>
      <w:r w:rsidRPr="00E50C09">
        <w:rPr>
          <w:rStyle w:val="Hyperlink"/>
          <w:rFonts w:eastAsia="SimSun"/>
          <w:lang w:eastAsia="zh-CN"/>
        </w:rPr>
        <w:t>Annex 15</w:t>
      </w:r>
      <w:r w:rsidRPr="00E50C09">
        <w:rPr>
          <w:rStyle w:val="Hyperlink"/>
          <w:rFonts w:eastAsia="SimSun"/>
          <w:lang w:eastAsia="zh-CN"/>
        </w:rPr>
        <w:fldChar w:fldCharType="end"/>
      </w:r>
      <w:r w:rsidRPr="00E50C09">
        <w:rPr>
          <w:lang w:val="en-NZ"/>
        </w:rPr>
        <w:t>)</w:t>
      </w:r>
    </w:p>
    <w:p w14:paraId="19965D95" w14:textId="77777777" w:rsidR="00E50C09" w:rsidRPr="00E50C09" w:rsidRDefault="00E50C09" w:rsidP="00E50C09">
      <w:pPr>
        <w:numPr>
          <w:ilvl w:val="0"/>
          <w:numId w:val="12"/>
        </w:numPr>
        <w:ind w:leftChars="145" w:left="708"/>
        <w:jc w:val="both"/>
        <w:rPr>
          <w:lang w:val="en-NZ"/>
        </w:rPr>
      </w:pPr>
      <w:r w:rsidRPr="00E50C09">
        <w:rPr>
          <w:lang w:val="en-NZ"/>
        </w:rPr>
        <w:t>Annex 1 to Supporting materials on WRC-23 agenda item 1.17(</w:t>
      </w:r>
      <w:hyperlink r:id="rId9" w:history="1">
        <w:r w:rsidRPr="00E50C09">
          <w:rPr>
            <w:rStyle w:val="Hyperlink"/>
            <w:rFonts w:eastAsia="SimSun"/>
            <w:lang w:eastAsia="zh-CN"/>
          </w:rPr>
          <w:t>Document 4A/978/Annex 16</w:t>
        </w:r>
      </w:hyperlink>
      <w:r w:rsidRPr="00E50C09">
        <w:rPr>
          <w:lang w:val="en-NZ"/>
        </w:rPr>
        <w:t>)</w:t>
      </w:r>
    </w:p>
    <w:p w14:paraId="3890ED14" w14:textId="77777777" w:rsidR="00E50C09" w:rsidRPr="00E50C09" w:rsidRDefault="00E50C09" w:rsidP="00E50C09">
      <w:pPr>
        <w:numPr>
          <w:ilvl w:val="0"/>
          <w:numId w:val="12"/>
        </w:numPr>
        <w:ind w:leftChars="145" w:left="708"/>
        <w:jc w:val="both"/>
        <w:rPr>
          <w:lang w:val="en-NZ"/>
        </w:rPr>
      </w:pPr>
      <w:r w:rsidRPr="00E50C09">
        <w:rPr>
          <w:lang w:val="en-NZ"/>
        </w:rPr>
        <w:t>Annex 2 to Supporting materials on WRC-23 agenda item 1.17(</w:t>
      </w:r>
      <w:hyperlink r:id="rId10" w:history="1">
        <w:r w:rsidRPr="00E50C09">
          <w:rPr>
            <w:rStyle w:val="Hyperlink"/>
            <w:rFonts w:eastAsia="SimSun"/>
            <w:lang w:eastAsia="zh-CN"/>
          </w:rPr>
          <w:t>Document 4A/978/Annex 17</w:t>
        </w:r>
      </w:hyperlink>
      <w:r w:rsidRPr="00E50C09">
        <w:rPr>
          <w:lang w:val="en-NZ"/>
        </w:rPr>
        <w:t>)</w:t>
      </w:r>
    </w:p>
    <w:p w14:paraId="1393A0F2" w14:textId="2AE3EAD7" w:rsidR="00E468F1" w:rsidRPr="00E50C09" w:rsidRDefault="00E50C09" w:rsidP="00E50C09">
      <w:pPr>
        <w:numPr>
          <w:ilvl w:val="0"/>
          <w:numId w:val="12"/>
        </w:numPr>
        <w:ind w:leftChars="145" w:left="708"/>
        <w:jc w:val="both"/>
        <w:rPr>
          <w:lang w:val="en-NZ"/>
        </w:rPr>
      </w:pPr>
      <w:r w:rsidRPr="00E50C09">
        <w:rPr>
          <w:lang w:val="en-NZ"/>
        </w:rPr>
        <w:t>Annex 3 to Supporting materials on WRC-23 agenda item 1.17(</w:t>
      </w:r>
      <w:hyperlink r:id="rId11" w:history="1">
        <w:r w:rsidRPr="00E50C09">
          <w:rPr>
            <w:rStyle w:val="Hyperlink"/>
            <w:rFonts w:eastAsia="SimSun"/>
            <w:lang w:eastAsia="zh-CN"/>
          </w:rPr>
          <w:t>Document 4A/978/Annex 18</w:t>
        </w:r>
      </w:hyperlink>
      <w:r w:rsidRPr="00E50C09">
        <w:rPr>
          <w:lang w:val="en-NZ"/>
        </w:rPr>
        <w:t>)</w:t>
      </w:r>
    </w:p>
    <w:p w14:paraId="468F787B" w14:textId="386004BB" w:rsidR="00B94065" w:rsidRDefault="004E2A78" w:rsidP="00E55764">
      <w:pPr>
        <w:spacing w:beforeLines="50" w:before="120"/>
        <w:jc w:val="both"/>
        <w:rPr>
          <w:lang w:val="en-GB" w:eastAsia="ko-KR"/>
        </w:rPr>
      </w:pPr>
      <w:r>
        <w:rPr>
          <w:lang w:val="en-GB" w:eastAsia="ko-KR"/>
        </w:rPr>
        <w:t>The finalized CPM text includes two methods to satisfy this agenda.</w:t>
      </w:r>
    </w:p>
    <w:p w14:paraId="7820D6B8" w14:textId="18E04B1B" w:rsidR="004E2A78" w:rsidRPr="004E2A78" w:rsidRDefault="004E2A78" w:rsidP="004E2A78">
      <w:pPr>
        <w:numPr>
          <w:ilvl w:val="0"/>
          <w:numId w:val="12"/>
        </w:numPr>
        <w:ind w:leftChars="145" w:left="708"/>
        <w:jc w:val="both"/>
        <w:rPr>
          <w:lang w:val="en-NZ"/>
        </w:rPr>
      </w:pPr>
      <w:r w:rsidRPr="004E2A78">
        <w:rPr>
          <w:b/>
          <w:bCs/>
          <w:lang w:val="en-NZ"/>
        </w:rPr>
        <w:t>Method A:</w:t>
      </w:r>
      <w:r w:rsidRPr="004E2A78">
        <w:rPr>
          <w:lang w:val="en-NZ"/>
        </w:rPr>
        <w:t xml:space="preserve"> No changes to the Radio Regulations and suppression of Resolution </w:t>
      </w:r>
      <w:r w:rsidRPr="004E2A78">
        <w:rPr>
          <w:b/>
          <w:bCs/>
          <w:lang w:val="en-NZ"/>
        </w:rPr>
        <w:t>773</w:t>
      </w:r>
      <w:r w:rsidRPr="004E2A78">
        <w:rPr>
          <w:lang w:val="en-NZ"/>
        </w:rPr>
        <w:t xml:space="preserve"> </w:t>
      </w:r>
      <w:r w:rsidRPr="00372C23">
        <w:rPr>
          <w:b/>
          <w:bCs/>
          <w:lang w:val="en-NZ"/>
        </w:rPr>
        <w:t>(WRC-19)</w:t>
      </w:r>
      <w:r w:rsidRPr="004E2A78">
        <w:rPr>
          <w:lang w:val="en-NZ"/>
        </w:rPr>
        <w:t>.</w:t>
      </w:r>
    </w:p>
    <w:p w14:paraId="4C4AB007" w14:textId="37369A4E" w:rsidR="00B94065" w:rsidRPr="004E2A78" w:rsidRDefault="004E2A78" w:rsidP="004E2A78">
      <w:pPr>
        <w:numPr>
          <w:ilvl w:val="0"/>
          <w:numId w:val="12"/>
        </w:numPr>
        <w:ind w:leftChars="145" w:left="708"/>
        <w:jc w:val="both"/>
        <w:rPr>
          <w:lang w:val="en-NZ"/>
        </w:rPr>
      </w:pPr>
      <w:r w:rsidRPr="004E2A78">
        <w:rPr>
          <w:b/>
          <w:bCs/>
          <w:lang w:val="en-NZ"/>
        </w:rPr>
        <w:t>Method B:</w:t>
      </w:r>
      <w:r w:rsidRPr="004E2A78">
        <w:rPr>
          <w:lang w:val="en-NZ"/>
        </w:rPr>
        <w:t xml:space="preserve"> proposes a Resolution to address the regulatory mechanisms to operate the satellite-to-satellite links in 18.1-18.6 GHz, 18.8-20.2 GHz and 27.5-30 GHz. This method also supports no change (NOC) for the band 11.7-12.7 GHz. Within Method B there are several options that should be considered within each of the alternatives pertaining to some of the regulatory mechanisms to ensure the protection of incumbent services.</w:t>
      </w:r>
    </w:p>
    <w:p w14:paraId="4D6232E9" w14:textId="77777777" w:rsidR="009D4B7A" w:rsidRPr="00B94065" w:rsidRDefault="009D4B7A" w:rsidP="009D4B7A">
      <w:pPr>
        <w:jc w:val="both"/>
        <w:rPr>
          <w:lang w:val="en-GB"/>
        </w:rPr>
      </w:pPr>
    </w:p>
    <w:p w14:paraId="4B47EE69" w14:textId="77777777" w:rsidR="009D4B7A" w:rsidRPr="00C403D9" w:rsidRDefault="009D4B7A" w:rsidP="00C403D9">
      <w:pPr>
        <w:spacing w:after="120"/>
        <w:jc w:val="both"/>
        <w:outlineLvl w:val="0"/>
        <w:rPr>
          <w:b/>
          <w:lang w:val="en-NZ" w:eastAsia="ko-KR"/>
        </w:rPr>
      </w:pPr>
      <w:r w:rsidRPr="00C403D9">
        <w:rPr>
          <w:b/>
          <w:lang w:val="en-NZ" w:eastAsia="ko-KR"/>
        </w:rPr>
        <w:t xml:space="preserve">2. </w:t>
      </w:r>
      <w:r w:rsidRPr="00C403D9">
        <w:rPr>
          <w:b/>
          <w:lang w:val="en-NZ" w:eastAsia="ko-KR"/>
        </w:rPr>
        <w:tab/>
        <w:t>Documents</w:t>
      </w:r>
    </w:p>
    <w:p w14:paraId="02F4F41A" w14:textId="2AE30092" w:rsidR="00417ACB" w:rsidRPr="00140158" w:rsidRDefault="00417ACB" w:rsidP="00140158">
      <w:pPr>
        <w:pStyle w:val="ListParagraph"/>
        <w:numPr>
          <w:ilvl w:val="0"/>
          <w:numId w:val="14"/>
        </w:numPr>
        <w:ind w:leftChars="145" w:left="705" w:hanging="357"/>
      </w:pPr>
      <w:r w:rsidRPr="00140158">
        <w:rPr>
          <w:lang w:val="en-NZ"/>
        </w:rPr>
        <w:lastRenderedPageBreak/>
        <w:t>Input</w:t>
      </w:r>
      <w:r w:rsidR="009D4B7A" w:rsidRPr="00140158">
        <w:rPr>
          <w:lang w:val="en-NZ"/>
        </w:rPr>
        <w:t xml:space="preserve"> </w:t>
      </w:r>
      <w:r w:rsidRPr="00140158">
        <w:rPr>
          <w:lang w:val="en-NZ"/>
        </w:rPr>
        <w:t xml:space="preserve">Documents: </w:t>
      </w:r>
      <w:hyperlink r:id="rId12" w:history="1">
        <w:r w:rsidR="00D2651B" w:rsidRPr="00D2651B">
          <w:rPr>
            <w:rStyle w:val="Hyperlink"/>
            <w:rFonts w:hint="eastAsia"/>
          </w:rPr>
          <w:t>I</w:t>
        </w:r>
        <w:r w:rsidR="00D2651B" w:rsidRPr="00D2651B">
          <w:rPr>
            <w:rStyle w:val="Hyperlink"/>
          </w:rPr>
          <w:t>NP-14</w:t>
        </w:r>
      </w:hyperlink>
      <w:r w:rsidR="00D2651B" w:rsidRPr="00D2651B">
        <w:t xml:space="preserve"> (CBG),</w:t>
      </w:r>
      <w:hyperlink r:id="rId13" w:history="1">
        <w:r w:rsidR="00D2651B" w:rsidRPr="00D2651B">
          <w:rPr>
            <w:rStyle w:val="Hyperlink"/>
          </w:rPr>
          <w:t xml:space="preserve"> INP-20</w:t>
        </w:r>
      </w:hyperlink>
      <w:r w:rsidR="00D2651B" w:rsidRPr="00D2651B">
        <w:t xml:space="preserve"> (</w:t>
      </w:r>
      <w:r w:rsidR="00D2651B" w:rsidRPr="00D2651B">
        <w:rPr>
          <w:rFonts w:hint="eastAsia"/>
        </w:rPr>
        <w:t>IND</w:t>
      </w:r>
      <w:r w:rsidR="00D2651B" w:rsidRPr="00D2651B">
        <w:t xml:space="preserve">), </w:t>
      </w:r>
      <w:hyperlink r:id="rId14" w:history="1">
        <w:r w:rsidR="00D2651B" w:rsidRPr="00D2651B">
          <w:rPr>
            <w:rStyle w:val="Hyperlink"/>
          </w:rPr>
          <w:t>INP-26</w:t>
        </w:r>
      </w:hyperlink>
      <w:r w:rsidR="00D2651B" w:rsidRPr="00D2651B">
        <w:t xml:space="preserve"> (BGD), </w:t>
      </w:r>
      <w:hyperlink r:id="rId15" w:history="1">
        <w:r w:rsidR="00D2651B" w:rsidRPr="00D2651B">
          <w:rPr>
            <w:rStyle w:val="Hyperlink"/>
          </w:rPr>
          <w:t>INP-38</w:t>
        </w:r>
      </w:hyperlink>
      <w:r w:rsidR="00D2651B" w:rsidRPr="00D2651B">
        <w:t xml:space="preserve"> (</w:t>
      </w:r>
      <w:r w:rsidR="00D2651B" w:rsidRPr="00D2651B">
        <w:rPr>
          <w:rFonts w:hint="eastAsia"/>
        </w:rPr>
        <w:t>J</w:t>
      </w:r>
      <w:r w:rsidR="00D2651B" w:rsidRPr="00D2651B">
        <w:t xml:space="preserve">), </w:t>
      </w:r>
      <w:hyperlink r:id="rId16" w:history="1">
        <w:r w:rsidR="00D2651B" w:rsidRPr="00D2651B">
          <w:rPr>
            <w:rStyle w:val="Hyperlink"/>
          </w:rPr>
          <w:t>INP-50</w:t>
        </w:r>
      </w:hyperlink>
      <w:r w:rsidR="00D2651B" w:rsidRPr="00D2651B">
        <w:t xml:space="preserve"> (INS), </w:t>
      </w:r>
      <w:hyperlink r:id="rId17" w:history="1">
        <w:r w:rsidR="00D2651B" w:rsidRPr="00D2651B">
          <w:rPr>
            <w:rStyle w:val="Hyperlink"/>
          </w:rPr>
          <w:t>INP-56</w:t>
        </w:r>
      </w:hyperlink>
      <w:r w:rsidR="00D2651B" w:rsidRPr="00D2651B">
        <w:t xml:space="preserve"> (SNG), </w:t>
      </w:r>
      <w:hyperlink r:id="rId18" w:history="1">
        <w:r w:rsidR="00D2651B" w:rsidRPr="00D2651B">
          <w:rPr>
            <w:rStyle w:val="Hyperlink"/>
          </w:rPr>
          <w:t>INP-61</w:t>
        </w:r>
      </w:hyperlink>
      <w:r w:rsidR="00D2651B" w:rsidRPr="00D2651B">
        <w:t xml:space="preserve"> (</w:t>
      </w:r>
      <w:r w:rsidR="00D2651B" w:rsidRPr="00D2651B">
        <w:rPr>
          <w:rFonts w:hint="eastAsia"/>
        </w:rPr>
        <w:t>THA</w:t>
      </w:r>
      <w:r w:rsidR="00D2651B" w:rsidRPr="00D2651B">
        <w:t xml:space="preserve">), </w:t>
      </w:r>
      <w:hyperlink r:id="rId19" w:history="1">
        <w:r w:rsidR="00D2651B" w:rsidRPr="00D2651B">
          <w:rPr>
            <w:rStyle w:val="Hyperlink"/>
          </w:rPr>
          <w:t>INP-68</w:t>
        </w:r>
      </w:hyperlink>
      <w:r w:rsidR="00D2651B" w:rsidRPr="00D2651B">
        <w:t xml:space="preserve"> (</w:t>
      </w:r>
      <w:r w:rsidR="00D2651B" w:rsidRPr="00D2651B">
        <w:rPr>
          <w:rFonts w:hint="eastAsia"/>
        </w:rPr>
        <w:t>IRN</w:t>
      </w:r>
      <w:r w:rsidR="00D2651B" w:rsidRPr="00D2651B">
        <w:t xml:space="preserve">), </w:t>
      </w:r>
      <w:hyperlink r:id="rId20" w:history="1">
        <w:r w:rsidR="00D2651B" w:rsidRPr="00D2651B">
          <w:rPr>
            <w:rStyle w:val="Hyperlink"/>
          </w:rPr>
          <w:t>INP-83</w:t>
        </w:r>
      </w:hyperlink>
      <w:r w:rsidR="00D2651B" w:rsidRPr="00D2651B">
        <w:t xml:space="preserve"> (</w:t>
      </w:r>
      <w:r w:rsidR="00D2651B" w:rsidRPr="00D2651B">
        <w:rPr>
          <w:rFonts w:hint="eastAsia"/>
        </w:rPr>
        <w:t>AUS</w:t>
      </w:r>
      <w:r w:rsidR="00D2651B" w:rsidRPr="00D2651B">
        <w:t xml:space="preserve">), </w:t>
      </w:r>
      <w:hyperlink r:id="rId21" w:history="1">
        <w:r w:rsidR="00D2651B" w:rsidRPr="00D2651B">
          <w:rPr>
            <w:rStyle w:val="Hyperlink"/>
          </w:rPr>
          <w:t>INP-90</w:t>
        </w:r>
      </w:hyperlink>
      <w:r w:rsidR="00D2651B" w:rsidRPr="00D2651B">
        <w:t xml:space="preserve"> (</w:t>
      </w:r>
      <w:r w:rsidR="00D2651B" w:rsidRPr="00D2651B">
        <w:rPr>
          <w:rFonts w:hint="eastAsia"/>
        </w:rPr>
        <w:t>KOR</w:t>
      </w:r>
      <w:r w:rsidR="00D2651B" w:rsidRPr="00D2651B">
        <w:t>)</w:t>
      </w:r>
      <w:r w:rsidR="00D2651B" w:rsidRPr="00140158">
        <w:rPr>
          <w:vertAlign w:val="superscript"/>
        </w:rPr>
        <w:t xml:space="preserve"> </w:t>
      </w:r>
      <w:r w:rsidR="00D2651B" w:rsidRPr="00D2651B">
        <w:t xml:space="preserve">, </w:t>
      </w:r>
      <w:hyperlink r:id="rId22" w:history="1">
        <w:r w:rsidR="00D2651B" w:rsidRPr="00D2651B">
          <w:rPr>
            <w:rStyle w:val="Hyperlink"/>
          </w:rPr>
          <w:t>INP-94</w:t>
        </w:r>
      </w:hyperlink>
      <w:r w:rsidR="00D2651B" w:rsidRPr="00D2651B">
        <w:t xml:space="preserve"> (PHL), </w:t>
      </w:r>
      <w:hyperlink r:id="rId23" w:history="1">
        <w:r w:rsidR="00D2651B" w:rsidRPr="00D2651B">
          <w:rPr>
            <w:rStyle w:val="Hyperlink"/>
          </w:rPr>
          <w:t>INP-106</w:t>
        </w:r>
      </w:hyperlink>
      <w:r w:rsidR="00D2651B" w:rsidRPr="00D2651B">
        <w:t xml:space="preserve"> (CHN)</w:t>
      </w:r>
      <w:r w:rsidR="00D2651B" w:rsidRPr="00D2651B">
        <w:rPr>
          <w:rFonts w:hint="eastAsia"/>
        </w:rPr>
        <w:t>,</w:t>
      </w:r>
      <w:r w:rsidR="00D2651B" w:rsidRPr="00D2651B">
        <w:t xml:space="preserve"> </w:t>
      </w:r>
      <w:hyperlink r:id="rId24" w:history="1">
        <w:r w:rsidR="00D2651B" w:rsidRPr="00D2651B">
          <w:rPr>
            <w:rStyle w:val="Hyperlink"/>
          </w:rPr>
          <w:t>INP-112</w:t>
        </w:r>
      </w:hyperlink>
      <w:r w:rsidR="00D2651B" w:rsidRPr="00D2651B">
        <w:t xml:space="preserve"> (</w:t>
      </w:r>
      <w:r w:rsidR="00D2651B" w:rsidRPr="00D2651B">
        <w:rPr>
          <w:rFonts w:hint="eastAsia"/>
        </w:rPr>
        <w:t>MLA</w:t>
      </w:r>
      <w:r w:rsidR="00D2651B" w:rsidRPr="00D2651B">
        <w:t>)</w:t>
      </w:r>
      <w:r w:rsidR="00D2651B" w:rsidRPr="00D2651B">
        <w:rPr>
          <w:rFonts w:hint="eastAsia"/>
        </w:rPr>
        <w:t>,</w:t>
      </w:r>
      <w:r w:rsidR="00D2651B" w:rsidRPr="00D2651B">
        <w:t xml:space="preserve"> </w:t>
      </w:r>
      <w:hyperlink r:id="rId25" w:history="1">
        <w:r w:rsidR="00D2651B" w:rsidRPr="00D2651B">
          <w:rPr>
            <w:rStyle w:val="Hyperlink"/>
          </w:rPr>
          <w:t>INP-120</w:t>
        </w:r>
      </w:hyperlink>
      <w:r w:rsidR="00D2651B" w:rsidRPr="00D2651B">
        <w:t xml:space="preserve"> (VTN)</w:t>
      </w:r>
      <w:r w:rsidR="00D2651B" w:rsidRPr="00D2651B">
        <w:rPr>
          <w:rFonts w:hint="eastAsia"/>
        </w:rPr>
        <w:t>,</w:t>
      </w:r>
      <w:r w:rsidR="00D2651B" w:rsidRPr="00D2651B">
        <w:t xml:space="preserve"> </w:t>
      </w:r>
      <w:hyperlink r:id="rId26" w:history="1">
        <w:r w:rsidR="00D2651B" w:rsidRPr="00D2651B">
          <w:rPr>
            <w:rStyle w:val="Hyperlink"/>
          </w:rPr>
          <w:t>INP-127</w:t>
        </w:r>
      </w:hyperlink>
      <w:r w:rsidR="00D2651B" w:rsidRPr="00D2651B">
        <w:t xml:space="preserve"> (SMO/TON)</w:t>
      </w:r>
    </w:p>
    <w:p w14:paraId="5AC8BF4B" w14:textId="6762F67D" w:rsidR="00C70047" w:rsidRPr="00140158" w:rsidRDefault="00417ACB" w:rsidP="00140158">
      <w:pPr>
        <w:pStyle w:val="ListParagraph"/>
        <w:numPr>
          <w:ilvl w:val="0"/>
          <w:numId w:val="15"/>
        </w:numPr>
        <w:ind w:leftChars="145" w:left="705" w:hanging="357"/>
        <w:rPr>
          <w:rFonts w:eastAsia="SimSun"/>
          <w:lang w:val="fr-FR" w:eastAsia="zh-CN"/>
        </w:rPr>
      </w:pPr>
      <w:r w:rsidRPr="00140158">
        <w:rPr>
          <w:rFonts w:eastAsia="SimSun" w:hint="eastAsia"/>
          <w:lang w:val="fr-FR" w:eastAsia="zh-CN"/>
        </w:rPr>
        <w:t>I</w:t>
      </w:r>
      <w:r w:rsidRPr="00140158">
        <w:rPr>
          <w:rFonts w:eastAsia="SimSun"/>
          <w:lang w:val="fr-FR" w:eastAsia="zh-CN"/>
        </w:rPr>
        <w:t xml:space="preserve">nformation </w:t>
      </w:r>
      <w:r w:rsidRPr="00140158">
        <w:rPr>
          <w:rFonts w:eastAsia="SimSun" w:hint="eastAsia"/>
          <w:lang w:val="fr-FR" w:eastAsia="zh-CN"/>
        </w:rPr>
        <w:t>documents:</w:t>
      </w:r>
      <w:r w:rsidRPr="00140158">
        <w:rPr>
          <w:rFonts w:eastAsia="SimSun"/>
          <w:lang w:val="fr-FR" w:eastAsia="zh-CN"/>
        </w:rPr>
        <w:t xml:space="preserve"> </w:t>
      </w:r>
      <w:bookmarkStart w:id="1" w:name="_Hlk111409365"/>
      <w:r w:rsidR="00C70047">
        <w:rPr>
          <w:rFonts w:eastAsia="SimSun"/>
          <w:lang w:val="fr-FR" w:eastAsia="zh-CN"/>
        </w:rPr>
        <w:fldChar w:fldCharType="begin"/>
      </w:r>
      <w:r w:rsidR="00C70047">
        <w:rPr>
          <w:rFonts w:eastAsia="SimSun" w:hint="eastAsia"/>
          <w:lang w:val="fr-FR" w:eastAsia="zh-CN"/>
        </w:rPr>
        <w:instrText>HYPERLINK "https://www.apt.int/sites/default/files/2023/07/APG23-6-INF-16_Brief_on_AI_1.17.docx"</w:instrText>
      </w:r>
      <w:r w:rsidR="00C70047">
        <w:rPr>
          <w:rFonts w:eastAsia="SimSun"/>
          <w:lang w:val="fr-FR" w:eastAsia="zh-CN"/>
        </w:rPr>
      </w:r>
      <w:r w:rsidR="00C70047">
        <w:rPr>
          <w:rFonts w:eastAsia="SimSun"/>
          <w:lang w:val="fr-FR" w:eastAsia="zh-CN"/>
        </w:rPr>
        <w:fldChar w:fldCharType="separate"/>
      </w:r>
      <w:r w:rsidR="00C70047" w:rsidRPr="00C70047">
        <w:rPr>
          <w:rStyle w:val="Hyperlink"/>
          <w:rFonts w:eastAsia="SimSun"/>
          <w:lang w:val="fr-FR" w:eastAsia="zh-CN"/>
        </w:rPr>
        <w:t>INF-16</w:t>
      </w:r>
      <w:r w:rsidR="00C70047">
        <w:rPr>
          <w:rFonts w:eastAsia="SimSun"/>
          <w:lang w:val="fr-FR" w:eastAsia="zh-CN"/>
        </w:rPr>
        <w:fldChar w:fldCharType="end"/>
      </w:r>
      <w:r w:rsidR="00C70047">
        <w:rPr>
          <w:rFonts w:eastAsia="SimSun"/>
          <w:lang w:val="fr-FR" w:eastAsia="zh-CN"/>
        </w:rPr>
        <w:t xml:space="preserve"> </w:t>
      </w:r>
      <w:hyperlink r:id="rId27" w:history="1"/>
      <w:r w:rsidR="00C70047" w:rsidRPr="00C70047">
        <w:rPr>
          <w:rFonts w:eastAsia="SimSun"/>
          <w:lang w:val="fr-FR" w:eastAsia="zh-CN"/>
        </w:rPr>
        <w:t xml:space="preserve">(DG Chair), </w:t>
      </w:r>
      <w:hyperlink r:id="rId28" w:history="1">
        <w:r w:rsidR="00C70047" w:rsidRPr="00140158">
          <w:rPr>
            <w:rStyle w:val="Hyperlink"/>
            <w:rFonts w:eastAsia="SimSun"/>
            <w:lang w:val="fr-FR" w:eastAsia="zh-CN"/>
          </w:rPr>
          <w:t>INF-25</w:t>
        </w:r>
      </w:hyperlink>
      <w:r w:rsidR="00C70047" w:rsidRPr="00140158">
        <w:rPr>
          <w:rFonts w:eastAsia="SimSun"/>
          <w:lang w:val="fr-FR" w:eastAsia="zh-CN"/>
        </w:rPr>
        <w:t xml:space="preserve"> (ICAO), </w:t>
      </w:r>
      <w:hyperlink r:id="rId29" w:history="1">
        <w:r w:rsidR="00C70047" w:rsidRPr="00140158">
          <w:rPr>
            <w:rStyle w:val="Hyperlink"/>
            <w:rFonts w:eastAsia="SimSun"/>
            <w:lang w:val="fr-FR" w:eastAsia="zh-CN"/>
          </w:rPr>
          <w:t>INF-45</w:t>
        </w:r>
      </w:hyperlink>
      <w:r w:rsidR="00C70047" w:rsidRPr="00140158">
        <w:rPr>
          <w:rFonts w:eastAsia="SimSun"/>
          <w:u w:val="single"/>
          <w:lang w:val="fr-FR" w:eastAsia="zh-CN"/>
        </w:rPr>
        <w:t xml:space="preserve"> </w:t>
      </w:r>
      <w:r w:rsidR="00C70047" w:rsidRPr="00140158">
        <w:rPr>
          <w:rFonts w:eastAsia="SimSun"/>
          <w:lang w:val="fr-FR" w:eastAsia="zh-CN"/>
        </w:rPr>
        <w:t>(RCC)</w:t>
      </w:r>
      <w:r w:rsidR="00C70047" w:rsidRPr="00140158">
        <w:rPr>
          <w:rFonts w:eastAsia="SimSun" w:hint="eastAsia"/>
          <w:lang w:val="fr-FR" w:eastAsia="zh-CN"/>
        </w:rPr>
        <w:t>,</w:t>
      </w:r>
      <w:r w:rsidR="00C70047" w:rsidRPr="00140158">
        <w:rPr>
          <w:rFonts w:eastAsia="SimSun"/>
          <w:lang w:val="fr-FR" w:eastAsia="zh-CN"/>
        </w:rPr>
        <w:t xml:space="preserve"> </w:t>
      </w:r>
      <w:hyperlink r:id="rId30" w:history="1">
        <w:r w:rsidR="00C70047" w:rsidRPr="00140158">
          <w:rPr>
            <w:rStyle w:val="Hyperlink"/>
            <w:rFonts w:eastAsia="SimSun"/>
            <w:lang w:val="fr-FR" w:eastAsia="zh-CN"/>
          </w:rPr>
          <w:t>INF-46</w:t>
        </w:r>
      </w:hyperlink>
      <w:r w:rsidR="00C70047" w:rsidRPr="00140158">
        <w:rPr>
          <w:rFonts w:eastAsia="SimSun"/>
          <w:u w:val="single"/>
          <w:lang w:val="fr-FR" w:eastAsia="zh-CN"/>
        </w:rPr>
        <w:t xml:space="preserve"> </w:t>
      </w:r>
      <w:r w:rsidR="00C70047" w:rsidRPr="00140158">
        <w:rPr>
          <w:rFonts w:eastAsia="SimSun"/>
          <w:lang w:val="fr-FR" w:eastAsia="zh-CN"/>
        </w:rPr>
        <w:t>(CEPT)</w:t>
      </w:r>
      <w:r w:rsidR="007D752F">
        <w:rPr>
          <w:rFonts w:eastAsia="SimSun" w:hint="eastAsia"/>
          <w:lang w:val="fr-FR" w:eastAsia="zh-CN"/>
        </w:rPr>
        <w:t>,</w:t>
      </w:r>
      <w:r w:rsidR="007D752F">
        <w:rPr>
          <w:rFonts w:eastAsia="SimSun"/>
          <w:lang w:val="fr-FR" w:eastAsia="zh-CN"/>
        </w:rPr>
        <w:t xml:space="preserve"> </w:t>
      </w:r>
      <w:hyperlink r:id="rId31" w:history="1">
        <w:r w:rsidR="007D752F">
          <w:rPr>
            <w:rStyle w:val="Hyperlink"/>
          </w:rPr>
          <w:t>INF-</w:t>
        </w:r>
        <w:r w:rsidR="007D752F" w:rsidRPr="007D752F">
          <w:rPr>
            <w:rStyle w:val="Hyperlink"/>
          </w:rPr>
          <w:t>5</w:t>
        </w:r>
        <w:r w:rsidR="007D752F" w:rsidRPr="00462E9F">
          <w:rPr>
            <w:rStyle w:val="Hyperlink"/>
          </w:rPr>
          <w:t>2</w:t>
        </w:r>
      </w:hyperlink>
      <w:hyperlink r:id="rId32" w:history="1"/>
      <w:r w:rsidR="007D752F" w:rsidRPr="00C22538">
        <w:rPr>
          <w:rFonts w:eastAsia="SimSun"/>
          <w:lang w:eastAsia="zh-CN"/>
        </w:rPr>
        <w:t>(CITEL)</w:t>
      </w:r>
    </w:p>
    <w:bookmarkEnd w:id="1"/>
    <w:p w14:paraId="213BBC18" w14:textId="625F8818" w:rsidR="009D4B7A" w:rsidRPr="00C60DCF" w:rsidRDefault="009D4B7A" w:rsidP="009D4B7A">
      <w:pPr>
        <w:rPr>
          <w:b/>
          <w:lang w:val="fr-FR" w:eastAsia="ko-KR"/>
        </w:rPr>
      </w:pPr>
    </w:p>
    <w:p w14:paraId="0BABA4DC" w14:textId="77777777" w:rsidR="009D4B7A" w:rsidRPr="00441526" w:rsidRDefault="009D4B7A" w:rsidP="00C403D9">
      <w:pPr>
        <w:spacing w:after="120"/>
        <w:jc w:val="both"/>
        <w:outlineLvl w:val="0"/>
        <w:rPr>
          <w:b/>
          <w:lang w:val="en-NZ" w:eastAsia="ko-KR"/>
        </w:rPr>
      </w:pPr>
      <w:r w:rsidRPr="00441526">
        <w:rPr>
          <w:b/>
          <w:lang w:val="en-NZ" w:eastAsia="ko-KR"/>
        </w:rPr>
        <w:t xml:space="preserve">3. </w:t>
      </w:r>
      <w:r w:rsidRPr="00441526">
        <w:rPr>
          <w:b/>
          <w:lang w:val="en-NZ" w:eastAsia="ko-KR"/>
        </w:rPr>
        <w:tab/>
        <w:t>Summary of discussions</w:t>
      </w:r>
    </w:p>
    <w:p w14:paraId="52E051FB" w14:textId="77777777" w:rsidR="009D4B7A" w:rsidRPr="00441526" w:rsidRDefault="009D4B7A" w:rsidP="00C403D9">
      <w:pPr>
        <w:spacing w:after="120"/>
        <w:jc w:val="both"/>
        <w:outlineLvl w:val="1"/>
        <w:rPr>
          <w:b/>
          <w:lang w:val="en-NZ" w:eastAsia="ko-KR"/>
        </w:rPr>
      </w:pPr>
      <w:r w:rsidRPr="00441526">
        <w:rPr>
          <w:b/>
          <w:lang w:val="en-NZ" w:eastAsia="ko-KR"/>
        </w:rPr>
        <w:t>3.1</w:t>
      </w:r>
      <w:r w:rsidRPr="00441526">
        <w:rPr>
          <w:b/>
          <w:lang w:val="en-NZ" w:eastAsia="ko-KR"/>
        </w:rPr>
        <w:tab/>
        <w:t>S</w:t>
      </w:r>
      <w:r w:rsidRPr="00441526">
        <w:rPr>
          <w:rFonts w:hint="eastAsia"/>
          <w:b/>
          <w:lang w:val="en-NZ" w:eastAsia="ko-KR"/>
        </w:rPr>
        <w:t xml:space="preserve">ummary </w:t>
      </w:r>
      <w:r w:rsidRPr="00441526">
        <w:rPr>
          <w:b/>
          <w:lang w:val="en-NZ" w:eastAsia="ko-KR"/>
        </w:rPr>
        <w:t>of APT Members’ views</w:t>
      </w:r>
    </w:p>
    <w:p w14:paraId="33E797B8" w14:textId="48420B7E" w:rsidR="009D4B7A" w:rsidRPr="00441526" w:rsidRDefault="009D4B7A" w:rsidP="00C51244">
      <w:pPr>
        <w:spacing w:after="120"/>
        <w:jc w:val="both"/>
        <w:outlineLvl w:val="2"/>
        <w:rPr>
          <w:b/>
          <w:lang w:val="en-NZ" w:eastAsia="ko-KR"/>
        </w:rPr>
      </w:pPr>
      <w:r w:rsidRPr="00441526">
        <w:rPr>
          <w:b/>
          <w:lang w:val="en-NZ" w:eastAsia="ko-KR"/>
        </w:rPr>
        <w:t xml:space="preserve">3.1.1 </w:t>
      </w:r>
      <w:r w:rsidRPr="00441526">
        <w:rPr>
          <w:b/>
          <w:lang w:val="en-NZ" w:eastAsia="ko-KR"/>
        </w:rPr>
        <w:tab/>
      </w:r>
      <w:r w:rsidR="00127D9A" w:rsidRPr="00127D9A">
        <w:rPr>
          <w:b/>
          <w:lang w:val="en-NZ" w:eastAsia="ko-KR"/>
        </w:rPr>
        <w:t>Cambodia (Kingdom of)</w:t>
      </w:r>
      <w:r w:rsidR="00127D9A">
        <w:rPr>
          <w:b/>
          <w:lang w:val="en-NZ" w:eastAsia="ko-KR"/>
        </w:rPr>
        <w:t xml:space="preserve"> </w:t>
      </w:r>
      <w:r w:rsidRPr="00441526">
        <w:t xml:space="preserve">- </w:t>
      </w:r>
      <w:r w:rsidRPr="00441526">
        <w:rPr>
          <w:b/>
          <w:lang w:val="en-NZ" w:eastAsia="ko-KR"/>
        </w:rPr>
        <w:t>Document APG</w:t>
      </w:r>
      <w:r>
        <w:rPr>
          <w:b/>
          <w:lang w:val="en-NZ" w:eastAsia="ko-KR"/>
        </w:rPr>
        <w:t>23</w:t>
      </w:r>
      <w:r w:rsidRPr="00441526">
        <w:rPr>
          <w:b/>
          <w:lang w:val="en-NZ" w:eastAsia="ko-KR"/>
        </w:rPr>
        <w:t>-</w:t>
      </w:r>
      <w:r w:rsidR="00E82E43">
        <w:rPr>
          <w:b/>
          <w:lang w:val="en-NZ" w:eastAsia="ko-KR"/>
        </w:rPr>
        <w:t>6</w:t>
      </w:r>
      <w:r w:rsidRPr="00441526">
        <w:rPr>
          <w:b/>
          <w:lang w:val="en-NZ" w:eastAsia="ko-KR"/>
        </w:rPr>
        <w:t>/INP-</w:t>
      </w:r>
      <w:r w:rsidR="00127D9A">
        <w:rPr>
          <w:b/>
          <w:lang w:val="en-NZ" w:eastAsia="ko-KR"/>
        </w:rPr>
        <w:t>14</w:t>
      </w:r>
    </w:p>
    <w:p w14:paraId="6FA6AA93" w14:textId="77777777" w:rsidR="008E277C" w:rsidRPr="008E277C" w:rsidRDefault="008E277C" w:rsidP="008E277C">
      <w:pPr>
        <w:numPr>
          <w:ilvl w:val="0"/>
          <w:numId w:val="12"/>
        </w:numPr>
        <w:ind w:leftChars="145" w:left="705" w:hanging="357"/>
        <w:jc w:val="both"/>
        <w:rPr>
          <w:lang w:val="en-NZ"/>
        </w:rPr>
      </w:pPr>
      <w:r w:rsidRPr="008E277C">
        <w:rPr>
          <w:lang w:val="en-NZ"/>
        </w:rPr>
        <w:t xml:space="preserve">Cambodia supports </w:t>
      </w:r>
      <w:r w:rsidRPr="008E277C">
        <w:rPr>
          <w:b/>
          <w:bCs/>
          <w:lang w:val="en-NZ"/>
        </w:rPr>
        <w:t>Method B</w:t>
      </w:r>
      <w:r w:rsidRPr="008E277C">
        <w:rPr>
          <w:lang w:val="en-NZ"/>
        </w:rPr>
        <w:t xml:space="preserve"> to address the regulatory mechanisms required for the operation of satellite-to-satellite links in the frequency ranges 18.1-18.6 GHz and 18.8-20.2 GHz (from GSO or non-GSO service providers to non-GSO space stations at lower altitudes), as well as 27.5-30 GHz (from non-GSO space stations at lower altitudes to GSO or non-GSO service providers), all within the framework of an FSS allocation.</w:t>
      </w:r>
    </w:p>
    <w:p w14:paraId="12EF4B75" w14:textId="67EACC26" w:rsidR="008E277C" w:rsidRPr="00441526" w:rsidRDefault="008E277C" w:rsidP="008E277C">
      <w:pPr>
        <w:numPr>
          <w:ilvl w:val="0"/>
          <w:numId w:val="12"/>
        </w:numPr>
        <w:ind w:leftChars="145" w:left="705" w:hanging="357"/>
        <w:jc w:val="both"/>
        <w:rPr>
          <w:lang w:val="en-NZ"/>
        </w:rPr>
      </w:pPr>
      <w:r w:rsidRPr="008E277C">
        <w:rPr>
          <w:lang w:val="en-NZ"/>
        </w:rPr>
        <w:t>Regarding the concept of operation, Cambodia holds the viewpoint that user space stations should be positioned “within the cone” of coverage provided by the service provider space station. Cambodia prefers sharing mechanisms with non-GSO FSS systems to be established through Hard Limits.</w:t>
      </w:r>
    </w:p>
    <w:p w14:paraId="58FBC69D" w14:textId="77777777" w:rsidR="009D4B7A" w:rsidRPr="00441526" w:rsidRDefault="009D4B7A" w:rsidP="009D4B7A">
      <w:pPr>
        <w:jc w:val="both"/>
        <w:rPr>
          <w:lang w:val="en-NZ"/>
        </w:rPr>
      </w:pPr>
    </w:p>
    <w:p w14:paraId="4DFF552B" w14:textId="54E2D943" w:rsidR="009D4B7A" w:rsidRPr="00441526" w:rsidRDefault="009D4B7A" w:rsidP="00C51244">
      <w:pPr>
        <w:spacing w:after="120"/>
        <w:jc w:val="both"/>
        <w:outlineLvl w:val="2"/>
        <w:rPr>
          <w:b/>
          <w:lang w:val="en-NZ" w:eastAsia="ko-KR"/>
        </w:rPr>
      </w:pPr>
      <w:r w:rsidRPr="00441526">
        <w:rPr>
          <w:b/>
          <w:lang w:val="en-NZ" w:eastAsia="ko-KR"/>
        </w:rPr>
        <w:t xml:space="preserve">3.1.2 </w:t>
      </w:r>
      <w:r w:rsidRPr="00441526">
        <w:rPr>
          <w:b/>
          <w:lang w:val="en-NZ" w:eastAsia="ko-KR"/>
        </w:rPr>
        <w:tab/>
      </w:r>
      <w:r w:rsidR="001D528C" w:rsidRPr="001D528C">
        <w:rPr>
          <w:b/>
          <w:lang w:val="en-NZ" w:eastAsia="ko-KR"/>
        </w:rPr>
        <w:t>India (Republic of)</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sidR="00E82E43">
        <w:rPr>
          <w:b/>
          <w:lang w:val="en-NZ" w:eastAsia="ko-KR"/>
        </w:rPr>
        <w:t>6</w:t>
      </w:r>
      <w:r w:rsidRPr="00441526">
        <w:rPr>
          <w:b/>
          <w:lang w:val="en-NZ" w:eastAsia="ko-KR"/>
        </w:rPr>
        <w:t>/INP-</w:t>
      </w:r>
      <w:r w:rsidR="001D528C">
        <w:rPr>
          <w:b/>
          <w:lang w:val="en-NZ" w:eastAsia="ko-KR"/>
        </w:rPr>
        <w:t>20</w:t>
      </w:r>
    </w:p>
    <w:p w14:paraId="57732E2F" w14:textId="15CB0236" w:rsidR="009D4B7A" w:rsidRDefault="001D528C" w:rsidP="009D4B7A">
      <w:pPr>
        <w:numPr>
          <w:ilvl w:val="0"/>
          <w:numId w:val="12"/>
        </w:numPr>
        <w:ind w:leftChars="145" w:left="708"/>
        <w:jc w:val="both"/>
        <w:rPr>
          <w:lang w:val="en-NZ"/>
        </w:rPr>
      </w:pPr>
      <w:r w:rsidRPr="001D528C">
        <w:rPr>
          <w:lang w:val="en-NZ"/>
        </w:rPr>
        <w:t>India supports enabling the operation of satellite-to-satellite links and the development of regulatory framework and technical conditions to ensure protection of incumbent services in the relevant frequency bands and in the adjacent frequency bands without imposing any new constraints as currently provided in the RR.</w:t>
      </w:r>
    </w:p>
    <w:p w14:paraId="4ED33769" w14:textId="77777777" w:rsidR="001D528C" w:rsidRPr="001D528C" w:rsidRDefault="001D528C" w:rsidP="00140158">
      <w:pPr>
        <w:numPr>
          <w:ilvl w:val="0"/>
          <w:numId w:val="12"/>
        </w:numPr>
        <w:ind w:leftChars="145" w:left="705" w:hanging="357"/>
        <w:jc w:val="both"/>
        <w:rPr>
          <w:lang w:val="en-NZ"/>
        </w:rPr>
      </w:pPr>
      <w:r w:rsidRPr="001D528C">
        <w:rPr>
          <w:lang w:val="en-NZ"/>
        </w:rPr>
        <w:t>India also proposes the following regulatory measures:</w:t>
      </w:r>
    </w:p>
    <w:p w14:paraId="1801987B" w14:textId="77777777" w:rsidR="001D528C" w:rsidRPr="001D528C" w:rsidRDefault="001D528C" w:rsidP="00140158">
      <w:pPr>
        <w:spacing w:beforeLines="50" w:before="120"/>
        <w:ind w:leftChars="445" w:left="1068"/>
        <w:jc w:val="both"/>
        <w:rPr>
          <w:lang w:val="en-NZ"/>
        </w:rPr>
      </w:pPr>
      <w:r w:rsidRPr="001D528C">
        <w:rPr>
          <w:lang w:val="en-NZ"/>
        </w:rPr>
        <w:t>i.</w:t>
      </w:r>
      <w:r w:rsidRPr="001D528C">
        <w:rPr>
          <w:lang w:val="en-NZ"/>
        </w:rPr>
        <w:tab/>
        <w:t>the protection of NGSO FSS using a set of hard limits.</w:t>
      </w:r>
    </w:p>
    <w:p w14:paraId="029ECBCE" w14:textId="2F02860F" w:rsidR="001D528C" w:rsidRPr="001D528C" w:rsidRDefault="001D528C" w:rsidP="00140158">
      <w:pPr>
        <w:spacing w:beforeLines="50" w:before="120"/>
        <w:ind w:leftChars="445" w:left="1068"/>
        <w:jc w:val="both"/>
        <w:rPr>
          <w:lang w:val="en-NZ"/>
        </w:rPr>
      </w:pPr>
      <w:r w:rsidRPr="001D528C">
        <w:rPr>
          <w:lang w:val="en-NZ"/>
        </w:rPr>
        <w:t>ii.</w:t>
      </w:r>
      <w:r w:rsidRPr="001D528C">
        <w:rPr>
          <w:lang w:val="en-NZ"/>
        </w:rPr>
        <w:tab/>
        <w:t>the satellite-to-satellite operations using “within the cone” concept.</w:t>
      </w:r>
    </w:p>
    <w:p w14:paraId="022BC091" w14:textId="20FD44CD" w:rsidR="001D528C" w:rsidRPr="00441526" w:rsidRDefault="001D528C" w:rsidP="00140158">
      <w:pPr>
        <w:numPr>
          <w:ilvl w:val="0"/>
          <w:numId w:val="12"/>
        </w:numPr>
        <w:ind w:leftChars="145" w:left="705" w:hanging="357"/>
        <w:jc w:val="both"/>
        <w:rPr>
          <w:lang w:val="en-NZ"/>
        </w:rPr>
      </w:pPr>
      <w:r w:rsidRPr="001D528C">
        <w:rPr>
          <w:lang w:val="en-NZ"/>
        </w:rPr>
        <w:t>Further, India supports a new ISS allocation with a footnote that recognizes inter-satellite links as part of the Inter Satellite Service in the relevant bands.</w:t>
      </w:r>
    </w:p>
    <w:p w14:paraId="78BF9990" w14:textId="77777777" w:rsidR="009D4B7A" w:rsidRPr="00441526" w:rsidRDefault="009D4B7A" w:rsidP="009D4B7A">
      <w:pPr>
        <w:jc w:val="both"/>
        <w:rPr>
          <w:lang w:val="en-NZ"/>
        </w:rPr>
      </w:pPr>
      <w:r w:rsidRPr="00441526">
        <w:rPr>
          <w:lang w:val="en-NZ"/>
        </w:rPr>
        <w:t xml:space="preserve">. </w:t>
      </w:r>
    </w:p>
    <w:p w14:paraId="69731701" w14:textId="170998CA" w:rsidR="009D4B7A" w:rsidRPr="00441526" w:rsidRDefault="009D4B7A" w:rsidP="00C51244">
      <w:pPr>
        <w:spacing w:after="120"/>
        <w:jc w:val="both"/>
        <w:outlineLvl w:val="2"/>
        <w:rPr>
          <w:b/>
          <w:lang w:val="en-NZ" w:eastAsia="ko-KR"/>
        </w:rPr>
      </w:pPr>
      <w:r w:rsidRPr="00441526">
        <w:rPr>
          <w:b/>
          <w:lang w:val="en-NZ" w:eastAsia="ko-KR"/>
        </w:rPr>
        <w:t>3.1.</w:t>
      </w:r>
      <w:r w:rsidR="00C34224">
        <w:rPr>
          <w:b/>
          <w:lang w:val="en-NZ" w:eastAsia="ko-KR"/>
        </w:rPr>
        <w:t>3</w:t>
      </w:r>
      <w:r w:rsidRPr="00441526">
        <w:rPr>
          <w:b/>
          <w:lang w:val="en-NZ" w:eastAsia="ko-KR"/>
        </w:rPr>
        <w:tab/>
      </w:r>
      <w:r w:rsidR="004B6397" w:rsidRPr="004B6397">
        <w:rPr>
          <w:b/>
          <w:lang w:val="en-NZ" w:eastAsia="ko-KR"/>
        </w:rPr>
        <w:t>Bangladesh (People's Republic of)</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sidR="00E82E43">
        <w:rPr>
          <w:b/>
          <w:lang w:val="en-NZ" w:eastAsia="ko-KR"/>
        </w:rPr>
        <w:t>6</w:t>
      </w:r>
      <w:r w:rsidRPr="00441526">
        <w:rPr>
          <w:b/>
          <w:lang w:val="en-NZ" w:eastAsia="ko-KR"/>
        </w:rPr>
        <w:t>/INP-</w:t>
      </w:r>
      <w:r w:rsidR="004B6397">
        <w:rPr>
          <w:b/>
          <w:lang w:val="en-NZ" w:eastAsia="ko-KR"/>
        </w:rPr>
        <w:t>26</w:t>
      </w:r>
    </w:p>
    <w:p w14:paraId="2645757E" w14:textId="574D654A" w:rsidR="006163DC" w:rsidRPr="006163DC" w:rsidRDefault="006163DC" w:rsidP="00BF134C">
      <w:pPr>
        <w:numPr>
          <w:ilvl w:val="0"/>
          <w:numId w:val="12"/>
        </w:numPr>
        <w:ind w:leftChars="145" w:left="705" w:hanging="357"/>
        <w:jc w:val="both"/>
        <w:rPr>
          <w:lang w:val="en-NZ"/>
        </w:rPr>
      </w:pPr>
      <w:r w:rsidRPr="006163DC">
        <w:rPr>
          <w:lang w:val="en-NZ"/>
        </w:rPr>
        <w:t xml:space="preserve">In Bangladesh, a portion of the 11.7-12.7 GHz band has already been utilized by broadcasting satellite service, and the other frequency bands proposed in this agenda item such as 18.1-18.6 GHz and 18.8-20.2 GHz (space-to-Earth) and 27.5-30 GHz (Earth-to-space) are heavily utilized for the fixed service (fixed microwave links). These bands are also planned/allocated for the fixed satellite service (FSS) in the national frequency allocation table. In order to protect and not to impose any additional constraints on future development of the BSS in the band 11.7-12.2 GHz in Region 3, Bangladesh administration supports method A of the CPM report to WRC-2023 i.e., no change to the radio regulations. </w:t>
      </w:r>
    </w:p>
    <w:p w14:paraId="7F467E91" w14:textId="51B92AC7" w:rsidR="009D4B7A" w:rsidRPr="00441526" w:rsidRDefault="006163DC" w:rsidP="00BF134C">
      <w:pPr>
        <w:numPr>
          <w:ilvl w:val="0"/>
          <w:numId w:val="12"/>
        </w:numPr>
        <w:ind w:leftChars="145" w:left="705" w:hanging="357"/>
        <w:jc w:val="both"/>
        <w:rPr>
          <w:lang w:val="en-NZ"/>
        </w:rPr>
      </w:pPr>
      <w:r w:rsidRPr="006163DC">
        <w:rPr>
          <w:lang w:val="en-NZ"/>
        </w:rPr>
        <w:t xml:space="preserve">However, Bangladesh would like to prefer the development of technical conditions and regulatory provisions that establish a harmonized framework which facilitates the use of satellite-to-satellite operations in the 18.1-18.6 GHz, 18.8-20.2 GHz and 27.5-30 GHz frequency bands subject to the protection and not to impose any additional regulatory or </w:t>
      </w:r>
      <w:r w:rsidRPr="006163DC">
        <w:rPr>
          <w:lang w:val="en-NZ"/>
        </w:rPr>
        <w:lastRenderedPageBreak/>
        <w:t>technical constraints on the services to which these frequency bands are currently allocated on a primary basis. Moreover, such regulatory procedure for the intersatellite service shall in no way produce an unacceptable interference to nor claiming protection from FSS as well as not creation and restriction of the current and future use of FSS.</w:t>
      </w:r>
    </w:p>
    <w:p w14:paraId="69AB547F" w14:textId="77777777" w:rsidR="00C15D35" w:rsidRDefault="00C15D35" w:rsidP="009D4B7A">
      <w:pPr>
        <w:jc w:val="both"/>
        <w:rPr>
          <w:lang w:val="en-NZ"/>
        </w:rPr>
      </w:pPr>
    </w:p>
    <w:p w14:paraId="0DEB32A2" w14:textId="4427A2A4" w:rsidR="00C34224" w:rsidRPr="00441526" w:rsidRDefault="00C34224" w:rsidP="00C34224">
      <w:pPr>
        <w:spacing w:after="120"/>
        <w:jc w:val="both"/>
        <w:outlineLvl w:val="2"/>
        <w:rPr>
          <w:b/>
          <w:lang w:val="en-NZ" w:eastAsia="ko-KR"/>
        </w:rPr>
      </w:pPr>
      <w:r w:rsidRPr="00441526">
        <w:rPr>
          <w:b/>
          <w:lang w:val="en-NZ" w:eastAsia="ko-KR"/>
        </w:rPr>
        <w:t>3.1.</w:t>
      </w:r>
      <w:r>
        <w:rPr>
          <w:b/>
          <w:lang w:val="en-NZ" w:eastAsia="ko-KR"/>
        </w:rPr>
        <w:t>4</w:t>
      </w:r>
      <w:r w:rsidRPr="00441526">
        <w:rPr>
          <w:b/>
          <w:lang w:val="en-NZ" w:eastAsia="ko-KR"/>
        </w:rPr>
        <w:tab/>
      </w:r>
      <w:r w:rsidR="006163DC" w:rsidRPr="001F4511">
        <w:rPr>
          <w:rFonts w:hint="eastAsia"/>
          <w:b/>
          <w:lang w:val="en-NZ" w:eastAsia="ko-KR"/>
        </w:rPr>
        <w:t>Japan</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sidR="006163DC">
        <w:rPr>
          <w:b/>
          <w:lang w:val="en-NZ" w:eastAsia="ko-KR"/>
        </w:rPr>
        <w:t>38</w:t>
      </w:r>
    </w:p>
    <w:p w14:paraId="3B52D843" w14:textId="283FE4F2" w:rsidR="006163DC" w:rsidRPr="006163DC" w:rsidRDefault="006163DC" w:rsidP="006163DC">
      <w:pPr>
        <w:numPr>
          <w:ilvl w:val="0"/>
          <w:numId w:val="12"/>
        </w:numPr>
        <w:ind w:leftChars="145" w:left="708"/>
        <w:jc w:val="both"/>
      </w:pPr>
      <w:r w:rsidRPr="006163DC">
        <w:t>Japan supports ITU-R studies on the sharing and compatibility as well as to develop technical conditions and regulatory provisions for the use of satellite-to-satellite links operations in the 18.1-18.6 GHz, 18.8-20.2 GHz and 27.5-30 GHz frequency bands in accordance with Resolution 773 (WRC-19), and such the use shall ensure protection of primary services allocated in the bands and in the adjacent bands.</w:t>
      </w:r>
    </w:p>
    <w:p w14:paraId="743F5283" w14:textId="77777777" w:rsidR="006163DC" w:rsidRPr="006163DC" w:rsidRDefault="006163DC" w:rsidP="006163DC">
      <w:pPr>
        <w:numPr>
          <w:ilvl w:val="0"/>
          <w:numId w:val="12"/>
        </w:numPr>
        <w:ind w:leftChars="145" w:left="708"/>
        <w:jc w:val="both"/>
      </w:pPr>
      <w:r w:rsidRPr="006163DC">
        <w:t>From the above point of the view, Japan support Method B including following Alternatives</w:t>
      </w:r>
      <w:r w:rsidRPr="006163DC">
        <w:rPr>
          <w:rFonts w:hint="eastAsia"/>
        </w:rPr>
        <w:t>;</w:t>
      </w:r>
    </w:p>
    <w:p w14:paraId="3C4D5311" w14:textId="77777777" w:rsidR="006163DC" w:rsidRPr="006163DC" w:rsidRDefault="006163DC" w:rsidP="00217303">
      <w:pPr>
        <w:ind w:left="348" w:firstLineChars="300" w:firstLine="720"/>
        <w:jc w:val="both"/>
      </w:pPr>
      <w:r w:rsidRPr="006163DC">
        <w:rPr>
          <w:rFonts w:ascii="Microsoft YaHei" w:eastAsia="Microsoft YaHei" w:hAnsi="Microsoft YaHei" w:cs="Microsoft YaHei" w:hint="eastAsia"/>
        </w:rPr>
        <w:t>・</w:t>
      </w:r>
      <w:r w:rsidRPr="006163DC">
        <w:t>Alternative FSS</w:t>
      </w:r>
    </w:p>
    <w:p w14:paraId="7D78872B" w14:textId="77777777" w:rsidR="006163DC" w:rsidRPr="006163DC" w:rsidRDefault="006163DC" w:rsidP="00217303">
      <w:pPr>
        <w:ind w:left="348" w:firstLineChars="300" w:firstLine="720"/>
        <w:jc w:val="both"/>
      </w:pPr>
      <w:r w:rsidRPr="006163DC">
        <w:rPr>
          <w:rFonts w:ascii="Microsoft YaHei" w:eastAsia="Microsoft YaHei" w:hAnsi="Microsoft YaHei" w:cs="Microsoft YaHei" w:hint="eastAsia"/>
        </w:rPr>
        <w:t>・</w:t>
      </w:r>
      <w:r w:rsidRPr="006163DC">
        <w:t>Alternative GSO within cone</w:t>
      </w:r>
    </w:p>
    <w:p w14:paraId="13E66E37" w14:textId="77777777" w:rsidR="006163DC" w:rsidRPr="006163DC" w:rsidRDefault="006163DC" w:rsidP="006163DC">
      <w:pPr>
        <w:numPr>
          <w:ilvl w:val="0"/>
          <w:numId w:val="12"/>
        </w:numPr>
        <w:ind w:leftChars="145" w:left="708"/>
        <w:jc w:val="both"/>
      </w:pPr>
      <w:r w:rsidRPr="006163DC">
        <w:t>Japan is also of the view that the technical conditions and regulatory provisions developed under WRC-23 Agenda item 1.17 shall ensure not causing unacceptable interference to the terrestrial services operating in the frequency band 27.5-29.5 GHz.</w:t>
      </w:r>
    </w:p>
    <w:p w14:paraId="0A1EF58C" w14:textId="77777777" w:rsidR="006163DC" w:rsidRPr="006163DC" w:rsidRDefault="006163DC" w:rsidP="006163DC">
      <w:pPr>
        <w:numPr>
          <w:ilvl w:val="0"/>
          <w:numId w:val="12"/>
        </w:numPr>
        <w:ind w:leftChars="145" w:left="708"/>
        <w:jc w:val="both"/>
      </w:pPr>
      <w:r w:rsidRPr="006163DC">
        <w:t xml:space="preserve">Therefore, in the view of proper protection terrestrial services, Japan proposes to support Option 2 as described the pfd mask in Annex 2 of DRAFT NEW RESOLUTION [A117-B] (WRC-23). </w:t>
      </w:r>
    </w:p>
    <w:p w14:paraId="60BEACDC" w14:textId="77777777" w:rsidR="006163DC" w:rsidRPr="006163DC" w:rsidRDefault="006163DC" w:rsidP="006163DC">
      <w:pPr>
        <w:numPr>
          <w:ilvl w:val="0"/>
          <w:numId w:val="12"/>
        </w:numPr>
        <w:ind w:leftChars="145" w:left="708"/>
        <w:jc w:val="both"/>
      </w:pPr>
      <w:r w:rsidRPr="006163DC">
        <w:t>Japan also proposes draft PACP based on relevant Radio Regulation articles and the DRAFT NEW RESOLUTION [A117-B] (WRC-23) to help to develop the Preliminary APT Common Proposal for WRC-23.</w:t>
      </w:r>
      <w:r w:rsidRPr="006163DC">
        <w:rPr>
          <w:rFonts w:hint="eastAsia"/>
        </w:rPr>
        <w:t xml:space="preserve"> </w:t>
      </w:r>
      <w:r w:rsidRPr="006163DC">
        <w:t>The proposed portions (reason/Japan’s note part) are indicated with turquois color highlights in the draft PACP proposal document.</w:t>
      </w:r>
    </w:p>
    <w:bookmarkStart w:id="2" w:name="_MON_1752476532"/>
    <w:bookmarkEnd w:id="2"/>
    <w:p w14:paraId="13023A22" w14:textId="0DFA6C2F" w:rsidR="00C34224" w:rsidRDefault="006163DC" w:rsidP="006A3376">
      <w:pPr>
        <w:ind w:left="348"/>
        <w:jc w:val="center"/>
        <w:rPr>
          <w:lang w:val="en-NZ"/>
        </w:rPr>
      </w:pPr>
      <w:r w:rsidRPr="006163DC">
        <w:object w:dxaOrig="1508" w:dyaOrig="1024" w14:anchorId="3144E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1.45pt" o:ole="">
            <v:imagedata r:id="rId33" o:title=""/>
          </v:shape>
          <o:OLEObject Type="Embed" ProgID="Word.Document.12" ShapeID="_x0000_i1025" DrawAspect="Icon" ObjectID="_1754977368" r:id="rId34">
            <o:FieldCodes>\s</o:FieldCodes>
          </o:OLEObject>
        </w:object>
      </w:r>
    </w:p>
    <w:p w14:paraId="1F0693BB" w14:textId="77777777" w:rsidR="00C34224" w:rsidRPr="00441526" w:rsidRDefault="00C34224" w:rsidP="00C34224">
      <w:pPr>
        <w:jc w:val="both"/>
        <w:rPr>
          <w:lang w:val="en-NZ"/>
        </w:rPr>
      </w:pPr>
    </w:p>
    <w:p w14:paraId="577CF68D" w14:textId="665C7330" w:rsidR="00C34224" w:rsidRPr="00441526" w:rsidRDefault="00C34224" w:rsidP="00C34224">
      <w:pPr>
        <w:spacing w:after="120"/>
        <w:jc w:val="both"/>
        <w:outlineLvl w:val="2"/>
        <w:rPr>
          <w:b/>
          <w:lang w:val="en-NZ" w:eastAsia="ko-KR"/>
        </w:rPr>
      </w:pPr>
      <w:r w:rsidRPr="00441526">
        <w:rPr>
          <w:b/>
          <w:lang w:val="en-NZ" w:eastAsia="ko-KR"/>
        </w:rPr>
        <w:t>3.1.</w:t>
      </w:r>
      <w:r>
        <w:rPr>
          <w:b/>
          <w:lang w:val="en-NZ" w:eastAsia="ko-KR"/>
        </w:rPr>
        <w:t>5</w:t>
      </w:r>
      <w:r w:rsidRPr="00441526">
        <w:rPr>
          <w:b/>
          <w:lang w:val="en-NZ" w:eastAsia="ko-KR"/>
        </w:rPr>
        <w:tab/>
      </w:r>
      <w:r w:rsidR="004E1774" w:rsidRPr="004E1774">
        <w:rPr>
          <w:b/>
          <w:lang w:val="en-NZ" w:eastAsia="ko-KR"/>
        </w:rPr>
        <w:t>Indonesia (Republic of)</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sidR="004E1774">
        <w:rPr>
          <w:b/>
          <w:lang w:val="en-NZ" w:eastAsia="ko-KR"/>
        </w:rPr>
        <w:t>50</w:t>
      </w:r>
    </w:p>
    <w:p w14:paraId="2E0CDFE7" w14:textId="3AEE583A" w:rsidR="004E1774" w:rsidRPr="004E1774" w:rsidRDefault="004E1774" w:rsidP="004E1774">
      <w:pPr>
        <w:numPr>
          <w:ilvl w:val="0"/>
          <w:numId w:val="12"/>
        </w:numPr>
        <w:ind w:leftChars="145" w:left="708"/>
        <w:rPr>
          <w:lang w:val="en-ID"/>
        </w:rPr>
      </w:pPr>
      <w:r w:rsidRPr="004E1774">
        <w:rPr>
          <w:lang w:val="en-ID"/>
        </w:rPr>
        <w:t>The ITU Radio Regulations allocate the frequency spectrum in the range of 18.1-18.6 GHz (space-to-Earth), 18.8-20.2 GHz (space-to-Earth), and 27.5-30 GHz (Earth-to-space) for fixed-satellite service. Concurrently, Indonesia has operational satellites using those frequency bands and will continue to utilize the allocation in the future, especially for the multifunctional Ka-Band satellite services. Therefore, Indonesia has the urgency to protect incumbent services.</w:t>
      </w:r>
    </w:p>
    <w:p w14:paraId="700B7502" w14:textId="344F2E01" w:rsidR="00C34224" w:rsidRPr="004E1774" w:rsidRDefault="004E1774" w:rsidP="004E1774">
      <w:pPr>
        <w:numPr>
          <w:ilvl w:val="0"/>
          <w:numId w:val="12"/>
        </w:numPr>
        <w:ind w:leftChars="145" w:left="708"/>
        <w:jc w:val="both"/>
        <w:rPr>
          <w:lang w:val="en-ID"/>
        </w:rPr>
      </w:pPr>
      <w:r w:rsidRPr="004E1774">
        <w:rPr>
          <w:lang w:val="en-ID"/>
        </w:rPr>
        <w:t>Furthermore, the WP4A study results show that several issues remained unclear including requirements to affect coordination for frequency assignments to inter-satellite links of a GSO space station communicating with non-GSO space stations. Therefore, Indonesia supports Method A: No Change to the Radio Regulations.</w:t>
      </w:r>
    </w:p>
    <w:p w14:paraId="1706C93F" w14:textId="77777777" w:rsidR="009D4B7A" w:rsidRDefault="009D4B7A" w:rsidP="009D4B7A">
      <w:pPr>
        <w:rPr>
          <w:lang w:val="en-NZ"/>
        </w:rPr>
      </w:pPr>
    </w:p>
    <w:p w14:paraId="4740B513" w14:textId="7E75ECA8" w:rsidR="00C34224" w:rsidRPr="00441526" w:rsidRDefault="00C34224" w:rsidP="00C34224">
      <w:pPr>
        <w:spacing w:after="120"/>
        <w:jc w:val="both"/>
        <w:outlineLvl w:val="2"/>
        <w:rPr>
          <w:b/>
          <w:lang w:val="en-NZ" w:eastAsia="ko-KR"/>
        </w:rPr>
      </w:pPr>
      <w:r w:rsidRPr="00441526">
        <w:rPr>
          <w:b/>
          <w:lang w:val="en-NZ" w:eastAsia="ko-KR"/>
        </w:rPr>
        <w:t>3.1.</w:t>
      </w:r>
      <w:r>
        <w:rPr>
          <w:b/>
          <w:lang w:val="en-NZ" w:eastAsia="ko-KR"/>
        </w:rPr>
        <w:t>6</w:t>
      </w:r>
      <w:r w:rsidRPr="00441526">
        <w:rPr>
          <w:b/>
          <w:lang w:val="en-NZ" w:eastAsia="ko-KR"/>
        </w:rPr>
        <w:tab/>
      </w:r>
      <w:r w:rsidR="00E8772A">
        <w:rPr>
          <w:b/>
          <w:lang w:val="en-NZ" w:eastAsia="ko-KR"/>
        </w:rPr>
        <w:t>Singapore</w:t>
      </w:r>
      <w:r w:rsidR="00E8772A" w:rsidRPr="004E1774">
        <w:rPr>
          <w:b/>
          <w:lang w:val="en-NZ" w:eastAsia="ko-KR"/>
        </w:rPr>
        <w:t xml:space="preserve"> (Republic of)</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sidR="00E8772A">
        <w:rPr>
          <w:b/>
          <w:lang w:val="en-NZ" w:eastAsia="ko-KR"/>
        </w:rPr>
        <w:t>56</w:t>
      </w:r>
    </w:p>
    <w:p w14:paraId="5EE89CC2" w14:textId="7C0E396B" w:rsidR="00E8772A" w:rsidRDefault="00E8772A" w:rsidP="00E8772A">
      <w:pPr>
        <w:tabs>
          <w:tab w:val="left" w:pos="600"/>
        </w:tabs>
        <w:jc w:val="both"/>
      </w:pPr>
      <w:r>
        <w:t>Singapore is of the following views:</w:t>
      </w:r>
    </w:p>
    <w:p w14:paraId="599125E9" w14:textId="60560F02" w:rsidR="00E8772A" w:rsidRPr="00E8772A" w:rsidRDefault="00E8772A" w:rsidP="00E8772A">
      <w:pPr>
        <w:numPr>
          <w:ilvl w:val="0"/>
          <w:numId w:val="12"/>
        </w:numPr>
        <w:ind w:leftChars="145" w:left="708"/>
        <w:jc w:val="both"/>
        <w:rPr>
          <w:lang w:val="en-ID"/>
        </w:rPr>
      </w:pPr>
      <w:r w:rsidRPr="00E8772A">
        <w:rPr>
          <w:lang w:val="en-ID"/>
        </w:rPr>
        <w:t xml:space="preserve">Singapore supports a new Inter-Satellite Service (ISS) allocation with a footnote that recognizes satellite-to-satellite operations, while limiting the applications solely to certain application types. In particular, the “within the cone” concept of operations is also </w:t>
      </w:r>
      <w:r w:rsidRPr="00E8772A">
        <w:rPr>
          <w:lang w:val="en-ID"/>
        </w:rPr>
        <w:lastRenderedPageBreak/>
        <w:t>supported to allow transmission between non-GSO to non-GSO (different altitude) and non-GSO to GSO;</w:t>
      </w:r>
    </w:p>
    <w:p w14:paraId="2B5F6A9F" w14:textId="30D1C97A" w:rsidR="00E8772A" w:rsidRPr="00E8772A" w:rsidRDefault="00E8772A" w:rsidP="00E8772A">
      <w:pPr>
        <w:numPr>
          <w:ilvl w:val="0"/>
          <w:numId w:val="12"/>
        </w:numPr>
        <w:ind w:leftChars="145" w:left="708"/>
        <w:jc w:val="both"/>
        <w:rPr>
          <w:lang w:val="en-ID"/>
        </w:rPr>
      </w:pPr>
      <w:r w:rsidRPr="00E8772A">
        <w:rPr>
          <w:lang w:val="en-ID"/>
        </w:rPr>
        <w:t>Singapore supports limiting the use to space research, space operation and/or Earth exploration-satellite applications, and also transmissions of data originating from industrial and medical activities in space;</w:t>
      </w:r>
    </w:p>
    <w:p w14:paraId="7D45A4A4" w14:textId="2D9E6AD5" w:rsidR="00E8772A" w:rsidRPr="00E8772A" w:rsidRDefault="00E8772A" w:rsidP="00E8772A">
      <w:pPr>
        <w:numPr>
          <w:ilvl w:val="0"/>
          <w:numId w:val="12"/>
        </w:numPr>
        <w:ind w:leftChars="145" w:left="708"/>
        <w:jc w:val="both"/>
        <w:rPr>
          <w:lang w:val="en-ID"/>
        </w:rPr>
      </w:pPr>
      <w:r w:rsidRPr="00E8772A">
        <w:rPr>
          <w:lang w:val="en-ID"/>
        </w:rPr>
        <w:t>For the protection of terrestrial services in 27.5-29.5 GHz, Singapore is of the view that a PFD mask based on Article 21 in 17.7-19.7 GHz for the protection of terrestrial services from space emissions could be applied. Alternatively, Singapore could also consider Option 2-2 in the CPM text (i.e. same pfd mask used for A-ESIM operating above an altitude of 3 km as defined in Annex 3 to Res 169 (WRC-19) with a reference bandwidth of 14 MHz);</w:t>
      </w:r>
    </w:p>
    <w:p w14:paraId="2D4556C1" w14:textId="3CAEFFF4" w:rsidR="00E8772A" w:rsidRPr="00E8772A" w:rsidRDefault="00E8772A" w:rsidP="00E8772A">
      <w:pPr>
        <w:numPr>
          <w:ilvl w:val="0"/>
          <w:numId w:val="12"/>
        </w:numPr>
        <w:ind w:leftChars="145" w:left="708"/>
        <w:jc w:val="both"/>
        <w:rPr>
          <w:lang w:val="en-ID"/>
        </w:rPr>
      </w:pPr>
      <w:r w:rsidRPr="00E8772A">
        <w:rPr>
          <w:lang w:val="en-ID"/>
        </w:rPr>
        <w:t>For the protection of EESS (passive) in 18.6-18.8 GHz, Singapore supports Option 1 in the CPM-23 text indicating that the pfd produced in the band 18.6-18.8 GHz by satellites above 2000 km of altitude shall not exceed -118 dBW/m²/200 MHz and the pfd produced by satellites below 2000 km of altitude shall not exceed -110 dBW/m²/200MHz while noting that the provisions under Annex 3 do not apply to non-GSO systems that meet certain criteria</w:t>
      </w:r>
      <w:r w:rsidRPr="00E8772A">
        <w:rPr>
          <w:vertAlign w:val="superscript"/>
          <w:lang w:val="en-ID"/>
        </w:rPr>
        <w:footnoteReference w:id="1"/>
      </w:r>
      <w:r w:rsidRPr="00E8772A">
        <w:rPr>
          <w:lang w:val="en-ID"/>
        </w:rPr>
        <w:t>;</w:t>
      </w:r>
    </w:p>
    <w:p w14:paraId="581DE42E" w14:textId="77777777" w:rsidR="00E8772A" w:rsidRPr="004B36E1" w:rsidRDefault="00E8772A" w:rsidP="00E8772A">
      <w:pPr>
        <w:numPr>
          <w:ilvl w:val="0"/>
          <w:numId w:val="12"/>
        </w:numPr>
        <w:ind w:leftChars="145" w:left="708"/>
        <w:jc w:val="both"/>
        <w:rPr>
          <w:lang w:val="en-ID"/>
        </w:rPr>
      </w:pPr>
      <w:r w:rsidRPr="004B36E1">
        <w:rPr>
          <w:lang w:val="en-ID"/>
        </w:rPr>
        <w:t>Considering the potential interference and hardware damage that could occur to the non-GSO space stations receivers, Singapore is supportive of the following maximum EIRP spectral density limits under Annex 4 for non-GSO space-to-space links in the frequency band 27.5-30.0 GHz:</w:t>
      </w:r>
    </w:p>
    <w:p w14:paraId="0436A8A9" w14:textId="77777777" w:rsidR="00E8772A" w:rsidRDefault="00E8772A" w:rsidP="00E8772A">
      <w:pPr>
        <w:pStyle w:val="ListParagraph"/>
        <w:tabs>
          <w:tab w:val="left" w:pos="709"/>
        </w:tabs>
      </w:pPr>
    </w:p>
    <w:tbl>
      <w:tblPr>
        <w:tblStyle w:val="TableGrid"/>
        <w:tblW w:w="0" w:type="auto"/>
        <w:tblInd w:w="720" w:type="dxa"/>
        <w:tblLook w:val="04A0" w:firstRow="1" w:lastRow="0" w:firstColumn="1" w:lastColumn="0" w:noHBand="0" w:noVBand="1"/>
      </w:tblPr>
      <w:tblGrid>
        <w:gridCol w:w="4250"/>
        <w:gridCol w:w="4193"/>
      </w:tblGrid>
      <w:tr w:rsidR="00E8772A" w14:paraId="48410236" w14:textId="77777777" w:rsidTr="004C36CB">
        <w:tc>
          <w:tcPr>
            <w:tcW w:w="4581" w:type="dxa"/>
          </w:tcPr>
          <w:p w14:paraId="3FF10B46" w14:textId="77777777" w:rsidR="00E8772A" w:rsidRPr="002134F3" w:rsidRDefault="00E8772A" w:rsidP="004C36CB">
            <w:pPr>
              <w:pStyle w:val="ListParagraph"/>
              <w:tabs>
                <w:tab w:val="left" w:pos="709"/>
              </w:tabs>
              <w:ind w:left="0"/>
              <w:jc w:val="center"/>
              <w:rPr>
                <w:b/>
              </w:rPr>
            </w:pPr>
            <w:r w:rsidRPr="002134F3">
              <w:rPr>
                <w:b/>
              </w:rPr>
              <w:t>Transmissions between:</w:t>
            </w:r>
          </w:p>
        </w:tc>
        <w:tc>
          <w:tcPr>
            <w:tcW w:w="4582" w:type="dxa"/>
          </w:tcPr>
          <w:p w14:paraId="1D4A58E5" w14:textId="77777777" w:rsidR="00E8772A" w:rsidRPr="002134F3" w:rsidRDefault="00E8772A" w:rsidP="004C36CB">
            <w:pPr>
              <w:pStyle w:val="ListParagraph"/>
              <w:tabs>
                <w:tab w:val="left" w:pos="709"/>
              </w:tabs>
              <w:ind w:left="0"/>
              <w:jc w:val="center"/>
              <w:rPr>
                <w:b/>
              </w:rPr>
            </w:pPr>
            <w:r w:rsidRPr="002134F3">
              <w:rPr>
                <w:b/>
              </w:rPr>
              <w:t>Max EIRP Spectral Density Limit</w:t>
            </w:r>
          </w:p>
        </w:tc>
      </w:tr>
      <w:tr w:rsidR="00E8772A" w14:paraId="3DD7F1F2" w14:textId="77777777" w:rsidTr="004C36CB">
        <w:tc>
          <w:tcPr>
            <w:tcW w:w="4581" w:type="dxa"/>
          </w:tcPr>
          <w:p w14:paraId="00FEB43A" w14:textId="77777777" w:rsidR="00E8772A" w:rsidRDefault="00E8772A" w:rsidP="004C36CB">
            <w:pPr>
              <w:pStyle w:val="ListParagraph"/>
              <w:tabs>
                <w:tab w:val="left" w:pos="709"/>
              </w:tabs>
              <w:ind w:left="0"/>
              <w:jc w:val="center"/>
            </w:pPr>
            <w:r>
              <w:t>Non-GSO to GSO</w:t>
            </w:r>
          </w:p>
        </w:tc>
        <w:tc>
          <w:tcPr>
            <w:tcW w:w="4582" w:type="dxa"/>
          </w:tcPr>
          <w:p w14:paraId="4654CA0B" w14:textId="77777777" w:rsidR="00E8772A" w:rsidRDefault="00E8772A" w:rsidP="004C36CB">
            <w:pPr>
              <w:pStyle w:val="ListParagraph"/>
              <w:tabs>
                <w:tab w:val="left" w:pos="709"/>
              </w:tabs>
              <w:ind w:left="0"/>
              <w:jc w:val="center"/>
            </w:pPr>
            <w:r>
              <w:t>-17.5 dBW/Hz*</w:t>
            </w:r>
          </w:p>
        </w:tc>
      </w:tr>
      <w:tr w:rsidR="00E8772A" w14:paraId="0C6279A6" w14:textId="77777777" w:rsidTr="004C36CB">
        <w:tc>
          <w:tcPr>
            <w:tcW w:w="4581" w:type="dxa"/>
          </w:tcPr>
          <w:p w14:paraId="2069B013" w14:textId="77777777" w:rsidR="00E8772A" w:rsidRDefault="00E8772A" w:rsidP="004C36CB">
            <w:pPr>
              <w:pStyle w:val="ListParagraph"/>
              <w:tabs>
                <w:tab w:val="left" w:pos="709"/>
              </w:tabs>
              <w:ind w:left="0"/>
              <w:jc w:val="center"/>
            </w:pPr>
            <w:r>
              <w:t>LEO to MEO</w:t>
            </w:r>
          </w:p>
        </w:tc>
        <w:tc>
          <w:tcPr>
            <w:tcW w:w="4582" w:type="dxa"/>
          </w:tcPr>
          <w:p w14:paraId="1194969B" w14:textId="77777777" w:rsidR="00E8772A" w:rsidRDefault="00E8772A" w:rsidP="004C36CB">
            <w:pPr>
              <w:pStyle w:val="ListParagraph"/>
              <w:tabs>
                <w:tab w:val="left" w:pos="709"/>
              </w:tabs>
              <w:ind w:left="0"/>
              <w:jc w:val="center"/>
            </w:pPr>
            <w:r>
              <w:t>-20 dBW/Hz</w:t>
            </w:r>
          </w:p>
        </w:tc>
      </w:tr>
      <w:tr w:rsidR="00E8772A" w14:paraId="1D1F540A" w14:textId="77777777" w:rsidTr="004C36CB">
        <w:tc>
          <w:tcPr>
            <w:tcW w:w="4581" w:type="dxa"/>
          </w:tcPr>
          <w:p w14:paraId="38E197C4" w14:textId="77777777" w:rsidR="00E8772A" w:rsidRDefault="00E8772A" w:rsidP="004C36CB">
            <w:pPr>
              <w:pStyle w:val="ListParagraph"/>
              <w:tabs>
                <w:tab w:val="left" w:pos="709"/>
              </w:tabs>
              <w:ind w:left="0"/>
              <w:jc w:val="center"/>
            </w:pPr>
            <w:r>
              <w:t>LEO to LEO</w:t>
            </w:r>
          </w:p>
        </w:tc>
        <w:tc>
          <w:tcPr>
            <w:tcW w:w="4582" w:type="dxa"/>
          </w:tcPr>
          <w:p w14:paraId="41881877" w14:textId="77777777" w:rsidR="00E8772A" w:rsidRPr="002134F3" w:rsidRDefault="00E8772A" w:rsidP="004C36CB">
            <w:pPr>
              <w:pStyle w:val="ListParagraph"/>
              <w:tabs>
                <w:tab w:val="left" w:pos="709"/>
              </w:tabs>
              <w:ind w:left="0"/>
              <w:jc w:val="center"/>
            </w:pPr>
            <w:r>
              <w:t>-28 dBW/Hz</w:t>
            </w:r>
          </w:p>
        </w:tc>
      </w:tr>
    </w:tbl>
    <w:p w14:paraId="55E7D00F" w14:textId="77777777" w:rsidR="00E8772A" w:rsidRDefault="00E8772A" w:rsidP="00E8772A">
      <w:pPr>
        <w:pStyle w:val="ListParagraph"/>
        <w:tabs>
          <w:tab w:val="left" w:pos="709"/>
        </w:tabs>
        <w:jc w:val="both"/>
      </w:pPr>
      <w:r>
        <w:t>* I</w:t>
      </w:r>
      <w:r w:rsidRPr="00777EF1">
        <w:t>t is noted that other reference bandwidths may be considered</w:t>
      </w:r>
      <w:r>
        <w:t>.</w:t>
      </w:r>
      <w:r w:rsidRPr="00777EF1" w:rsidDel="00777EF1">
        <w:rPr>
          <w:rStyle w:val="CommentReference"/>
        </w:rPr>
        <w:t xml:space="preserve"> </w:t>
      </w:r>
    </w:p>
    <w:p w14:paraId="3925B3C7" w14:textId="77777777" w:rsidR="00E8772A" w:rsidRDefault="00E8772A" w:rsidP="00E8772A">
      <w:pPr>
        <w:pStyle w:val="ListParagraph"/>
        <w:tabs>
          <w:tab w:val="left" w:pos="709"/>
        </w:tabs>
        <w:jc w:val="both"/>
      </w:pPr>
    </w:p>
    <w:p w14:paraId="111A02AC" w14:textId="1A036615" w:rsidR="00E8772A" w:rsidRPr="00E8772A" w:rsidRDefault="00E8772A" w:rsidP="00E8772A">
      <w:pPr>
        <w:numPr>
          <w:ilvl w:val="0"/>
          <w:numId w:val="12"/>
        </w:numPr>
        <w:ind w:leftChars="145" w:left="708"/>
        <w:jc w:val="both"/>
        <w:rPr>
          <w:lang w:val="en-ID"/>
        </w:rPr>
      </w:pPr>
      <w:r w:rsidRPr="00E8772A">
        <w:rPr>
          <w:lang w:val="en-ID"/>
        </w:rPr>
        <w:t>At present, Singapore supports Annex 4 Option 1. However, Annex 4 Option 2 may be considered at a later stage if there are further studies that have been conducted and validated to ensure protection of non-GSO satellites operating in this altitude.</w:t>
      </w:r>
    </w:p>
    <w:p w14:paraId="4D68F1A4" w14:textId="11AF22E8" w:rsidR="00E8772A" w:rsidRPr="00E8772A" w:rsidRDefault="00E8772A" w:rsidP="00E8772A">
      <w:pPr>
        <w:numPr>
          <w:ilvl w:val="0"/>
          <w:numId w:val="12"/>
        </w:numPr>
        <w:ind w:leftChars="145" w:left="708"/>
        <w:jc w:val="both"/>
        <w:rPr>
          <w:lang w:val="en-ID"/>
        </w:rPr>
      </w:pPr>
      <w:r w:rsidRPr="00E8772A">
        <w:rPr>
          <w:lang w:val="en-ID"/>
        </w:rPr>
        <w:t>Singapore also supports the off-axis antenna provision in Annex 4 Item d to ensure that non-GSO FSS (Earth-to-space) systems operating in the 27.5-29.1 GHz and 29.5-30 GHz frequency bands are protected from harmful interference.</w:t>
      </w:r>
    </w:p>
    <w:p w14:paraId="1824164D" w14:textId="39678C32" w:rsidR="00E8772A" w:rsidRPr="00E8772A" w:rsidRDefault="00E8772A" w:rsidP="00E8772A">
      <w:pPr>
        <w:numPr>
          <w:ilvl w:val="0"/>
          <w:numId w:val="12"/>
        </w:numPr>
        <w:ind w:leftChars="145" w:left="708"/>
        <w:jc w:val="both"/>
        <w:rPr>
          <w:lang w:val="en-ID"/>
        </w:rPr>
      </w:pPr>
      <w:r w:rsidRPr="00E8772A">
        <w:rPr>
          <w:lang w:val="en-ID"/>
        </w:rPr>
        <w:t>The upper limit of 1290 km may require further discussion to accommodate operational requirements.</w:t>
      </w:r>
    </w:p>
    <w:p w14:paraId="186F8474" w14:textId="53BB3DD1" w:rsidR="00C34224" w:rsidRPr="00E8772A" w:rsidRDefault="00E8772A" w:rsidP="00E8772A">
      <w:pPr>
        <w:numPr>
          <w:ilvl w:val="0"/>
          <w:numId w:val="12"/>
        </w:numPr>
        <w:ind w:leftChars="145" w:left="708"/>
        <w:jc w:val="both"/>
        <w:rPr>
          <w:lang w:val="en-ID"/>
        </w:rPr>
      </w:pPr>
      <w:r w:rsidRPr="00E8772A">
        <w:rPr>
          <w:lang w:val="en-ID"/>
        </w:rPr>
        <w:t>In relation to protection of GSO space stations, Singapore supports the current approach under Annex 5.</w:t>
      </w:r>
    </w:p>
    <w:p w14:paraId="50041259" w14:textId="77777777" w:rsidR="00C34224" w:rsidRDefault="00C34224" w:rsidP="009D4B7A">
      <w:pPr>
        <w:rPr>
          <w:lang w:val="en-NZ"/>
        </w:rPr>
      </w:pPr>
    </w:p>
    <w:p w14:paraId="4FC4CBE9" w14:textId="00FF137A" w:rsidR="00C34224" w:rsidRPr="00441526" w:rsidRDefault="00C34224" w:rsidP="00C34224">
      <w:pPr>
        <w:spacing w:after="120"/>
        <w:jc w:val="both"/>
        <w:outlineLvl w:val="2"/>
        <w:rPr>
          <w:b/>
          <w:lang w:val="en-NZ" w:eastAsia="ko-KR"/>
        </w:rPr>
      </w:pPr>
      <w:r w:rsidRPr="00441526">
        <w:rPr>
          <w:b/>
          <w:lang w:val="en-NZ" w:eastAsia="ko-KR"/>
        </w:rPr>
        <w:t>3.1.</w:t>
      </w:r>
      <w:r>
        <w:rPr>
          <w:b/>
          <w:lang w:val="en-NZ" w:eastAsia="ko-KR"/>
        </w:rPr>
        <w:t>7</w:t>
      </w:r>
      <w:r w:rsidRPr="00441526">
        <w:rPr>
          <w:b/>
          <w:lang w:val="en-NZ" w:eastAsia="ko-KR"/>
        </w:rPr>
        <w:tab/>
      </w:r>
      <w:r w:rsidR="008A1883">
        <w:rPr>
          <w:b/>
          <w:lang w:val="en-NZ" w:eastAsia="ko-KR"/>
        </w:rPr>
        <w:t>Thailand</w:t>
      </w:r>
      <w:r w:rsidRPr="00441526">
        <w:rPr>
          <w:b/>
          <w:lang w:val="en-NZ" w:eastAsia="ko-KR"/>
        </w:rPr>
        <w:t xml:space="preserve"> </w:t>
      </w:r>
      <w:r w:rsidR="00D3276B" w:rsidRPr="00D3276B">
        <w:rPr>
          <w:b/>
          <w:lang w:val="en-NZ" w:eastAsia="ko-KR"/>
        </w:rPr>
        <w:t>(Kingdom of)</w:t>
      </w:r>
      <w:r w:rsidR="00D3276B">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sidR="008A1883">
        <w:rPr>
          <w:b/>
          <w:lang w:val="en-NZ" w:eastAsia="ko-KR"/>
        </w:rPr>
        <w:t>61</w:t>
      </w:r>
    </w:p>
    <w:p w14:paraId="4BCF8222" w14:textId="765C377B" w:rsidR="00C34224" w:rsidRPr="001B363F" w:rsidRDefault="008A1883" w:rsidP="001B363F">
      <w:pPr>
        <w:numPr>
          <w:ilvl w:val="0"/>
          <w:numId w:val="12"/>
        </w:numPr>
        <w:ind w:leftChars="145" w:left="708"/>
        <w:jc w:val="both"/>
      </w:pPr>
      <w:r w:rsidRPr="008A1883">
        <w:t xml:space="preserve">Thailand is of the view that there is a need of a new WRC Resolution to define the technical, operational and regulatory conditions for the satellite-to-satellite links in the frequency bands 18.1-18.6 GHz, 18.8-20.2 GHz and 27.5-30 GHz, or portions thereof, while ensuring protection of allocated services. Such satellite-to-satellite operation should be allowed through the </w:t>
      </w:r>
      <w:r w:rsidRPr="008A1883">
        <w:rPr>
          <w:lang w:val="en-NZ"/>
        </w:rPr>
        <w:t>FSS (space-to-space) allocations under the</w:t>
      </w:r>
      <w:r w:rsidRPr="008A1883">
        <w:t xml:space="preserve"> “within the </w:t>
      </w:r>
      <w:r w:rsidRPr="008A1883">
        <w:lastRenderedPageBreak/>
        <w:t>cone of coverage” concept of operation. Therefore, Thailand supports Method B together with Alternative FSS and Alternative GSO within the cone in the CPM Report.</w:t>
      </w:r>
    </w:p>
    <w:p w14:paraId="57BEDA2D" w14:textId="77777777" w:rsidR="00C34224" w:rsidRDefault="00C34224" w:rsidP="009D4B7A">
      <w:pPr>
        <w:rPr>
          <w:lang w:val="en-NZ"/>
        </w:rPr>
      </w:pPr>
    </w:p>
    <w:p w14:paraId="22657461" w14:textId="7A150ACC" w:rsidR="00C34224" w:rsidRPr="00441526" w:rsidRDefault="00C34224" w:rsidP="00C34224">
      <w:pPr>
        <w:spacing w:after="120"/>
        <w:jc w:val="both"/>
        <w:outlineLvl w:val="2"/>
        <w:rPr>
          <w:b/>
          <w:lang w:val="en-NZ" w:eastAsia="ko-KR"/>
        </w:rPr>
      </w:pPr>
      <w:r w:rsidRPr="001004D5">
        <w:rPr>
          <w:b/>
          <w:lang w:val="en-NZ" w:eastAsia="ko-KR"/>
        </w:rPr>
        <w:t>3.1.8</w:t>
      </w:r>
      <w:r w:rsidRPr="001004D5">
        <w:rPr>
          <w:b/>
          <w:lang w:val="en-NZ" w:eastAsia="ko-KR"/>
        </w:rPr>
        <w:tab/>
      </w:r>
      <w:r w:rsidR="001B363F" w:rsidRPr="001004D5">
        <w:rPr>
          <w:b/>
          <w:lang w:val="en-NZ" w:eastAsia="ko-KR"/>
        </w:rPr>
        <w:t>Iran (Islamic Republic of)</w:t>
      </w:r>
      <w:r w:rsidRPr="001004D5">
        <w:rPr>
          <w:b/>
          <w:lang w:val="en-NZ" w:eastAsia="ko-KR"/>
        </w:rPr>
        <w:t xml:space="preserve"> - Document APG23-6/INP-</w:t>
      </w:r>
      <w:r w:rsidR="001B363F" w:rsidRPr="001004D5">
        <w:rPr>
          <w:b/>
          <w:lang w:val="en-NZ" w:eastAsia="ko-KR"/>
        </w:rPr>
        <w:t>68</w:t>
      </w:r>
    </w:p>
    <w:p w14:paraId="15AA048D" w14:textId="67B89D9C" w:rsidR="005429EA" w:rsidRPr="005429EA" w:rsidRDefault="005429EA" w:rsidP="005429EA">
      <w:pPr>
        <w:jc w:val="both"/>
        <w:rPr>
          <w:lang w:val="en-NZ"/>
        </w:rPr>
      </w:pPr>
      <w:r w:rsidRPr="005429EA">
        <w:rPr>
          <w:lang w:val="en-NZ"/>
        </w:rPr>
        <w:t>This Administration has the view of that:</w:t>
      </w:r>
    </w:p>
    <w:p w14:paraId="367D40D5" w14:textId="77777777" w:rsidR="005429EA" w:rsidRPr="005429EA" w:rsidRDefault="005429EA" w:rsidP="005429EA">
      <w:pPr>
        <w:numPr>
          <w:ilvl w:val="0"/>
          <w:numId w:val="27"/>
        </w:numPr>
        <w:ind w:leftChars="145" w:left="705" w:hanging="357"/>
        <w:jc w:val="both"/>
      </w:pPr>
      <w:r w:rsidRPr="005429EA">
        <w:t>Satellite-to-satellite link transmissions should comply with the same directionality indicators as in the existing FSS allocations (Earth-to-space = from user space station to service provider space station, space-to-Earth = from service provider space station to user space station).</w:t>
      </w:r>
    </w:p>
    <w:p w14:paraId="7E2CFA46" w14:textId="4E69DF9F" w:rsidR="005429EA" w:rsidRPr="005429EA" w:rsidRDefault="005429EA" w:rsidP="005429EA">
      <w:pPr>
        <w:numPr>
          <w:ilvl w:val="0"/>
          <w:numId w:val="27"/>
        </w:numPr>
        <w:ind w:leftChars="145" w:left="705" w:hanging="357"/>
        <w:jc w:val="both"/>
      </w:pPr>
      <w:r w:rsidRPr="005429EA">
        <w:t>The use of these bands for satellite-to-satellite links needs to fully protect the FSS in these bands, taking into account that the parts of these frequency bands studied under the agenda item are the core FSS bands which are used for telecommunication infrastructure in many countries, in particular, in the developing and least developed countries. The following should therefore be included in the corresponding Resolution relating to GSO FSS:</w:t>
      </w:r>
    </w:p>
    <w:p w14:paraId="1E8A59E6" w14:textId="5475D5F8" w:rsidR="005429EA" w:rsidRPr="005429EA" w:rsidRDefault="005429EA" w:rsidP="005429EA">
      <w:pPr>
        <w:numPr>
          <w:ilvl w:val="0"/>
          <w:numId w:val="12"/>
        </w:numPr>
        <w:ind w:leftChars="300" w:left="1077" w:hanging="357"/>
        <w:jc w:val="both"/>
      </w:pPr>
      <w:r w:rsidRPr="005429EA">
        <w:t xml:space="preserve">2.1 The assignments pertaining to ISS subject to this agenda item, if concluded at WRC-23, shall not cause unacceptable interference to nor claim protection from the assignments to GSO FSS currently operating and/ or planned to be operated in future </w:t>
      </w:r>
      <w:r w:rsidR="00DC2FA0">
        <w:t>f</w:t>
      </w:r>
      <w:r w:rsidRPr="005429EA">
        <w:t>or the implementation of the above-mentioned Resolution the following course of actions are required</w:t>
      </w:r>
    </w:p>
    <w:p w14:paraId="3CA799CE" w14:textId="77777777" w:rsidR="005429EA" w:rsidRPr="005429EA" w:rsidRDefault="005429EA" w:rsidP="005429EA">
      <w:pPr>
        <w:numPr>
          <w:ilvl w:val="0"/>
          <w:numId w:val="12"/>
        </w:numPr>
        <w:ind w:leftChars="300" w:left="1077" w:hanging="357"/>
        <w:jc w:val="both"/>
      </w:pPr>
      <w:r w:rsidRPr="005429EA">
        <w:t>2.2 The notifying administration of the inter-satellite assignments submitting Appendix 4 information / data elements shall also send a firm objective, measurable, enforceable and actionable commitment to undertake:</w:t>
      </w:r>
    </w:p>
    <w:p w14:paraId="7B74458A" w14:textId="38B84A76" w:rsidR="005429EA" w:rsidRPr="005429EA" w:rsidRDefault="005429EA" w:rsidP="005429EA">
      <w:pPr>
        <w:numPr>
          <w:ilvl w:val="0"/>
          <w:numId w:val="28"/>
        </w:numPr>
        <w:spacing w:beforeLines="50" w:before="120"/>
        <w:ind w:leftChars="500" w:left="1557" w:hanging="357"/>
        <w:jc w:val="both"/>
      </w:pPr>
      <w:r w:rsidRPr="005429EA">
        <w:t xml:space="preserve">that in case of reported unacceptable interference shall immediately cease the interference or reduce it to an acceptable level. </w:t>
      </w:r>
    </w:p>
    <w:p w14:paraId="369CC182" w14:textId="77777777" w:rsidR="005429EA" w:rsidRPr="005429EA" w:rsidRDefault="005429EA" w:rsidP="005429EA">
      <w:pPr>
        <w:numPr>
          <w:ilvl w:val="0"/>
          <w:numId w:val="28"/>
        </w:numPr>
        <w:spacing w:beforeLines="50" w:before="120"/>
        <w:ind w:leftChars="500" w:left="1557" w:hanging="357"/>
        <w:jc w:val="both"/>
      </w:pPr>
      <w:r w:rsidRPr="005429EA">
        <w:t>to this effect the Bureau shall send a reminder and requests that  the  notifying administration  of ISS assignments to comply with the requirements referred to in commitment</w:t>
      </w:r>
    </w:p>
    <w:p w14:paraId="36B8742A" w14:textId="110D57AE" w:rsidR="005429EA" w:rsidRPr="005429EA" w:rsidRDefault="005429EA" w:rsidP="005429EA">
      <w:pPr>
        <w:numPr>
          <w:ilvl w:val="0"/>
          <w:numId w:val="28"/>
        </w:numPr>
        <w:spacing w:beforeLines="50" w:before="120"/>
        <w:ind w:leftChars="500" w:left="1557" w:hanging="357"/>
        <w:jc w:val="both"/>
      </w:pPr>
      <w:r w:rsidRPr="005429EA">
        <w:t>Should the interference continued to persists 30 days after the dispatch date of the above- mentioned reminder, the Bureau shall submit the case to the subsequent meeting of the RRB for review and eventual suppression from the date base of the Bureau and inform the notifying administration accordingly</w:t>
      </w:r>
    </w:p>
    <w:p w14:paraId="5D4D443A" w14:textId="04A72E12" w:rsidR="005429EA" w:rsidRPr="005429EA" w:rsidRDefault="005429EA" w:rsidP="005429EA">
      <w:pPr>
        <w:numPr>
          <w:ilvl w:val="0"/>
          <w:numId w:val="12"/>
        </w:numPr>
        <w:ind w:leftChars="300" w:left="1077" w:hanging="357"/>
        <w:jc w:val="both"/>
      </w:pPr>
      <w:r w:rsidRPr="005429EA">
        <w:t>2.</w:t>
      </w:r>
      <w:r>
        <w:t>3</w:t>
      </w:r>
      <w:r w:rsidRPr="005429EA">
        <w:t xml:space="preserve"> Significant additional work is required to develop a practical regulatory regime that will enable viable space-to-space operations (between both GSO and non-GSO service provider space stations and associated user non-GSO space stations) while at the same time ensuring that the space-to-space operation shall not cause unacceptable interference to other space services and nor claim protection from FSS. </w:t>
      </w:r>
    </w:p>
    <w:p w14:paraId="783F3E28" w14:textId="1844A958" w:rsidR="005429EA" w:rsidRPr="005429EA" w:rsidRDefault="005429EA" w:rsidP="005429EA">
      <w:pPr>
        <w:numPr>
          <w:ilvl w:val="0"/>
          <w:numId w:val="12"/>
        </w:numPr>
        <w:ind w:leftChars="300" w:left="1077" w:hanging="357"/>
        <w:jc w:val="both"/>
      </w:pPr>
      <w:r w:rsidRPr="005429EA">
        <w:t>2.</w:t>
      </w:r>
      <w:r>
        <w:t xml:space="preserve">4 </w:t>
      </w:r>
      <w:r w:rsidRPr="005429EA">
        <w:t>Currently there is no coordination procedure to protect other services, in particular FSS, from inter-satellite link, composed of GSO and non-GSO links. See Rules of Procedure in this regard.</w:t>
      </w:r>
    </w:p>
    <w:p w14:paraId="2D40839C" w14:textId="4AE26B48" w:rsidR="005429EA" w:rsidRPr="005429EA" w:rsidRDefault="005429EA" w:rsidP="005429EA">
      <w:pPr>
        <w:numPr>
          <w:ilvl w:val="0"/>
          <w:numId w:val="12"/>
        </w:numPr>
        <w:ind w:leftChars="300" w:left="1077" w:hanging="357"/>
        <w:jc w:val="both"/>
      </w:pPr>
      <w:r>
        <w:t xml:space="preserve">2.5 </w:t>
      </w:r>
      <w:r w:rsidRPr="005429EA">
        <w:t>Supports satellite-to-satellite transmissions “within the cone of coverage” concept of operations.</w:t>
      </w:r>
    </w:p>
    <w:p w14:paraId="1F05D3E9" w14:textId="0590B5BE" w:rsidR="005429EA" w:rsidRPr="005429EA" w:rsidRDefault="00A66908" w:rsidP="005429EA">
      <w:pPr>
        <w:numPr>
          <w:ilvl w:val="0"/>
          <w:numId w:val="12"/>
        </w:numPr>
        <w:ind w:leftChars="300" w:left="1077" w:hanging="357"/>
        <w:jc w:val="both"/>
      </w:pPr>
      <w:r>
        <w:t xml:space="preserve">2.6 </w:t>
      </w:r>
      <w:r w:rsidR="005429EA" w:rsidRPr="005429EA">
        <w:t xml:space="preserve">With respect to the studies carried out under this agenda, as contained in the report of CPM23-2, supports the exclusion of 11.7-12.2 GHz in Region 3 for this agenda item. </w:t>
      </w:r>
    </w:p>
    <w:p w14:paraId="3D9F5C20" w14:textId="618453BE" w:rsidR="005429EA" w:rsidRPr="005429EA" w:rsidRDefault="00A66908" w:rsidP="005429EA">
      <w:pPr>
        <w:numPr>
          <w:ilvl w:val="0"/>
          <w:numId w:val="12"/>
        </w:numPr>
        <w:ind w:leftChars="300" w:left="1077" w:hanging="357"/>
        <w:jc w:val="both"/>
      </w:pPr>
      <w:r>
        <w:t xml:space="preserve">2.7 </w:t>
      </w:r>
      <w:r w:rsidR="005429EA" w:rsidRPr="005429EA">
        <w:t xml:space="preserve">The technical conditions and regulatory provisions developed under WRC-23 agenda item 1.17 shall ensure not causing unacceptable interferencee and nor claim </w:t>
      </w:r>
      <w:r w:rsidR="005429EA" w:rsidRPr="005429EA">
        <w:lastRenderedPageBreak/>
        <w:t>protection from the terrestrial services operating in the frequency band 27.5-29.5 GHz.</w:t>
      </w:r>
    </w:p>
    <w:p w14:paraId="292E6CC7" w14:textId="6A490C1D" w:rsidR="00C34224" w:rsidRPr="00A66908" w:rsidRDefault="00A66908" w:rsidP="00A66908">
      <w:pPr>
        <w:numPr>
          <w:ilvl w:val="0"/>
          <w:numId w:val="12"/>
        </w:numPr>
        <w:ind w:leftChars="300" w:left="1077" w:hanging="357"/>
        <w:jc w:val="both"/>
      </w:pPr>
      <w:r>
        <w:t xml:space="preserve">2.8 </w:t>
      </w:r>
      <w:r w:rsidR="005429EA" w:rsidRPr="005429EA">
        <w:t>The notifying administration of satellite-to-satellite transmissions when submitting Appendix 4 data elements to the Bureau shall also send a firm commitment undertaking that in case of any interference to FSS or terrestrial services, shall immediately cease emission or reduce it to the acceptable level to the interfered assignments.</w:t>
      </w:r>
    </w:p>
    <w:p w14:paraId="58D94629" w14:textId="77777777" w:rsidR="00C34224" w:rsidRDefault="00C34224" w:rsidP="009D4B7A">
      <w:pPr>
        <w:rPr>
          <w:lang w:val="en-NZ"/>
        </w:rPr>
      </w:pPr>
    </w:p>
    <w:p w14:paraId="2493AA03" w14:textId="0283588D" w:rsidR="00C34224" w:rsidRPr="00441526" w:rsidRDefault="00C34224" w:rsidP="00C34224">
      <w:pPr>
        <w:spacing w:after="120"/>
        <w:jc w:val="both"/>
        <w:outlineLvl w:val="2"/>
        <w:rPr>
          <w:b/>
          <w:lang w:val="en-NZ" w:eastAsia="ko-KR"/>
        </w:rPr>
      </w:pPr>
      <w:r w:rsidRPr="00441526">
        <w:rPr>
          <w:b/>
          <w:lang w:val="en-NZ" w:eastAsia="ko-KR"/>
        </w:rPr>
        <w:t>3.1.</w:t>
      </w:r>
      <w:r>
        <w:rPr>
          <w:b/>
          <w:lang w:val="en-NZ" w:eastAsia="ko-KR"/>
        </w:rPr>
        <w:t>9</w:t>
      </w:r>
      <w:r w:rsidRPr="00441526">
        <w:rPr>
          <w:b/>
          <w:lang w:val="en-NZ" w:eastAsia="ko-KR"/>
        </w:rPr>
        <w:tab/>
      </w:r>
      <w:r w:rsidR="000742B8" w:rsidRPr="000742B8">
        <w:rPr>
          <w:b/>
          <w:lang w:val="en-NZ" w:eastAsia="ko-KR"/>
        </w:rPr>
        <w:t>Australia</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sidR="000742B8">
        <w:rPr>
          <w:b/>
          <w:lang w:val="en-NZ" w:eastAsia="ko-KR"/>
        </w:rPr>
        <w:t>83</w:t>
      </w:r>
    </w:p>
    <w:p w14:paraId="01EFDD6D" w14:textId="42437E5B" w:rsidR="000742B8" w:rsidRPr="000742B8" w:rsidRDefault="000742B8" w:rsidP="000742B8">
      <w:pPr>
        <w:numPr>
          <w:ilvl w:val="0"/>
          <w:numId w:val="12"/>
        </w:numPr>
        <w:ind w:leftChars="145" w:left="708"/>
        <w:jc w:val="both"/>
        <w:rPr>
          <w:b/>
          <w:lang w:val="en-AU"/>
        </w:rPr>
      </w:pPr>
      <w:r w:rsidRPr="000742B8">
        <w:rPr>
          <w:lang w:val="en-AU"/>
        </w:rPr>
        <w:t xml:space="preserve">Australia supports the development of technical conditions and regulatory provisions that establish a harmonised framework which facilitates the use of satellite-to-satellite operations in the 11.7-12.7 GHz, 18.1-18.6 GHz, 18.8-20.2 GHz and 27.5-30 GHz frequency bands. Such use shall protect and impose no additional regulatory or technical constraints on services to which the frequency band is currently allocated on a primary basis in accordance with Resolution </w:t>
      </w:r>
      <w:r w:rsidRPr="000742B8">
        <w:rPr>
          <w:b/>
          <w:lang w:val="en-AU"/>
        </w:rPr>
        <w:t>773 (WRC-19)</w:t>
      </w:r>
      <w:r w:rsidRPr="000742B8">
        <w:rPr>
          <w:lang w:val="en-AU"/>
        </w:rPr>
        <w:t xml:space="preserve">. </w:t>
      </w:r>
    </w:p>
    <w:p w14:paraId="6A0E62EE" w14:textId="4EF98D95" w:rsidR="000742B8" w:rsidRPr="000742B8" w:rsidRDefault="000742B8" w:rsidP="000742B8">
      <w:pPr>
        <w:numPr>
          <w:ilvl w:val="0"/>
          <w:numId w:val="12"/>
        </w:numPr>
        <w:ind w:leftChars="145" w:left="708"/>
        <w:jc w:val="both"/>
        <w:rPr>
          <w:lang w:val="en-AU"/>
        </w:rPr>
      </w:pPr>
      <w:bookmarkStart w:id="3" w:name="_Hlk142042689"/>
      <w:r w:rsidRPr="000742B8">
        <w:rPr>
          <w:lang w:val="en-AU"/>
        </w:rPr>
        <w:t>Regulatory recognition of satellite-to-satellite operations under this agenda item should be conditional on these operations being contained within the cone of coverage towards earth of the FSS GSO/non-GSO service provider space station and further restricted to ensure that in the FSS (E-s) allocated portions of the band transmissions from a user space station to a service provider space station only occurs when the users apogee is lower than the service provider’s minimum operational altitude, and that for the FSS (s-E) portions of the band transmissions from a service provider space station to a user space station only occurs when the user space station apogee is lower than the service provider’s station minimum operational altitude</w:t>
      </w:r>
      <w:r w:rsidR="006A3376">
        <w:rPr>
          <w:lang w:val="en-AU"/>
        </w:rPr>
        <w:t>.</w:t>
      </w:r>
    </w:p>
    <w:p w14:paraId="34BB2D32" w14:textId="306ED384" w:rsidR="000742B8" w:rsidRPr="000742B8" w:rsidRDefault="000742B8" w:rsidP="000742B8">
      <w:pPr>
        <w:numPr>
          <w:ilvl w:val="0"/>
          <w:numId w:val="12"/>
        </w:numPr>
        <w:ind w:leftChars="145" w:left="708"/>
        <w:jc w:val="both"/>
        <w:rPr>
          <w:iCs/>
          <w:lang w:val="en-AU"/>
        </w:rPr>
      </w:pPr>
      <w:r w:rsidRPr="000742B8">
        <w:rPr>
          <w:lang w:val="en-AU"/>
        </w:rPr>
        <w:t xml:space="preserve">Australia could support changes to the Table of Frequency Allocations to include space-to-space operation under the FSS allocation associated with appropriate regulatory measures within a draft new Resolution. </w:t>
      </w:r>
      <w:r w:rsidRPr="000742B8">
        <w:rPr>
          <w:iCs/>
          <w:lang w:val="en-AU"/>
        </w:rPr>
        <w:t xml:space="preserve">In relation to the regulatory Methods in the CPM report, </w:t>
      </w:r>
      <w:r w:rsidRPr="000742B8">
        <w:rPr>
          <w:bCs/>
          <w:iCs/>
          <w:lang w:val="en-AU"/>
        </w:rPr>
        <w:t>Australia supports Method B</w:t>
      </w:r>
      <w:r w:rsidRPr="000742B8">
        <w:rPr>
          <w:iCs/>
          <w:lang w:val="en-AU"/>
        </w:rPr>
        <w:t xml:space="preserve"> on the proviso that the inter-satellite link application is limited to the relay of data associated with space research, space operation and/or Earth exploration-satellite applications or the transmissions of data originating from industrial and medical activities in space, recognising the fact that those applications were the subject of ITU-R studies and the related results are reflected in the CPM Report.</w:t>
      </w:r>
      <w:bookmarkEnd w:id="3"/>
    </w:p>
    <w:p w14:paraId="0BC1A3E5" w14:textId="77777777" w:rsidR="000742B8" w:rsidRPr="000742B8" w:rsidRDefault="000742B8" w:rsidP="000742B8">
      <w:pPr>
        <w:numPr>
          <w:ilvl w:val="0"/>
          <w:numId w:val="12"/>
        </w:numPr>
        <w:ind w:leftChars="145" w:left="708"/>
        <w:jc w:val="both"/>
        <w:rPr>
          <w:lang w:val="en-AU"/>
        </w:rPr>
      </w:pPr>
      <w:r w:rsidRPr="000742B8">
        <w:rPr>
          <w:lang w:val="en-AU"/>
        </w:rPr>
        <w:t>Australia proposes a Preliminary APT Common Proposal as follows:</w:t>
      </w:r>
    </w:p>
    <w:bookmarkStart w:id="4" w:name="_MON_1752921335"/>
    <w:bookmarkEnd w:id="4"/>
    <w:p w14:paraId="4FEE0D48" w14:textId="2C51265E" w:rsidR="00C34224" w:rsidRPr="006A3376" w:rsidRDefault="000742B8" w:rsidP="006A3376">
      <w:pPr>
        <w:ind w:left="348"/>
        <w:jc w:val="center"/>
        <w:rPr>
          <w:lang w:val="en-AU"/>
        </w:rPr>
      </w:pPr>
      <w:r w:rsidRPr="000742B8">
        <w:rPr>
          <w:lang w:val="en-AU"/>
        </w:rPr>
        <w:object w:dxaOrig="1534" w:dyaOrig="994" w14:anchorId="47076664">
          <v:shape id="_x0000_i1026" type="#_x0000_t75" style="width:77.55pt;height:49.7pt" o:ole="">
            <v:imagedata r:id="rId35" o:title=""/>
          </v:shape>
          <o:OLEObject Type="Embed" ProgID="Word.Document.12" ShapeID="_x0000_i1026" DrawAspect="Icon" ObjectID="_1754977369" r:id="rId36">
            <o:FieldCodes>\s</o:FieldCodes>
          </o:OLEObject>
        </w:object>
      </w:r>
    </w:p>
    <w:p w14:paraId="2DA81754" w14:textId="77777777" w:rsidR="00C34224" w:rsidRDefault="00C34224" w:rsidP="009D4B7A">
      <w:pPr>
        <w:rPr>
          <w:lang w:val="en-NZ"/>
        </w:rPr>
      </w:pPr>
    </w:p>
    <w:p w14:paraId="78F73949" w14:textId="28308C0F" w:rsidR="00C34224" w:rsidRPr="00441526" w:rsidRDefault="00C34224" w:rsidP="00C34224">
      <w:pPr>
        <w:spacing w:after="120"/>
        <w:jc w:val="both"/>
        <w:outlineLvl w:val="2"/>
        <w:rPr>
          <w:b/>
          <w:lang w:val="en-NZ" w:eastAsia="ko-KR"/>
        </w:rPr>
      </w:pPr>
      <w:r w:rsidRPr="00441526">
        <w:rPr>
          <w:b/>
          <w:lang w:val="en-NZ" w:eastAsia="ko-KR"/>
        </w:rPr>
        <w:t>3.1.</w:t>
      </w:r>
      <w:r>
        <w:rPr>
          <w:b/>
          <w:lang w:val="en-NZ" w:eastAsia="ko-KR"/>
        </w:rPr>
        <w:t>10</w:t>
      </w:r>
      <w:r w:rsidRPr="00441526">
        <w:rPr>
          <w:b/>
          <w:lang w:val="en-NZ" w:eastAsia="ko-KR"/>
        </w:rPr>
        <w:tab/>
      </w:r>
      <w:r w:rsidR="006A3376" w:rsidRPr="006A3376">
        <w:rPr>
          <w:b/>
          <w:lang w:val="en-NZ" w:eastAsia="ko-KR"/>
        </w:rPr>
        <w:t>Korea (Republic of)</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sidR="006A3376">
        <w:rPr>
          <w:b/>
          <w:lang w:val="en-NZ" w:eastAsia="ko-KR"/>
        </w:rPr>
        <w:t>90</w:t>
      </w:r>
    </w:p>
    <w:p w14:paraId="145568FE" w14:textId="444BAB9F" w:rsidR="00BC006E" w:rsidRDefault="00BC006E" w:rsidP="00BC006E">
      <w:pPr>
        <w:numPr>
          <w:ilvl w:val="0"/>
          <w:numId w:val="12"/>
        </w:numPr>
        <w:ind w:leftChars="145" w:left="708"/>
        <w:jc w:val="both"/>
      </w:pPr>
      <w:r>
        <w:t xml:space="preserve">As the Republic of Korea supports the technical conditions and regulatory provisions for inter-satellite links in the bands 18.1-18.6 GHz, 18.8-20.2 GHz and 27.5-30 GHz, or portions thereof within the FSS allocations with an additional indicator “space-to-space” limited to the links operating in the same direction of transmission as provided in the current FSS allocations for “within the cone” concept of operation, </w:t>
      </w:r>
      <w:r w:rsidRPr="00BC006E">
        <w:t>Alternative FSS</w:t>
      </w:r>
      <w:r w:rsidRPr="00753DAC">
        <w:t xml:space="preserve"> and </w:t>
      </w:r>
      <w:r w:rsidRPr="00BC006E">
        <w:t>Alternative GSO within cone</w:t>
      </w:r>
      <w:r>
        <w:t xml:space="preserve"> of Method B described in the CPM Report can be supported. </w:t>
      </w:r>
    </w:p>
    <w:p w14:paraId="2293F43A" w14:textId="3E3C2347" w:rsidR="00BC006E" w:rsidRDefault="00BC006E" w:rsidP="00BC006E">
      <w:pPr>
        <w:numPr>
          <w:ilvl w:val="0"/>
          <w:numId w:val="12"/>
        </w:numPr>
        <w:ind w:leftChars="145" w:left="708"/>
        <w:jc w:val="both"/>
      </w:pPr>
      <w:r>
        <w:rPr>
          <w:rFonts w:hint="eastAsia"/>
        </w:rPr>
        <w:t>T</w:t>
      </w:r>
      <w:r>
        <w:t xml:space="preserve">he Republic of Korea is of the view that the transmitting non-GSO space stations shall not cause unacceptable interference to the terrestrial services in the frequency band 27.5-29.5 GHz. Therefore, the Republic of Korea supports </w:t>
      </w:r>
      <w:r w:rsidRPr="00BC006E">
        <w:t>Option 2-1</w:t>
      </w:r>
      <w:r>
        <w:t xml:space="preserve"> for the pfd masks in </w:t>
      </w:r>
      <w:r>
        <w:lastRenderedPageBreak/>
        <w:t>27.5-29.5 GHz and that the mask should be included in Annex 2 of the Resolution in the CPM Report.</w:t>
      </w:r>
    </w:p>
    <w:p w14:paraId="0CFC49CD" w14:textId="056BE13E" w:rsidR="00BC006E" w:rsidRDefault="00BC006E" w:rsidP="00BC006E">
      <w:pPr>
        <w:numPr>
          <w:ilvl w:val="0"/>
          <w:numId w:val="12"/>
        </w:numPr>
        <w:tabs>
          <w:tab w:val="left" w:pos="600"/>
        </w:tabs>
        <w:ind w:leftChars="145" w:left="708"/>
        <w:jc w:val="both"/>
      </w:pPr>
      <w:r>
        <w:t xml:space="preserve">The proposals of the modifications of Radio Regulations for the agenda item 1.17 are embedded in this document as follows. </w:t>
      </w:r>
    </w:p>
    <w:bookmarkStart w:id="5" w:name="_MON_1752911975"/>
    <w:bookmarkEnd w:id="5"/>
    <w:p w14:paraId="36EA6B3B" w14:textId="24BA8C6A" w:rsidR="00BC006E" w:rsidRDefault="00BC006E" w:rsidP="00BC006E">
      <w:pPr>
        <w:ind w:left="-80"/>
        <w:jc w:val="center"/>
      </w:pPr>
      <w:r>
        <w:object w:dxaOrig="1521" w:dyaOrig="1060" w14:anchorId="7B7DE036">
          <v:shape id="_x0000_i1027" type="#_x0000_t75" style="width:75.45pt;height:52.7pt" o:ole="">
            <v:imagedata r:id="rId37" o:title=""/>
          </v:shape>
          <o:OLEObject Type="Embed" ProgID="Word.Document.12" ShapeID="_x0000_i1027" DrawAspect="Icon" ObjectID="_1754977370" r:id="rId38">
            <o:FieldCodes>\s</o:FieldCodes>
          </o:OLEObject>
        </w:object>
      </w:r>
    </w:p>
    <w:p w14:paraId="3CA09EC1" w14:textId="77777777" w:rsidR="00C34224" w:rsidRDefault="00C34224" w:rsidP="009D4B7A">
      <w:pPr>
        <w:rPr>
          <w:lang w:val="en-NZ"/>
        </w:rPr>
      </w:pPr>
    </w:p>
    <w:p w14:paraId="4BAD50BC" w14:textId="65AEEF24" w:rsidR="00C34224" w:rsidRPr="00441526" w:rsidRDefault="00C34224" w:rsidP="00C34224">
      <w:pPr>
        <w:spacing w:after="120"/>
        <w:jc w:val="both"/>
        <w:outlineLvl w:val="2"/>
        <w:rPr>
          <w:b/>
          <w:lang w:val="en-NZ" w:eastAsia="ko-KR"/>
        </w:rPr>
      </w:pPr>
      <w:r w:rsidRPr="00441526">
        <w:rPr>
          <w:b/>
          <w:lang w:val="en-NZ" w:eastAsia="ko-KR"/>
        </w:rPr>
        <w:t>3.1.</w:t>
      </w:r>
      <w:r>
        <w:rPr>
          <w:b/>
          <w:lang w:val="en-NZ" w:eastAsia="ko-KR"/>
        </w:rPr>
        <w:t>11</w:t>
      </w:r>
      <w:r w:rsidRPr="00441526">
        <w:rPr>
          <w:b/>
          <w:lang w:val="en-NZ" w:eastAsia="ko-KR"/>
        </w:rPr>
        <w:tab/>
      </w:r>
      <w:r w:rsidR="003A59F2" w:rsidRPr="003A59F2">
        <w:rPr>
          <w:b/>
          <w:lang w:val="en-NZ" w:eastAsia="ko-KR"/>
        </w:rPr>
        <w:t>Philippines (Republic of the)</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sidR="003A59F2">
        <w:rPr>
          <w:b/>
          <w:lang w:val="en-NZ" w:eastAsia="ko-KR"/>
        </w:rPr>
        <w:t>94</w:t>
      </w:r>
    </w:p>
    <w:p w14:paraId="3E7DBEE6" w14:textId="66DBE5F0" w:rsidR="00181017" w:rsidRPr="00181017" w:rsidRDefault="00181017" w:rsidP="00181017">
      <w:pPr>
        <w:numPr>
          <w:ilvl w:val="0"/>
          <w:numId w:val="12"/>
        </w:numPr>
        <w:ind w:leftChars="145" w:left="708"/>
        <w:jc w:val="both"/>
      </w:pPr>
      <w:r w:rsidRPr="00181017">
        <w:t xml:space="preserve">Philippines is aware that this Agenda Item paves the way for additional satellite applications that could resolve existing issues highlighted in Section 1 above and augment real time data feed (e.g. live Earth Observation video from satellites, etc.). </w:t>
      </w:r>
    </w:p>
    <w:p w14:paraId="2A2FE568" w14:textId="3D5A6DC2" w:rsidR="00181017" w:rsidRPr="00181017" w:rsidRDefault="00181017" w:rsidP="00181017">
      <w:pPr>
        <w:numPr>
          <w:ilvl w:val="0"/>
          <w:numId w:val="12"/>
        </w:numPr>
        <w:ind w:leftChars="145" w:left="708"/>
        <w:jc w:val="both"/>
      </w:pPr>
      <w:r w:rsidRPr="00181017">
        <w:t>On that note, Philippines expresses preference for Method B to support the need for a regulatory framework under this Agenda Item.</w:t>
      </w:r>
    </w:p>
    <w:p w14:paraId="0A8095D6" w14:textId="77777777" w:rsidR="00181017" w:rsidRPr="00181017" w:rsidRDefault="00181017" w:rsidP="00181017">
      <w:pPr>
        <w:numPr>
          <w:ilvl w:val="0"/>
          <w:numId w:val="12"/>
        </w:numPr>
        <w:ind w:leftChars="145" w:left="708"/>
        <w:jc w:val="both"/>
      </w:pPr>
      <w:r w:rsidRPr="00181017">
        <w:t>As part of Method B, Philippines supports the following options:</w:t>
      </w:r>
    </w:p>
    <w:p w14:paraId="0200D810" w14:textId="5EA0C922" w:rsidR="00181017" w:rsidRPr="00181017" w:rsidRDefault="00181017" w:rsidP="00181017">
      <w:pPr>
        <w:pStyle w:val="ListParagraph"/>
        <w:numPr>
          <w:ilvl w:val="0"/>
          <w:numId w:val="19"/>
        </w:numPr>
        <w:spacing w:beforeLines="50" w:before="120"/>
        <w:ind w:left="1179" w:hanging="442"/>
        <w:jc w:val="both"/>
      </w:pPr>
      <w:r w:rsidRPr="00181017">
        <w:t>Inter-Satellite Service (ISS) allocation as it accords greater clarity with minimal or no ambiguity in relation to this space-to-space transmission;</w:t>
      </w:r>
    </w:p>
    <w:p w14:paraId="756D7C75" w14:textId="623DA65A" w:rsidR="00181017" w:rsidRPr="00181017" w:rsidRDefault="00181017" w:rsidP="00181017">
      <w:pPr>
        <w:pStyle w:val="ListParagraph"/>
        <w:numPr>
          <w:ilvl w:val="0"/>
          <w:numId w:val="19"/>
        </w:numPr>
        <w:spacing w:beforeLines="50" w:before="120"/>
        <w:ind w:left="1179" w:hanging="442"/>
        <w:jc w:val="both"/>
      </w:pPr>
      <w:r w:rsidRPr="00181017">
        <w:t xml:space="preserve">Limiting satellite-to-satellite operations solely to space research, space operation and/or Earth Exploration Satellite applications and also transmissions of data originating from industrial and medical activities in space; </w:t>
      </w:r>
    </w:p>
    <w:p w14:paraId="044C7983" w14:textId="44000DAC" w:rsidR="00181017" w:rsidRPr="00181017" w:rsidRDefault="00181017" w:rsidP="00181017">
      <w:pPr>
        <w:pStyle w:val="ListParagraph"/>
        <w:numPr>
          <w:ilvl w:val="0"/>
          <w:numId w:val="19"/>
        </w:numPr>
        <w:spacing w:beforeLines="50" w:before="120"/>
        <w:ind w:left="1179" w:hanging="442"/>
        <w:jc w:val="both"/>
      </w:pPr>
      <w:r w:rsidRPr="00181017">
        <w:t>For the protection of terrestrial services by non-GSO space stations transmitting in the frequency bands 27.5-29.1 GHz and 29.1-29.5 GHz, Option 2-2 can be used (i.e.</w:t>
      </w:r>
      <w:r>
        <w:t>,</w:t>
      </w:r>
      <w:r w:rsidRPr="00181017">
        <w:t xml:space="preserve"> PFD mask of A-ESIM operating above 3 km in Resolution </w:t>
      </w:r>
      <w:r w:rsidRPr="00181017">
        <w:rPr>
          <w:b/>
        </w:rPr>
        <w:t>169 (WRC-19)</w:t>
      </w:r>
      <w:r w:rsidRPr="00181017">
        <w:t xml:space="preserve"> with a reference bandwidth of 14 MHz).</w:t>
      </w:r>
    </w:p>
    <w:p w14:paraId="04DE5B74" w14:textId="6BFF9B4D" w:rsidR="00181017" w:rsidRPr="00181017" w:rsidRDefault="00181017" w:rsidP="00181017">
      <w:pPr>
        <w:pStyle w:val="ListParagraph"/>
        <w:numPr>
          <w:ilvl w:val="0"/>
          <w:numId w:val="19"/>
        </w:numPr>
        <w:spacing w:beforeLines="50" w:before="120"/>
        <w:ind w:left="1179" w:hanging="442"/>
        <w:jc w:val="both"/>
      </w:pPr>
      <w:r w:rsidRPr="00181017">
        <w:t>For protection of non-GSO FSS space stations from non-GSO inter-satellite links in the 27.5-30 GHz (Annex 4 of the draft new Resolution), Philippines supports:</w:t>
      </w:r>
    </w:p>
    <w:p w14:paraId="616721D8" w14:textId="77777777" w:rsidR="00181017" w:rsidRPr="00181017" w:rsidRDefault="00181017" w:rsidP="00C25E15">
      <w:pPr>
        <w:numPr>
          <w:ilvl w:val="0"/>
          <w:numId w:val="20"/>
        </w:numPr>
        <w:spacing w:beforeLines="50" w:before="120"/>
        <w:ind w:left="1548" w:hanging="357"/>
        <w:jc w:val="both"/>
      </w:pPr>
      <w:r w:rsidRPr="00181017">
        <w:t>Emissions from any non-GSO space station transmitting in the frequency bands 27.5-29.1 GHz and 29.5-30 GHz to communicate with GSO FSS network shall not exceed -17.5 dBW/Hz;</w:t>
      </w:r>
    </w:p>
    <w:p w14:paraId="4C8A37DB" w14:textId="77777777" w:rsidR="00181017" w:rsidRPr="00181017" w:rsidRDefault="00181017" w:rsidP="00C25E15">
      <w:pPr>
        <w:numPr>
          <w:ilvl w:val="0"/>
          <w:numId w:val="20"/>
        </w:numPr>
        <w:spacing w:beforeLines="50" w:before="120"/>
        <w:ind w:left="1548" w:hanging="357"/>
        <w:jc w:val="both"/>
      </w:pPr>
      <w:r w:rsidRPr="00181017">
        <w:t xml:space="preserve">Option 1 of Annex 4; </w:t>
      </w:r>
    </w:p>
    <w:p w14:paraId="6D8DA4F9" w14:textId="77777777" w:rsidR="00181017" w:rsidRPr="00181017" w:rsidRDefault="00181017" w:rsidP="00C25E15">
      <w:pPr>
        <w:numPr>
          <w:ilvl w:val="0"/>
          <w:numId w:val="20"/>
        </w:numPr>
        <w:spacing w:beforeLines="50" w:before="120"/>
        <w:ind w:left="1548" w:hanging="357"/>
        <w:jc w:val="both"/>
      </w:pPr>
      <w:r w:rsidRPr="00181017">
        <w:t>A maximum on-axis EIRP spectral density of -28 dBW/Hz</w:t>
      </w:r>
      <w:r w:rsidRPr="00181017" w:rsidDel="003D7237">
        <w:t xml:space="preserve"> </w:t>
      </w:r>
      <w:r w:rsidRPr="00181017">
        <w:t>in the case of emissions from any non-GSO space station transmitting in the frequency bands 27.5-29.1 GHz and 29.5-30 GHz to communicate with a non-GSO system with a minimum operational altitude lower than 2000 km.</w:t>
      </w:r>
    </w:p>
    <w:p w14:paraId="52FF10E4" w14:textId="40E734EE" w:rsidR="00C34224" w:rsidRPr="00566698" w:rsidRDefault="00181017" w:rsidP="00566698">
      <w:pPr>
        <w:pStyle w:val="ListParagraph"/>
        <w:numPr>
          <w:ilvl w:val="0"/>
          <w:numId w:val="19"/>
        </w:numPr>
        <w:spacing w:beforeLines="50" w:before="120"/>
        <w:ind w:left="1179" w:hanging="442"/>
        <w:jc w:val="both"/>
      </w:pPr>
      <w:r w:rsidRPr="00181017">
        <w:t>For protection of GSO space stations, emissions of non-GSO space stations shall not produce a PFD at any point in the GSO arc greater than the power flux-density produced by earth stations associated with satellite network/system with which they communicate.</w:t>
      </w:r>
    </w:p>
    <w:p w14:paraId="29DE2E92" w14:textId="77777777" w:rsidR="00C34224" w:rsidRDefault="00C34224" w:rsidP="009D4B7A">
      <w:pPr>
        <w:rPr>
          <w:lang w:val="en-NZ"/>
        </w:rPr>
      </w:pPr>
    </w:p>
    <w:p w14:paraId="453B16DA" w14:textId="5B359072" w:rsidR="00C34224" w:rsidRPr="00441526" w:rsidRDefault="00C34224" w:rsidP="00C34224">
      <w:pPr>
        <w:spacing w:after="120"/>
        <w:jc w:val="both"/>
        <w:outlineLvl w:val="2"/>
        <w:rPr>
          <w:b/>
          <w:lang w:val="en-NZ" w:eastAsia="ko-KR"/>
        </w:rPr>
      </w:pPr>
      <w:r w:rsidRPr="00441526">
        <w:rPr>
          <w:b/>
          <w:lang w:val="en-NZ" w:eastAsia="ko-KR"/>
        </w:rPr>
        <w:t>3.1.</w:t>
      </w:r>
      <w:r>
        <w:rPr>
          <w:b/>
          <w:lang w:val="en-NZ" w:eastAsia="ko-KR"/>
        </w:rPr>
        <w:t>12</w:t>
      </w:r>
      <w:r w:rsidRPr="00441526">
        <w:rPr>
          <w:b/>
          <w:lang w:val="en-NZ" w:eastAsia="ko-KR"/>
        </w:rPr>
        <w:tab/>
      </w:r>
      <w:r w:rsidR="00FB45F8" w:rsidRPr="00FB45F8">
        <w:rPr>
          <w:b/>
          <w:lang w:val="en-NZ" w:eastAsia="ko-KR"/>
        </w:rPr>
        <w:t>China (People's Republic of)</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sidR="00FB45F8">
        <w:rPr>
          <w:b/>
          <w:lang w:val="en-NZ" w:eastAsia="ko-KR"/>
        </w:rPr>
        <w:t>106</w:t>
      </w:r>
    </w:p>
    <w:p w14:paraId="1C16E9DF" w14:textId="597F1032" w:rsidR="00FB45F8" w:rsidRPr="00FB45F8" w:rsidRDefault="00FB45F8" w:rsidP="00FB45F8">
      <w:pPr>
        <w:numPr>
          <w:ilvl w:val="0"/>
          <w:numId w:val="12"/>
        </w:numPr>
        <w:ind w:leftChars="145" w:left="708"/>
        <w:jc w:val="both"/>
      </w:pPr>
      <w:r w:rsidRPr="00FB45F8">
        <w:t xml:space="preserve">This administration supports Method B </w:t>
      </w:r>
      <w:r w:rsidRPr="00FB45F8">
        <w:rPr>
          <w:rFonts w:hint="eastAsia"/>
        </w:rPr>
        <w:t>for</w:t>
      </w:r>
      <w:r w:rsidRPr="00FB45F8">
        <w:t xml:space="preserve"> </w:t>
      </w:r>
      <w:r w:rsidRPr="00FB45F8">
        <w:rPr>
          <w:rFonts w:hint="eastAsia"/>
        </w:rPr>
        <w:t>the</w:t>
      </w:r>
      <w:r w:rsidRPr="00FB45F8">
        <w:t xml:space="preserve"> develop</w:t>
      </w:r>
      <w:r w:rsidRPr="00FB45F8">
        <w:rPr>
          <w:rFonts w:hint="eastAsia"/>
        </w:rPr>
        <w:t>ment</w:t>
      </w:r>
      <w:r w:rsidRPr="00FB45F8">
        <w:t xml:space="preserve"> </w:t>
      </w:r>
      <w:r w:rsidRPr="00FB45F8">
        <w:rPr>
          <w:rFonts w:hint="eastAsia"/>
        </w:rPr>
        <w:t>of</w:t>
      </w:r>
      <w:r w:rsidRPr="00FB45F8">
        <w:t xml:space="preserve"> the technical conditions and regulatory provisions to enable the operation of satellite</w:t>
      </w:r>
      <w:r w:rsidRPr="00FB45F8">
        <w:rPr>
          <w:rFonts w:hint="eastAsia"/>
        </w:rPr>
        <w:t>-</w:t>
      </w:r>
      <w:r w:rsidRPr="00FB45F8">
        <w:t>to</w:t>
      </w:r>
      <w:r w:rsidRPr="00FB45F8">
        <w:rPr>
          <w:rFonts w:hint="eastAsia"/>
        </w:rPr>
        <w:t>-</w:t>
      </w:r>
      <w:r w:rsidRPr="00FB45F8">
        <w:t>satellite links in the 18.1</w:t>
      </w:r>
      <w:r w:rsidRPr="00FB45F8">
        <w:rPr>
          <w:rFonts w:hint="eastAsia"/>
        </w:rPr>
        <w:t>-</w:t>
      </w:r>
      <w:r w:rsidRPr="00FB45F8">
        <w:t>18.6 GHz, 18.8</w:t>
      </w:r>
      <w:r w:rsidRPr="00FB45F8">
        <w:rPr>
          <w:rFonts w:hint="eastAsia"/>
        </w:rPr>
        <w:t>-</w:t>
      </w:r>
      <w:r w:rsidRPr="00FB45F8">
        <w:t>20.2 GHz and 27.5</w:t>
      </w:r>
      <w:r w:rsidRPr="00FB45F8">
        <w:rPr>
          <w:rFonts w:hint="eastAsia"/>
        </w:rPr>
        <w:t>-</w:t>
      </w:r>
      <w:r w:rsidRPr="00FB45F8">
        <w:t>30 GHz bands, or parts thereof, while ensuring protection of existing primary services in the same frequency bands and adjacent bands.</w:t>
      </w:r>
    </w:p>
    <w:p w14:paraId="3616DCF7" w14:textId="77777777" w:rsidR="00FB45F8" w:rsidRPr="00FB45F8" w:rsidRDefault="00FB45F8" w:rsidP="00FB45F8">
      <w:pPr>
        <w:numPr>
          <w:ilvl w:val="0"/>
          <w:numId w:val="12"/>
        </w:numPr>
        <w:ind w:leftChars="145" w:left="708"/>
        <w:jc w:val="both"/>
        <w:rPr>
          <w:bCs/>
        </w:rPr>
      </w:pPr>
      <w:r w:rsidRPr="00FB45F8">
        <w:rPr>
          <w:rFonts w:hint="eastAsia"/>
          <w:bCs/>
        </w:rPr>
        <w:lastRenderedPageBreak/>
        <w:t>T</w:t>
      </w:r>
      <w:r w:rsidRPr="00FB45F8">
        <w:rPr>
          <w:bCs/>
        </w:rPr>
        <w:t xml:space="preserve">his administration is also of the following </w:t>
      </w:r>
      <w:r w:rsidRPr="00FB45F8">
        <w:rPr>
          <w:rFonts w:hint="eastAsia"/>
          <w:bCs/>
        </w:rPr>
        <w:t>v</w:t>
      </w:r>
      <w:r w:rsidRPr="00FB45F8">
        <w:rPr>
          <w:bCs/>
        </w:rPr>
        <w:t>iew:</w:t>
      </w:r>
    </w:p>
    <w:p w14:paraId="2627B81D" w14:textId="77777777" w:rsidR="00FB45F8" w:rsidRPr="00FB45F8" w:rsidRDefault="00FB45F8" w:rsidP="00FB45F8">
      <w:pPr>
        <w:numPr>
          <w:ilvl w:val="0"/>
          <w:numId w:val="12"/>
        </w:numPr>
        <w:ind w:leftChars="350" w:left="1197" w:hanging="357"/>
        <w:jc w:val="both"/>
      </w:pPr>
      <w:r w:rsidRPr="00FB45F8">
        <w:t>Supports the operation of satellite</w:t>
      </w:r>
      <w:r w:rsidRPr="00FB45F8">
        <w:rPr>
          <w:rFonts w:hint="eastAsia"/>
        </w:rPr>
        <w:t>-</w:t>
      </w:r>
      <w:r w:rsidRPr="00FB45F8">
        <w:t>to</w:t>
      </w:r>
      <w:r w:rsidRPr="00FB45F8">
        <w:rPr>
          <w:rFonts w:hint="eastAsia"/>
        </w:rPr>
        <w:t>-</w:t>
      </w:r>
      <w:r w:rsidRPr="00FB45F8">
        <w:t>satellite links under the fixed</w:t>
      </w:r>
      <w:r w:rsidRPr="00FB45F8">
        <w:rPr>
          <w:rFonts w:hint="eastAsia"/>
        </w:rPr>
        <w:t>-</w:t>
      </w:r>
      <w:r w:rsidRPr="00FB45F8">
        <w:t>satellite service (FSS) allocation in the 18.1</w:t>
      </w:r>
      <w:r w:rsidRPr="00FB45F8">
        <w:rPr>
          <w:rFonts w:hint="eastAsia"/>
        </w:rPr>
        <w:t>-</w:t>
      </w:r>
      <w:r w:rsidRPr="00FB45F8">
        <w:t>18.6 GHz, 18.8</w:t>
      </w:r>
      <w:r w:rsidRPr="00FB45F8">
        <w:rPr>
          <w:rFonts w:hint="eastAsia"/>
        </w:rPr>
        <w:t>-</w:t>
      </w:r>
      <w:r w:rsidRPr="00FB45F8">
        <w:t>20.2 GHz and 27.5</w:t>
      </w:r>
      <w:r w:rsidRPr="00FB45F8">
        <w:rPr>
          <w:rFonts w:hint="eastAsia"/>
        </w:rPr>
        <w:t>-</w:t>
      </w:r>
      <w:r w:rsidRPr="00FB45F8">
        <w:t xml:space="preserve">30 GHz bands, or parts thereof, to ensure protection of existing primary services in the </w:t>
      </w:r>
      <w:r w:rsidRPr="00FB45F8">
        <w:rPr>
          <w:rFonts w:hint="eastAsia"/>
        </w:rPr>
        <w:t xml:space="preserve">relevant </w:t>
      </w:r>
      <w:r w:rsidRPr="00FB45F8">
        <w:t xml:space="preserve">frequency bands and in the </w:t>
      </w:r>
      <w:r w:rsidRPr="00FB45F8">
        <w:rPr>
          <w:rFonts w:hint="eastAsia"/>
        </w:rPr>
        <w:t>a</w:t>
      </w:r>
      <w:r w:rsidRPr="00FB45F8">
        <w:t>djacent bands without imposing new constraints to incumbent services to protect satellite-to-satellite links from interference.</w:t>
      </w:r>
    </w:p>
    <w:p w14:paraId="5CCEF5D8" w14:textId="77777777" w:rsidR="00FB45F8" w:rsidRPr="00FB45F8" w:rsidRDefault="00FB45F8" w:rsidP="00FB45F8">
      <w:pPr>
        <w:numPr>
          <w:ilvl w:val="0"/>
          <w:numId w:val="12"/>
        </w:numPr>
        <w:ind w:leftChars="350" w:left="1197" w:hanging="357"/>
        <w:jc w:val="both"/>
      </w:pPr>
      <w:r w:rsidRPr="00FB45F8">
        <w:t>The satellite-to-satellite link transmissions should comply with the same directionality indicators as in the existing FSS allocations (Earth-to-space = from user space station to service provider space station, space-to-Earth = from service provider space station to user space station).</w:t>
      </w:r>
    </w:p>
    <w:p w14:paraId="0ABA39FC" w14:textId="77777777" w:rsidR="00FB45F8" w:rsidRPr="00700EE3" w:rsidRDefault="00FB45F8" w:rsidP="00FB45F8">
      <w:pPr>
        <w:numPr>
          <w:ilvl w:val="0"/>
          <w:numId w:val="12"/>
        </w:numPr>
        <w:ind w:leftChars="350" w:left="1197" w:hanging="357"/>
        <w:jc w:val="both"/>
      </w:pPr>
      <w:r w:rsidRPr="00700EE3">
        <w:t>The emissions of a non-GSO space station transmitting in the space-to-space direction in the frequency band 27.5-30 GHz shall remain within the envelope of the notified/recorded characteristics of the associated transmitting FSS earth stations of the GSO FSS network or non-GSO FSS system;</w:t>
      </w:r>
    </w:p>
    <w:p w14:paraId="254F3C36" w14:textId="77777777" w:rsidR="00FB45F8" w:rsidRPr="00FB45F8" w:rsidRDefault="00FB45F8" w:rsidP="00FB45F8">
      <w:pPr>
        <w:numPr>
          <w:ilvl w:val="0"/>
          <w:numId w:val="12"/>
        </w:numPr>
        <w:ind w:leftChars="350" w:left="1197" w:hanging="357"/>
        <w:jc w:val="both"/>
      </w:pPr>
      <w:r w:rsidRPr="00FB45F8">
        <w:t>The emissions of a space station transmitting in the space-to-space direction in the frequency bands 18.1-18.6 GHz and 18.8-20.2 GHz or parts thereof, shall remain within the envelope of the notified/recorded characteristics of transmitting GSO FSS or non-GSO FSS towards its associated FSS earth stations;</w:t>
      </w:r>
    </w:p>
    <w:p w14:paraId="1661E3F9" w14:textId="3018B667" w:rsidR="00FB45F8" w:rsidRPr="00FB45F8" w:rsidRDefault="00FB45F8" w:rsidP="00FB45F8">
      <w:pPr>
        <w:numPr>
          <w:ilvl w:val="0"/>
          <w:numId w:val="12"/>
        </w:numPr>
        <w:ind w:leftChars="350" w:left="1197" w:hanging="357"/>
        <w:jc w:val="both"/>
      </w:pPr>
      <w:r w:rsidRPr="00FB45F8">
        <w:rPr>
          <w:bCs/>
        </w:rPr>
        <w:t>To protect GSO networks in the fixed satellite service operation</w:t>
      </w:r>
      <w:r w:rsidRPr="00FB45F8">
        <w:t xml:space="preserve"> in the frequency band 27.5-30 GHz</w:t>
      </w:r>
      <w:r w:rsidRPr="00FB45F8">
        <w:rPr>
          <w:bCs/>
        </w:rPr>
        <w:t xml:space="preserve">, </w:t>
      </w:r>
      <w:r w:rsidRPr="00FB45F8">
        <w:t>the emissions of this non-GSO space station shall comply with the provisions contained in Annex 5 to the Resolution.</w:t>
      </w:r>
    </w:p>
    <w:p w14:paraId="06E882AA" w14:textId="44737397" w:rsidR="00C34224" w:rsidRPr="00441526" w:rsidRDefault="00FB45F8" w:rsidP="00FB45F8">
      <w:pPr>
        <w:numPr>
          <w:ilvl w:val="0"/>
          <w:numId w:val="12"/>
        </w:numPr>
        <w:ind w:leftChars="145" w:left="708"/>
        <w:jc w:val="both"/>
        <w:rPr>
          <w:lang w:val="en-NZ"/>
        </w:rPr>
      </w:pPr>
      <w:r w:rsidRPr="00FB45F8">
        <w:t>This administration proposes to include above views in the PACP for WRC-23 Agenda Item 1.17.</w:t>
      </w:r>
    </w:p>
    <w:p w14:paraId="2A98DBF5" w14:textId="77777777" w:rsidR="00C34224" w:rsidRDefault="00C34224" w:rsidP="009D4B7A">
      <w:pPr>
        <w:rPr>
          <w:lang w:val="en-NZ"/>
        </w:rPr>
      </w:pPr>
    </w:p>
    <w:p w14:paraId="1B4A232C" w14:textId="54427D1F" w:rsidR="00C34224" w:rsidRPr="00441526" w:rsidRDefault="00C34224" w:rsidP="00C34224">
      <w:pPr>
        <w:spacing w:after="120"/>
        <w:jc w:val="both"/>
        <w:outlineLvl w:val="2"/>
        <w:rPr>
          <w:b/>
          <w:lang w:val="en-NZ" w:eastAsia="ko-KR"/>
        </w:rPr>
      </w:pPr>
      <w:r w:rsidRPr="00441526">
        <w:rPr>
          <w:b/>
          <w:lang w:val="en-NZ" w:eastAsia="ko-KR"/>
        </w:rPr>
        <w:t>3.1.</w:t>
      </w:r>
      <w:r>
        <w:rPr>
          <w:b/>
          <w:lang w:val="en-NZ" w:eastAsia="ko-KR"/>
        </w:rPr>
        <w:t>13</w:t>
      </w:r>
      <w:r w:rsidRPr="00441526">
        <w:rPr>
          <w:b/>
          <w:lang w:val="en-NZ" w:eastAsia="ko-KR"/>
        </w:rPr>
        <w:tab/>
      </w:r>
      <w:r w:rsidR="0003336D" w:rsidRPr="0003336D">
        <w:rPr>
          <w:b/>
          <w:lang w:val="en-NZ" w:eastAsia="ko-KR"/>
        </w:rPr>
        <w:t>Malaysia</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sidR="0003336D">
        <w:rPr>
          <w:b/>
          <w:lang w:val="en-NZ" w:eastAsia="ko-KR"/>
        </w:rPr>
        <w:t>112</w:t>
      </w:r>
    </w:p>
    <w:p w14:paraId="62D5A57F" w14:textId="24BB3BA8" w:rsidR="0003336D" w:rsidRPr="0003336D" w:rsidRDefault="00C34224" w:rsidP="0003336D">
      <w:pPr>
        <w:numPr>
          <w:ilvl w:val="0"/>
          <w:numId w:val="12"/>
        </w:numPr>
        <w:ind w:leftChars="145" w:left="708"/>
        <w:jc w:val="both"/>
      </w:pPr>
      <w:r w:rsidRPr="0003336D">
        <w:rPr>
          <w:lang w:val="en-NZ"/>
        </w:rPr>
        <w:t>Summary of Country n’s views based on the direct extract from Country A’s input contribution.</w:t>
      </w:r>
      <w:r w:rsidR="0003336D" w:rsidRPr="0003336D">
        <w:t xml:space="preserve"> Malaysia supports no change to the 11.7-12.7 GHz frequency band as the studies conducted did not support use of the band for space-to-space links. </w:t>
      </w:r>
    </w:p>
    <w:p w14:paraId="2171AA59" w14:textId="4E0679A3" w:rsidR="0003336D" w:rsidRPr="0003336D" w:rsidRDefault="0003336D" w:rsidP="0003336D">
      <w:pPr>
        <w:numPr>
          <w:ilvl w:val="0"/>
          <w:numId w:val="12"/>
        </w:numPr>
        <w:ind w:leftChars="145" w:left="708"/>
        <w:jc w:val="both"/>
      </w:pPr>
      <w:r w:rsidRPr="0003336D">
        <w:t>In addition, Malaysia supports the development of a regulatory framework to enable viable space-to-space operations (between both GSO and non-GSO service provider space stations and associated user non-GSO space stations) within the FSS allocation in the 18.1-18.6 GHz, 18.8-20.2 GHz (space-to-Earth) and 27.5-30 GHz (Earth-to-space) frequency bands, or parts thereof, while ensuring protection of, and not imposing additional constraint to the existing services in the same and adjacent frequency bands.</w:t>
      </w:r>
    </w:p>
    <w:p w14:paraId="54FC6742" w14:textId="75580BCA" w:rsidR="0003336D" w:rsidRPr="0003336D" w:rsidRDefault="0003336D" w:rsidP="0003336D">
      <w:pPr>
        <w:numPr>
          <w:ilvl w:val="0"/>
          <w:numId w:val="12"/>
        </w:numPr>
        <w:ind w:leftChars="145" w:left="708"/>
        <w:jc w:val="both"/>
      </w:pPr>
      <w:r w:rsidRPr="0003336D">
        <w:t>Malaysia is also of the view that the introduction of space-to-space transmissions must ensure the same level of protection for GSO and non‐GSO as currently provided in the Radio Regulations and must not impose new constraints on GSO networks and non‐GSO systems to protect the inter-satellite links from interference.</w:t>
      </w:r>
    </w:p>
    <w:p w14:paraId="06340742" w14:textId="3D9F66CE" w:rsidR="00C34224" w:rsidRPr="0003336D" w:rsidRDefault="0003336D" w:rsidP="00C34224">
      <w:pPr>
        <w:numPr>
          <w:ilvl w:val="0"/>
          <w:numId w:val="12"/>
        </w:numPr>
        <w:ind w:leftChars="145" w:left="708"/>
        <w:jc w:val="both"/>
        <w:rPr>
          <w:lang w:val="en-NZ"/>
        </w:rPr>
      </w:pPr>
      <w:r w:rsidRPr="0003336D">
        <w:t xml:space="preserve">Considering the above, Malaysia is considering </w:t>
      </w:r>
      <w:r w:rsidRPr="0003336D">
        <w:rPr>
          <w:b/>
        </w:rPr>
        <w:t>Method B</w:t>
      </w:r>
      <w:r w:rsidRPr="0003336D">
        <w:t xml:space="preserve"> to satisfy this agenda item.</w:t>
      </w:r>
    </w:p>
    <w:p w14:paraId="71F691F4" w14:textId="77777777" w:rsidR="00C34224" w:rsidRDefault="00C34224" w:rsidP="009D4B7A">
      <w:pPr>
        <w:rPr>
          <w:lang w:val="en-NZ"/>
        </w:rPr>
      </w:pPr>
    </w:p>
    <w:p w14:paraId="03406EFE" w14:textId="38F4AC71" w:rsidR="0003336D" w:rsidRPr="00441526" w:rsidRDefault="0003336D" w:rsidP="0003336D">
      <w:pPr>
        <w:spacing w:after="120"/>
        <w:jc w:val="both"/>
        <w:outlineLvl w:val="2"/>
        <w:rPr>
          <w:b/>
          <w:lang w:val="en-NZ" w:eastAsia="ko-KR"/>
        </w:rPr>
      </w:pPr>
      <w:r w:rsidRPr="00441526">
        <w:rPr>
          <w:b/>
          <w:lang w:val="en-NZ" w:eastAsia="ko-KR"/>
        </w:rPr>
        <w:t>3.1.</w:t>
      </w:r>
      <w:r>
        <w:rPr>
          <w:b/>
          <w:lang w:val="en-NZ" w:eastAsia="ko-KR"/>
        </w:rPr>
        <w:t>14</w:t>
      </w:r>
      <w:r w:rsidRPr="00441526">
        <w:rPr>
          <w:b/>
          <w:lang w:val="en-NZ" w:eastAsia="ko-KR"/>
        </w:rPr>
        <w:tab/>
      </w:r>
      <w:r w:rsidR="003F7C9E" w:rsidRPr="003F7C9E">
        <w:rPr>
          <w:b/>
          <w:lang w:val="en-NZ" w:eastAsia="ko-KR"/>
        </w:rPr>
        <w:t>Vietnam (Socialist Republic of)</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Pr>
          <w:b/>
          <w:lang w:val="en-NZ" w:eastAsia="ko-KR"/>
        </w:rPr>
        <w:t>120</w:t>
      </w:r>
    </w:p>
    <w:p w14:paraId="59EEB7E0" w14:textId="7F06E3A0" w:rsidR="0003336D" w:rsidRPr="002534E8" w:rsidRDefault="002534E8" w:rsidP="0003336D">
      <w:pPr>
        <w:numPr>
          <w:ilvl w:val="0"/>
          <w:numId w:val="12"/>
        </w:numPr>
        <w:ind w:leftChars="145" w:left="708"/>
        <w:jc w:val="both"/>
        <w:rPr>
          <w:lang w:val="en-NZ"/>
        </w:rPr>
      </w:pPr>
      <w:r w:rsidRPr="002534E8">
        <w:t>Sharing studies were performed with all incumbent services for all configurations of operations considered under this agenda item (i.e. operations limited within the cone of coverage of the FSS space station or operations feasible outside this cone of coverage). These studies have shown that some incumbent services could be severely impacted by satellite-to-satellite operations. Therefore, Viet Nam supports method A.</w:t>
      </w:r>
    </w:p>
    <w:p w14:paraId="334899C8" w14:textId="77777777" w:rsidR="0003336D" w:rsidRDefault="0003336D" w:rsidP="009D4B7A">
      <w:pPr>
        <w:rPr>
          <w:lang w:val="en-NZ"/>
        </w:rPr>
      </w:pPr>
    </w:p>
    <w:p w14:paraId="63337F93" w14:textId="7E7A8808" w:rsidR="0003336D" w:rsidRPr="00441526" w:rsidRDefault="0003336D" w:rsidP="0003336D">
      <w:pPr>
        <w:spacing w:after="120"/>
        <w:jc w:val="both"/>
        <w:outlineLvl w:val="2"/>
        <w:rPr>
          <w:b/>
          <w:lang w:val="en-NZ" w:eastAsia="ko-KR"/>
        </w:rPr>
      </w:pPr>
      <w:r w:rsidRPr="00441526">
        <w:rPr>
          <w:b/>
          <w:lang w:val="en-NZ" w:eastAsia="ko-KR"/>
        </w:rPr>
        <w:lastRenderedPageBreak/>
        <w:t>3.1.</w:t>
      </w:r>
      <w:r>
        <w:rPr>
          <w:b/>
          <w:lang w:val="en-NZ" w:eastAsia="ko-KR"/>
        </w:rPr>
        <w:t>15</w:t>
      </w:r>
      <w:r w:rsidRPr="00441526">
        <w:rPr>
          <w:b/>
          <w:lang w:val="en-NZ" w:eastAsia="ko-KR"/>
        </w:rPr>
        <w:tab/>
      </w:r>
      <w:r w:rsidR="00E36366" w:rsidRPr="00E36366">
        <w:rPr>
          <w:b/>
          <w:lang w:val="en-NZ" w:eastAsia="ko-KR"/>
        </w:rPr>
        <w:t>Samoa (Independent State of)</w:t>
      </w:r>
      <w:r w:rsidR="00E36366">
        <w:rPr>
          <w:b/>
          <w:lang w:val="en-NZ" w:eastAsia="ko-KR"/>
        </w:rPr>
        <w:t>/</w:t>
      </w:r>
      <w:r w:rsidR="00E36366" w:rsidRPr="00E36366">
        <w:rPr>
          <w:b/>
          <w:lang w:val="en-NZ" w:eastAsia="ko-KR"/>
        </w:rPr>
        <w:t>Tonga (Kingdom of)</w:t>
      </w:r>
      <w:r w:rsidRPr="00441526">
        <w:rPr>
          <w:b/>
          <w:lang w:val="en-NZ" w:eastAsia="ko-KR"/>
        </w:rPr>
        <w:t xml:space="preserve"> </w:t>
      </w:r>
      <w:r w:rsidRPr="00C51244">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Pr>
          <w:b/>
          <w:lang w:val="en-NZ" w:eastAsia="ko-KR"/>
        </w:rPr>
        <w:t>6</w:t>
      </w:r>
      <w:r w:rsidRPr="00441526">
        <w:rPr>
          <w:b/>
          <w:lang w:val="en-NZ" w:eastAsia="ko-KR"/>
        </w:rPr>
        <w:t>/INP-</w:t>
      </w:r>
      <w:r>
        <w:rPr>
          <w:b/>
          <w:lang w:val="en-NZ" w:eastAsia="ko-KR"/>
        </w:rPr>
        <w:t>127</w:t>
      </w:r>
    </w:p>
    <w:p w14:paraId="4CDE404A" w14:textId="5346E2B3" w:rsidR="00C10E9D" w:rsidRPr="00C10E9D" w:rsidRDefault="00C10E9D" w:rsidP="00C10E9D">
      <w:pPr>
        <w:jc w:val="both"/>
        <w:rPr>
          <w:lang w:val="en-GB"/>
        </w:rPr>
      </w:pPr>
      <w:r w:rsidRPr="00C10E9D">
        <w:rPr>
          <w:lang w:val="en-GB"/>
        </w:rPr>
        <w:t>Tonga/Samoa is of the following views:</w:t>
      </w:r>
    </w:p>
    <w:p w14:paraId="30DED382" w14:textId="77777777" w:rsidR="00C10E9D" w:rsidRPr="00C10E9D" w:rsidRDefault="00C10E9D" w:rsidP="00C10E9D">
      <w:pPr>
        <w:numPr>
          <w:ilvl w:val="0"/>
          <w:numId w:val="12"/>
        </w:numPr>
        <w:ind w:leftChars="145" w:left="708"/>
        <w:jc w:val="both"/>
        <w:rPr>
          <w:lang w:val="en-GB"/>
        </w:rPr>
      </w:pPr>
      <w:r w:rsidRPr="00C10E9D">
        <w:rPr>
          <w:lang w:val="en-GB"/>
        </w:rPr>
        <w:t>Tonga/Samoa support an ISS allocation (</w:t>
      </w:r>
      <w:r w:rsidRPr="00C10E9D">
        <w:rPr>
          <w:i/>
          <w:lang w:val="en-GB"/>
        </w:rPr>
        <w:t>Alternative ISS</w:t>
      </w:r>
      <w:r w:rsidRPr="00C10E9D">
        <w:rPr>
          <w:lang w:val="en-GB"/>
        </w:rPr>
        <w:t xml:space="preserve">). Satellite-to-satellite link transmissions will comply with the same directionality indicators as in the existing FSS allocations (Earth-to-space = from user space station to service provider space station, space-to-Earth = from service provider space station to user space station)    </w:t>
      </w:r>
    </w:p>
    <w:p w14:paraId="6F64F6E5" w14:textId="77777777" w:rsidR="00C10E9D" w:rsidRPr="00C10E9D" w:rsidRDefault="00C10E9D" w:rsidP="00C10E9D">
      <w:pPr>
        <w:numPr>
          <w:ilvl w:val="0"/>
          <w:numId w:val="12"/>
        </w:numPr>
        <w:ind w:leftChars="145" w:left="708"/>
        <w:jc w:val="both"/>
        <w:rPr>
          <w:lang w:val="en-GB"/>
        </w:rPr>
      </w:pPr>
      <w:r w:rsidRPr="00C10E9D">
        <w:rPr>
          <w:lang w:val="en-GB"/>
        </w:rPr>
        <w:t>Tonga/Samoa support satellite-to-satellite links “within the cone” concept of operations for transmissions of non-GSO to non-GSO (lower to higher altitude) and non-GSO to GSO (</w:t>
      </w:r>
      <w:r w:rsidRPr="00C10E9D">
        <w:rPr>
          <w:i/>
          <w:lang w:val="en-GB"/>
        </w:rPr>
        <w:t>alternative GSO within the cone</w:t>
      </w:r>
      <w:r w:rsidRPr="00C10E9D">
        <w:rPr>
          <w:lang w:val="en-GB"/>
        </w:rPr>
        <w:t>);</w:t>
      </w:r>
    </w:p>
    <w:p w14:paraId="0F6092C6" w14:textId="77777777" w:rsidR="00C10E9D" w:rsidRPr="00C10E9D" w:rsidRDefault="00C10E9D" w:rsidP="00C10E9D">
      <w:pPr>
        <w:numPr>
          <w:ilvl w:val="0"/>
          <w:numId w:val="12"/>
        </w:numPr>
        <w:ind w:leftChars="145" w:left="708"/>
        <w:jc w:val="both"/>
        <w:rPr>
          <w:lang w:val="en-GB"/>
        </w:rPr>
      </w:pPr>
      <w:r w:rsidRPr="00C10E9D">
        <w:rPr>
          <w:lang w:val="en-GB"/>
        </w:rPr>
        <w:t>Tonga/Samoa support a hard limit to address sharing with non-GSO FSS systems (</w:t>
      </w:r>
      <w:r w:rsidRPr="00C10E9D">
        <w:rPr>
          <w:i/>
          <w:lang w:val="en-GB"/>
        </w:rPr>
        <w:t>Alternative non-GSO hard limits</w:t>
      </w:r>
      <w:r w:rsidRPr="00C10E9D">
        <w:rPr>
          <w:lang w:val="en-GB"/>
        </w:rPr>
        <w:t>) given the need to protect incumbent systems and the potential added complexity of coordinating incumbent systems with satellite-satellite operations. Tonga/Samoa is of the view that ISS links should be limited to space research, space operation and/or Earth exploration-satellite applications, and also transmissions of data originating from industrial and medical activities in space</w:t>
      </w:r>
    </w:p>
    <w:p w14:paraId="06EB78D8" w14:textId="77777777" w:rsidR="00C10E9D" w:rsidRPr="00C10E9D" w:rsidRDefault="00C10E9D" w:rsidP="00C10E9D">
      <w:pPr>
        <w:numPr>
          <w:ilvl w:val="0"/>
          <w:numId w:val="12"/>
        </w:numPr>
        <w:ind w:leftChars="145" w:left="708"/>
        <w:jc w:val="both"/>
        <w:rPr>
          <w:lang w:val="en-GB"/>
        </w:rPr>
      </w:pPr>
      <w:r w:rsidRPr="00C10E9D">
        <w:rPr>
          <w:lang w:val="en-GB"/>
        </w:rPr>
        <w:t>For the protection of terrestrial services by non-GSO space stations transmitting in the frequency bands 27.5-29.1 and 29.1-29.5 GHz, Option 1 in Annex 2 of the draft new Resolution referring to Article 21 PFD mask can be used. Alternatively, Option 2-2 may also be considered (i.e.  PFD mask of A-ESIM operating above 3km in Resolution 169 (WRC-19) with a reference bandwidth of 14 MHz.</w:t>
      </w:r>
    </w:p>
    <w:p w14:paraId="1287B1D1" w14:textId="77777777" w:rsidR="00C10E9D" w:rsidRPr="00C10E9D" w:rsidRDefault="00C10E9D" w:rsidP="00C10E9D">
      <w:pPr>
        <w:numPr>
          <w:ilvl w:val="0"/>
          <w:numId w:val="12"/>
        </w:numPr>
        <w:ind w:leftChars="145" w:left="708"/>
        <w:jc w:val="both"/>
        <w:rPr>
          <w:lang w:val="en-GB"/>
        </w:rPr>
      </w:pPr>
      <w:r w:rsidRPr="00C10E9D">
        <w:rPr>
          <w:lang w:val="en-GB"/>
        </w:rPr>
        <w:t>For the protection of EESS (passive) in 18.6-18.8 GHz, Tonga/Samoa support that no specific measure is required for non-GSO systems operating in LEO orbits that make use of frequency reuse schemes employing at least three colours as mentioned in the footnote of Annex 3.</w:t>
      </w:r>
    </w:p>
    <w:p w14:paraId="4B401467" w14:textId="5938DA99" w:rsidR="00C10E9D" w:rsidRPr="00C10E9D" w:rsidRDefault="00C10E9D" w:rsidP="001F4511">
      <w:pPr>
        <w:numPr>
          <w:ilvl w:val="0"/>
          <w:numId w:val="12"/>
        </w:numPr>
        <w:ind w:leftChars="145" w:left="708"/>
        <w:jc w:val="both"/>
        <w:rPr>
          <w:lang w:val="en-GB"/>
        </w:rPr>
      </w:pPr>
      <w:r w:rsidRPr="00C10E9D">
        <w:rPr>
          <w:lang w:val="en-GB"/>
        </w:rPr>
        <w:t>For protection of non-GSO FSS space stations from non-GSO inter-satellite links in the 27.5-30 GHz (Annex 4 of the draft new Resolution):</w:t>
      </w:r>
    </w:p>
    <w:p w14:paraId="745B82C4" w14:textId="77777777" w:rsidR="00C10E9D" w:rsidRPr="001F4511" w:rsidRDefault="00C10E9D" w:rsidP="001F4511">
      <w:pPr>
        <w:pStyle w:val="ListParagraph"/>
        <w:numPr>
          <w:ilvl w:val="0"/>
          <w:numId w:val="23"/>
        </w:numPr>
        <w:spacing w:beforeLines="50" w:before="120"/>
        <w:ind w:left="1293" w:hanging="442"/>
        <w:jc w:val="both"/>
        <w:rPr>
          <w:lang w:val="en-GB"/>
        </w:rPr>
      </w:pPr>
      <w:r w:rsidRPr="001F4511">
        <w:rPr>
          <w:lang w:val="en-GB"/>
        </w:rPr>
        <w:t>Emissions from any non-GSO space station transmitting in the frequency bands 27.5-29.1GHz and 29.5-30 GHz to communicate with GSO FSS network shall not exceed -17.5 dBW/Hz;</w:t>
      </w:r>
    </w:p>
    <w:p w14:paraId="75B480C0" w14:textId="77777777" w:rsidR="00C10E9D" w:rsidRPr="00C10E9D" w:rsidRDefault="00C10E9D" w:rsidP="001F4511">
      <w:pPr>
        <w:pStyle w:val="ListParagraph"/>
        <w:numPr>
          <w:ilvl w:val="0"/>
          <w:numId w:val="23"/>
        </w:numPr>
        <w:spacing w:beforeLines="50" w:before="120"/>
        <w:ind w:left="1293" w:hanging="442"/>
        <w:jc w:val="both"/>
      </w:pPr>
      <w:r w:rsidRPr="001F4511">
        <w:rPr>
          <w:lang w:val="en-GB"/>
        </w:rPr>
        <w:t>Non-GSO space stations transmitting in the frequency bands 27.5-29.1 GHz and 29.5-30 GHz shall not operate at orbital altitudes greater than or equal to 900 km and less than [1290</w:t>
      </w:r>
      <w:r w:rsidRPr="00C10E9D">
        <w:t>]</w:t>
      </w:r>
      <w:r w:rsidRPr="001F4511">
        <w:rPr>
          <w:lang w:val="en-GB"/>
        </w:rPr>
        <w:t>/[1350]</w:t>
      </w:r>
      <w:r w:rsidRPr="00C10E9D">
        <w:rPr>
          <w:vertAlign w:val="superscript"/>
        </w:rPr>
        <w:footnoteReference w:id="2"/>
      </w:r>
      <w:r w:rsidRPr="00C10E9D">
        <w:t xml:space="preserve">km   </w:t>
      </w:r>
    </w:p>
    <w:p w14:paraId="49B228A8" w14:textId="53ED360E" w:rsidR="0003336D" w:rsidRDefault="00C10E9D" w:rsidP="004618BD">
      <w:pPr>
        <w:pStyle w:val="ListParagraph"/>
        <w:numPr>
          <w:ilvl w:val="0"/>
          <w:numId w:val="23"/>
        </w:numPr>
        <w:spacing w:beforeLines="50" w:before="120"/>
        <w:ind w:left="1293" w:hanging="442"/>
        <w:jc w:val="both"/>
        <w:rPr>
          <w:lang w:val="en-GB"/>
        </w:rPr>
      </w:pPr>
      <w:r w:rsidRPr="001F4511">
        <w:rPr>
          <w:lang w:val="en-GB"/>
        </w:rPr>
        <w:t>In the case of emissions from any non-GSO space station transmitting in the frequency bands 27.5-29.1 GHz and 29.5-30 GHz to communicate with a non-GSO system with a minimum operational altitude lower than 2000km, the maximum on-axis EIRP spectral density of -28 dBW/Hz and the following total e.i.r.p. shall not be exceeded:</w:t>
      </w:r>
    </w:p>
    <w:p w14:paraId="15396835" w14:textId="77777777" w:rsidR="00423D77" w:rsidRPr="00423D77" w:rsidRDefault="00423D77" w:rsidP="00423D77">
      <w:pPr>
        <w:spacing w:beforeLines="50" w:before="120"/>
        <w:jc w:val="both"/>
        <w:rPr>
          <w:lang w:val="en-GB"/>
        </w:rPr>
      </w:pPr>
    </w:p>
    <w:tbl>
      <w:tblPr>
        <w:tblStyle w:val="TableGrid"/>
        <w:tblW w:w="0" w:type="auto"/>
        <w:jc w:val="center"/>
        <w:tblLook w:val="04A0" w:firstRow="1" w:lastRow="0" w:firstColumn="1" w:lastColumn="0" w:noHBand="0" w:noVBand="1"/>
      </w:tblPr>
      <w:tblGrid>
        <w:gridCol w:w="2641"/>
        <w:gridCol w:w="1710"/>
      </w:tblGrid>
      <w:tr w:rsidR="00423D77" w:rsidRPr="00621DE3" w14:paraId="308C8EC5" w14:textId="77777777" w:rsidTr="004C36CB">
        <w:trPr>
          <w:jc w:val="center"/>
        </w:trPr>
        <w:tc>
          <w:tcPr>
            <w:tcW w:w="2641" w:type="dxa"/>
            <w:vAlign w:val="center"/>
          </w:tcPr>
          <w:p w14:paraId="47A54705" w14:textId="77777777" w:rsidR="00423D77" w:rsidRPr="00724FAD" w:rsidRDefault="00423D77" w:rsidP="004C36CB">
            <w:pPr>
              <w:keepNext/>
              <w:tabs>
                <w:tab w:val="left" w:pos="1134"/>
                <w:tab w:val="left" w:pos="1871"/>
                <w:tab w:val="left" w:pos="2268"/>
              </w:tabs>
              <w:spacing w:before="80" w:after="80"/>
              <w:jc w:val="center"/>
              <w:rPr>
                <w:b/>
                <w:sz w:val="22"/>
                <w:szCs w:val="22"/>
              </w:rPr>
            </w:pPr>
            <w:r w:rsidRPr="00724FAD">
              <w:rPr>
                <w:b/>
                <w:sz w:val="22"/>
                <w:szCs w:val="22"/>
              </w:rPr>
              <w:t>Transmitting non-GSO space station operational altitude (km)</w:t>
            </w:r>
          </w:p>
        </w:tc>
        <w:tc>
          <w:tcPr>
            <w:tcW w:w="1710" w:type="dxa"/>
            <w:vAlign w:val="center"/>
          </w:tcPr>
          <w:p w14:paraId="2AA25466" w14:textId="77777777" w:rsidR="00423D77" w:rsidRPr="00724FAD" w:rsidRDefault="00423D77" w:rsidP="004C36CB">
            <w:pPr>
              <w:keepNext/>
              <w:tabs>
                <w:tab w:val="left" w:pos="1134"/>
                <w:tab w:val="left" w:pos="1871"/>
                <w:tab w:val="left" w:pos="2268"/>
              </w:tabs>
              <w:spacing w:before="80" w:after="80"/>
              <w:jc w:val="center"/>
              <w:rPr>
                <w:b/>
                <w:sz w:val="22"/>
                <w:szCs w:val="22"/>
              </w:rPr>
            </w:pPr>
            <w:r w:rsidRPr="00724FAD">
              <w:rPr>
                <w:b/>
                <w:sz w:val="22"/>
                <w:szCs w:val="22"/>
              </w:rPr>
              <w:t>Maximum total e.i.r.p. (dBW)</w:t>
            </w:r>
          </w:p>
        </w:tc>
      </w:tr>
      <w:tr w:rsidR="00423D77" w:rsidRPr="00621DE3" w14:paraId="501184C8" w14:textId="77777777" w:rsidTr="004C36CB">
        <w:trPr>
          <w:jc w:val="center"/>
        </w:trPr>
        <w:tc>
          <w:tcPr>
            <w:tcW w:w="2641" w:type="dxa"/>
            <w:vAlign w:val="center"/>
          </w:tcPr>
          <w:p w14:paraId="1B4DDA82"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t>altitude &lt; 450</w:t>
            </w:r>
          </w:p>
        </w:tc>
        <w:tc>
          <w:tcPr>
            <w:tcW w:w="1710" w:type="dxa"/>
            <w:vAlign w:val="center"/>
          </w:tcPr>
          <w:p w14:paraId="14C476E2"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t>60</w:t>
            </w:r>
          </w:p>
        </w:tc>
      </w:tr>
      <w:tr w:rsidR="00423D77" w:rsidRPr="00621DE3" w14:paraId="1208B2E0" w14:textId="77777777" w:rsidTr="004C36CB">
        <w:trPr>
          <w:jc w:val="center"/>
        </w:trPr>
        <w:tc>
          <w:tcPr>
            <w:tcW w:w="2641" w:type="dxa"/>
            <w:vAlign w:val="center"/>
          </w:tcPr>
          <w:p w14:paraId="4B1FCDD7"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t>450 ≤ altitude &lt; 600</w:t>
            </w:r>
          </w:p>
        </w:tc>
        <w:tc>
          <w:tcPr>
            <w:tcW w:w="1710" w:type="dxa"/>
            <w:vAlign w:val="center"/>
          </w:tcPr>
          <w:p w14:paraId="1E287B23"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t>58</w:t>
            </w:r>
          </w:p>
        </w:tc>
      </w:tr>
      <w:tr w:rsidR="00423D77" w:rsidRPr="00621DE3" w14:paraId="2003997D" w14:textId="77777777" w:rsidTr="004C36CB">
        <w:trPr>
          <w:jc w:val="center"/>
        </w:trPr>
        <w:tc>
          <w:tcPr>
            <w:tcW w:w="2641" w:type="dxa"/>
            <w:vAlign w:val="center"/>
          </w:tcPr>
          <w:p w14:paraId="72C307F3"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t>600 ≤ altitude &lt; 750</w:t>
            </w:r>
          </w:p>
        </w:tc>
        <w:tc>
          <w:tcPr>
            <w:tcW w:w="1710" w:type="dxa"/>
            <w:vAlign w:val="center"/>
          </w:tcPr>
          <w:p w14:paraId="3F14E78B"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t>55</w:t>
            </w:r>
          </w:p>
        </w:tc>
      </w:tr>
      <w:tr w:rsidR="00423D77" w:rsidRPr="00621DE3" w14:paraId="36850AB0" w14:textId="77777777" w:rsidTr="004C36CB">
        <w:trPr>
          <w:jc w:val="center"/>
        </w:trPr>
        <w:tc>
          <w:tcPr>
            <w:tcW w:w="2641" w:type="dxa"/>
            <w:vAlign w:val="center"/>
          </w:tcPr>
          <w:p w14:paraId="452409A8"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lastRenderedPageBreak/>
              <w:t>750 ≤ altitude &lt; 900</w:t>
            </w:r>
          </w:p>
        </w:tc>
        <w:tc>
          <w:tcPr>
            <w:tcW w:w="1710" w:type="dxa"/>
            <w:vAlign w:val="center"/>
          </w:tcPr>
          <w:p w14:paraId="1293432F"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t>53</w:t>
            </w:r>
          </w:p>
        </w:tc>
      </w:tr>
      <w:tr w:rsidR="00423D77" w:rsidRPr="00621DE3" w14:paraId="609A61F4" w14:textId="77777777" w:rsidTr="004C36CB">
        <w:trPr>
          <w:jc w:val="center"/>
        </w:trPr>
        <w:tc>
          <w:tcPr>
            <w:tcW w:w="2641" w:type="dxa"/>
            <w:vAlign w:val="center"/>
          </w:tcPr>
          <w:p w14:paraId="28F7C6A6"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t>altitude ≥</w:t>
            </w:r>
            <w:r>
              <w:rPr>
                <w:sz w:val="22"/>
                <w:szCs w:val="22"/>
              </w:rPr>
              <w:t>[1290]/[</w:t>
            </w:r>
            <w:r w:rsidRPr="00FF3E02">
              <w:rPr>
                <w:sz w:val="22"/>
                <w:szCs w:val="22"/>
              </w:rPr>
              <w:t>1350</w:t>
            </w:r>
            <w:r>
              <w:rPr>
                <w:sz w:val="22"/>
                <w:szCs w:val="22"/>
              </w:rPr>
              <w:t>]</w:t>
            </w:r>
            <w:r>
              <w:rPr>
                <w:rStyle w:val="FootnoteReference"/>
                <w:sz w:val="22"/>
                <w:szCs w:val="22"/>
              </w:rPr>
              <w:footnoteReference w:id="3"/>
            </w:r>
          </w:p>
        </w:tc>
        <w:tc>
          <w:tcPr>
            <w:tcW w:w="1710" w:type="dxa"/>
            <w:vAlign w:val="center"/>
          </w:tcPr>
          <w:p w14:paraId="448C976F" w14:textId="77777777" w:rsidR="00423D77" w:rsidRPr="00621DE3" w:rsidRDefault="00423D77" w:rsidP="004C36C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jc w:val="center"/>
              <w:rPr>
                <w:sz w:val="22"/>
                <w:szCs w:val="22"/>
              </w:rPr>
            </w:pPr>
            <w:r w:rsidRPr="00621DE3">
              <w:rPr>
                <w:sz w:val="22"/>
                <w:szCs w:val="22"/>
              </w:rPr>
              <w:t>N/A</w:t>
            </w:r>
          </w:p>
        </w:tc>
      </w:tr>
    </w:tbl>
    <w:p w14:paraId="7DDC547C" w14:textId="77777777" w:rsidR="00423D77" w:rsidRPr="00423D77" w:rsidRDefault="00423D77" w:rsidP="00423D77">
      <w:pPr>
        <w:numPr>
          <w:ilvl w:val="0"/>
          <w:numId w:val="12"/>
        </w:numPr>
        <w:ind w:leftChars="145" w:left="708"/>
        <w:jc w:val="both"/>
      </w:pPr>
      <w:r w:rsidRPr="00423D77">
        <w:t xml:space="preserve">For protection of GSO space stations, emissions of non-GSO space stations shall not produce a PFD at any point in the GSO arc greater than the power flux-density produced by earth stations associated with satellite network/system with which they communicate (i.e. support operation within the envelope of the typical Earth Stations as per Resolves 2.5 Option 1 of the draft new Resolution repeated below) </w:t>
      </w:r>
    </w:p>
    <w:p w14:paraId="348D2DD8" w14:textId="77777777" w:rsidR="00D22210" w:rsidRDefault="00D22210" w:rsidP="00423D77">
      <w:pPr>
        <w:pStyle w:val="ListParagraph"/>
        <w:tabs>
          <w:tab w:val="left" w:pos="709"/>
        </w:tabs>
        <w:rPr>
          <w:i/>
        </w:rPr>
      </w:pPr>
    </w:p>
    <w:p w14:paraId="08A22278" w14:textId="27249056" w:rsidR="00423D77" w:rsidRDefault="00D22210" w:rsidP="00423D77">
      <w:pPr>
        <w:pStyle w:val="ListParagraph"/>
        <w:tabs>
          <w:tab w:val="left" w:pos="709"/>
        </w:tabs>
        <w:rPr>
          <w:i/>
        </w:rPr>
      </w:pPr>
      <w:r>
        <w:rPr>
          <w:i/>
        </w:rPr>
        <w:tab/>
      </w:r>
      <w:r w:rsidR="00423D77">
        <w:rPr>
          <w:i/>
        </w:rPr>
        <w:t>Resolves</w:t>
      </w:r>
    </w:p>
    <w:p w14:paraId="5C59406A" w14:textId="54D25EB8" w:rsidR="00423D77" w:rsidRPr="00164E26" w:rsidRDefault="00D22210" w:rsidP="00423D77">
      <w:pPr>
        <w:pStyle w:val="ListParagraph"/>
        <w:tabs>
          <w:tab w:val="left" w:pos="709"/>
        </w:tabs>
      </w:pPr>
      <w:r>
        <w:rPr>
          <w:i/>
        </w:rPr>
        <w:tab/>
      </w:r>
      <w:r w:rsidR="00423D77" w:rsidRPr="00164E26">
        <w:rPr>
          <w:i/>
        </w:rPr>
        <w:t>2.5</w:t>
      </w:r>
      <w:r w:rsidR="00164E26">
        <w:rPr>
          <w:i/>
        </w:rPr>
        <w:t xml:space="preserve"> </w:t>
      </w:r>
      <w:r w:rsidR="00423D77" w:rsidRPr="00164E26">
        <w:rPr>
          <w:rStyle w:val="ECCParagraph"/>
          <w:rFonts w:ascii="Times New Roman" w:hAnsi="Times New Roman"/>
          <w:i/>
        </w:rPr>
        <w:t>Option 1: the emissions of this non-GSO space station shall not produce a power flux density at any point in the GSO arc greater than the power flux-density produced by earth stations associated with satellite network/system with which they communicate;</w:t>
      </w:r>
      <w:r w:rsidR="00423D77" w:rsidRPr="00164E26">
        <w:t xml:space="preserve">  </w:t>
      </w:r>
    </w:p>
    <w:p w14:paraId="67091692" w14:textId="77777777" w:rsidR="00423D77" w:rsidRDefault="00423D77" w:rsidP="00423D77">
      <w:pPr>
        <w:pStyle w:val="ListParagraph"/>
        <w:tabs>
          <w:tab w:val="left" w:pos="709"/>
        </w:tabs>
        <w:jc w:val="both"/>
      </w:pPr>
    </w:p>
    <w:p w14:paraId="0C28DCC8" w14:textId="71430674" w:rsidR="00423D77" w:rsidRDefault="00423D77" w:rsidP="00D22210">
      <w:pPr>
        <w:numPr>
          <w:ilvl w:val="0"/>
          <w:numId w:val="12"/>
        </w:numPr>
        <w:ind w:leftChars="145" w:left="708"/>
        <w:jc w:val="both"/>
      </w:pPr>
      <w:r w:rsidRPr="00D22210">
        <w:t xml:space="preserve">In addition, Tonga/Samoa support the continued discussion on the protection of GSO space stations under Annex 5 as referenced in </w:t>
      </w:r>
      <w:r w:rsidRPr="00D22210">
        <w:rPr>
          <w:i/>
          <w:iCs/>
        </w:rPr>
        <w:t>Resolves</w:t>
      </w:r>
      <w:r w:rsidRPr="00D22210">
        <w:t xml:space="preserve"> 2.5 Options 2 and 3. In particular, Tonga/Samoa is of the view that further discussions are required regarding the maximum pfd value proposed in Annex 5 (</w:t>
      </w:r>
      <w:r w:rsidRPr="00D22210">
        <w:rPr>
          <w:i/>
          <w:iCs/>
        </w:rPr>
        <w:t>-163/-165dBW/m</w:t>
      </w:r>
      <w:r w:rsidRPr="00D22210">
        <w:rPr>
          <w:i/>
          <w:iCs/>
          <w:vertAlign w:val="superscript"/>
        </w:rPr>
        <w:t>2</w:t>
      </w:r>
      <w:r w:rsidRPr="00D22210">
        <w:rPr>
          <w:i/>
          <w:iCs/>
        </w:rPr>
        <w:t xml:space="preserve"> in any 40 kHz band produced at any point in the GSO arc by a non-GSO space station</w:t>
      </w:r>
      <w:r w:rsidRPr="00D22210">
        <w:t>)</w:t>
      </w:r>
      <w:r w:rsidR="00604583">
        <w:t>.</w:t>
      </w:r>
    </w:p>
    <w:p w14:paraId="5A4AC51B" w14:textId="7F8FEE6D" w:rsidR="00604583" w:rsidRPr="00604583" w:rsidRDefault="00604583" w:rsidP="00604583">
      <w:pPr>
        <w:numPr>
          <w:ilvl w:val="0"/>
          <w:numId w:val="12"/>
        </w:numPr>
        <w:ind w:leftChars="145" w:left="708"/>
        <w:jc w:val="both"/>
        <w:rPr>
          <w:lang w:val="en-NZ" w:eastAsia="ko-KR"/>
        </w:rPr>
      </w:pPr>
      <w:r>
        <w:rPr>
          <w:lang w:val="en-NZ" w:eastAsia="ko-KR"/>
        </w:rPr>
        <w:t>Tonga/Samoa have developed the PACP as shown in the embedded doc below:</w:t>
      </w:r>
    </w:p>
    <w:bookmarkStart w:id="6" w:name="_MON_1751372682"/>
    <w:bookmarkEnd w:id="6"/>
    <w:p w14:paraId="57115BEE" w14:textId="017870A8" w:rsidR="00604583" w:rsidRPr="00D22210" w:rsidRDefault="00604583" w:rsidP="00604583">
      <w:pPr>
        <w:ind w:left="348"/>
        <w:jc w:val="center"/>
      </w:pPr>
      <w:r>
        <w:rPr>
          <w:noProof/>
        </w:rPr>
        <w:object w:dxaOrig="1508" w:dyaOrig="982" w14:anchorId="4F24BFD0">
          <v:shape id="_x0000_i1028" type="#_x0000_t75" alt="" style="width:76.3pt;height:49.3pt;mso-width-percent:0;mso-height-percent:0;mso-width-percent:0;mso-height-percent:0" o:ole="">
            <v:imagedata r:id="rId39" o:title=""/>
          </v:shape>
          <o:OLEObject Type="Embed" ProgID="Word.Document.12" ShapeID="_x0000_i1028" DrawAspect="Icon" ObjectID="_1754977371" r:id="rId40">
            <o:FieldCodes>\s</o:FieldCodes>
          </o:OLEObject>
        </w:object>
      </w:r>
    </w:p>
    <w:p w14:paraId="42C6E45C" w14:textId="77777777" w:rsidR="0003336D" w:rsidRPr="0003336D" w:rsidRDefault="0003336D" w:rsidP="009D4B7A">
      <w:pPr>
        <w:rPr>
          <w:lang w:val="en-NZ"/>
        </w:rPr>
      </w:pPr>
    </w:p>
    <w:p w14:paraId="29083E6C" w14:textId="44061743" w:rsidR="004D22D8" w:rsidRPr="004D22D8" w:rsidRDefault="009D4B7A" w:rsidP="008A6FBF">
      <w:pPr>
        <w:spacing w:after="120"/>
        <w:jc w:val="both"/>
        <w:outlineLvl w:val="1"/>
        <w:rPr>
          <w:bCs/>
          <w:lang w:eastAsia="ko-KR"/>
        </w:rPr>
      </w:pPr>
      <w:r w:rsidRPr="00441526">
        <w:rPr>
          <w:b/>
          <w:lang w:val="en-NZ" w:eastAsia="ko-KR"/>
        </w:rPr>
        <w:t xml:space="preserve">3.2 </w:t>
      </w:r>
      <w:r w:rsidRPr="00441526">
        <w:rPr>
          <w:b/>
          <w:lang w:val="en-NZ" w:eastAsia="ko-KR"/>
        </w:rPr>
        <w:tab/>
        <w:t>Summary of issues raised during the meeting</w:t>
      </w:r>
    </w:p>
    <w:p w14:paraId="22B07ADF" w14:textId="207144F6" w:rsidR="00BB0A15" w:rsidRPr="00BB0A15" w:rsidRDefault="00BB0A15" w:rsidP="00BB0A15">
      <w:pPr>
        <w:jc w:val="both"/>
        <w:rPr>
          <w:lang w:val="en-NZ"/>
        </w:rPr>
      </w:pPr>
      <w:r w:rsidRPr="00BB0A15">
        <w:rPr>
          <w:lang w:val="en-NZ"/>
        </w:rPr>
        <w:t>The following concerns were expressed and discussed at the meeting:</w:t>
      </w:r>
    </w:p>
    <w:p w14:paraId="43AC48F0" w14:textId="0BC51482" w:rsidR="005B30A1" w:rsidRPr="0087183F" w:rsidRDefault="005B30A1" w:rsidP="00DC06EA">
      <w:pPr>
        <w:numPr>
          <w:ilvl w:val="0"/>
          <w:numId w:val="12"/>
        </w:numPr>
        <w:ind w:leftChars="145" w:left="708"/>
        <w:jc w:val="both"/>
        <w:rPr>
          <w:b/>
          <w:bCs/>
          <w:lang w:val="en-NZ"/>
        </w:rPr>
      </w:pPr>
      <w:r w:rsidRPr="005B30A1">
        <w:rPr>
          <w:rFonts w:eastAsia="SimSun" w:hint="eastAsia"/>
          <w:lang w:val="en-NZ" w:eastAsia="zh-CN"/>
        </w:rPr>
        <w:t>S</w:t>
      </w:r>
      <w:r w:rsidRPr="005B30A1">
        <w:rPr>
          <w:rFonts w:eastAsia="SimSun"/>
          <w:lang w:val="en-NZ" w:eastAsia="zh-CN"/>
        </w:rPr>
        <w:t xml:space="preserve">ome </w:t>
      </w:r>
      <w:r w:rsidRPr="005B30A1">
        <w:rPr>
          <w:lang w:val="en-NZ"/>
        </w:rPr>
        <w:t>APT Members support Method B for the development of the technical conditions and regulatory provisions to enable the operation of satellite-to-satellite links in the 18.1-18.6 GHz, 18.8-20.2 GHz and 27.5-30 GHz bands, or parts thereof, while ensuring protection of existing primary services in the same frequency bands and adjacent bands.</w:t>
      </w:r>
      <w:r>
        <w:rPr>
          <w:lang w:val="en-NZ"/>
        </w:rPr>
        <w:t xml:space="preserve"> </w:t>
      </w:r>
    </w:p>
    <w:p w14:paraId="4A2E6A6D" w14:textId="0BF02F0C" w:rsidR="005B30A1" w:rsidRPr="00F31B1A" w:rsidRDefault="005B30A1" w:rsidP="00DC06EA">
      <w:pPr>
        <w:numPr>
          <w:ilvl w:val="0"/>
          <w:numId w:val="12"/>
        </w:numPr>
        <w:ind w:leftChars="145" w:left="708"/>
        <w:jc w:val="both"/>
        <w:rPr>
          <w:b/>
          <w:bCs/>
          <w:lang w:val="en-NZ"/>
        </w:rPr>
      </w:pPr>
      <w:r>
        <w:rPr>
          <w:rFonts w:eastAsia="SimSun" w:hint="eastAsia"/>
          <w:lang w:val="en-NZ" w:eastAsia="zh-CN"/>
        </w:rPr>
        <w:t>S</w:t>
      </w:r>
      <w:r>
        <w:rPr>
          <w:rFonts w:eastAsia="SimSun"/>
          <w:lang w:val="en-NZ" w:eastAsia="zh-CN"/>
        </w:rPr>
        <w:t xml:space="preserve">ome APT Members </w:t>
      </w:r>
      <w:r w:rsidR="006B2A00">
        <w:rPr>
          <w:rFonts w:eastAsia="SimSun"/>
          <w:lang w:val="en-NZ" w:eastAsia="zh-CN"/>
        </w:rPr>
        <w:t>support</w:t>
      </w:r>
      <w:r>
        <w:rPr>
          <w:rFonts w:eastAsia="SimSun"/>
          <w:lang w:val="en-NZ" w:eastAsia="zh-CN"/>
        </w:rPr>
        <w:t xml:space="preserve"> </w:t>
      </w:r>
      <w:r w:rsidRPr="005B30A1">
        <w:rPr>
          <w:lang w:val="en-NZ"/>
        </w:rPr>
        <w:t xml:space="preserve">Method </w:t>
      </w:r>
      <w:r>
        <w:rPr>
          <w:lang w:val="en-NZ"/>
        </w:rPr>
        <w:t>A</w:t>
      </w:r>
      <w:r w:rsidR="00794489">
        <w:rPr>
          <w:lang w:val="en-NZ"/>
        </w:rPr>
        <w:t xml:space="preserve">, </w:t>
      </w:r>
      <w:r w:rsidR="00EC7E78">
        <w:rPr>
          <w:lang w:val="en-NZ"/>
        </w:rPr>
        <w:t>considering</w:t>
      </w:r>
      <w:r w:rsidR="00DC696D">
        <w:rPr>
          <w:lang w:val="en-NZ"/>
        </w:rPr>
        <w:t xml:space="preserve"> that </w:t>
      </w:r>
      <w:r w:rsidR="00794489" w:rsidRPr="00794489">
        <w:rPr>
          <w:lang w:val="en-NZ"/>
        </w:rPr>
        <w:t>several issues remained unclear including requirements to affect coordination for frequency assignments to inter-satellite links of a GSO space station communicating with non-GSO space stations.</w:t>
      </w:r>
    </w:p>
    <w:p w14:paraId="57A6A0CE" w14:textId="18499BFB" w:rsidR="005B30A1" w:rsidRPr="0000782C" w:rsidRDefault="00DC06EA" w:rsidP="005B30A1">
      <w:pPr>
        <w:numPr>
          <w:ilvl w:val="0"/>
          <w:numId w:val="12"/>
        </w:numPr>
        <w:ind w:leftChars="145" w:left="708"/>
        <w:jc w:val="both"/>
        <w:rPr>
          <w:lang w:val="en-NZ"/>
        </w:rPr>
      </w:pPr>
      <w:r w:rsidRPr="0000782C">
        <w:rPr>
          <w:rFonts w:eastAsia="SimSun" w:hint="eastAsia"/>
          <w:lang w:val="en-NZ" w:eastAsia="zh-CN"/>
        </w:rPr>
        <w:t>S</w:t>
      </w:r>
      <w:r w:rsidRPr="0000782C">
        <w:rPr>
          <w:rFonts w:eastAsia="SimSun"/>
          <w:lang w:val="en-NZ" w:eastAsia="zh-CN"/>
        </w:rPr>
        <w:t xml:space="preserve">ome </w:t>
      </w:r>
      <w:r w:rsidRPr="0000782C">
        <w:rPr>
          <w:lang w:val="en-NZ"/>
        </w:rPr>
        <w:t>APT Members are the view of that such satellite-to-satellite operation should be allowed through the FSS (space-to-space) allocations</w:t>
      </w:r>
      <w:r w:rsidR="0000782C" w:rsidRPr="0000782C">
        <w:rPr>
          <w:lang w:val="en-NZ"/>
        </w:rPr>
        <w:t xml:space="preserve"> while </w:t>
      </w:r>
      <w:r w:rsidR="0000782C">
        <w:rPr>
          <w:lang w:val="en-NZ"/>
        </w:rPr>
        <w:t>s</w:t>
      </w:r>
      <w:r w:rsidRPr="0000782C">
        <w:rPr>
          <w:lang w:val="en-NZ"/>
        </w:rPr>
        <w:t xml:space="preserve">ome APT Members </w:t>
      </w:r>
      <w:r w:rsidR="006B2A00">
        <w:rPr>
          <w:lang w:val="en-NZ"/>
        </w:rPr>
        <w:t xml:space="preserve">are </w:t>
      </w:r>
      <w:r w:rsidR="00050FE4">
        <w:rPr>
          <w:lang w:val="en-NZ"/>
        </w:rPr>
        <w:t>considering</w:t>
      </w:r>
      <w:r w:rsidRPr="0000782C">
        <w:rPr>
          <w:lang w:val="en-NZ"/>
        </w:rPr>
        <w:t xml:space="preserve"> </w:t>
      </w:r>
      <w:r w:rsidR="005D4A88" w:rsidRPr="0000782C">
        <w:rPr>
          <w:lang w:val="en-NZ"/>
        </w:rPr>
        <w:t>an ISS allocation.</w:t>
      </w:r>
    </w:p>
    <w:p w14:paraId="60362CB6" w14:textId="3D4D02E7" w:rsidR="001E6C4D" w:rsidRDefault="00670CE1" w:rsidP="00454B2F">
      <w:pPr>
        <w:numPr>
          <w:ilvl w:val="0"/>
          <w:numId w:val="12"/>
        </w:numPr>
        <w:ind w:leftChars="145" w:left="708"/>
        <w:jc w:val="both"/>
        <w:rPr>
          <w:lang w:val="en-ID"/>
        </w:rPr>
      </w:pPr>
      <w:r>
        <w:rPr>
          <w:lang w:val="en-ID"/>
        </w:rPr>
        <w:t xml:space="preserve">Concerns </w:t>
      </w:r>
      <w:r w:rsidR="00175623">
        <w:rPr>
          <w:lang w:val="en-ID"/>
        </w:rPr>
        <w:t>on</w:t>
      </w:r>
      <w:r>
        <w:rPr>
          <w:lang w:val="en-ID"/>
        </w:rPr>
        <w:t xml:space="preserve"> aspects of interference manage system</w:t>
      </w:r>
      <w:r w:rsidR="00A21C4C">
        <w:rPr>
          <w:lang w:val="en-ID"/>
        </w:rPr>
        <w:t>(</w:t>
      </w:r>
      <w:r>
        <w:rPr>
          <w:lang w:val="en-ID"/>
        </w:rPr>
        <w:t>s</w:t>
      </w:r>
      <w:r w:rsidR="00A21C4C">
        <w:rPr>
          <w:lang w:val="en-ID"/>
        </w:rPr>
        <w:t xml:space="preserve">) and </w:t>
      </w:r>
      <w:r w:rsidR="00A21C4C" w:rsidRPr="00A21C4C">
        <w:rPr>
          <w:lang w:val="en-ID"/>
        </w:rPr>
        <w:t xml:space="preserve">monitoring facilities </w:t>
      </w:r>
      <w:r w:rsidR="00A21C4C">
        <w:rPr>
          <w:lang w:val="en-ID"/>
        </w:rPr>
        <w:t>(</w:t>
      </w:r>
      <w:r>
        <w:rPr>
          <w:lang w:val="en-ID"/>
        </w:rPr>
        <w:t>NCMC</w:t>
      </w:r>
      <w:r w:rsidR="00A21C4C">
        <w:rPr>
          <w:lang w:val="en-ID"/>
        </w:rPr>
        <w:t>)</w:t>
      </w:r>
      <w:r>
        <w:rPr>
          <w:lang w:val="en-ID"/>
        </w:rPr>
        <w:t xml:space="preserve"> are </w:t>
      </w:r>
      <w:r w:rsidR="00EF574E">
        <w:rPr>
          <w:lang w:val="en-ID"/>
        </w:rPr>
        <w:t>expres</w:t>
      </w:r>
      <w:r w:rsidR="00EF574E" w:rsidRPr="001E6C4D">
        <w:rPr>
          <w:lang w:val="en-ID"/>
        </w:rPr>
        <w:t>sed</w:t>
      </w:r>
      <w:r w:rsidR="001E6C4D" w:rsidRPr="001E6C4D">
        <w:rPr>
          <w:lang w:val="en-ID"/>
        </w:rPr>
        <w:t xml:space="preserve"> </w:t>
      </w:r>
      <w:r w:rsidR="00EF574E">
        <w:rPr>
          <w:lang w:val="en-ID"/>
        </w:rPr>
        <w:t xml:space="preserve">by some </w:t>
      </w:r>
      <w:r w:rsidR="001E6C4D" w:rsidRPr="001E6C4D">
        <w:rPr>
          <w:lang w:val="en-ID"/>
        </w:rPr>
        <w:t>APT Members</w:t>
      </w:r>
      <w:r w:rsidR="00175623">
        <w:rPr>
          <w:lang w:val="en-ID"/>
        </w:rPr>
        <w:t>.</w:t>
      </w:r>
    </w:p>
    <w:p w14:paraId="62E9ACF3" w14:textId="4497692D" w:rsidR="003B708A" w:rsidRDefault="003B708A" w:rsidP="003B708A">
      <w:pPr>
        <w:numPr>
          <w:ilvl w:val="0"/>
          <w:numId w:val="12"/>
        </w:numPr>
        <w:ind w:leftChars="145" w:left="708"/>
        <w:jc w:val="both"/>
        <w:rPr>
          <w:lang w:val="en-ID"/>
        </w:rPr>
      </w:pPr>
      <w:r w:rsidRPr="003B708A">
        <w:rPr>
          <w:lang w:val="en-ID"/>
        </w:rPr>
        <w:t xml:space="preserve">APT members have not yet reached consensus on the pfd mask(s) </w:t>
      </w:r>
      <w:r w:rsidR="00D60B7F" w:rsidRPr="003B708A">
        <w:rPr>
          <w:lang w:val="en-ID"/>
        </w:rPr>
        <w:t xml:space="preserve">included in Annex 2 of the new draft Resolution </w:t>
      </w:r>
      <w:r w:rsidRPr="003B708A">
        <w:rPr>
          <w:lang w:val="en-ID"/>
        </w:rPr>
        <w:t>to protect terrestrial services.</w:t>
      </w:r>
    </w:p>
    <w:p w14:paraId="7F30B6A1" w14:textId="5AF19DA3" w:rsidR="006B2E2B" w:rsidRDefault="006B2E2B" w:rsidP="003B708A">
      <w:pPr>
        <w:numPr>
          <w:ilvl w:val="0"/>
          <w:numId w:val="12"/>
        </w:numPr>
        <w:ind w:leftChars="145" w:left="708"/>
        <w:jc w:val="both"/>
        <w:rPr>
          <w:lang w:val="en-ID"/>
        </w:rPr>
      </w:pPr>
      <w:r>
        <w:rPr>
          <w:lang w:val="en-ID"/>
        </w:rPr>
        <w:t>F</w:t>
      </w:r>
      <w:r w:rsidRPr="006B2E2B">
        <w:rPr>
          <w:lang w:val="en-ID"/>
        </w:rPr>
        <w:t xml:space="preserve">urther discussions are required regarding the </w:t>
      </w:r>
      <w:r w:rsidR="00401AB4">
        <w:t>relevant e.i.r.p/pfd</w:t>
      </w:r>
      <w:r w:rsidR="00401AB4" w:rsidRPr="00D22210">
        <w:t xml:space="preserve"> value</w:t>
      </w:r>
      <w:r w:rsidR="00401AB4">
        <w:t xml:space="preserve">s included in the Annex 4 and 5 to </w:t>
      </w:r>
      <w:r w:rsidR="006B2A00">
        <w:t xml:space="preserve">the draft Resolution to </w:t>
      </w:r>
      <w:r w:rsidR="00401AB4">
        <w:t xml:space="preserve">protect </w:t>
      </w:r>
      <w:r w:rsidR="006B2A00">
        <w:t xml:space="preserve">non-GSO and </w:t>
      </w:r>
      <w:r w:rsidR="00401AB4">
        <w:t>GSO systems</w:t>
      </w:r>
      <w:r w:rsidR="00044C53">
        <w:t>, respectively</w:t>
      </w:r>
      <w:r w:rsidR="00401AB4">
        <w:t>.</w:t>
      </w:r>
    </w:p>
    <w:p w14:paraId="65DE35F9" w14:textId="77777777" w:rsidR="00293CCA" w:rsidRPr="00044C53" w:rsidRDefault="00293CCA" w:rsidP="00293CCA">
      <w:pPr>
        <w:ind w:left="708"/>
        <w:jc w:val="both"/>
        <w:rPr>
          <w:lang w:val="en-ID"/>
        </w:rPr>
      </w:pPr>
    </w:p>
    <w:p w14:paraId="57F68FC1" w14:textId="7A04804F" w:rsidR="009D4B7A" w:rsidRPr="00441526" w:rsidRDefault="009D4B7A" w:rsidP="00C403D9">
      <w:pPr>
        <w:spacing w:after="120"/>
        <w:jc w:val="both"/>
        <w:outlineLvl w:val="0"/>
        <w:rPr>
          <w:b/>
          <w:lang w:val="en-NZ" w:eastAsia="ko-KR"/>
        </w:rPr>
      </w:pPr>
      <w:r w:rsidRPr="00441526">
        <w:rPr>
          <w:b/>
          <w:lang w:val="en-NZ" w:eastAsia="ko-KR"/>
        </w:rPr>
        <w:t xml:space="preserve">4. </w:t>
      </w:r>
      <w:r w:rsidRPr="00441526">
        <w:rPr>
          <w:b/>
          <w:lang w:val="en-NZ" w:eastAsia="ko-KR"/>
        </w:rPr>
        <w:tab/>
        <w:t>APT View(s)</w:t>
      </w:r>
    </w:p>
    <w:p w14:paraId="3D36405D" w14:textId="3B46BA03" w:rsidR="006D437F" w:rsidRPr="0087183F" w:rsidRDefault="00D97C8A" w:rsidP="007F1CC0">
      <w:pPr>
        <w:numPr>
          <w:ilvl w:val="0"/>
          <w:numId w:val="12"/>
        </w:numPr>
        <w:ind w:leftChars="145" w:left="708"/>
        <w:jc w:val="both"/>
        <w:rPr>
          <w:lang w:val="en-ID"/>
        </w:rPr>
      </w:pPr>
      <w:r w:rsidRPr="00CA36F1">
        <w:rPr>
          <w:rFonts w:eastAsia="SimSun"/>
          <w:lang w:val="en-NZ" w:eastAsia="zh-CN"/>
        </w:rPr>
        <w:t>APT</w:t>
      </w:r>
      <w:r w:rsidR="006D437F">
        <w:rPr>
          <w:rFonts w:eastAsia="SimSun"/>
          <w:lang w:val="en-NZ" w:eastAsia="zh-CN"/>
        </w:rPr>
        <w:t xml:space="preserve"> Members</w:t>
      </w:r>
      <w:r w:rsidRPr="00CA36F1">
        <w:rPr>
          <w:rFonts w:eastAsia="SimSun"/>
          <w:lang w:val="en-NZ" w:eastAsia="zh-CN"/>
        </w:rPr>
        <w:t xml:space="preserve"> </w:t>
      </w:r>
      <w:r w:rsidR="006B2A00">
        <w:rPr>
          <w:rFonts w:eastAsia="SimSun"/>
          <w:lang w:val="en-NZ" w:eastAsia="zh-CN"/>
        </w:rPr>
        <w:t>are</w:t>
      </w:r>
      <w:r w:rsidR="006B2A00" w:rsidRPr="00CA36F1">
        <w:rPr>
          <w:rFonts w:eastAsia="SimSun"/>
          <w:lang w:val="en-NZ" w:eastAsia="zh-CN"/>
        </w:rPr>
        <w:t xml:space="preserve"> </w:t>
      </w:r>
      <w:r w:rsidR="006D437F">
        <w:rPr>
          <w:rFonts w:eastAsia="SimSun"/>
          <w:lang w:val="en-NZ" w:eastAsia="zh-CN"/>
        </w:rPr>
        <w:t>considering Method A</w:t>
      </w:r>
      <w:r w:rsidR="006B2A00">
        <w:rPr>
          <w:rFonts w:eastAsia="SimSun"/>
          <w:lang w:val="en-NZ" w:eastAsia="zh-CN"/>
        </w:rPr>
        <w:t xml:space="preserve"> under agenda item 1.17</w:t>
      </w:r>
      <w:r w:rsidR="006D437F">
        <w:rPr>
          <w:rFonts w:eastAsia="SimSun"/>
          <w:lang w:val="en-NZ" w:eastAsia="zh-CN"/>
        </w:rPr>
        <w:t>.</w:t>
      </w:r>
    </w:p>
    <w:p w14:paraId="1A8C701A" w14:textId="11356F0E" w:rsidR="006B2A00" w:rsidRPr="0087183F" w:rsidRDefault="006B2A00" w:rsidP="007F1CC0">
      <w:pPr>
        <w:numPr>
          <w:ilvl w:val="0"/>
          <w:numId w:val="12"/>
        </w:numPr>
        <w:ind w:leftChars="145" w:left="708"/>
        <w:jc w:val="both"/>
        <w:rPr>
          <w:lang w:val="en-ID"/>
        </w:rPr>
      </w:pPr>
    </w:p>
    <w:p w14:paraId="7DA22E7C" w14:textId="7984FC55" w:rsidR="007F1CC0" w:rsidRPr="006D437F" w:rsidRDefault="006D437F" w:rsidP="007F1CC0">
      <w:pPr>
        <w:numPr>
          <w:ilvl w:val="0"/>
          <w:numId w:val="12"/>
        </w:numPr>
        <w:ind w:leftChars="145" w:left="708"/>
        <w:jc w:val="both"/>
        <w:rPr>
          <w:lang w:val="en-ID"/>
        </w:rPr>
      </w:pPr>
      <w:r>
        <w:rPr>
          <w:rFonts w:eastAsia="SimSun"/>
          <w:lang w:val="en-ID" w:eastAsia="zh-CN"/>
        </w:rPr>
        <w:t xml:space="preserve">APT Members also </w:t>
      </w:r>
      <w:r w:rsidR="006B2A00">
        <w:rPr>
          <w:rFonts w:eastAsia="SimSun"/>
          <w:lang w:val="en-ID" w:eastAsia="zh-CN"/>
        </w:rPr>
        <w:t>agreed on</w:t>
      </w:r>
      <w:r w:rsidR="00D97C8A" w:rsidRPr="00CA36F1">
        <w:rPr>
          <w:rFonts w:eastAsia="SimSun"/>
          <w:lang w:val="en-NZ" w:eastAsia="zh-CN"/>
        </w:rPr>
        <w:t xml:space="preserve">a Preliminary APT Common Proposal on </w:t>
      </w:r>
      <w:r>
        <w:rPr>
          <w:rFonts w:eastAsia="SimSun"/>
          <w:lang w:val="en-NZ" w:eastAsia="zh-CN"/>
        </w:rPr>
        <w:t xml:space="preserve">Method B under the condition that issues raised in the draft Resolutions attached to this PACP are </w:t>
      </w:r>
      <w:r w:rsidR="009D5C56">
        <w:rPr>
          <w:rFonts w:eastAsia="SimSun"/>
          <w:lang w:val="en-NZ" w:eastAsia="zh-CN"/>
        </w:rPr>
        <w:t>successfully</w:t>
      </w:r>
      <w:r>
        <w:rPr>
          <w:rFonts w:eastAsia="SimSun"/>
          <w:lang w:val="en-NZ" w:eastAsia="zh-CN"/>
        </w:rPr>
        <w:t xml:space="preserve"> resolved and agreed by the Conference</w:t>
      </w:r>
      <w:r w:rsidR="00D97C8A" w:rsidRPr="00CA36F1">
        <w:rPr>
          <w:rFonts w:eastAsia="SimSun"/>
          <w:lang w:val="en-NZ" w:eastAsia="zh-CN"/>
        </w:rPr>
        <w:t xml:space="preserve">. </w:t>
      </w:r>
    </w:p>
    <w:p w14:paraId="4AA28A53" w14:textId="77777777" w:rsidR="007F1CC0" w:rsidRPr="009C5794" w:rsidRDefault="007F1CC0" w:rsidP="0094276F">
      <w:pPr>
        <w:ind w:left="708"/>
        <w:jc w:val="both"/>
        <w:rPr>
          <w:rFonts w:ascii="SimSun" w:eastAsia="SimSun" w:hAnsi="SimSun"/>
          <w:lang w:val="en-ID" w:eastAsia="zh-CN"/>
        </w:rPr>
      </w:pPr>
    </w:p>
    <w:p w14:paraId="7A3A9F47" w14:textId="1B47244F" w:rsidR="009D4B7A" w:rsidRPr="00441526" w:rsidRDefault="009D4B7A" w:rsidP="00C403D9">
      <w:pPr>
        <w:spacing w:after="120"/>
        <w:jc w:val="both"/>
        <w:outlineLvl w:val="0"/>
        <w:rPr>
          <w:b/>
          <w:lang w:val="en-NZ" w:eastAsia="ko-KR"/>
        </w:rPr>
      </w:pPr>
      <w:r w:rsidRPr="00441526">
        <w:rPr>
          <w:b/>
          <w:lang w:val="en-NZ" w:eastAsia="ko-KR"/>
        </w:rPr>
        <w:t xml:space="preserve">5. </w:t>
      </w:r>
      <w:r w:rsidRPr="00441526">
        <w:rPr>
          <w:b/>
          <w:lang w:val="en-NZ" w:eastAsia="ko-KR"/>
        </w:rPr>
        <w:tab/>
      </w:r>
      <w:r w:rsidR="00DB6EC4">
        <w:rPr>
          <w:b/>
          <w:lang w:val="en-NZ" w:eastAsia="ko-KR"/>
        </w:rPr>
        <w:t>Preliminary APT Common Proposal</w:t>
      </w:r>
    </w:p>
    <w:p w14:paraId="74E3A7A4" w14:textId="538F8CCF" w:rsidR="009D4B7A" w:rsidRDefault="009D4B7A" w:rsidP="00F8271D">
      <w:pPr>
        <w:rPr>
          <w:lang w:val="en-NZ"/>
        </w:rPr>
      </w:pPr>
    </w:p>
    <w:p w14:paraId="08CA1905" w14:textId="523A5049" w:rsidR="00F8271D" w:rsidRPr="00781941" w:rsidRDefault="00F8271D" w:rsidP="00F8271D">
      <w:pPr>
        <w:rPr>
          <w:lang w:val="en-NZ"/>
        </w:rPr>
      </w:pPr>
      <w:r>
        <w:rPr>
          <w:lang w:val="en-NZ"/>
        </w:rPr>
        <w:tab/>
      </w:r>
      <w:bookmarkStart w:id="7" w:name="_MON_1754977323"/>
      <w:bookmarkEnd w:id="7"/>
      <w:r>
        <w:rPr>
          <w:lang w:val="en-NZ"/>
        </w:rPr>
        <w:object w:dxaOrig="1493" w:dyaOrig="980" w14:anchorId="2226D26B">
          <v:shape id="_x0000_i1031" type="#_x0000_t75" style="width:74.55pt;height:48.85pt" o:ole="">
            <v:imagedata r:id="rId41" o:title=""/>
          </v:shape>
          <o:OLEObject Type="Embed" ProgID="Word.Document.12" ShapeID="_x0000_i1031" DrawAspect="Icon" ObjectID="_1754977372" r:id="rId42">
            <o:FieldCodes>\s</o:FieldCodes>
          </o:OLEObject>
        </w:object>
      </w:r>
    </w:p>
    <w:p w14:paraId="3BC3C256" w14:textId="77777777" w:rsidR="000422E4" w:rsidRPr="00441526" w:rsidRDefault="000422E4" w:rsidP="000422E4">
      <w:pPr>
        <w:jc w:val="center"/>
        <w:rPr>
          <w:lang w:val="en-NZ"/>
        </w:rPr>
      </w:pPr>
    </w:p>
    <w:p w14:paraId="5CA333B1" w14:textId="1DE5836E" w:rsidR="009D4B7A" w:rsidRPr="00441526" w:rsidRDefault="009D4B7A" w:rsidP="00C403D9">
      <w:pPr>
        <w:spacing w:after="120"/>
        <w:jc w:val="both"/>
        <w:outlineLvl w:val="0"/>
        <w:rPr>
          <w:b/>
          <w:lang w:val="en-NZ" w:eastAsia="ko-KR"/>
        </w:rPr>
      </w:pPr>
      <w:r>
        <w:rPr>
          <w:b/>
          <w:lang w:val="en-NZ" w:eastAsia="ko-KR"/>
        </w:rPr>
        <w:t>6</w:t>
      </w:r>
      <w:r w:rsidRPr="00441526">
        <w:rPr>
          <w:b/>
          <w:lang w:val="en-NZ" w:eastAsia="ko-KR"/>
        </w:rPr>
        <w:t xml:space="preserve">. </w:t>
      </w:r>
      <w:r w:rsidRPr="00441526">
        <w:rPr>
          <w:b/>
          <w:lang w:val="en-NZ" w:eastAsia="ko-KR"/>
        </w:rPr>
        <w:tab/>
        <w:t>Issues for Consideration at APG</w:t>
      </w:r>
      <w:r w:rsidR="00DB6EC4">
        <w:rPr>
          <w:b/>
          <w:lang w:val="en-NZ" w:eastAsia="ko-KR"/>
        </w:rPr>
        <w:t xml:space="preserve"> Coordination</w:t>
      </w:r>
      <w:r w:rsidRPr="00441526">
        <w:rPr>
          <w:b/>
          <w:lang w:val="en-NZ" w:eastAsia="ko-KR"/>
        </w:rPr>
        <w:t xml:space="preserve"> Meeting</w:t>
      </w:r>
      <w:r w:rsidR="00DB6EC4">
        <w:rPr>
          <w:b/>
          <w:lang w:val="en-NZ" w:eastAsia="ko-KR"/>
        </w:rPr>
        <w:t xml:space="preserve"> at WRC-23</w:t>
      </w:r>
    </w:p>
    <w:p w14:paraId="1CC705BB" w14:textId="053CB623" w:rsidR="00434B2A" w:rsidRDefault="006D561C" w:rsidP="00577C12">
      <w:pPr>
        <w:jc w:val="both"/>
        <w:rPr>
          <w:lang w:val="en-ID"/>
        </w:rPr>
      </w:pPr>
      <w:r w:rsidRPr="00147764">
        <w:rPr>
          <w:lang w:val="en-ID"/>
        </w:rPr>
        <w:t>Further discussions are required</w:t>
      </w:r>
      <w:r w:rsidR="00434B2A">
        <w:rPr>
          <w:lang w:val="en-ID"/>
        </w:rPr>
        <w:t xml:space="preserve"> on the following:</w:t>
      </w:r>
    </w:p>
    <w:p w14:paraId="5B3887B6" w14:textId="56214E26" w:rsidR="002F2ACD" w:rsidRPr="00147764" w:rsidRDefault="002F2ACD" w:rsidP="00147764">
      <w:pPr>
        <w:numPr>
          <w:ilvl w:val="0"/>
          <w:numId w:val="12"/>
        </w:numPr>
        <w:ind w:leftChars="145" w:left="708"/>
        <w:jc w:val="both"/>
        <w:rPr>
          <w:lang w:val="en-ID"/>
        </w:rPr>
      </w:pPr>
      <w:r w:rsidRPr="00147764">
        <w:rPr>
          <w:lang w:val="en-ID"/>
        </w:rPr>
        <w:t>on Alternative</w:t>
      </w:r>
      <w:r w:rsidR="0077693F" w:rsidRPr="00147764">
        <w:rPr>
          <w:lang w:val="en-ID"/>
        </w:rPr>
        <w:t>s</w:t>
      </w:r>
      <w:r w:rsidRPr="00147764">
        <w:rPr>
          <w:lang w:val="en-ID"/>
        </w:rPr>
        <w:t xml:space="preserve"> </w:t>
      </w:r>
      <w:r w:rsidR="0077693F" w:rsidRPr="00147764">
        <w:rPr>
          <w:lang w:val="en-ID"/>
        </w:rPr>
        <w:t>of</w:t>
      </w:r>
      <w:r w:rsidRPr="00147764">
        <w:rPr>
          <w:lang w:val="en-ID"/>
        </w:rPr>
        <w:t xml:space="preserve"> allocation for the satellite-to-satellite operations.</w:t>
      </w:r>
    </w:p>
    <w:p w14:paraId="60B8F072" w14:textId="7CF4B117" w:rsidR="002F2ACD" w:rsidRPr="00147764" w:rsidRDefault="002F2ACD" w:rsidP="00147764">
      <w:pPr>
        <w:numPr>
          <w:ilvl w:val="0"/>
          <w:numId w:val="12"/>
        </w:numPr>
        <w:ind w:leftChars="145" w:left="708"/>
        <w:jc w:val="both"/>
        <w:rPr>
          <w:lang w:val="en-ID"/>
        </w:rPr>
      </w:pPr>
      <w:r w:rsidRPr="00147764">
        <w:rPr>
          <w:lang w:val="en-ID"/>
        </w:rPr>
        <w:t xml:space="preserve">on </w:t>
      </w:r>
      <w:r w:rsidR="00303354" w:rsidRPr="00147764">
        <w:rPr>
          <w:lang w:val="en-ID"/>
        </w:rPr>
        <w:t>interference</w:t>
      </w:r>
      <w:r w:rsidR="00303354" w:rsidRPr="008C6711">
        <w:rPr>
          <w:lang w:val="en-ID"/>
        </w:rPr>
        <w:t xml:space="preserve"> management system(s)</w:t>
      </w:r>
      <w:r w:rsidR="00303354">
        <w:rPr>
          <w:lang w:val="en-ID"/>
        </w:rPr>
        <w:t xml:space="preserve"> and</w:t>
      </w:r>
      <w:r w:rsidR="00303354" w:rsidRPr="008C6711">
        <w:rPr>
          <w:lang w:val="en-ID"/>
        </w:rPr>
        <w:t xml:space="preserve"> monitoring facilities (NCMC)</w:t>
      </w:r>
      <w:r w:rsidR="002B3C9F">
        <w:rPr>
          <w:lang w:val="en-ID"/>
        </w:rPr>
        <w:t>.</w:t>
      </w:r>
    </w:p>
    <w:p w14:paraId="79D5989A" w14:textId="7BAD94D4" w:rsidR="0077693F" w:rsidRPr="00147764" w:rsidRDefault="00434B2A" w:rsidP="00147764">
      <w:pPr>
        <w:numPr>
          <w:ilvl w:val="0"/>
          <w:numId w:val="12"/>
        </w:numPr>
        <w:ind w:leftChars="145" w:left="708"/>
        <w:jc w:val="both"/>
        <w:rPr>
          <w:lang w:val="en-ID"/>
        </w:rPr>
      </w:pPr>
      <w:r>
        <w:rPr>
          <w:lang w:val="en-ID"/>
        </w:rPr>
        <w:t>on</w:t>
      </w:r>
      <w:r w:rsidR="006D561C" w:rsidRPr="00147764">
        <w:rPr>
          <w:lang w:val="en-ID"/>
        </w:rPr>
        <w:t xml:space="preserve"> </w:t>
      </w:r>
      <w:r w:rsidR="0077693F" w:rsidRPr="00147764">
        <w:rPr>
          <w:lang w:val="en-ID"/>
        </w:rPr>
        <w:t>the pfd mask</w:t>
      </w:r>
      <w:r w:rsidR="003B708A" w:rsidRPr="00147764">
        <w:rPr>
          <w:lang w:val="en-ID"/>
        </w:rPr>
        <w:t>(s)</w:t>
      </w:r>
      <w:r w:rsidR="0077693F" w:rsidRPr="00147764">
        <w:rPr>
          <w:lang w:val="en-ID"/>
        </w:rPr>
        <w:t xml:space="preserve"> to </w:t>
      </w:r>
      <w:r w:rsidR="0077693F" w:rsidRPr="00E742F3">
        <w:rPr>
          <w:lang w:val="en-ID"/>
        </w:rPr>
        <w:t xml:space="preserve">protect terrestrial services </w:t>
      </w:r>
      <w:r w:rsidR="0077693F">
        <w:rPr>
          <w:lang w:val="en-ID"/>
        </w:rPr>
        <w:t xml:space="preserve">included in Annex 2 of the new draft </w:t>
      </w:r>
      <w:r w:rsidR="0077693F" w:rsidRPr="00E742F3">
        <w:rPr>
          <w:lang w:val="en-ID"/>
        </w:rPr>
        <w:t>Resolution</w:t>
      </w:r>
      <w:r w:rsidR="0077693F">
        <w:rPr>
          <w:lang w:val="en-ID"/>
        </w:rPr>
        <w:t>.</w:t>
      </w:r>
    </w:p>
    <w:p w14:paraId="1290CF7A" w14:textId="31B7B562" w:rsidR="009C3A03" w:rsidRPr="00147764" w:rsidRDefault="00434B2A" w:rsidP="009C3A03">
      <w:pPr>
        <w:numPr>
          <w:ilvl w:val="0"/>
          <w:numId w:val="12"/>
        </w:numPr>
        <w:ind w:leftChars="145" w:left="708"/>
        <w:jc w:val="both"/>
        <w:rPr>
          <w:lang w:val="en-NZ"/>
        </w:rPr>
      </w:pPr>
      <w:r>
        <w:rPr>
          <w:lang w:val="en-ID"/>
        </w:rPr>
        <w:t>on</w:t>
      </w:r>
      <w:r w:rsidR="00147764" w:rsidRPr="00147764">
        <w:rPr>
          <w:lang w:val="en-ID"/>
        </w:rPr>
        <w:t xml:space="preserve"> the relevant e.i.r.p/pfd values included in the </w:t>
      </w:r>
      <w:r w:rsidRPr="00147764">
        <w:rPr>
          <w:lang w:val="en-ID"/>
        </w:rPr>
        <w:t>Annex</w:t>
      </w:r>
      <w:r>
        <w:rPr>
          <w:lang w:val="en-ID"/>
        </w:rPr>
        <w:t>es</w:t>
      </w:r>
      <w:r w:rsidR="00147764" w:rsidRPr="00147764">
        <w:rPr>
          <w:lang w:val="en-ID"/>
        </w:rPr>
        <w:t xml:space="preserve"> 4 and 5 </w:t>
      </w:r>
      <w:r>
        <w:rPr>
          <w:lang w:val="en-ID"/>
        </w:rPr>
        <w:t xml:space="preserve">to </w:t>
      </w:r>
      <w:r>
        <w:t xml:space="preserve">the draft Resolution </w:t>
      </w:r>
      <w:r w:rsidR="00147764" w:rsidRPr="00147764">
        <w:rPr>
          <w:lang w:val="en-ID"/>
        </w:rPr>
        <w:t xml:space="preserve">to protect </w:t>
      </w:r>
      <w:r w:rsidRPr="00147764">
        <w:rPr>
          <w:lang w:val="en-ID"/>
        </w:rPr>
        <w:t>non-GSO</w:t>
      </w:r>
      <w:r w:rsidRPr="00147764" w:rsidDel="00434B2A">
        <w:rPr>
          <w:lang w:val="en-ID"/>
        </w:rPr>
        <w:t xml:space="preserve"> </w:t>
      </w:r>
      <w:r w:rsidR="00147764" w:rsidRPr="00147764">
        <w:rPr>
          <w:lang w:val="en-ID"/>
        </w:rPr>
        <w:t xml:space="preserve">and </w:t>
      </w:r>
      <w:r w:rsidRPr="00147764">
        <w:rPr>
          <w:lang w:val="en-ID"/>
        </w:rPr>
        <w:t xml:space="preserve">GSO </w:t>
      </w:r>
      <w:r w:rsidR="00147764" w:rsidRPr="00147764">
        <w:rPr>
          <w:lang w:val="en-ID"/>
        </w:rPr>
        <w:t>systems</w:t>
      </w:r>
      <w:r>
        <w:rPr>
          <w:lang w:val="en-ID"/>
        </w:rPr>
        <w:t>, respectively</w:t>
      </w:r>
      <w:r w:rsidR="00147764" w:rsidRPr="00147764">
        <w:rPr>
          <w:lang w:val="en-ID"/>
        </w:rPr>
        <w:t>.</w:t>
      </w:r>
    </w:p>
    <w:p w14:paraId="7E96F128" w14:textId="77777777" w:rsidR="009D4B7A" w:rsidRPr="00434B2A" w:rsidRDefault="009D4B7A" w:rsidP="009D4B7A">
      <w:pPr>
        <w:jc w:val="both"/>
        <w:rPr>
          <w:lang w:val="en-NZ"/>
        </w:rPr>
      </w:pPr>
    </w:p>
    <w:p w14:paraId="6873B883" w14:textId="19B4F95C" w:rsidR="009D4B7A" w:rsidRPr="00B466EE" w:rsidRDefault="009D4B7A" w:rsidP="00B466EE">
      <w:pPr>
        <w:spacing w:after="120"/>
        <w:jc w:val="both"/>
        <w:outlineLvl w:val="0"/>
        <w:rPr>
          <w:bCs/>
          <w:lang w:val="en-NZ" w:eastAsia="ko-KR"/>
        </w:rPr>
      </w:pPr>
      <w:r>
        <w:rPr>
          <w:b/>
          <w:lang w:val="en-NZ" w:eastAsia="ko-KR"/>
        </w:rPr>
        <w:t>7</w:t>
      </w:r>
      <w:r w:rsidRPr="00441526">
        <w:rPr>
          <w:b/>
          <w:lang w:val="en-NZ" w:eastAsia="ko-KR"/>
        </w:rPr>
        <w:t xml:space="preserve">. </w:t>
      </w:r>
      <w:r w:rsidRPr="00441526">
        <w:rPr>
          <w:b/>
          <w:lang w:val="en-NZ" w:eastAsia="ko-KR"/>
        </w:rPr>
        <w:tab/>
        <w:t>Views from Other Organisations</w:t>
      </w:r>
    </w:p>
    <w:p w14:paraId="5417DE92" w14:textId="6DD7C375" w:rsidR="00875AAD" w:rsidRPr="00875AAD" w:rsidRDefault="009D4B7A" w:rsidP="00875AAD">
      <w:pPr>
        <w:spacing w:after="120"/>
        <w:jc w:val="both"/>
        <w:outlineLvl w:val="1"/>
        <w:rPr>
          <w:b/>
          <w:lang w:val="en-NZ" w:eastAsia="ko-KR"/>
        </w:rPr>
      </w:pPr>
      <w:r>
        <w:rPr>
          <w:b/>
          <w:lang w:val="en-NZ" w:eastAsia="ko-KR"/>
        </w:rPr>
        <w:t>7</w:t>
      </w:r>
      <w:r w:rsidRPr="00441526">
        <w:rPr>
          <w:b/>
          <w:lang w:val="en-NZ" w:eastAsia="ko-KR"/>
        </w:rPr>
        <w:t xml:space="preserve">.1 </w:t>
      </w:r>
      <w:r w:rsidRPr="00441526">
        <w:rPr>
          <w:b/>
          <w:lang w:val="en-NZ" w:eastAsia="ko-KR"/>
        </w:rPr>
        <w:tab/>
        <w:t>Regional Groups</w:t>
      </w:r>
    </w:p>
    <w:p w14:paraId="671D6CC8" w14:textId="724B2239" w:rsidR="00875AAD" w:rsidRPr="00441526" w:rsidRDefault="00875AAD" w:rsidP="00875AAD">
      <w:pPr>
        <w:spacing w:after="120"/>
        <w:jc w:val="both"/>
        <w:outlineLvl w:val="2"/>
        <w:rPr>
          <w:b/>
          <w:lang w:val="en-NZ" w:eastAsia="ko-KR"/>
        </w:rPr>
      </w:pPr>
      <w:r>
        <w:rPr>
          <w:b/>
          <w:lang w:val="en-NZ" w:eastAsia="ko-KR"/>
        </w:rPr>
        <w:t>7.1.1</w:t>
      </w:r>
      <w:r>
        <w:rPr>
          <w:b/>
          <w:lang w:val="en-NZ" w:eastAsia="ko-KR"/>
        </w:rPr>
        <w:tab/>
      </w:r>
      <w:r w:rsidRPr="00875AAD">
        <w:rPr>
          <w:b/>
          <w:lang w:val="en-NZ" w:eastAsia="ko-KR"/>
        </w:rPr>
        <w:t>RCC - Document APG23-6/INF-45</w:t>
      </w:r>
    </w:p>
    <w:p w14:paraId="6EE327D2" w14:textId="1BC8B1B7" w:rsidR="00875AAD" w:rsidRPr="002E7221" w:rsidRDefault="00875AAD" w:rsidP="00875AAD">
      <w:pPr>
        <w:numPr>
          <w:ilvl w:val="0"/>
          <w:numId w:val="12"/>
        </w:numPr>
        <w:ind w:leftChars="145" w:left="708"/>
        <w:jc w:val="both"/>
        <w:rPr>
          <w:lang w:val="en-NZ"/>
        </w:rPr>
      </w:pPr>
      <w:r w:rsidRPr="002E7221">
        <w:rPr>
          <w:lang w:val="en-NZ"/>
        </w:rPr>
        <w:t>Use of</w:t>
      </w:r>
      <w:r>
        <w:rPr>
          <w:lang w:val="en-NZ"/>
        </w:rPr>
        <w:t xml:space="preserve"> </w:t>
      </w:r>
      <w:r w:rsidRPr="002E7221">
        <w:rPr>
          <w:lang w:val="en-NZ"/>
        </w:rPr>
        <w:t>«</w:t>
      </w:r>
      <w:r>
        <w:rPr>
          <w:lang w:val="en-NZ"/>
        </w:rPr>
        <w:t>S</w:t>
      </w:r>
      <w:r w:rsidRPr="002E7221">
        <w:rPr>
          <w:lang w:val="en-NZ"/>
        </w:rPr>
        <w:t>-to-S» links in the bands 11.7-12.7 GHz, 18.1-18.6 GHz, 18.8-20.2 GHz and 27.5-30 GHz does not correspond to the FSS definition</w:t>
      </w:r>
      <w:r w:rsidR="005E56CD">
        <w:rPr>
          <w:lang w:val="en-NZ"/>
        </w:rPr>
        <w:t xml:space="preserve"> </w:t>
      </w:r>
      <w:r w:rsidRPr="002E7221">
        <w:rPr>
          <w:lang w:val="en-NZ"/>
        </w:rPr>
        <w:t>and imposes additional restrictions on existing and future FSS systems/networks.</w:t>
      </w:r>
    </w:p>
    <w:p w14:paraId="1B7B8419" w14:textId="77777777" w:rsidR="00875AAD" w:rsidRPr="002E7221" w:rsidRDefault="00875AAD" w:rsidP="00875AAD">
      <w:pPr>
        <w:numPr>
          <w:ilvl w:val="0"/>
          <w:numId w:val="12"/>
        </w:numPr>
        <w:ind w:leftChars="145" w:left="708"/>
        <w:jc w:val="both"/>
        <w:rPr>
          <w:lang w:val="en-NZ"/>
        </w:rPr>
      </w:pPr>
      <w:r w:rsidRPr="002E7221">
        <w:rPr>
          <w:lang w:val="en-NZ"/>
        </w:rPr>
        <w:t>For the band 11.7-12.7 GHz support a “No change” to the ITU Radio</w:t>
      </w:r>
      <w:r w:rsidRPr="00947EA6">
        <w:rPr>
          <w:lang w:val="en-NZ"/>
        </w:rPr>
        <w:t xml:space="preserve"> </w:t>
      </w:r>
      <w:r w:rsidRPr="002E7221">
        <w:rPr>
          <w:lang w:val="en-NZ"/>
        </w:rPr>
        <w:t>Regulations.</w:t>
      </w:r>
    </w:p>
    <w:p w14:paraId="6C8780A1" w14:textId="77777777" w:rsidR="00875AAD" w:rsidRPr="002E7221" w:rsidRDefault="00875AAD" w:rsidP="00875AAD">
      <w:pPr>
        <w:numPr>
          <w:ilvl w:val="0"/>
          <w:numId w:val="12"/>
        </w:numPr>
        <w:ind w:leftChars="145" w:left="708"/>
        <w:jc w:val="both"/>
        <w:rPr>
          <w:lang w:val="en-NZ"/>
        </w:rPr>
      </w:pPr>
      <w:r w:rsidRPr="002E7221">
        <w:rPr>
          <w:lang w:val="en-NZ"/>
        </w:rPr>
        <w:t>Usage of «S-to-S» links shall ensure protection of existing primary</w:t>
      </w:r>
      <w:r w:rsidRPr="00947EA6">
        <w:rPr>
          <w:lang w:val="en-NZ"/>
        </w:rPr>
        <w:t xml:space="preserve"> </w:t>
      </w:r>
      <w:r w:rsidRPr="002E7221">
        <w:rPr>
          <w:lang w:val="en-NZ"/>
        </w:rPr>
        <w:t>services allocated in the same frequency bands or adjacent bands,</w:t>
      </w:r>
      <w:r w:rsidRPr="00947EA6">
        <w:rPr>
          <w:lang w:val="en-NZ"/>
        </w:rPr>
        <w:t xml:space="preserve"> </w:t>
      </w:r>
      <w:r w:rsidRPr="002E7221">
        <w:rPr>
          <w:lang w:val="en-NZ"/>
        </w:rPr>
        <w:t>including passive services, and shall not impose additional restrictions on</w:t>
      </w:r>
      <w:r w:rsidRPr="00947EA6">
        <w:rPr>
          <w:lang w:val="en-NZ"/>
        </w:rPr>
        <w:t xml:space="preserve"> </w:t>
      </w:r>
      <w:r w:rsidRPr="002E7221">
        <w:rPr>
          <w:lang w:val="en-NZ"/>
        </w:rPr>
        <w:t>the use of current and future systems of these services.</w:t>
      </w:r>
    </w:p>
    <w:p w14:paraId="255EA09E" w14:textId="77777777" w:rsidR="00875AAD" w:rsidRPr="002E7221" w:rsidRDefault="00875AAD" w:rsidP="00875AAD">
      <w:pPr>
        <w:numPr>
          <w:ilvl w:val="0"/>
          <w:numId w:val="12"/>
        </w:numPr>
        <w:ind w:leftChars="145" w:left="708"/>
        <w:jc w:val="both"/>
        <w:rPr>
          <w:lang w:val="en-NZ"/>
        </w:rPr>
      </w:pPr>
      <w:r w:rsidRPr="002E7221">
        <w:rPr>
          <w:lang w:val="en-NZ"/>
        </w:rPr>
        <w:t>The RCC Administrations considers the following conditions of Method B</w:t>
      </w:r>
      <w:r w:rsidRPr="00947EA6">
        <w:rPr>
          <w:lang w:val="en-NZ"/>
        </w:rPr>
        <w:t xml:space="preserve"> </w:t>
      </w:r>
      <w:r w:rsidRPr="002E7221">
        <w:rPr>
          <w:lang w:val="en-NZ"/>
        </w:rPr>
        <w:t>of the CPM Report: “ISS allocation” and “GSO within the cone”.</w:t>
      </w:r>
    </w:p>
    <w:p w14:paraId="3A449841" w14:textId="77777777" w:rsidR="00875AAD" w:rsidRPr="00441526" w:rsidRDefault="00875AAD" w:rsidP="00875AAD">
      <w:pPr>
        <w:numPr>
          <w:ilvl w:val="0"/>
          <w:numId w:val="12"/>
        </w:numPr>
        <w:ind w:leftChars="145" w:left="708"/>
        <w:jc w:val="both"/>
        <w:rPr>
          <w:lang w:val="en-NZ"/>
        </w:rPr>
      </w:pPr>
      <w:r w:rsidRPr="00947EA6">
        <w:rPr>
          <w:lang w:val="en-NZ"/>
        </w:rPr>
        <w:t>RCC administrations tend to Method B from the CPM Report</w:t>
      </w:r>
      <w:r>
        <w:rPr>
          <w:lang w:val="en-NZ"/>
        </w:rPr>
        <w:t>.</w:t>
      </w:r>
    </w:p>
    <w:p w14:paraId="49C35EEC" w14:textId="77777777" w:rsidR="00875AAD" w:rsidRPr="00441526" w:rsidRDefault="00875AAD" w:rsidP="007E511B">
      <w:pPr>
        <w:ind w:left="708"/>
        <w:rPr>
          <w:lang w:val="en-NZ"/>
        </w:rPr>
      </w:pPr>
    </w:p>
    <w:p w14:paraId="78EFD8BE" w14:textId="77777777" w:rsidR="009D4B7A" w:rsidRPr="00441526" w:rsidRDefault="009D4B7A" w:rsidP="009D4B7A">
      <w:pPr>
        <w:rPr>
          <w:b/>
          <w:lang w:val="en-NZ"/>
        </w:rPr>
      </w:pPr>
    </w:p>
    <w:p w14:paraId="4E3E82C1" w14:textId="7FDD81D1" w:rsidR="009D4B7A" w:rsidRPr="00441526" w:rsidRDefault="009D4B7A" w:rsidP="00D97030">
      <w:pPr>
        <w:spacing w:after="120"/>
        <w:jc w:val="both"/>
        <w:outlineLvl w:val="2"/>
        <w:rPr>
          <w:b/>
          <w:lang w:val="en-NZ" w:eastAsia="ko-KR"/>
        </w:rPr>
      </w:pPr>
      <w:r>
        <w:rPr>
          <w:b/>
          <w:lang w:val="en-NZ" w:eastAsia="ko-KR"/>
        </w:rPr>
        <w:t>7</w:t>
      </w:r>
      <w:r w:rsidRPr="00441526">
        <w:rPr>
          <w:b/>
          <w:lang w:val="en-NZ" w:eastAsia="ko-KR"/>
        </w:rPr>
        <w:t>.1.</w:t>
      </w:r>
      <w:r w:rsidR="00875AAD">
        <w:rPr>
          <w:b/>
          <w:lang w:val="en-NZ" w:eastAsia="ko-KR"/>
        </w:rPr>
        <w:t>2</w:t>
      </w:r>
      <w:r w:rsidRPr="00441526">
        <w:rPr>
          <w:b/>
          <w:lang w:val="en-NZ" w:eastAsia="ko-KR"/>
        </w:rPr>
        <w:t xml:space="preserve"> </w:t>
      </w:r>
      <w:r w:rsidRPr="00441526">
        <w:rPr>
          <w:b/>
          <w:lang w:val="en-NZ" w:eastAsia="ko-KR"/>
        </w:rPr>
        <w:tab/>
        <w:t xml:space="preserve">CEPT </w:t>
      </w:r>
      <w:r w:rsidRPr="00D97030">
        <w:rPr>
          <w:b/>
          <w:lang w:val="en-NZ" w:eastAsia="ko-KR"/>
        </w:rPr>
        <w:t xml:space="preserve">- </w:t>
      </w:r>
      <w:r w:rsidRPr="00441526">
        <w:rPr>
          <w:b/>
          <w:lang w:val="en-NZ" w:eastAsia="ko-KR"/>
        </w:rPr>
        <w:t>Document APG</w:t>
      </w:r>
      <w:r>
        <w:rPr>
          <w:b/>
          <w:lang w:val="en-NZ" w:eastAsia="ko-KR"/>
        </w:rPr>
        <w:t>23</w:t>
      </w:r>
      <w:r w:rsidRPr="00441526">
        <w:rPr>
          <w:b/>
          <w:lang w:val="en-NZ" w:eastAsia="ko-KR"/>
        </w:rPr>
        <w:t>-</w:t>
      </w:r>
      <w:r w:rsidR="006B480A">
        <w:rPr>
          <w:b/>
          <w:lang w:val="en-NZ" w:eastAsia="ko-KR"/>
        </w:rPr>
        <w:t>6</w:t>
      </w:r>
      <w:r w:rsidRPr="00441526">
        <w:rPr>
          <w:b/>
          <w:lang w:val="en-NZ" w:eastAsia="ko-KR"/>
        </w:rPr>
        <w:t>/INF-</w:t>
      </w:r>
      <w:r w:rsidR="00DA565F">
        <w:rPr>
          <w:b/>
          <w:lang w:val="en-NZ" w:eastAsia="ko-KR"/>
        </w:rPr>
        <w:t>46</w:t>
      </w:r>
    </w:p>
    <w:p w14:paraId="43E30E0D" w14:textId="3172C2A5" w:rsidR="00F9501C" w:rsidRPr="00F9501C" w:rsidRDefault="00F9501C" w:rsidP="00F9501C">
      <w:pPr>
        <w:numPr>
          <w:ilvl w:val="0"/>
          <w:numId w:val="12"/>
        </w:numPr>
        <w:ind w:leftChars="145" w:left="708"/>
        <w:jc w:val="both"/>
        <w:rPr>
          <w:lang w:val="en-NZ"/>
        </w:rPr>
      </w:pPr>
      <w:r w:rsidRPr="00F9501C">
        <w:rPr>
          <w:lang w:val="en-NZ"/>
        </w:rPr>
        <w:t>CEPT supports the operation of satellite-to-satellite links under a new inter-satellite service allocation in the frequency bands 18.1-18.6 GHz, 18.8-20.2 GHz and 27.5-30 GHz, under conditions to ensure the protection of existing services in the same frequency bands and adjacent bands.</w:t>
      </w:r>
    </w:p>
    <w:p w14:paraId="6A242D48" w14:textId="7D473039" w:rsidR="00F9501C" w:rsidRPr="00F9501C" w:rsidRDefault="00F9501C" w:rsidP="00F9501C">
      <w:pPr>
        <w:numPr>
          <w:ilvl w:val="0"/>
          <w:numId w:val="12"/>
        </w:numPr>
        <w:ind w:leftChars="145" w:left="708"/>
        <w:jc w:val="both"/>
        <w:rPr>
          <w:lang w:val="en-NZ"/>
        </w:rPr>
      </w:pPr>
      <w:r w:rsidRPr="00F9501C">
        <w:rPr>
          <w:lang w:val="en-NZ"/>
        </w:rPr>
        <w:t>CEPT supports that the introduction of satellite-to-satellite transmissions must ensure the same level of protection for GSOs and non-GSOs as currently provided in the RR and must not impose new constraints on GSOs and non-GSOs to protect satelliteto-satellite links from interference.</w:t>
      </w:r>
    </w:p>
    <w:p w14:paraId="6D18BD01" w14:textId="7565A56B" w:rsidR="00F9501C" w:rsidRPr="00F9501C" w:rsidRDefault="00F9501C" w:rsidP="00F9501C">
      <w:pPr>
        <w:numPr>
          <w:ilvl w:val="0"/>
          <w:numId w:val="12"/>
        </w:numPr>
        <w:ind w:leftChars="145" w:left="708"/>
        <w:jc w:val="both"/>
        <w:rPr>
          <w:lang w:val="en-NZ"/>
        </w:rPr>
      </w:pPr>
      <w:r w:rsidRPr="00F9501C">
        <w:rPr>
          <w:lang w:val="en-NZ"/>
        </w:rPr>
        <w:lastRenderedPageBreak/>
        <w:t xml:space="preserve">CEPT supports that the introduction of satellite-to-satellite transmissions must ensure the same level of protection for terrestrial services as currently provided in the RR and must not impose new constraints on terrestrial services to protect satellite-to-satellite links from interference. CEPT does not support establishing a pfd mask to protect secondary terrestrial services operated in conformity with No. </w:t>
      </w:r>
      <w:r w:rsidRPr="00F9501C">
        <w:rPr>
          <w:b/>
          <w:bCs/>
          <w:lang w:val="en-NZ"/>
        </w:rPr>
        <w:t>5.542</w:t>
      </w:r>
      <w:r w:rsidRPr="00F9501C">
        <w:rPr>
          <w:lang w:val="en-NZ"/>
        </w:rPr>
        <w:t>.</w:t>
      </w:r>
    </w:p>
    <w:p w14:paraId="6917B6E9" w14:textId="77777777" w:rsidR="00F9501C" w:rsidRPr="00F9501C" w:rsidRDefault="00F9501C" w:rsidP="00F9501C">
      <w:pPr>
        <w:numPr>
          <w:ilvl w:val="0"/>
          <w:numId w:val="12"/>
        </w:numPr>
        <w:ind w:leftChars="145" w:left="708"/>
        <w:jc w:val="both"/>
        <w:rPr>
          <w:lang w:val="en-NZ"/>
        </w:rPr>
      </w:pPr>
      <w:r w:rsidRPr="00F9501C">
        <w:rPr>
          <w:lang w:val="en-NZ"/>
        </w:rPr>
        <w:t>CEPT supports a NOC for the 11.7-12.7 GHz frequency bands.</w:t>
      </w:r>
    </w:p>
    <w:p w14:paraId="54F4AEBF" w14:textId="7FC3B56B" w:rsidR="00F9501C" w:rsidRDefault="00F9501C" w:rsidP="00F9501C">
      <w:pPr>
        <w:numPr>
          <w:ilvl w:val="0"/>
          <w:numId w:val="12"/>
        </w:numPr>
        <w:ind w:leftChars="145" w:left="708"/>
        <w:jc w:val="both"/>
        <w:rPr>
          <w:lang w:val="en-NZ"/>
        </w:rPr>
      </w:pPr>
      <w:r w:rsidRPr="00F9501C">
        <w:rPr>
          <w:lang w:val="en-NZ"/>
        </w:rPr>
        <w:t>CEPT supports an ISS allocation. The hard limits or coordination procedures to protect terrestrial services and/or other satellite networks/systems will not be tied to the type of allocation.</w:t>
      </w:r>
    </w:p>
    <w:p w14:paraId="3047BC7C" w14:textId="566CE160" w:rsidR="00F9501C" w:rsidRPr="00F9501C" w:rsidRDefault="00F9501C" w:rsidP="00F9501C">
      <w:pPr>
        <w:numPr>
          <w:ilvl w:val="0"/>
          <w:numId w:val="12"/>
        </w:numPr>
        <w:ind w:leftChars="145" w:left="708"/>
        <w:jc w:val="both"/>
        <w:rPr>
          <w:lang w:val="en-NZ"/>
        </w:rPr>
      </w:pPr>
      <w:r w:rsidRPr="00F9501C">
        <w:rPr>
          <w:lang w:val="en-NZ"/>
        </w:rPr>
        <w:t>CEPT supports a limitation to space research, space operation and Earth exploration-satellite applications and also transmissions of data originating from industrial and medical activities in space.</w:t>
      </w:r>
    </w:p>
    <w:p w14:paraId="4B16B33E" w14:textId="77777777" w:rsidR="00F9501C" w:rsidRPr="00F9501C" w:rsidRDefault="00F9501C" w:rsidP="00F9501C">
      <w:pPr>
        <w:numPr>
          <w:ilvl w:val="0"/>
          <w:numId w:val="12"/>
        </w:numPr>
        <w:ind w:leftChars="145" w:left="708"/>
        <w:jc w:val="both"/>
        <w:rPr>
          <w:lang w:val="en-NZ"/>
        </w:rPr>
      </w:pPr>
      <w:r w:rsidRPr="00F9501C">
        <w:rPr>
          <w:lang w:val="en-NZ"/>
        </w:rPr>
        <w:t>CEPT supports the operations under the “expanded cone” concept of operations, limited to the LEO-GSO links.</w:t>
      </w:r>
    </w:p>
    <w:p w14:paraId="6C514559" w14:textId="2D788425" w:rsidR="00F9501C" w:rsidRPr="00F9501C" w:rsidRDefault="00F9501C" w:rsidP="00F9501C">
      <w:pPr>
        <w:numPr>
          <w:ilvl w:val="0"/>
          <w:numId w:val="12"/>
        </w:numPr>
        <w:ind w:leftChars="145" w:left="708"/>
        <w:jc w:val="both"/>
        <w:rPr>
          <w:lang w:val="en-NZ"/>
        </w:rPr>
      </w:pPr>
      <w:r w:rsidRPr="00F9501C">
        <w:rPr>
          <w:lang w:val="en-NZ"/>
        </w:rPr>
        <w:t>CEPT supports the development of an envelope provisions where no additional coordination would be required for the user and service provider space stations if sat-to-sat emissions fall within in the envelope of the operational characteristics of the service provider.</w:t>
      </w:r>
    </w:p>
    <w:p w14:paraId="63311050" w14:textId="64CA17DE" w:rsidR="00F9501C" w:rsidRPr="00F9501C" w:rsidRDefault="00F9501C" w:rsidP="00F9501C">
      <w:pPr>
        <w:numPr>
          <w:ilvl w:val="0"/>
          <w:numId w:val="12"/>
        </w:numPr>
        <w:ind w:leftChars="145" w:left="708"/>
        <w:jc w:val="both"/>
        <w:rPr>
          <w:lang w:val="en-NZ"/>
        </w:rPr>
      </w:pPr>
      <w:r w:rsidRPr="00F9501C">
        <w:rPr>
          <w:lang w:val="en-NZ"/>
        </w:rPr>
        <w:t>For the protection of GSO systems, CEPT supports a pfd approach in the epfd bands for non-GSO service providers, and a under the envelope approach for coordinated bands (for both non-GSO and GSO service providers).</w:t>
      </w:r>
    </w:p>
    <w:p w14:paraId="1C478C22" w14:textId="2606A0C3" w:rsidR="00F9501C" w:rsidRDefault="00F9501C" w:rsidP="00F9501C">
      <w:pPr>
        <w:numPr>
          <w:ilvl w:val="0"/>
          <w:numId w:val="12"/>
        </w:numPr>
        <w:ind w:leftChars="145" w:left="708"/>
        <w:jc w:val="both"/>
        <w:rPr>
          <w:lang w:val="en-NZ"/>
        </w:rPr>
      </w:pPr>
      <w:r w:rsidRPr="00F9501C">
        <w:rPr>
          <w:lang w:val="en-NZ"/>
        </w:rPr>
        <w:t>For the protection of non-GSO systems, CEPT supports the development of hard limits in the bands 19.3-19.7 GHz, 27.5-29.1 GHz and 29.5-30 GHz, and CEPT is still considering hard limits or coordination in the band 29.1-29.5 GHz.</w:t>
      </w:r>
    </w:p>
    <w:p w14:paraId="251C8420" w14:textId="412FEAA7" w:rsidR="00C805B0" w:rsidRPr="00C805B0" w:rsidRDefault="00C805B0" w:rsidP="00C805B0">
      <w:pPr>
        <w:numPr>
          <w:ilvl w:val="0"/>
          <w:numId w:val="12"/>
        </w:numPr>
        <w:ind w:leftChars="145" w:left="708"/>
        <w:jc w:val="both"/>
        <w:rPr>
          <w:lang w:val="en-NZ"/>
        </w:rPr>
      </w:pPr>
      <w:r w:rsidRPr="00C805B0">
        <w:rPr>
          <w:lang w:val="en-NZ"/>
        </w:rPr>
        <w:t>CEPT proposes that space stations that plan satellite-to-satellite transmissions should be governed by the following preliminary guiding principles:</w:t>
      </w:r>
    </w:p>
    <w:p w14:paraId="28690386" w14:textId="1A8B8C30" w:rsidR="00C805B0" w:rsidRPr="00E67186" w:rsidRDefault="00C805B0" w:rsidP="00E67186">
      <w:pPr>
        <w:pStyle w:val="ListParagraph"/>
        <w:numPr>
          <w:ilvl w:val="0"/>
          <w:numId w:val="24"/>
        </w:numPr>
        <w:spacing w:beforeLines="50" w:before="120"/>
        <w:ind w:left="1179" w:hanging="442"/>
        <w:jc w:val="both"/>
        <w:rPr>
          <w:lang w:val="en-NZ"/>
        </w:rPr>
      </w:pPr>
      <w:r w:rsidRPr="00E67186">
        <w:rPr>
          <w:lang w:val="en-NZ"/>
        </w:rPr>
        <w:t>Satellite-to-satellite link transmissions will comply with the same directionality indicators as in the existing FSS allocations (Earth-to-space = from user space station to service provider space station, space-to-Earth = from service provider space station to user space station);</w:t>
      </w:r>
    </w:p>
    <w:p w14:paraId="56BCA082" w14:textId="6E14BC77" w:rsidR="00C805B0" w:rsidRPr="00E67186" w:rsidRDefault="00C805B0" w:rsidP="00E67186">
      <w:pPr>
        <w:pStyle w:val="ListParagraph"/>
        <w:numPr>
          <w:ilvl w:val="0"/>
          <w:numId w:val="24"/>
        </w:numPr>
        <w:spacing w:beforeLines="50" w:before="120"/>
        <w:ind w:left="1179" w:hanging="442"/>
        <w:jc w:val="both"/>
        <w:rPr>
          <w:lang w:val="en-NZ"/>
        </w:rPr>
      </w:pPr>
      <w:r w:rsidRPr="00E67186">
        <w:rPr>
          <w:lang w:val="en-NZ"/>
        </w:rPr>
        <w:t>Non-GSO user space stations will operate in a manner that should resemble typical Earth stations of the FSS service provider system;</w:t>
      </w:r>
    </w:p>
    <w:p w14:paraId="07555F01" w14:textId="55AF14A4" w:rsidR="00C805B0" w:rsidRPr="00E67186" w:rsidRDefault="00C805B0" w:rsidP="00E67186">
      <w:pPr>
        <w:pStyle w:val="ListParagraph"/>
        <w:numPr>
          <w:ilvl w:val="0"/>
          <w:numId w:val="24"/>
        </w:numPr>
        <w:spacing w:beforeLines="50" w:before="120"/>
        <w:ind w:left="1179" w:hanging="442"/>
        <w:jc w:val="both"/>
        <w:rPr>
          <w:lang w:val="en-NZ"/>
        </w:rPr>
      </w:pPr>
      <w:r w:rsidRPr="00E67186">
        <w:rPr>
          <w:rFonts w:hint="eastAsia"/>
          <w:lang w:val="en-NZ"/>
        </w:rPr>
        <w:t>The equivalent power flux-density, epfd</w:t>
      </w:r>
      <w:r w:rsidRPr="00E67186">
        <w:rPr>
          <w:rFonts w:hint="eastAsia"/>
          <w:lang w:val="en-NZ"/>
        </w:rPr>
        <w:t>↑</w:t>
      </w:r>
      <w:r w:rsidRPr="00E67186">
        <w:rPr>
          <w:rFonts w:hint="eastAsia"/>
          <w:lang w:val="en-NZ"/>
        </w:rPr>
        <w:t>, produced at any point in the geostationary-satellite orbit by emissions</w:t>
      </w:r>
      <w:r w:rsidRPr="00E67186">
        <w:rPr>
          <w:lang w:val="en-NZ"/>
        </w:rPr>
        <w:t xml:space="preserve"> from all combined operations of inter-satellite and typical Earth station transmissions shall not exceed the limits given in Table 22-2;</w:t>
      </w:r>
    </w:p>
    <w:p w14:paraId="3C36D3ED" w14:textId="121F3ECF" w:rsidR="00C805B0" w:rsidRPr="00E67186" w:rsidRDefault="00C805B0" w:rsidP="00E67186">
      <w:pPr>
        <w:pStyle w:val="ListParagraph"/>
        <w:numPr>
          <w:ilvl w:val="0"/>
          <w:numId w:val="24"/>
        </w:numPr>
        <w:spacing w:beforeLines="50" w:before="120"/>
        <w:ind w:left="1179" w:hanging="442"/>
        <w:jc w:val="both"/>
        <w:rPr>
          <w:lang w:val="en-NZ"/>
        </w:rPr>
      </w:pPr>
      <w:r w:rsidRPr="00E67186">
        <w:rPr>
          <w:rFonts w:hint="eastAsia"/>
          <w:lang w:val="en-NZ"/>
        </w:rPr>
        <w:t>The equivalent power flux-density, epfd</w:t>
      </w:r>
      <w:r w:rsidRPr="00E67186">
        <w:rPr>
          <w:rFonts w:hint="eastAsia"/>
          <w:lang w:val="en-NZ"/>
        </w:rPr>
        <w:t>↓</w:t>
      </w:r>
      <w:r w:rsidRPr="00E67186">
        <w:rPr>
          <w:rFonts w:hint="eastAsia"/>
          <w:lang w:val="en-NZ"/>
        </w:rPr>
        <w:t>, at any point on the Earth</w:t>
      </w:r>
      <w:r w:rsidRPr="00E67186">
        <w:rPr>
          <w:rFonts w:hint="eastAsia"/>
          <w:lang w:val="en-NZ"/>
        </w:rPr>
        <w:t>’</w:t>
      </w:r>
      <w:r w:rsidRPr="00E67186">
        <w:rPr>
          <w:rFonts w:hint="eastAsia"/>
          <w:lang w:val="en-NZ"/>
        </w:rPr>
        <w:t>s surface visible from the transmitting satellite</w:t>
      </w:r>
      <w:r w:rsidRPr="00E67186">
        <w:rPr>
          <w:lang w:val="en-NZ"/>
        </w:rPr>
        <w:t xml:space="preserve"> system, produced by emissions from all the space stations of the non-geostationary-satellite system shall not exceed the limits given in Tables 22-1A to 22-1E, where applicable.</w:t>
      </w:r>
    </w:p>
    <w:p w14:paraId="5AAD5A11" w14:textId="6556BA61" w:rsidR="00E67186" w:rsidRPr="00E67186" w:rsidRDefault="00E67186" w:rsidP="00E67186">
      <w:pPr>
        <w:pStyle w:val="ListParagraph"/>
        <w:numPr>
          <w:ilvl w:val="0"/>
          <w:numId w:val="24"/>
        </w:numPr>
        <w:spacing w:beforeLines="50" w:before="120"/>
        <w:ind w:left="1179" w:hanging="442"/>
        <w:jc w:val="both"/>
        <w:rPr>
          <w:lang w:val="en-NZ"/>
        </w:rPr>
      </w:pPr>
      <w:r w:rsidRPr="00E67186">
        <w:rPr>
          <w:lang w:val="en-NZ"/>
        </w:rPr>
        <w:t>The higher altitude to lower altitude link transmissions in 18.1-18.6 GHz and 18.8 20.2 GHz from the GSO or non-GSO FSS service provider space station to the non-GSO user space station would be identical in technical characteristic to the transmissions from GSO or non-GSO service providers to any ground-based user in the service provider’s network;</w:t>
      </w:r>
    </w:p>
    <w:p w14:paraId="3238F35B" w14:textId="1DC47AC1" w:rsidR="00E67186" w:rsidRPr="00E67186" w:rsidRDefault="00E67186" w:rsidP="00E67186">
      <w:pPr>
        <w:pStyle w:val="ListParagraph"/>
        <w:numPr>
          <w:ilvl w:val="0"/>
          <w:numId w:val="24"/>
        </w:numPr>
        <w:spacing w:beforeLines="50" w:before="120"/>
        <w:ind w:left="1179" w:hanging="442"/>
        <w:jc w:val="both"/>
        <w:rPr>
          <w:lang w:val="en-NZ"/>
        </w:rPr>
      </w:pPr>
      <w:r w:rsidRPr="00E67186">
        <w:rPr>
          <w:lang w:val="en-NZ"/>
        </w:rPr>
        <w:lastRenderedPageBreak/>
        <w:t>CEPT supports the protection of EESS (passive) sensors in the frequency band 18.6-18.8 GHz through an unwanted emission pfd limit over the oceans of -118 dBW/m²/200 MHz for MEO satellites and -110 dBW/m²/200 MHz for LEO satellites communicating with non-GSO space stations. In addition, CEPT supports that no specific measure is required for non-GSO systems operating in LEO orbits that make use of frequency reuse schemes employing at least three colours.</w:t>
      </w:r>
    </w:p>
    <w:p w14:paraId="3E6533ED" w14:textId="77777777" w:rsidR="009D4B7A" w:rsidRPr="00441526" w:rsidRDefault="009D4B7A" w:rsidP="009D4B7A">
      <w:pPr>
        <w:rPr>
          <w:lang w:val="en-NZ"/>
        </w:rPr>
      </w:pPr>
    </w:p>
    <w:p w14:paraId="32D6919E" w14:textId="38BB8B1D" w:rsidR="009D4B7A" w:rsidRDefault="009D4B7A" w:rsidP="00D97030">
      <w:pPr>
        <w:spacing w:after="120"/>
        <w:jc w:val="both"/>
        <w:outlineLvl w:val="2"/>
        <w:rPr>
          <w:b/>
          <w:lang w:val="fr-FR" w:eastAsia="ko-KR"/>
        </w:rPr>
      </w:pPr>
      <w:r w:rsidRPr="00476F6D">
        <w:rPr>
          <w:b/>
          <w:lang w:val="fr-FR" w:eastAsia="ko-KR"/>
        </w:rPr>
        <w:t>7.1.</w:t>
      </w:r>
      <w:r w:rsidR="00875AAD">
        <w:rPr>
          <w:b/>
          <w:lang w:val="fr-FR" w:eastAsia="ko-KR"/>
        </w:rPr>
        <w:t>3</w:t>
      </w:r>
      <w:r w:rsidRPr="00476F6D">
        <w:rPr>
          <w:b/>
          <w:lang w:val="fr-FR" w:eastAsia="ko-KR"/>
        </w:rPr>
        <w:t xml:space="preserve"> </w:t>
      </w:r>
      <w:r w:rsidRPr="00476F6D">
        <w:rPr>
          <w:b/>
          <w:lang w:val="fr-FR" w:eastAsia="ko-KR"/>
        </w:rPr>
        <w:tab/>
      </w:r>
      <w:r w:rsidR="00476F6D" w:rsidRPr="00476F6D">
        <w:rPr>
          <w:b/>
          <w:lang w:val="fr-FR" w:eastAsia="ko-KR"/>
        </w:rPr>
        <w:t>CITEL - Document APG23-6/INF-52</w:t>
      </w:r>
    </w:p>
    <w:p w14:paraId="28E82960" w14:textId="6BC9BB69" w:rsidR="00406CEC" w:rsidRPr="00406CEC" w:rsidRDefault="00406CEC" w:rsidP="00406CEC">
      <w:pPr>
        <w:numPr>
          <w:ilvl w:val="0"/>
          <w:numId w:val="12"/>
        </w:numPr>
        <w:ind w:leftChars="145" w:left="708"/>
        <w:jc w:val="both"/>
        <w:rPr>
          <w:lang w:val="en-NZ"/>
        </w:rPr>
      </w:pPr>
      <w:r w:rsidRPr="00406CEC">
        <w:rPr>
          <w:lang w:val="en-NZ"/>
        </w:rPr>
        <w:t>Some Administrations propose to add a new footnote, 5.A117, in RR Article 5, frequency bands 18.1-18.6 GHz, 18.8-20.2 GHz and 27.5-30 GHz), pointing to a new Resolution, also proposed, that provides the technical conditions for the operation of satellite-to-satellite links through an inter-satellite service (ISS) allocation where such operations would use the “within the cone” concept.</w:t>
      </w:r>
    </w:p>
    <w:p w14:paraId="059BAB25" w14:textId="79112AB3" w:rsidR="00406CEC" w:rsidRPr="00406CEC" w:rsidRDefault="00406CEC" w:rsidP="00406CEC">
      <w:pPr>
        <w:numPr>
          <w:ilvl w:val="0"/>
          <w:numId w:val="12"/>
        </w:numPr>
        <w:ind w:leftChars="145" w:left="708"/>
        <w:jc w:val="both"/>
        <w:rPr>
          <w:lang w:val="en-NZ"/>
        </w:rPr>
      </w:pPr>
      <w:r w:rsidRPr="00406CEC">
        <w:rPr>
          <w:lang w:val="en-NZ"/>
        </w:rPr>
        <w:t>Some Administrations support a hard limit to address sharing with non-GSO FSS systems given the need to protect incumbent systems and the potential added complexity of coordinating incumbent systems with satellite-satellite operations.</w:t>
      </w:r>
    </w:p>
    <w:p w14:paraId="6D8268C0" w14:textId="04DA6CBE" w:rsidR="00406CEC" w:rsidRPr="00406CEC" w:rsidRDefault="00406CEC" w:rsidP="00406CEC">
      <w:pPr>
        <w:numPr>
          <w:ilvl w:val="0"/>
          <w:numId w:val="12"/>
        </w:numPr>
        <w:ind w:leftChars="145" w:left="708"/>
        <w:jc w:val="both"/>
        <w:rPr>
          <w:lang w:val="en-NZ"/>
        </w:rPr>
      </w:pPr>
      <w:r w:rsidRPr="00406CEC">
        <w:rPr>
          <w:lang w:val="en-NZ"/>
        </w:rPr>
        <w:t>Some Administrations further propose no change (NOC) to the Radio Regulations for the frequency band 11.7-12.7 GHz due to lack of sufficient ITU-R studies necessary to demonstrate the requisite protection of incumbent services in order to support satellite-to-satellite link operations in this frequency range.</w:t>
      </w:r>
    </w:p>
    <w:p w14:paraId="78717FA6" w14:textId="07DDF7D7" w:rsidR="00406CEC" w:rsidRDefault="00406CEC" w:rsidP="00406CEC">
      <w:pPr>
        <w:numPr>
          <w:ilvl w:val="0"/>
          <w:numId w:val="12"/>
        </w:numPr>
        <w:ind w:leftChars="145" w:left="708"/>
        <w:jc w:val="both"/>
        <w:rPr>
          <w:lang w:val="en-NZ"/>
        </w:rPr>
      </w:pPr>
      <w:r w:rsidRPr="00406CEC">
        <w:rPr>
          <w:lang w:val="en-NZ"/>
        </w:rPr>
        <w:t>Some Administrations propose suppression of Resolution 773 (WRC-19).</w:t>
      </w:r>
    </w:p>
    <w:p w14:paraId="79DBE09A" w14:textId="77777777" w:rsidR="00406CEC" w:rsidRPr="00406CEC" w:rsidRDefault="00406CEC" w:rsidP="00406CEC">
      <w:pPr>
        <w:numPr>
          <w:ilvl w:val="0"/>
          <w:numId w:val="12"/>
        </w:numPr>
        <w:ind w:leftChars="145" w:left="708"/>
        <w:jc w:val="both"/>
        <w:rPr>
          <w:lang w:val="en-NZ"/>
        </w:rPr>
      </w:pPr>
    </w:p>
    <w:p w14:paraId="0DD4B9C5" w14:textId="55AA6BEB" w:rsidR="00875AAD" w:rsidRPr="00441526" w:rsidRDefault="00875AAD" w:rsidP="00875AAD">
      <w:pPr>
        <w:spacing w:after="120"/>
        <w:jc w:val="both"/>
        <w:outlineLvl w:val="2"/>
        <w:rPr>
          <w:b/>
          <w:lang w:val="en-NZ" w:eastAsia="ko-KR"/>
        </w:rPr>
      </w:pPr>
      <w:r>
        <w:rPr>
          <w:b/>
          <w:lang w:val="en-NZ" w:eastAsia="ko-KR"/>
        </w:rPr>
        <w:t>7</w:t>
      </w:r>
      <w:r w:rsidRPr="00441526">
        <w:rPr>
          <w:b/>
          <w:lang w:val="en-NZ" w:eastAsia="ko-KR"/>
        </w:rPr>
        <w:t>.1.</w:t>
      </w:r>
      <w:r>
        <w:rPr>
          <w:b/>
          <w:lang w:val="en-NZ" w:eastAsia="ko-KR"/>
        </w:rPr>
        <w:t>4</w:t>
      </w:r>
      <w:r w:rsidRPr="00441526">
        <w:rPr>
          <w:b/>
          <w:lang w:val="en-NZ" w:eastAsia="ko-KR"/>
        </w:rPr>
        <w:t xml:space="preserve"> </w:t>
      </w:r>
      <w:r w:rsidRPr="00441526">
        <w:rPr>
          <w:b/>
          <w:lang w:val="en-NZ" w:eastAsia="ko-KR"/>
        </w:rPr>
        <w:tab/>
        <w:t>ASMG</w:t>
      </w:r>
    </w:p>
    <w:p w14:paraId="34E77310" w14:textId="77777777" w:rsidR="00875AAD" w:rsidRPr="00441526" w:rsidRDefault="00875AAD" w:rsidP="00875AAD">
      <w:pPr>
        <w:numPr>
          <w:ilvl w:val="0"/>
          <w:numId w:val="12"/>
        </w:numPr>
        <w:ind w:leftChars="145" w:left="708"/>
        <w:rPr>
          <w:lang w:val="en-NZ"/>
        </w:rPr>
      </w:pPr>
      <w:r>
        <w:rPr>
          <w:lang w:val="en-NZ"/>
        </w:rPr>
        <w:t>None</w:t>
      </w:r>
      <w:r w:rsidRPr="00441526">
        <w:rPr>
          <w:lang w:val="en-NZ"/>
        </w:rPr>
        <w:t>.</w:t>
      </w:r>
    </w:p>
    <w:p w14:paraId="2E360501" w14:textId="77777777" w:rsidR="00875AAD" w:rsidRPr="00441526" w:rsidRDefault="00875AAD" w:rsidP="00875AAD">
      <w:pPr>
        <w:rPr>
          <w:lang w:val="en-NZ"/>
        </w:rPr>
      </w:pPr>
    </w:p>
    <w:p w14:paraId="696AC92F" w14:textId="097EBB08" w:rsidR="00875AAD" w:rsidRPr="00441526" w:rsidRDefault="00875AAD" w:rsidP="00875AAD">
      <w:pPr>
        <w:spacing w:after="120"/>
        <w:jc w:val="both"/>
        <w:outlineLvl w:val="2"/>
        <w:rPr>
          <w:b/>
          <w:lang w:val="en-NZ" w:eastAsia="ko-KR"/>
        </w:rPr>
      </w:pPr>
      <w:r>
        <w:rPr>
          <w:b/>
          <w:lang w:val="en-NZ" w:eastAsia="ko-KR"/>
        </w:rPr>
        <w:t>7</w:t>
      </w:r>
      <w:r w:rsidRPr="00441526">
        <w:rPr>
          <w:b/>
          <w:lang w:val="en-NZ" w:eastAsia="ko-KR"/>
        </w:rPr>
        <w:t>.1.</w:t>
      </w:r>
      <w:r>
        <w:rPr>
          <w:b/>
          <w:lang w:val="en-NZ" w:eastAsia="ko-KR"/>
        </w:rPr>
        <w:t>5</w:t>
      </w:r>
      <w:r w:rsidRPr="00441526">
        <w:rPr>
          <w:b/>
          <w:lang w:val="en-NZ" w:eastAsia="ko-KR"/>
        </w:rPr>
        <w:t xml:space="preserve"> </w:t>
      </w:r>
      <w:r w:rsidRPr="00441526">
        <w:rPr>
          <w:b/>
          <w:lang w:val="en-NZ" w:eastAsia="ko-KR"/>
        </w:rPr>
        <w:tab/>
        <w:t>ATU</w:t>
      </w:r>
    </w:p>
    <w:p w14:paraId="40B4F767" w14:textId="77777777" w:rsidR="00875AAD" w:rsidRDefault="00875AAD" w:rsidP="00875AAD">
      <w:pPr>
        <w:numPr>
          <w:ilvl w:val="0"/>
          <w:numId w:val="12"/>
        </w:numPr>
        <w:ind w:leftChars="145" w:left="708"/>
        <w:rPr>
          <w:lang w:val="en-NZ"/>
        </w:rPr>
      </w:pPr>
      <w:r>
        <w:rPr>
          <w:lang w:val="en-NZ"/>
        </w:rPr>
        <w:t>None</w:t>
      </w:r>
      <w:r w:rsidRPr="00441526">
        <w:rPr>
          <w:lang w:val="en-NZ"/>
        </w:rPr>
        <w:t>.</w:t>
      </w:r>
    </w:p>
    <w:p w14:paraId="3BBD382B" w14:textId="77777777" w:rsidR="009D4B7A" w:rsidRPr="00441526" w:rsidRDefault="009D4B7A" w:rsidP="009D4B7A">
      <w:pPr>
        <w:rPr>
          <w:lang w:val="en-NZ"/>
        </w:rPr>
      </w:pPr>
    </w:p>
    <w:p w14:paraId="6520ABC6" w14:textId="77777777" w:rsidR="009D4B7A" w:rsidRPr="00441526" w:rsidRDefault="009D4B7A" w:rsidP="00C403D9">
      <w:pPr>
        <w:spacing w:after="120"/>
        <w:jc w:val="both"/>
        <w:outlineLvl w:val="1"/>
        <w:rPr>
          <w:b/>
          <w:lang w:val="en-NZ" w:eastAsia="ko-KR"/>
        </w:rPr>
      </w:pPr>
      <w:r>
        <w:rPr>
          <w:b/>
          <w:lang w:val="en-NZ" w:eastAsia="ko-KR"/>
        </w:rPr>
        <w:t>7</w:t>
      </w:r>
      <w:r w:rsidRPr="00441526">
        <w:rPr>
          <w:b/>
          <w:lang w:val="en-NZ" w:eastAsia="ko-KR"/>
        </w:rPr>
        <w:t xml:space="preserve">.2 </w:t>
      </w:r>
      <w:r w:rsidRPr="00441526">
        <w:rPr>
          <w:b/>
          <w:lang w:val="en-NZ" w:eastAsia="ko-KR"/>
        </w:rPr>
        <w:tab/>
        <w:t>International Organisations</w:t>
      </w:r>
    </w:p>
    <w:p w14:paraId="7FDD6369" w14:textId="77777777" w:rsidR="009D4B7A" w:rsidRPr="00441526" w:rsidRDefault="009D4B7A" w:rsidP="009D4B7A">
      <w:pPr>
        <w:rPr>
          <w:lang w:val="en-NZ"/>
        </w:rPr>
      </w:pPr>
      <w:bookmarkStart w:id="8" w:name="_Hlk141791836"/>
    </w:p>
    <w:bookmarkEnd w:id="8"/>
    <w:p w14:paraId="6B3B9DFD" w14:textId="207B19A1" w:rsidR="009D4B7A" w:rsidRPr="00441526" w:rsidRDefault="009D4B7A" w:rsidP="00D97030">
      <w:pPr>
        <w:spacing w:after="120"/>
        <w:jc w:val="both"/>
        <w:outlineLvl w:val="2"/>
        <w:rPr>
          <w:b/>
          <w:lang w:val="en-NZ" w:eastAsia="ko-KR"/>
        </w:rPr>
      </w:pPr>
      <w:r>
        <w:rPr>
          <w:b/>
          <w:lang w:val="en-NZ" w:eastAsia="ko-KR"/>
        </w:rPr>
        <w:t>7</w:t>
      </w:r>
      <w:r w:rsidRPr="00441526">
        <w:rPr>
          <w:b/>
          <w:lang w:val="en-NZ" w:eastAsia="ko-KR"/>
        </w:rPr>
        <w:t>.2.</w:t>
      </w:r>
      <w:r w:rsidR="00406CEC">
        <w:rPr>
          <w:b/>
          <w:lang w:val="en-NZ" w:eastAsia="ko-KR"/>
        </w:rPr>
        <w:t>1</w:t>
      </w:r>
      <w:r w:rsidRPr="00441526">
        <w:rPr>
          <w:b/>
          <w:lang w:val="en-NZ" w:eastAsia="ko-KR"/>
        </w:rPr>
        <w:t xml:space="preserve"> </w:t>
      </w:r>
      <w:r w:rsidRPr="00441526">
        <w:rPr>
          <w:b/>
          <w:lang w:val="en-NZ" w:eastAsia="ko-KR"/>
        </w:rPr>
        <w:tab/>
        <w:t>ICAO</w:t>
      </w:r>
      <w:r w:rsidR="00406CEC" w:rsidRPr="00476F6D">
        <w:rPr>
          <w:b/>
          <w:lang w:val="fr-FR" w:eastAsia="ko-KR"/>
        </w:rPr>
        <w:t>- Document APG23-6/INF-</w:t>
      </w:r>
      <w:r w:rsidR="00406CEC">
        <w:rPr>
          <w:b/>
          <w:lang w:val="fr-FR" w:eastAsia="ko-KR"/>
        </w:rPr>
        <w:t>25</w:t>
      </w:r>
    </w:p>
    <w:p w14:paraId="3779E5F4" w14:textId="35E04429" w:rsidR="00334512" w:rsidRDefault="00D97030" w:rsidP="00334512">
      <w:pPr>
        <w:numPr>
          <w:ilvl w:val="0"/>
          <w:numId w:val="12"/>
        </w:numPr>
        <w:ind w:leftChars="145" w:left="708"/>
        <w:rPr>
          <w:lang w:val="en-NZ"/>
        </w:rPr>
      </w:pPr>
      <w:r w:rsidRPr="00D97030">
        <w:rPr>
          <w:lang w:val="en-GB"/>
        </w:rPr>
        <w:t xml:space="preserve">To ensure that, given the overlap in frequency bands, any radio regulatory action taken as a result of this agenda item does not adversely affect the protection of the GSO stations in the frequency bands listed in Resolution </w:t>
      </w:r>
      <w:r w:rsidRPr="00D97030">
        <w:rPr>
          <w:b/>
          <w:bCs/>
          <w:lang w:val="en-GB"/>
        </w:rPr>
        <w:t>155 (Rev.WRC-19)</w:t>
      </w:r>
      <w:r w:rsidRPr="00D97030">
        <w:rPr>
          <w:lang w:val="en-GB"/>
        </w:rPr>
        <w:t>.</w:t>
      </w:r>
    </w:p>
    <w:p w14:paraId="78F7E66C" w14:textId="77777777" w:rsidR="00334512" w:rsidRDefault="00334512" w:rsidP="00CE0E10">
      <w:pPr>
        <w:ind w:left="708"/>
        <w:rPr>
          <w:lang w:val="en-NZ"/>
        </w:rPr>
      </w:pPr>
    </w:p>
    <w:p w14:paraId="79976668" w14:textId="4BB41112" w:rsidR="00406CEC" w:rsidRPr="00441526" w:rsidRDefault="00406CEC" w:rsidP="00406CEC">
      <w:pPr>
        <w:spacing w:after="120"/>
        <w:jc w:val="both"/>
        <w:outlineLvl w:val="2"/>
        <w:rPr>
          <w:b/>
          <w:lang w:val="en-NZ" w:eastAsia="ko-KR"/>
        </w:rPr>
      </w:pPr>
      <w:r>
        <w:rPr>
          <w:b/>
          <w:lang w:val="en-NZ" w:eastAsia="ko-KR"/>
        </w:rPr>
        <w:t>7</w:t>
      </w:r>
      <w:r w:rsidRPr="00441526">
        <w:rPr>
          <w:b/>
          <w:lang w:val="en-NZ" w:eastAsia="ko-KR"/>
        </w:rPr>
        <w:t>.2.</w:t>
      </w:r>
      <w:r>
        <w:rPr>
          <w:b/>
          <w:lang w:val="en-NZ" w:eastAsia="ko-KR"/>
        </w:rPr>
        <w:t>2</w:t>
      </w:r>
      <w:r w:rsidRPr="00441526">
        <w:rPr>
          <w:b/>
          <w:lang w:val="en-NZ" w:eastAsia="ko-KR"/>
        </w:rPr>
        <w:t xml:space="preserve"> </w:t>
      </w:r>
      <w:r w:rsidRPr="00441526">
        <w:rPr>
          <w:b/>
          <w:lang w:val="en-NZ" w:eastAsia="ko-KR"/>
        </w:rPr>
        <w:tab/>
        <w:t>IARU</w:t>
      </w:r>
    </w:p>
    <w:p w14:paraId="4040AE53" w14:textId="77777777" w:rsidR="00406CEC" w:rsidRDefault="00406CEC" w:rsidP="00406CEC">
      <w:pPr>
        <w:numPr>
          <w:ilvl w:val="0"/>
          <w:numId w:val="12"/>
        </w:numPr>
        <w:ind w:leftChars="145" w:left="708"/>
        <w:rPr>
          <w:lang w:val="en-NZ"/>
        </w:rPr>
      </w:pPr>
      <w:r>
        <w:rPr>
          <w:lang w:val="en-NZ"/>
        </w:rPr>
        <w:t>None</w:t>
      </w:r>
      <w:r w:rsidRPr="00441526">
        <w:rPr>
          <w:lang w:val="en-NZ"/>
        </w:rPr>
        <w:t>.</w:t>
      </w:r>
    </w:p>
    <w:p w14:paraId="38A24E84" w14:textId="77777777" w:rsidR="00406CEC" w:rsidRPr="00441526" w:rsidRDefault="00406CEC" w:rsidP="00406CEC">
      <w:pPr>
        <w:rPr>
          <w:lang w:val="en-NZ"/>
        </w:rPr>
      </w:pPr>
    </w:p>
    <w:p w14:paraId="6861C824" w14:textId="3CD04881" w:rsidR="00334512" w:rsidRPr="00494D01" w:rsidRDefault="00334512" w:rsidP="00D97030">
      <w:pPr>
        <w:spacing w:after="120"/>
        <w:jc w:val="both"/>
        <w:outlineLvl w:val="2"/>
        <w:rPr>
          <w:b/>
          <w:lang w:val="en-NZ" w:eastAsia="ko-KR"/>
        </w:rPr>
      </w:pPr>
      <w:r w:rsidRPr="00D97030">
        <w:rPr>
          <w:b/>
          <w:lang w:val="en-NZ" w:eastAsia="ko-KR"/>
        </w:rPr>
        <w:t>7.2.3</w:t>
      </w:r>
      <w:r w:rsidRPr="00D97030">
        <w:rPr>
          <w:b/>
          <w:lang w:val="en-NZ" w:eastAsia="ko-KR"/>
        </w:rPr>
        <w:tab/>
        <w:t>IMO</w:t>
      </w:r>
    </w:p>
    <w:p w14:paraId="03E8470F" w14:textId="51FD475F" w:rsidR="00334512" w:rsidRPr="002800EB" w:rsidRDefault="00334512" w:rsidP="00334512">
      <w:pPr>
        <w:numPr>
          <w:ilvl w:val="0"/>
          <w:numId w:val="12"/>
        </w:numPr>
        <w:ind w:leftChars="145" w:left="708"/>
        <w:rPr>
          <w:lang w:val="en-NZ"/>
        </w:rPr>
      </w:pPr>
      <w:r w:rsidRPr="002800EB">
        <w:rPr>
          <w:lang w:val="en-NZ"/>
        </w:rPr>
        <w:tab/>
      </w:r>
      <w:r w:rsidR="002800EB" w:rsidRPr="002800EB">
        <w:rPr>
          <w:lang w:val="en-NZ"/>
        </w:rPr>
        <w:t>None</w:t>
      </w:r>
      <w:r w:rsidRPr="002800EB">
        <w:rPr>
          <w:lang w:val="en-NZ"/>
        </w:rPr>
        <w:t>.</w:t>
      </w:r>
    </w:p>
    <w:p w14:paraId="6D826573" w14:textId="00FACF63" w:rsidR="00334512" w:rsidRDefault="00334512" w:rsidP="00CE0E10">
      <w:pPr>
        <w:rPr>
          <w:lang w:val="en-NZ"/>
        </w:rPr>
      </w:pPr>
    </w:p>
    <w:p w14:paraId="0AFEA66D" w14:textId="1D7A5415" w:rsidR="00334512" w:rsidRPr="00D97030" w:rsidRDefault="00334512" w:rsidP="00D97030">
      <w:pPr>
        <w:spacing w:after="120"/>
        <w:jc w:val="both"/>
        <w:outlineLvl w:val="2"/>
        <w:rPr>
          <w:b/>
          <w:lang w:val="en-NZ" w:eastAsia="ko-KR"/>
        </w:rPr>
      </w:pPr>
      <w:r w:rsidRPr="00D97030">
        <w:rPr>
          <w:b/>
          <w:lang w:val="en-NZ" w:eastAsia="ko-KR"/>
        </w:rPr>
        <w:t>7.2.4</w:t>
      </w:r>
      <w:r w:rsidRPr="00D97030">
        <w:rPr>
          <w:b/>
          <w:lang w:val="en-NZ" w:eastAsia="ko-KR"/>
        </w:rPr>
        <w:tab/>
        <w:t>WMO</w:t>
      </w:r>
    </w:p>
    <w:p w14:paraId="47730E99" w14:textId="53489FA7" w:rsidR="00334512" w:rsidRPr="00441526" w:rsidRDefault="002800EB" w:rsidP="00334512">
      <w:pPr>
        <w:numPr>
          <w:ilvl w:val="0"/>
          <w:numId w:val="12"/>
        </w:numPr>
        <w:ind w:leftChars="145" w:left="708"/>
        <w:rPr>
          <w:lang w:val="en-NZ"/>
        </w:rPr>
      </w:pPr>
      <w:r>
        <w:rPr>
          <w:lang w:val="en-NZ"/>
        </w:rPr>
        <w:t>None</w:t>
      </w:r>
      <w:r w:rsidR="00334512" w:rsidRPr="00441526">
        <w:rPr>
          <w:lang w:val="en-NZ"/>
        </w:rPr>
        <w:t>.</w:t>
      </w:r>
    </w:p>
    <w:p w14:paraId="2403CF09" w14:textId="77777777" w:rsidR="00334512" w:rsidRPr="00441526" w:rsidRDefault="00334512" w:rsidP="00334512">
      <w:pPr>
        <w:rPr>
          <w:lang w:val="en-NZ"/>
        </w:rPr>
      </w:pPr>
    </w:p>
    <w:p w14:paraId="6325EFBA" w14:textId="77777777" w:rsidR="009D4B7A" w:rsidRPr="00441526" w:rsidRDefault="009D4B7A" w:rsidP="009D4B7A">
      <w:pPr>
        <w:rPr>
          <w:lang w:val="en-NZ"/>
        </w:rPr>
      </w:pPr>
    </w:p>
    <w:p w14:paraId="416AAE34" w14:textId="77777777" w:rsidR="009D4B7A" w:rsidRPr="00441526" w:rsidRDefault="009D4B7A" w:rsidP="009D4B7A">
      <w:pPr>
        <w:jc w:val="both"/>
        <w:rPr>
          <w:lang w:val="en-NZ"/>
        </w:rPr>
      </w:pPr>
    </w:p>
    <w:p w14:paraId="34A9CF7E" w14:textId="77777777" w:rsidR="009D4B7A" w:rsidRPr="00441526" w:rsidRDefault="009D4B7A" w:rsidP="009D4B7A">
      <w:pPr>
        <w:rPr>
          <w:b/>
          <w:lang w:val="en-NZ"/>
        </w:rPr>
      </w:pPr>
    </w:p>
    <w:p w14:paraId="34D4C1EC" w14:textId="64E30010" w:rsidR="00C73F61" w:rsidRPr="009A4A6D" w:rsidRDefault="009D4B7A" w:rsidP="00C73F61">
      <w:pPr>
        <w:jc w:val="center"/>
        <w:rPr>
          <w:snapToGrid w:val="0"/>
        </w:rPr>
      </w:pPr>
      <w:r w:rsidRPr="00441526">
        <w:rPr>
          <w:lang w:val="en-NZ"/>
        </w:rPr>
        <w:t>____________</w:t>
      </w:r>
    </w:p>
    <w:sectPr w:rsidR="00C73F61" w:rsidRPr="009A4A6D" w:rsidSect="007A3E29">
      <w:headerReference w:type="default" r:id="rId43"/>
      <w:footerReference w:type="even" r:id="rId44"/>
      <w:footerReference w:type="default" r:id="rId45"/>
      <w:footerReference w:type="first" r:id="rId46"/>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4F964" w14:textId="77777777" w:rsidR="00AD45FD" w:rsidRDefault="00AD45FD">
      <w:r>
        <w:separator/>
      </w:r>
    </w:p>
  </w:endnote>
  <w:endnote w:type="continuationSeparator" w:id="0">
    <w:p w14:paraId="2AC2C4AE" w14:textId="77777777" w:rsidR="00AD45FD" w:rsidRDefault="00AD4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GulimChe">
    <w:charset w:val="81"/>
    <w:family w:val="modern"/>
    <w:pitch w:val="fixed"/>
    <w:sig w:usb0="B00002AF" w:usb1="69D77CFB" w:usb2="00000030" w:usb3="00000000" w:csb0="0008009F" w:csb1="00000000"/>
  </w:font>
  <w:font w:name="BatangChe">
    <w:altName w:val="Malgun Gothic"/>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FangSong">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0"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3DAA" w14:textId="77777777" w:rsidR="0097693B" w:rsidRDefault="00EA7027" w:rsidP="002C07DA">
    <w:pPr>
      <w:pStyle w:val="Footer"/>
      <w:framePr w:wrap="around" w:vAnchor="text" w:hAnchor="margin" w:xAlign="right" w:y="1"/>
      <w:rPr>
        <w:rStyle w:val="PageNumber"/>
      </w:rPr>
    </w:pPr>
    <w:r>
      <w:rPr>
        <w:rStyle w:val="PageNumber"/>
      </w:rPr>
      <w:fldChar w:fldCharType="begin"/>
    </w:r>
    <w:r w:rsidR="0097693B">
      <w:rPr>
        <w:rStyle w:val="PageNumber"/>
      </w:rPr>
      <w:instrText xml:space="preserve">PAGE  </w:instrText>
    </w:r>
    <w:r>
      <w:rPr>
        <w:rStyle w:val="PageNumber"/>
      </w:rPr>
      <w:fldChar w:fldCharType="end"/>
    </w:r>
  </w:p>
  <w:p w14:paraId="744178B3" w14:textId="77777777" w:rsidR="0097693B" w:rsidRDefault="0097693B"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D3D8" w14:textId="56647F15" w:rsidR="0097693B" w:rsidRDefault="007E1FDD" w:rsidP="00133947">
    <w:pPr>
      <w:pStyle w:val="Footer"/>
      <w:tabs>
        <w:tab w:val="clear" w:pos="4320"/>
        <w:tab w:val="clear" w:pos="8640"/>
        <w:tab w:val="right" w:pos="9173"/>
      </w:tabs>
      <w:jc w:val="right"/>
    </w:pPr>
    <w:r>
      <w:rPr>
        <w:rStyle w:val="PageNumber"/>
      </w:rPr>
      <w:t>A</w:t>
    </w:r>
    <w:r w:rsidR="000B595C">
      <w:rPr>
        <w:rStyle w:val="PageNumber"/>
      </w:rPr>
      <w:t>PG</w:t>
    </w:r>
    <w:r w:rsidR="00EC538C">
      <w:rPr>
        <w:rStyle w:val="PageNumber"/>
      </w:rPr>
      <w:t>23</w:t>
    </w:r>
    <w:r w:rsidR="000B595C">
      <w:rPr>
        <w:rStyle w:val="PageNumber"/>
      </w:rPr>
      <w:t>-</w:t>
    </w:r>
    <w:r w:rsidR="00EC538C">
      <w:rPr>
        <w:rStyle w:val="PageNumber"/>
      </w:rPr>
      <w:t>6</w:t>
    </w:r>
    <w:r>
      <w:rPr>
        <w:rStyle w:val="PageNumber"/>
      </w:rPr>
      <w:t>/</w:t>
    </w:r>
    <w:r w:rsidR="00822B8A">
      <w:rPr>
        <w:rStyle w:val="PageNumber"/>
      </w:rPr>
      <w:t>OUT-29 (Rev.1)</w:t>
    </w:r>
    <w:r>
      <w:rPr>
        <w:rStyle w:val="PageNumber"/>
      </w:rPr>
      <w:tab/>
    </w:r>
    <w:r w:rsidR="002C7EA9" w:rsidRPr="002C7EA9">
      <w:rPr>
        <w:rStyle w:val="PageNumber"/>
      </w:rPr>
      <w:t xml:space="preserve">Page </w:t>
    </w:r>
    <w:r w:rsidR="00EA7027" w:rsidRPr="002C7EA9">
      <w:rPr>
        <w:rStyle w:val="PageNumber"/>
      </w:rPr>
      <w:fldChar w:fldCharType="begin"/>
    </w:r>
    <w:r w:rsidR="002C7EA9" w:rsidRPr="002C7EA9">
      <w:rPr>
        <w:rStyle w:val="PageNumber"/>
      </w:rPr>
      <w:instrText xml:space="preserve"> PAGE </w:instrText>
    </w:r>
    <w:r w:rsidR="00EA7027" w:rsidRPr="002C7EA9">
      <w:rPr>
        <w:rStyle w:val="PageNumber"/>
      </w:rPr>
      <w:fldChar w:fldCharType="separate"/>
    </w:r>
    <w:r w:rsidR="002D7337">
      <w:rPr>
        <w:rStyle w:val="PageNumber"/>
        <w:noProof/>
      </w:rPr>
      <w:t>10</w:t>
    </w:r>
    <w:r w:rsidR="00EA7027" w:rsidRPr="002C7EA9">
      <w:rPr>
        <w:rStyle w:val="PageNumber"/>
      </w:rPr>
      <w:fldChar w:fldCharType="end"/>
    </w:r>
    <w:r w:rsidR="002C7EA9" w:rsidRPr="002C7EA9">
      <w:rPr>
        <w:rStyle w:val="PageNumber"/>
      </w:rPr>
      <w:t xml:space="preserve"> of </w:t>
    </w:r>
    <w:r w:rsidR="00EA7027" w:rsidRPr="002C7EA9">
      <w:rPr>
        <w:rStyle w:val="PageNumber"/>
      </w:rPr>
      <w:fldChar w:fldCharType="begin"/>
    </w:r>
    <w:r w:rsidR="002C7EA9" w:rsidRPr="002C7EA9">
      <w:rPr>
        <w:rStyle w:val="PageNumber"/>
      </w:rPr>
      <w:instrText xml:space="preserve"> NUMPAGES </w:instrText>
    </w:r>
    <w:r w:rsidR="00EA7027" w:rsidRPr="002C7EA9">
      <w:rPr>
        <w:rStyle w:val="PageNumber"/>
      </w:rPr>
      <w:fldChar w:fldCharType="separate"/>
    </w:r>
    <w:r w:rsidR="002D7337">
      <w:rPr>
        <w:rStyle w:val="PageNumber"/>
        <w:noProof/>
      </w:rPr>
      <w:t>14</w:t>
    </w:r>
    <w:r w:rsidR="00EA7027" w:rsidRPr="002C7EA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227"/>
      <w:gridCol w:w="2837"/>
    </w:tblGrid>
    <w:tr w:rsidR="007E7497" w14:paraId="1C60F989" w14:textId="77777777" w:rsidTr="00C14FDB">
      <w:trPr>
        <w:cantSplit/>
        <w:trHeight w:val="204"/>
        <w:jc w:val="center"/>
      </w:trPr>
      <w:tc>
        <w:tcPr>
          <w:tcW w:w="1152" w:type="dxa"/>
        </w:tcPr>
        <w:p w14:paraId="1E6DAB35" w14:textId="77777777" w:rsidR="007E7497" w:rsidRDefault="007E7497" w:rsidP="007E7497">
          <w:pPr>
            <w:rPr>
              <w:b/>
              <w:bCs/>
            </w:rPr>
          </w:pPr>
          <w:r>
            <w:rPr>
              <w:b/>
              <w:bCs/>
            </w:rPr>
            <w:t>Contact:</w:t>
          </w:r>
        </w:p>
      </w:tc>
      <w:tc>
        <w:tcPr>
          <w:tcW w:w="5227" w:type="dxa"/>
        </w:tcPr>
        <w:p w14:paraId="1E0F0641" w14:textId="0EF189E5" w:rsidR="007E7497" w:rsidRDefault="00B94065" w:rsidP="007E7497">
          <w:pPr>
            <w:pStyle w:val="Equation"/>
            <w:tabs>
              <w:tab w:val="clear" w:pos="794"/>
              <w:tab w:val="clear" w:pos="4820"/>
              <w:tab w:val="clear" w:pos="9639"/>
            </w:tabs>
            <w:spacing w:beforeLines="0"/>
            <w:rPr>
              <w:rFonts w:eastAsia="Batang"/>
            </w:rPr>
          </w:pPr>
          <w:r>
            <w:rPr>
              <w:rFonts w:eastAsia="Batang"/>
            </w:rPr>
            <w:t>ZHANG Bo</w:t>
          </w:r>
        </w:p>
        <w:p w14:paraId="736EA230" w14:textId="1E02B3C7" w:rsidR="00E639BA" w:rsidRPr="00B94065" w:rsidRDefault="00B94065" w:rsidP="007E7497">
          <w:pPr>
            <w:pStyle w:val="Equation"/>
            <w:tabs>
              <w:tab w:val="clear" w:pos="794"/>
              <w:tab w:val="clear" w:pos="4820"/>
              <w:tab w:val="clear" w:pos="9639"/>
            </w:tabs>
            <w:spacing w:beforeLines="0"/>
            <w:rPr>
              <w:rFonts w:eastAsia="SimSun"/>
              <w:lang w:eastAsia="zh-CN"/>
            </w:rPr>
          </w:pPr>
          <w:r>
            <w:rPr>
              <w:rFonts w:eastAsia="SimSun" w:hint="eastAsia"/>
              <w:lang w:eastAsia="zh-CN"/>
            </w:rPr>
            <w:t>D</w:t>
          </w:r>
          <w:r>
            <w:rPr>
              <w:rFonts w:eastAsia="SimSun"/>
              <w:lang w:eastAsia="zh-CN"/>
            </w:rPr>
            <w:t>G AI 1.17</w:t>
          </w:r>
        </w:p>
      </w:tc>
      <w:tc>
        <w:tcPr>
          <w:tcW w:w="2837" w:type="dxa"/>
          <w:tcBorders>
            <w:top w:val="single" w:sz="8" w:space="0" w:color="auto"/>
          </w:tcBorders>
        </w:tcPr>
        <w:p w14:paraId="59F1690E" w14:textId="77777777" w:rsidR="00C14FDB" w:rsidRDefault="007E7497" w:rsidP="00E23D98">
          <w:r>
            <w:t>Email</w:t>
          </w:r>
          <w:r>
            <w:rPr>
              <w:rFonts w:hint="eastAsia"/>
            </w:rPr>
            <w:t>:</w:t>
          </w:r>
          <w:r w:rsidR="00CF375A">
            <w:t xml:space="preserve"> </w:t>
          </w:r>
        </w:p>
        <w:p w14:paraId="7650FF59" w14:textId="0E4A782F" w:rsidR="007E7497" w:rsidRDefault="00CF375A" w:rsidP="00E23D98">
          <w:pPr>
            <w:rPr>
              <w:lang w:eastAsia="ja-JP"/>
            </w:rPr>
          </w:pPr>
          <w:r>
            <w:t>bo.zhang4969@gmail.com</w:t>
          </w:r>
        </w:p>
      </w:tc>
    </w:tr>
  </w:tbl>
  <w:p w14:paraId="4F51CE84" w14:textId="77777777" w:rsidR="0097693B" w:rsidRPr="007E7497" w:rsidRDefault="0097693B"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AD2F" w14:textId="77777777" w:rsidR="00AD45FD" w:rsidRDefault="00AD45FD">
      <w:r>
        <w:separator/>
      </w:r>
    </w:p>
  </w:footnote>
  <w:footnote w:type="continuationSeparator" w:id="0">
    <w:p w14:paraId="6BFF3ACF" w14:textId="77777777" w:rsidR="00AD45FD" w:rsidRDefault="00AD45FD">
      <w:r>
        <w:continuationSeparator/>
      </w:r>
    </w:p>
  </w:footnote>
  <w:footnote w:id="1">
    <w:p w14:paraId="40BD69D0" w14:textId="30E6B597" w:rsidR="00E8772A" w:rsidRDefault="00E8772A" w:rsidP="00E8772A">
      <w:pPr>
        <w:pStyle w:val="FootnoteText"/>
        <w:jc w:val="both"/>
      </w:pPr>
      <w:r>
        <w:rPr>
          <w:rStyle w:val="FootnoteReference"/>
        </w:rPr>
        <w:footnoteRef/>
      </w:r>
      <w:r>
        <w:t xml:space="preserve"> Annex 3 provisions do not apply to non-GSO systems using orbits with an apogee less than 2000 km that employ frequency reuse schemes of at least three </w:t>
      </w:r>
      <w:r w:rsidR="005429EA">
        <w:t>colors</w:t>
      </w:r>
      <w:r>
        <w:t>.</w:t>
      </w:r>
    </w:p>
  </w:footnote>
  <w:footnote w:id="2">
    <w:p w14:paraId="2AC21B93" w14:textId="77777777" w:rsidR="00C10E9D" w:rsidRDefault="00C10E9D" w:rsidP="00C10E9D">
      <w:pPr>
        <w:pStyle w:val="FootnoteText"/>
      </w:pPr>
      <w:r>
        <w:rPr>
          <w:rStyle w:val="FootnoteReference"/>
        </w:rPr>
        <w:footnoteRef/>
      </w:r>
      <w:r>
        <w:t xml:space="preserve"> </w:t>
      </w:r>
      <w:r w:rsidRPr="00E806E1">
        <w:t>The upper limit require</w:t>
      </w:r>
      <w:r>
        <w:t>s</w:t>
      </w:r>
      <w:r w:rsidRPr="00E806E1">
        <w:t xml:space="preserve"> further </w:t>
      </w:r>
      <w:r w:rsidRPr="0084201C">
        <w:t>discussion to accommodate operational requirements</w:t>
      </w:r>
    </w:p>
  </w:footnote>
  <w:footnote w:id="3">
    <w:p w14:paraId="1DACA54F" w14:textId="77777777" w:rsidR="00423D77" w:rsidRDefault="00423D77" w:rsidP="00423D77">
      <w:pPr>
        <w:pStyle w:val="FootnoteText"/>
      </w:pPr>
      <w:r>
        <w:rPr>
          <w:rStyle w:val="FootnoteReference"/>
        </w:rPr>
        <w:footnoteRef/>
      </w:r>
      <w:r>
        <w:t xml:space="preserve"> </w:t>
      </w:r>
      <w:r w:rsidRPr="00E806E1">
        <w:t>The upper limit require</w:t>
      </w:r>
      <w:r>
        <w:t>s</w:t>
      </w:r>
      <w:r w:rsidRPr="00E806E1">
        <w:t xml:space="preserve"> further </w:t>
      </w:r>
      <w:r w:rsidRPr="0084201C">
        <w:t>discussion to accommodate operational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5F17" w14:textId="77777777" w:rsidR="007E1FDD" w:rsidRDefault="007E1FDD" w:rsidP="008E3821">
    <w:pPr>
      <w:pStyle w:val="Header"/>
      <w:tabs>
        <w:tab w:val="clear" w:pos="4320"/>
        <w:tab w:val="clear" w:pos="8640"/>
      </w:tabs>
      <w:rPr>
        <w:lang w:eastAsia="ko-KR"/>
      </w:rPr>
    </w:pPr>
  </w:p>
  <w:p w14:paraId="24FDB20D" w14:textId="77777777" w:rsidR="0097693B" w:rsidRDefault="0097693B"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E7F"/>
    <w:multiLevelType w:val="hybridMultilevel"/>
    <w:tmpl w:val="895036FE"/>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03DCB"/>
    <w:multiLevelType w:val="hybridMultilevel"/>
    <w:tmpl w:val="AFCEF064"/>
    <w:lvl w:ilvl="0" w:tplc="48090003">
      <w:start w:val="1"/>
      <w:numFmt w:val="bullet"/>
      <w:lvlText w:val="o"/>
      <w:lvlJc w:val="left"/>
      <w:pPr>
        <w:ind w:left="788" w:hanging="440"/>
      </w:pPr>
      <w:rPr>
        <w:rFonts w:ascii="Courier New" w:hAnsi="Courier New" w:cs="Courier New" w:hint="default"/>
      </w:rPr>
    </w:lvl>
    <w:lvl w:ilvl="1" w:tplc="04090003" w:tentative="1">
      <w:start w:val="1"/>
      <w:numFmt w:val="bullet"/>
      <w:lvlText w:val=""/>
      <w:lvlJc w:val="left"/>
      <w:pPr>
        <w:ind w:left="1228" w:hanging="440"/>
      </w:pPr>
      <w:rPr>
        <w:rFonts w:ascii="Wingdings" w:hAnsi="Wingdings" w:hint="default"/>
      </w:rPr>
    </w:lvl>
    <w:lvl w:ilvl="2" w:tplc="04090005" w:tentative="1">
      <w:start w:val="1"/>
      <w:numFmt w:val="bullet"/>
      <w:lvlText w:val=""/>
      <w:lvlJc w:val="left"/>
      <w:pPr>
        <w:ind w:left="1668" w:hanging="440"/>
      </w:pPr>
      <w:rPr>
        <w:rFonts w:ascii="Wingdings" w:hAnsi="Wingdings" w:hint="default"/>
      </w:rPr>
    </w:lvl>
    <w:lvl w:ilvl="3" w:tplc="04090001" w:tentative="1">
      <w:start w:val="1"/>
      <w:numFmt w:val="bullet"/>
      <w:lvlText w:val=""/>
      <w:lvlJc w:val="left"/>
      <w:pPr>
        <w:ind w:left="2108" w:hanging="440"/>
      </w:pPr>
      <w:rPr>
        <w:rFonts w:ascii="Wingdings" w:hAnsi="Wingdings" w:hint="default"/>
      </w:rPr>
    </w:lvl>
    <w:lvl w:ilvl="4" w:tplc="04090003" w:tentative="1">
      <w:start w:val="1"/>
      <w:numFmt w:val="bullet"/>
      <w:lvlText w:val=""/>
      <w:lvlJc w:val="left"/>
      <w:pPr>
        <w:ind w:left="2548" w:hanging="440"/>
      </w:pPr>
      <w:rPr>
        <w:rFonts w:ascii="Wingdings" w:hAnsi="Wingdings" w:hint="default"/>
      </w:rPr>
    </w:lvl>
    <w:lvl w:ilvl="5" w:tplc="04090005" w:tentative="1">
      <w:start w:val="1"/>
      <w:numFmt w:val="bullet"/>
      <w:lvlText w:val=""/>
      <w:lvlJc w:val="left"/>
      <w:pPr>
        <w:ind w:left="2988" w:hanging="440"/>
      </w:pPr>
      <w:rPr>
        <w:rFonts w:ascii="Wingdings" w:hAnsi="Wingdings" w:hint="default"/>
      </w:rPr>
    </w:lvl>
    <w:lvl w:ilvl="6" w:tplc="04090001" w:tentative="1">
      <w:start w:val="1"/>
      <w:numFmt w:val="bullet"/>
      <w:lvlText w:val=""/>
      <w:lvlJc w:val="left"/>
      <w:pPr>
        <w:ind w:left="3428" w:hanging="440"/>
      </w:pPr>
      <w:rPr>
        <w:rFonts w:ascii="Wingdings" w:hAnsi="Wingdings" w:hint="default"/>
      </w:rPr>
    </w:lvl>
    <w:lvl w:ilvl="7" w:tplc="04090003" w:tentative="1">
      <w:start w:val="1"/>
      <w:numFmt w:val="bullet"/>
      <w:lvlText w:val=""/>
      <w:lvlJc w:val="left"/>
      <w:pPr>
        <w:ind w:left="3868" w:hanging="440"/>
      </w:pPr>
      <w:rPr>
        <w:rFonts w:ascii="Wingdings" w:hAnsi="Wingdings" w:hint="default"/>
      </w:rPr>
    </w:lvl>
    <w:lvl w:ilvl="8" w:tplc="04090005" w:tentative="1">
      <w:start w:val="1"/>
      <w:numFmt w:val="bullet"/>
      <w:lvlText w:val=""/>
      <w:lvlJc w:val="left"/>
      <w:pPr>
        <w:ind w:left="4308" w:hanging="440"/>
      </w:pPr>
      <w:rPr>
        <w:rFonts w:ascii="Wingdings" w:hAnsi="Wingdings" w:hint="default"/>
      </w:r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9951072"/>
    <w:multiLevelType w:val="hybridMultilevel"/>
    <w:tmpl w:val="2D068820"/>
    <w:lvl w:ilvl="0" w:tplc="0409000F">
      <w:start w:val="1"/>
      <w:numFmt w:val="decimal"/>
      <w:lvlText w:val="%1."/>
      <w:lvlJc w:val="left"/>
      <w:pPr>
        <w:ind w:left="788" w:hanging="440"/>
      </w:pPr>
    </w:lvl>
    <w:lvl w:ilvl="1" w:tplc="04090019" w:tentative="1">
      <w:start w:val="1"/>
      <w:numFmt w:val="lowerLetter"/>
      <w:lvlText w:val="%2)"/>
      <w:lvlJc w:val="left"/>
      <w:pPr>
        <w:ind w:left="1228" w:hanging="440"/>
      </w:pPr>
    </w:lvl>
    <w:lvl w:ilvl="2" w:tplc="0409001B" w:tentative="1">
      <w:start w:val="1"/>
      <w:numFmt w:val="lowerRoman"/>
      <w:lvlText w:val="%3."/>
      <w:lvlJc w:val="right"/>
      <w:pPr>
        <w:ind w:left="1668" w:hanging="440"/>
      </w:pPr>
    </w:lvl>
    <w:lvl w:ilvl="3" w:tplc="0409000F" w:tentative="1">
      <w:start w:val="1"/>
      <w:numFmt w:val="decimal"/>
      <w:lvlText w:val="%4."/>
      <w:lvlJc w:val="left"/>
      <w:pPr>
        <w:ind w:left="2108" w:hanging="440"/>
      </w:pPr>
    </w:lvl>
    <w:lvl w:ilvl="4" w:tplc="04090019" w:tentative="1">
      <w:start w:val="1"/>
      <w:numFmt w:val="lowerLetter"/>
      <w:lvlText w:val="%5)"/>
      <w:lvlJc w:val="left"/>
      <w:pPr>
        <w:ind w:left="2548" w:hanging="440"/>
      </w:pPr>
    </w:lvl>
    <w:lvl w:ilvl="5" w:tplc="0409001B" w:tentative="1">
      <w:start w:val="1"/>
      <w:numFmt w:val="lowerRoman"/>
      <w:lvlText w:val="%6."/>
      <w:lvlJc w:val="right"/>
      <w:pPr>
        <w:ind w:left="2988" w:hanging="440"/>
      </w:pPr>
    </w:lvl>
    <w:lvl w:ilvl="6" w:tplc="0409000F" w:tentative="1">
      <w:start w:val="1"/>
      <w:numFmt w:val="decimal"/>
      <w:lvlText w:val="%7."/>
      <w:lvlJc w:val="left"/>
      <w:pPr>
        <w:ind w:left="3428" w:hanging="440"/>
      </w:pPr>
    </w:lvl>
    <w:lvl w:ilvl="7" w:tplc="04090019" w:tentative="1">
      <w:start w:val="1"/>
      <w:numFmt w:val="lowerLetter"/>
      <w:lvlText w:val="%8)"/>
      <w:lvlJc w:val="left"/>
      <w:pPr>
        <w:ind w:left="3868" w:hanging="440"/>
      </w:pPr>
    </w:lvl>
    <w:lvl w:ilvl="8" w:tplc="0409001B" w:tentative="1">
      <w:start w:val="1"/>
      <w:numFmt w:val="lowerRoman"/>
      <w:lvlText w:val="%9."/>
      <w:lvlJc w:val="right"/>
      <w:pPr>
        <w:ind w:left="4308" w:hanging="440"/>
      </w:pPr>
    </w:lvl>
  </w:abstractNum>
  <w:abstractNum w:abstractNumId="5"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6" w15:restartNumberingAfterBreak="0">
    <w:nsid w:val="201042BB"/>
    <w:multiLevelType w:val="hybridMultilevel"/>
    <w:tmpl w:val="75141190"/>
    <w:lvl w:ilvl="0" w:tplc="A114EBFA">
      <w:start w:val="1"/>
      <w:numFmt w:val="bullet"/>
      <w:lvlText w:val="-"/>
      <w:lvlJc w:val="left"/>
      <w:pPr>
        <w:ind w:left="1262" w:hanging="440"/>
      </w:pPr>
      <w:rPr>
        <w:rFonts w:ascii="Malgun Gothic" w:eastAsia="Malgun Gothic" w:hAnsi="Malgun Gothic" w:cstheme="minorBidi" w:hint="eastAsia"/>
      </w:rPr>
    </w:lvl>
    <w:lvl w:ilvl="1" w:tplc="04090003" w:tentative="1">
      <w:start w:val="1"/>
      <w:numFmt w:val="bullet"/>
      <w:lvlText w:val=""/>
      <w:lvlJc w:val="left"/>
      <w:pPr>
        <w:ind w:left="1702" w:hanging="440"/>
      </w:pPr>
      <w:rPr>
        <w:rFonts w:ascii="Wingdings" w:hAnsi="Wingdings" w:hint="default"/>
      </w:rPr>
    </w:lvl>
    <w:lvl w:ilvl="2" w:tplc="04090005" w:tentative="1">
      <w:start w:val="1"/>
      <w:numFmt w:val="bullet"/>
      <w:lvlText w:val=""/>
      <w:lvlJc w:val="left"/>
      <w:pPr>
        <w:ind w:left="2142" w:hanging="440"/>
      </w:pPr>
      <w:rPr>
        <w:rFonts w:ascii="Wingdings" w:hAnsi="Wingdings" w:hint="default"/>
      </w:rPr>
    </w:lvl>
    <w:lvl w:ilvl="3" w:tplc="04090001" w:tentative="1">
      <w:start w:val="1"/>
      <w:numFmt w:val="bullet"/>
      <w:lvlText w:val=""/>
      <w:lvlJc w:val="left"/>
      <w:pPr>
        <w:ind w:left="2582" w:hanging="440"/>
      </w:pPr>
      <w:rPr>
        <w:rFonts w:ascii="Wingdings" w:hAnsi="Wingdings" w:hint="default"/>
      </w:rPr>
    </w:lvl>
    <w:lvl w:ilvl="4" w:tplc="04090003" w:tentative="1">
      <w:start w:val="1"/>
      <w:numFmt w:val="bullet"/>
      <w:lvlText w:val=""/>
      <w:lvlJc w:val="left"/>
      <w:pPr>
        <w:ind w:left="3022" w:hanging="440"/>
      </w:pPr>
      <w:rPr>
        <w:rFonts w:ascii="Wingdings" w:hAnsi="Wingdings" w:hint="default"/>
      </w:rPr>
    </w:lvl>
    <w:lvl w:ilvl="5" w:tplc="04090005" w:tentative="1">
      <w:start w:val="1"/>
      <w:numFmt w:val="bullet"/>
      <w:lvlText w:val=""/>
      <w:lvlJc w:val="left"/>
      <w:pPr>
        <w:ind w:left="3462" w:hanging="440"/>
      </w:pPr>
      <w:rPr>
        <w:rFonts w:ascii="Wingdings" w:hAnsi="Wingdings" w:hint="default"/>
      </w:rPr>
    </w:lvl>
    <w:lvl w:ilvl="6" w:tplc="04090001" w:tentative="1">
      <w:start w:val="1"/>
      <w:numFmt w:val="bullet"/>
      <w:lvlText w:val=""/>
      <w:lvlJc w:val="left"/>
      <w:pPr>
        <w:ind w:left="3902" w:hanging="440"/>
      </w:pPr>
      <w:rPr>
        <w:rFonts w:ascii="Wingdings" w:hAnsi="Wingdings" w:hint="default"/>
      </w:rPr>
    </w:lvl>
    <w:lvl w:ilvl="7" w:tplc="04090003" w:tentative="1">
      <w:start w:val="1"/>
      <w:numFmt w:val="bullet"/>
      <w:lvlText w:val=""/>
      <w:lvlJc w:val="left"/>
      <w:pPr>
        <w:ind w:left="4342" w:hanging="440"/>
      </w:pPr>
      <w:rPr>
        <w:rFonts w:ascii="Wingdings" w:hAnsi="Wingdings" w:hint="default"/>
      </w:rPr>
    </w:lvl>
    <w:lvl w:ilvl="8" w:tplc="04090005" w:tentative="1">
      <w:start w:val="1"/>
      <w:numFmt w:val="bullet"/>
      <w:lvlText w:val=""/>
      <w:lvlJc w:val="left"/>
      <w:pPr>
        <w:ind w:left="4782" w:hanging="440"/>
      </w:pPr>
      <w:rPr>
        <w:rFonts w:ascii="Wingdings" w:hAnsi="Wingding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33200E9"/>
    <w:multiLevelType w:val="hybridMultilevel"/>
    <w:tmpl w:val="3B767C28"/>
    <w:lvl w:ilvl="0" w:tplc="A114EBFA">
      <w:start w:val="1"/>
      <w:numFmt w:val="bullet"/>
      <w:lvlText w:val="-"/>
      <w:lvlJc w:val="left"/>
      <w:pPr>
        <w:ind w:left="440" w:hanging="440"/>
      </w:pPr>
      <w:rPr>
        <w:rFonts w:ascii="Malgun Gothic" w:eastAsia="Malgun Gothic" w:hAnsi="Malgun Gothic" w:cstheme="minorBidi"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15:restartNumberingAfterBreak="0">
    <w:nsid w:val="27E82C3F"/>
    <w:multiLevelType w:val="hybridMultilevel"/>
    <w:tmpl w:val="0C242788"/>
    <w:lvl w:ilvl="0" w:tplc="3F3EA3C4">
      <w:start w:val="2"/>
      <w:numFmt w:val="bullet"/>
      <w:lvlText w:val="-"/>
      <w:lvlJc w:val="left"/>
      <w:pPr>
        <w:ind w:left="720" w:hanging="360"/>
      </w:pPr>
      <w:rPr>
        <w:rFonts w:ascii="Times New Roman" w:eastAsia="BatangChe"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297E6F6A"/>
    <w:multiLevelType w:val="hybridMultilevel"/>
    <w:tmpl w:val="F0D4A47A"/>
    <w:lvl w:ilvl="0" w:tplc="0409000F">
      <w:start w:val="1"/>
      <w:numFmt w:val="decimal"/>
      <w:lvlText w:val="%1."/>
      <w:lvlJc w:val="left"/>
      <w:pPr>
        <w:ind w:left="788" w:hanging="440"/>
      </w:pPr>
    </w:lvl>
    <w:lvl w:ilvl="1" w:tplc="04090019" w:tentative="1">
      <w:start w:val="1"/>
      <w:numFmt w:val="lowerLetter"/>
      <w:lvlText w:val="%2)"/>
      <w:lvlJc w:val="left"/>
      <w:pPr>
        <w:ind w:left="1228" w:hanging="440"/>
      </w:pPr>
    </w:lvl>
    <w:lvl w:ilvl="2" w:tplc="0409001B" w:tentative="1">
      <w:start w:val="1"/>
      <w:numFmt w:val="lowerRoman"/>
      <w:lvlText w:val="%3."/>
      <w:lvlJc w:val="right"/>
      <w:pPr>
        <w:ind w:left="1668" w:hanging="440"/>
      </w:pPr>
    </w:lvl>
    <w:lvl w:ilvl="3" w:tplc="0409000F" w:tentative="1">
      <w:start w:val="1"/>
      <w:numFmt w:val="decimal"/>
      <w:lvlText w:val="%4."/>
      <w:lvlJc w:val="left"/>
      <w:pPr>
        <w:ind w:left="2108" w:hanging="440"/>
      </w:pPr>
    </w:lvl>
    <w:lvl w:ilvl="4" w:tplc="04090019" w:tentative="1">
      <w:start w:val="1"/>
      <w:numFmt w:val="lowerLetter"/>
      <w:lvlText w:val="%5)"/>
      <w:lvlJc w:val="left"/>
      <w:pPr>
        <w:ind w:left="2548" w:hanging="440"/>
      </w:pPr>
    </w:lvl>
    <w:lvl w:ilvl="5" w:tplc="0409001B" w:tentative="1">
      <w:start w:val="1"/>
      <w:numFmt w:val="lowerRoman"/>
      <w:lvlText w:val="%6."/>
      <w:lvlJc w:val="right"/>
      <w:pPr>
        <w:ind w:left="2988" w:hanging="440"/>
      </w:pPr>
    </w:lvl>
    <w:lvl w:ilvl="6" w:tplc="0409000F" w:tentative="1">
      <w:start w:val="1"/>
      <w:numFmt w:val="decimal"/>
      <w:lvlText w:val="%7."/>
      <w:lvlJc w:val="left"/>
      <w:pPr>
        <w:ind w:left="3428" w:hanging="440"/>
      </w:pPr>
    </w:lvl>
    <w:lvl w:ilvl="7" w:tplc="04090019" w:tentative="1">
      <w:start w:val="1"/>
      <w:numFmt w:val="lowerLetter"/>
      <w:lvlText w:val="%8)"/>
      <w:lvlJc w:val="left"/>
      <w:pPr>
        <w:ind w:left="3868" w:hanging="440"/>
      </w:pPr>
    </w:lvl>
    <w:lvl w:ilvl="8" w:tplc="0409001B" w:tentative="1">
      <w:start w:val="1"/>
      <w:numFmt w:val="lowerRoman"/>
      <w:lvlText w:val="%9."/>
      <w:lvlJc w:val="right"/>
      <w:pPr>
        <w:ind w:left="4308" w:hanging="440"/>
      </w:pPr>
    </w:lvl>
  </w:abstractNum>
  <w:abstractNum w:abstractNumId="12" w15:restartNumberingAfterBreak="0">
    <w:nsid w:val="2A6A60F4"/>
    <w:multiLevelType w:val="multilevel"/>
    <w:tmpl w:val="2A6A60F4"/>
    <w:lvl w:ilvl="0">
      <w:start w:val="10"/>
      <w:numFmt w:val="bullet"/>
      <w:lvlText w:val="-"/>
      <w:lvlJc w:val="left"/>
      <w:pPr>
        <w:ind w:left="420" w:hanging="420"/>
      </w:pPr>
      <w:rPr>
        <w:rFonts w:ascii="Times New Roman" w:eastAsia="Times New Roman" w:hAnsi="Times New Roman" w:cs="Times New Roman" w:hint="default"/>
        <w:color w:val="000000" w:themeColor="text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05D1172"/>
    <w:multiLevelType w:val="hybridMultilevel"/>
    <w:tmpl w:val="C7A0EF8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5" w15:restartNumberingAfterBreak="0">
    <w:nsid w:val="35890F11"/>
    <w:multiLevelType w:val="hybridMultilevel"/>
    <w:tmpl w:val="87262994"/>
    <w:lvl w:ilvl="0" w:tplc="04090019">
      <w:start w:val="1"/>
      <w:numFmt w:val="lowerLetter"/>
      <w:lvlText w:val="%1)"/>
      <w:lvlJc w:val="left"/>
      <w:pPr>
        <w:ind w:left="280" w:hanging="360"/>
      </w:pPr>
      <w:rPr>
        <w:rFonts w:hint="eastAsia"/>
      </w:rPr>
    </w:lvl>
    <w:lvl w:ilvl="1" w:tplc="FFFFFFFF">
      <w:start w:val="1"/>
      <w:numFmt w:val="bullet"/>
      <w:lvlText w:val=""/>
      <w:lvlJc w:val="left"/>
      <w:pPr>
        <w:ind w:left="720" w:hanging="400"/>
      </w:pPr>
      <w:rPr>
        <w:rFonts w:ascii="Wingdings" w:hAnsi="Wingdings" w:hint="default"/>
      </w:rPr>
    </w:lvl>
    <w:lvl w:ilvl="2" w:tplc="FFFFFFFF">
      <w:start w:val="1"/>
      <w:numFmt w:val="bullet"/>
      <w:lvlText w:val=""/>
      <w:lvlJc w:val="left"/>
      <w:pPr>
        <w:ind w:left="1120" w:hanging="400"/>
      </w:pPr>
      <w:rPr>
        <w:rFonts w:ascii="Wingdings" w:hAnsi="Wingdings" w:hint="default"/>
      </w:rPr>
    </w:lvl>
    <w:lvl w:ilvl="3" w:tplc="FFFFFFFF">
      <w:start w:val="1"/>
      <w:numFmt w:val="bullet"/>
      <w:lvlText w:val="o"/>
      <w:lvlJc w:val="left"/>
      <w:pPr>
        <w:ind w:left="1520" w:hanging="400"/>
      </w:pPr>
      <w:rPr>
        <w:rFonts w:ascii="Courier New" w:hAnsi="Courier New" w:cs="Courier New" w:hint="default"/>
      </w:rPr>
    </w:lvl>
    <w:lvl w:ilvl="4" w:tplc="FFFFFFFF" w:tentative="1">
      <w:start w:val="1"/>
      <w:numFmt w:val="bullet"/>
      <w:lvlText w:val=""/>
      <w:lvlJc w:val="left"/>
      <w:pPr>
        <w:ind w:left="1920" w:hanging="400"/>
      </w:pPr>
      <w:rPr>
        <w:rFonts w:ascii="Wingdings" w:hAnsi="Wingdings" w:hint="default"/>
      </w:rPr>
    </w:lvl>
    <w:lvl w:ilvl="5" w:tplc="FFFFFFFF" w:tentative="1">
      <w:start w:val="1"/>
      <w:numFmt w:val="bullet"/>
      <w:lvlText w:val=""/>
      <w:lvlJc w:val="left"/>
      <w:pPr>
        <w:ind w:left="2320" w:hanging="400"/>
      </w:pPr>
      <w:rPr>
        <w:rFonts w:ascii="Wingdings" w:hAnsi="Wingdings" w:hint="default"/>
      </w:rPr>
    </w:lvl>
    <w:lvl w:ilvl="6" w:tplc="FFFFFFFF" w:tentative="1">
      <w:start w:val="1"/>
      <w:numFmt w:val="bullet"/>
      <w:lvlText w:val=""/>
      <w:lvlJc w:val="left"/>
      <w:pPr>
        <w:ind w:left="2720" w:hanging="400"/>
      </w:pPr>
      <w:rPr>
        <w:rFonts w:ascii="Wingdings" w:hAnsi="Wingdings" w:hint="default"/>
      </w:rPr>
    </w:lvl>
    <w:lvl w:ilvl="7" w:tplc="FFFFFFFF" w:tentative="1">
      <w:start w:val="1"/>
      <w:numFmt w:val="bullet"/>
      <w:lvlText w:val=""/>
      <w:lvlJc w:val="left"/>
      <w:pPr>
        <w:ind w:left="3120" w:hanging="400"/>
      </w:pPr>
      <w:rPr>
        <w:rFonts w:ascii="Wingdings" w:hAnsi="Wingdings" w:hint="default"/>
      </w:rPr>
    </w:lvl>
    <w:lvl w:ilvl="8" w:tplc="FFFFFFFF" w:tentative="1">
      <w:start w:val="1"/>
      <w:numFmt w:val="bullet"/>
      <w:lvlText w:val=""/>
      <w:lvlJc w:val="left"/>
      <w:pPr>
        <w:ind w:left="3520" w:hanging="400"/>
      </w:pPr>
      <w:rPr>
        <w:rFonts w:ascii="Wingdings" w:hAnsi="Wingdings" w:hint="default"/>
      </w:rPr>
    </w:lvl>
  </w:abstractNum>
  <w:abstractNum w:abstractNumId="1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AC43C05"/>
    <w:multiLevelType w:val="hybridMultilevel"/>
    <w:tmpl w:val="3D8C72D6"/>
    <w:lvl w:ilvl="0" w:tplc="EB0272B0">
      <w:start w:val="1"/>
      <w:numFmt w:val="decimal"/>
      <w:lvlText w:val="%1."/>
      <w:lvlJc w:val="left"/>
      <w:pPr>
        <w:ind w:left="708" w:hanging="360"/>
      </w:pPr>
      <w:rPr>
        <w:rFonts w:hint="default"/>
      </w:rPr>
    </w:lvl>
    <w:lvl w:ilvl="1" w:tplc="04090019" w:tentative="1">
      <w:start w:val="1"/>
      <w:numFmt w:val="lowerLetter"/>
      <w:lvlText w:val="%2)"/>
      <w:lvlJc w:val="left"/>
      <w:pPr>
        <w:ind w:left="1228" w:hanging="440"/>
      </w:pPr>
    </w:lvl>
    <w:lvl w:ilvl="2" w:tplc="0409001B" w:tentative="1">
      <w:start w:val="1"/>
      <w:numFmt w:val="lowerRoman"/>
      <w:lvlText w:val="%3."/>
      <w:lvlJc w:val="right"/>
      <w:pPr>
        <w:ind w:left="1668" w:hanging="440"/>
      </w:pPr>
    </w:lvl>
    <w:lvl w:ilvl="3" w:tplc="0409000F" w:tentative="1">
      <w:start w:val="1"/>
      <w:numFmt w:val="decimal"/>
      <w:lvlText w:val="%4."/>
      <w:lvlJc w:val="left"/>
      <w:pPr>
        <w:ind w:left="2108" w:hanging="440"/>
      </w:pPr>
    </w:lvl>
    <w:lvl w:ilvl="4" w:tplc="04090019" w:tentative="1">
      <w:start w:val="1"/>
      <w:numFmt w:val="lowerLetter"/>
      <w:lvlText w:val="%5)"/>
      <w:lvlJc w:val="left"/>
      <w:pPr>
        <w:ind w:left="2548" w:hanging="440"/>
      </w:pPr>
    </w:lvl>
    <w:lvl w:ilvl="5" w:tplc="0409001B" w:tentative="1">
      <w:start w:val="1"/>
      <w:numFmt w:val="lowerRoman"/>
      <w:lvlText w:val="%6."/>
      <w:lvlJc w:val="right"/>
      <w:pPr>
        <w:ind w:left="2988" w:hanging="440"/>
      </w:pPr>
    </w:lvl>
    <w:lvl w:ilvl="6" w:tplc="0409000F" w:tentative="1">
      <w:start w:val="1"/>
      <w:numFmt w:val="decimal"/>
      <w:lvlText w:val="%7."/>
      <w:lvlJc w:val="left"/>
      <w:pPr>
        <w:ind w:left="3428" w:hanging="440"/>
      </w:pPr>
    </w:lvl>
    <w:lvl w:ilvl="7" w:tplc="04090019" w:tentative="1">
      <w:start w:val="1"/>
      <w:numFmt w:val="lowerLetter"/>
      <w:lvlText w:val="%8)"/>
      <w:lvlJc w:val="left"/>
      <w:pPr>
        <w:ind w:left="3868" w:hanging="440"/>
      </w:pPr>
    </w:lvl>
    <w:lvl w:ilvl="8" w:tplc="0409001B" w:tentative="1">
      <w:start w:val="1"/>
      <w:numFmt w:val="lowerRoman"/>
      <w:lvlText w:val="%9."/>
      <w:lvlJc w:val="right"/>
      <w:pPr>
        <w:ind w:left="4308" w:hanging="440"/>
      </w:pPr>
    </w:lvl>
  </w:abstractNum>
  <w:abstractNum w:abstractNumId="19" w15:restartNumberingAfterBreak="0">
    <w:nsid w:val="3BBE1A4D"/>
    <w:multiLevelType w:val="hybridMultilevel"/>
    <w:tmpl w:val="E8E6722C"/>
    <w:lvl w:ilvl="0" w:tplc="A114EBFA">
      <w:start w:val="1"/>
      <w:numFmt w:val="bullet"/>
      <w:lvlText w:val="-"/>
      <w:lvlJc w:val="left"/>
      <w:pPr>
        <w:ind w:left="280" w:hanging="360"/>
      </w:pPr>
      <w:rPr>
        <w:rFonts w:ascii="Malgun Gothic" w:eastAsia="Malgun Gothic" w:hAnsi="Malgun Gothic" w:cstheme="minorBidi" w:hint="eastAsia"/>
      </w:rPr>
    </w:lvl>
    <w:lvl w:ilvl="1" w:tplc="04090003">
      <w:start w:val="1"/>
      <w:numFmt w:val="bullet"/>
      <w:lvlText w:val=""/>
      <w:lvlJc w:val="left"/>
      <w:pPr>
        <w:ind w:left="720" w:hanging="400"/>
      </w:pPr>
      <w:rPr>
        <w:rFonts w:ascii="Wingdings" w:hAnsi="Wingdings" w:hint="default"/>
      </w:rPr>
    </w:lvl>
    <w:lvl w:ilvl="2" w:tplc="04090005">
      <w:start w:val="1"/>
      <w:numFmt w:val="bullet"/>
      <w:lvlText w:val=""/>
      <w:lvlJc w:val="left"/>
      <w:pPr>
        <w:ind w:left="1120" w:hanging="400"/>
      </w:pPr>
      <w:rPr>
        <w:rFonts w:ascii="Wingdings" w:hAnsi="Wingdings" w:hint="default"/>
      </w:rPr>
    </w:lvl>
    <w:lvl w:ilvl="3" w:tplc="14090003">
      <w:start w:val="1"/>
      <w:numFmt w:val="bullet"/>
      <w:lvlText w:val="o"/>
      <w:lvlJc w:val="left"/>
      <w:pPr>
        <w:ind w:left="1520" w:hanging="400"/>
      </w:pPr>
      <w:rPr>
        <w:rFonts w:ascii="Courier New" w:hAnsi="Courier New" w:cs="Courier New" w:hint="default"/>
      </w:rPr>
    </w:lvl>
    <w:lvl w:ilvl="4" w:tplc="04090003" w:tentative="1">
      <w:start w:val="1"/>
      <w:numFmt w:val="bullet"/>
      <w:lvlText w:val=""/>
      <w:lvlJc w:val="left"/>
      <w:pPr>
        <w:ind w:left="1920" w:hanging="400"/>
      </w:pPr>
      <w:rPr>
        <w:rFonts w:ascii="Wingdings" w:hAnsi="Wingdings" w:hint="default"/>
      </w:rPr>
    </w:lvl>
    <w:lvl w:ilvl="5" w:tplc="04090005" w:tentative="1">
      <w:start w:val="1"/>
      <w:numFmt w:val="bullet"/>
      <w:lvlText w:val=""/>
      <w:lvlJc w:val="left"/>
      <w:pPr>
        <w:ind w:left="2320" w:hanging="400"/>
      </w:pPr>
      <w:rPr>
        <w:rFonts w:ascii="Wingdings" w:hAnsi="Wingdings" w:hint="default"/>
      </w:rPr>
    </w:lvl>
    <w:lvl w:ilvl="6" w:tplc="04090001" w:tentative="1">
      <w:start w:val="1"/>
      <w:numFmt w:val="bullet"/>
      <w:lvlText w:val=""/>
      <w:lvlJc w:val="left"/>
      <w:pPr>
        <w:ind w:left="2720" w:hanging="400"/>
      </w:pPr>
      <w:rPr>
        <w:rFonts w:ascii="Wingdings" w:hAnsi="Wingdings" w:hint="default"/>
      </w:rPr>
    </w:lvl>
    <w:lvl w:ilvl="7" w:tplc="04090003" w:tentative="1">
      <w:start w:val="1"/>
      <w:numFmt w:val="bullet"/>
      <w:lvlText w:val=""/>
      <w:lvlJc w:val="left"/>
      <w:pPr>
        <w:ind w:left="3120" w:hanging="400"/>
      </w:pPr>
      <w:rPr>
        <w:rFonts w:ascii="Wingdings" w:hAnsi="Wingdings" w:hint="default"/>
      </w:rPr>
    </w:lvl>
    <w:lvl w:ilvl="8" w:tplc="04090005" w:tentative="1">
      <w:start w:val="1"/>
      <w:numFmt w:val="bullet"/>
      <w:lvlText w:val=""/>
      <w:lvlJc w:val="left"/>
      <w:pPr>
        <w:ind w:left="3520" w:hanging="400"/>
      </w:pPr>
      <w:rPr>
        <w:rFonts w:ascii="Wingdings" w:hAnsi="Wingdings" w:hint="default"/>
      </w:rPr>
    </w:lvl>
  </w:abstractNum>
  <w:abstractNum w:abstractNumId="20" w15:restartNumberingAfterBreak="0">
    <w:nsid w:val="3DF0558A"/>
    <w:multiLevelType w:val="hybridMultilevel"/>
    <w:tmpl w:val="AE04764C"/>
    <w:lvl w:ilvl="0" w:tplc="A48AC37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FA54F5F"/>
    <w:multiLevelType w:val="hybridMultilevel"/>
    <w:tmpl w:val="E7540A62"/>
    <w:lvl w:ilvl="0" w:tplc="A48AC37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8547368"/>
    <w:multiLevelType w:val="hybridMultilevel"/>
    <w:tmpl w:val="695C6ACE"/>
    <w:lvl w:ilvl="0" w:tplc="C22E0B14">
      <w:start w:val="1"/>
      <w:numFmt w:val="bullet"/>
      <w:lvlText w:val="–"/>
      <w:lvlJc w:val="left"/>
      <w:pPr>
        <w:ind w:left="80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4F832216"/>
    <w:multiLevelType w:val="hybridMultilevel"/>
    <w:tmpl w:val="B614D4FC"/>
    <w:lvl w:ilvl="0" w:tplc="A48AC37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20A1016"/>
    <w:multiLevelType w:val="hybridMultilevel"/>
    <w:tmpl w:val="2B2CC548"/>
    <w:lvl w:ilvl="0" w:tplc="B816B436">
      <w:start w:val="1"/>
      <w:numFmt w:val="bullet"/>
      <w:lvlText w:val="-"/>
      <w:lvlJc w:val="left"/>
      <w:pPr>
        <w:ind w:left="720" w:hanging="360"/>
      </w:pPr>
      <w:rPr>
        <w:rFonts w:ascii="Times New Roman" w:eastAsia="BatangChe"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9473A35"/>
    <w:multiLevelType w:val="multilevel"/>
    <w:tmpl w:val="8DDEEFF4"/>
    <w:lvl w:ilvl="0">
      <w:start w:val="2"/>
      <w:numFmt w:val="bullet"/>
      <w:lvlText w:val="-"/>
      <w:lvlJc w:val="left"/>
      <w:pPr>
        <w:ind w:left="1429"/>
      </w:pPr>
      <w:rPr>
        <w:rFonts w:ascii="Times New Roman" w:eastAsia="GulimChe" w:hAnsi="Times New Roman" w:cs="Times New Roman" w:hint="default"/>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6" w15:restartNumberingAfterBreak="0">
    <w:nsid w:val="5A09481E"/>
    <w:multiLevelType w:val="hybridMultilevel"/>
    <w:tmpl w:val="869CB456"/>
    <w:lvl w:ilvl="0" w:tplc="DE40D0EA">
      <w:start w:val="1"/>
      <w:numFmt w:val="lowerLetter"/>
      <w:lvlText w:val="%1."/>
      <w:lvlJc w:val="left"/>
      <w:pPr>
        <w:ind w:left="280" w:hanging="360"/>
      </w:pPr>
      <w:rPr>
        <w:rFonts w:hint="eastAsia"/>
      </w:rPr>
    </w:lvl>
    <w:lvl w:ilvl="1" w:tplc="FFFFFFFF">
      <w:start w:val="1"/>
      <w:numFmt w:val="bullet"/>
      <w:lvlText w:val=""/>
      <w:lvlJc w:val="left"/>
      <w:pPr>
        <w:ind w:left="720" w:hanging="400"/>
      </w:pPr>
      <w:rPr>
        <w:rFonts w:ascii="Wingdings" w:hAnsi="Wingdings" w:hint="default"/>
      </w:rPr>
    </w:lvl>
    <w:lvl w:ilvl="2" w:tplc="FFFFFFFF">
      <w:start w:val="1"/>
      <w:numFmt w:val="bullet"/>
      <w:lvlText w:val=""/>
      <w:lvlJc w:val="left"/>
      <w:pPr>
        <w:ind w:left="1120" w:hanging="400"/>
      </w:pPr>
      <w:rPr>
        <w:rFonts w:ascii="Wingdings" w:hAnsi="Wingdings" w:hint="default"/>
      </w:rPr>
    </w:lvl>
    <w:lvl w:ilvl="3" w:tplc="FFFFFFFF">
      <w:start w:val="1"/>
      <w:numFmt w:val="bullet"/>
      <w:lvlText w:val="o"/>
      <w:lvlJc w:val="left"/>
      <w:pPr>
        <w:ind w:left="1520" w:hanging="400"/>
      </w:pPr>
      <w:rPr>
        <w:rFonts w:ascii="Courier New" w:hAnsi="Courier New" w:cs="Courier New" w:hint="default"/>
      </w:rPr>
    </w:lvl>
    <w:lvl w:ilvl="4" w:tplc="FFFFFFFF" w:tentative="1">
      <w:start w:val="1"/>
      <w:numFmt w:val="bullet"/>
      <w:lvlText w:val=""/>
      <w:lvlJc w:val="left"/>
      <w:pPr>
        <w:ind w:left="1920" w:hanging="400"/>
      </w:pPr>
      <w:rPr>
        <w:rFonts w:ascii="Wingdings" w:hAnsi="Wingdings" w:hint="default"/>
      </w:rPr>
    </w:lvl>
    <w:lvl w:ilvl="5" w:tplc="FFFFFFFF" w:tentative="1">
      <w:start w:val="1"/>
      <w:numFmt w:val="bullet"/>
      <w:lvlText w:val=""/>
      <w:lvlJc w:val="left"/>
      <w:pPr>
        <w:ind w:left="2320" w:hanging="400"/>
      </w:pPr>
      <w:rPr>
        <w:rFonts w:ascii="Wingdings" w:hAnsi="Wingdings" w:hint="default"/>
      </w:rPr>
    </w:lvl>
    <w:lvl w:ilvl="6" w:tplc="FFFFFFFF" w:tentative="1">
      <w:start w:val="1"/>
      <w:numFmt w:val="bullet"/>
      <w:lvlText w:val=""/>
      <w:lvlJc w:val="left"/>
      <w:pPr>
        <w:ind w:left="2720" w:hanging="400"/>
      </w:pPr>
      <w:rPr>
        <w:rFonts w:ascii="Wingdings" w:hAnsi="Wingdings" w:hint="default"/>
      </w:rPr>
    </w:lvl>
    <w:lvl w:ilvl="7" w:tplc="FFFFFFFF" w:tentative="1">
      <w:start w:val="1"/>
      <w:numFmt w:val="bullet"/>
      <w:lvlText w:val=""/>
      <w:lvlJc w:val="left"/>
      <w:pPr>
        <w:ind w:left="3120" w:hanging="400"/>
      </w:pPr>
      <w:rPr>
        <w:rFonts w:ascii="Wingdings" w:hAnsi="Wingdings" w:hint="default"/>
      </w:rPr>
    </w:lvl>
    <w:lvl w:ilvl="8" w:tplc="FFFFFFFF" w:tentative="1">
      <w:start w:val="1"/>
      <w:numFmt w:val="bullet"/>
      <w:lvlText w:val=""/>
      <w:lvlJc w:val="left"/>
      <w:pPr>
        <w:ind w:left="3520" w:hanging="400"/>
      </w:pPr>
      <w:rPr>
        <w:rFonts w:ascii="Wingdings" w:hAnsi="Wingdings" w:hint="default"/>
      </w:rPr>
    </w:lvl>
  </w:abstractNum>
  <w:abstractNum w:abstractNumId="27" w15:restartNumberingAfterBreak="0">
    <w:nsid w:val="6CB22602"/>
    <w:multiLevelType w:val="hybridMultilevel"/>
    <w:tmpl w:val="913074B6"/>
    <w:lvl w:ilvl="0" w:tplc="5B08BD80">
      <w:start w:val="1"/>
      <w:numFmt w:val="bullet"/>
      <w:lvlText w:val="·"/>
      <w:lvlJc w:val="left"/>
      <w:pPr>
        <w:ind w:left="1160" w:hanging="440"/>
      </w:pPr>
      <w:rPr>
        <w:rFonts w:ascii="FangSong" w:eastAsia="FangSong" w:hAnsi="FangSong" w:hint="eastAsia"/>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28" w15:restartNumberingAfterBreak="0">
    <w:nsid w:val="6CB77572"/>
    <w:multiLevelType w:val="hybridMultilevel"/>
    <w:tmpl w:val="8DCA1020"/>
    <w:lvl w:ilvl="0" w:tplc="0409000F">
      <w:start w:val="1"/>
      <w:numFmt w:val="decimal"/>
      <w:lvlText w:val="%1."/>
      <w:lvlJc w:val="left"/>
      <w:pPr>
        <w:ind w:left="280" w:hanging="360"/>
      </w:pPr>
      <w:rPr>
        <w:rFonts w:hint="eastAsia"/>
      </w:rPr>
    </w:lvl>
    <w:lvl w:ilvl="1" w:tplc="FFFFFFFF">
      <w:start w:val="1"/>
      <w:numFmt w:val="bullet"/>
      <w:lvlText w:val=""/>
      <w:lvlJc w:val="left"/>
      <w:pPr>
        <w:ind w:left="720" w:hanging="400"/>
      </w:pPr>
      <w:rPr>
        <w:rFonts w:ascii="Wingdings" w:hAnsi="Wingdings" w:hint="default"/>
      </w:rPr>
    </w:lvl>
    <w:lvl w:ilvl="2" w:tplc="FFFFFFFF">
      <w:start w:val="1"/>
      <w:numFmt w:val="bullet"/>
      <w:lvlText w:val=""/>
      <w:lvlJc w:val="left"/>
      <w:pPr>
        <w:ind w:left="1120" w:hanging="400"/>
      </w:pPr>
      <w:rPr>
        <w:rFonts w:ascii="Wingdings" w:hAnsi="Wingdings" w:hint="default"/>
      </w:rPr>
    </w:lvl>
    <w:lvl w:ilvl="3" w:tplc="FFFFFFFF">
      <w:start w:val="1"/>
      <w:numFmt w:val="bullet"/>
      <w:lvlText w:val="o"/>
      <w:lvlJc w:val="left"/>
      <w:pPr>
        <w:ind w:left="1520" w:hanging="400"/>
      </w:pPr>
      <w:rPr>
        <w:rFonts w:ascii="Courier New" w:hAnsi="Courier New" w:cs="Courier New" w:hint="default"/>
      </w:rPr>
    </w:lvl>
    <w:lvl w:ilvl="4" w:tplc="FFFFFFFF" w:tentative="1">
      <w:start w:val="1"/>
      <w:numFmt w:val="bullet"/>
      <w:lvlText w:val=""/>
      <w:lvlJc w:val="left"/>
      <w:pPr>
        <w:ind w:left="1920" w:hanging="400"/>
      </w:pPr>
      <w:rPr>
        <w:rFonts w:ascii="Wingdings" w:hAnsi="Wingdings" w:hint="default"/>
      </w:rPr>
    </w:lvl>
    <w:lvl w:ilvl="5" w:tplc="FFFFFFFF" w:tentative="1">
      <w:start w:val="1"/>
      <w:numFmt w:val="bullet"/>
      <w:lvlText w:val=""/>
      <w:lvlJc w:val="left"/>
      <w:pPr>
        <w:ind w:left="2320" w:hanging="400"/>
      </w:pPr>
      <w:rPr>
        <w:rFonts w:ascii="Wingdings" w:hAnsi="Wingdings" w:hint="default"/>
      </w:rPr>
    </w:lvl>
    <w:lvl w:ilvl="6" w:tplc="FFFFFFFF" w:tentative="1">
      <w:start w:val="1"/>
      <w:numFmt w:val="bullet"/>
      <w:lvlText w:val=""/>
      <w:lvlJc w:val="left"/>
      <w:pPr>
        <w:ind w:left="2720" w:hanging="400"/>
      </w:pPr>
      <w:rPr>
        <w:rFonts w:ascii="Wingdings" w:hAnsi="Wingdings" w:hint="default"/>
      </w:rPr>
    </w:lvl>
    <w:lvl w:ilvl="7" w:tplc="FFFFFFFF" w:tentative="1">
      <w:start w:val="1"/>
      <w:numFmt w:val="bullet"/>
      <w:lvlText w:val=""/>
      <w:lvlJc w:val="left"/>
      <w:pPr>
        <w:ind w:left="3120" w:hanging="400"/>
      </w:pPr>
      <w:rPr>
        <w:rFonts w:ascii="Wingdings" w:hAnsi="Wingdings" w:hint="default"/>
      </w:rPr>
    </w:lvl>
    <w:lvl w:ilvl="8" w:tplc="FFFFFFFF" w:tentative="1">
      <w:start w:val="1"/>
      <w:numFmt w:val="bullet"/>
      <w:lvlText w:val=""/>
      <w:lvlJc w:val="left"/>
      <w:pPr>
        <w:ind w:left="3520" w:hanging="400"/>
      </w:pPr>
      <w:rPr>
        <w:rFonts w:ascii="Wingdings" w:hAnsi="Wingdings" w:hint="default"/>
      </w:rPr>
    </w:lvl>
  </w:abstractNum>
  <w:abstractNum w:abstractNumId="2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0"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32" w15:restartNumberingAfterBreak="0">
    <w:nsid w:val="7BF549B3"/>
    <w:multiLevelType w:val="multilevel"/>
    <w:tmpl w:val="7BF549B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654391">
    <w:abstractNumId w:val="16"/>
  </w:num>
  <w:num w:numId="2" w16cid:durableId="359665996">
    <w:abstractNumId w:val="9"/>
  </w:num>
  <w:num w:numId="3" w16cid:durableId="465395562">
    <w:abstractNumId w:val="7"/>
  </w:num>
  <w:num w:numId="4" w16cid:durableId="631205291">
    <w:abstractNumId w:val="29"/>
  </w:num>
  <w:num w:numId="5" w16cid:durableId="58527935">
    <w:abstractNumId w:val="14"/>
  </w:num>
  <w:num w:numId="6" w16cid:durableId="1110055527">
    <w:abstractNumId w:val="17"/>
  </w:num>
  <w:num w:numId="7" w16cid:durableId="1855731255">
    <w:abstractNumId w:val="5"/>
  </w:num>
  <w:num w:numId="8" w16cid:durableId="1131941001">
    <w:abstractNumId w:val="3"/>
  </w:num>
  <w:num w:numId="9" w16cid:durableId="227350832">
    <w:abstractNumId w:val="31"/>
  </w:num>
  <w:num w:numId="10" w16cid:durableId="421990929">
    <w:abstractNumId w:val="1"/>
  </w:num>
  <w:num w:numId="11" w16cid:durableId="1374041163">
    <w:abstractNumId w:val="30"/>
  </w:num>
  <w:num w:numId="12" w16cid:durableId="38364607">
    <w:abstractNumId w:val="19"/>
  </w:num>
  <w:num w:numId="13" w16cid:durableId="80026917">
    <w:abstractNumId w:val="22"/>
  </w:num>
  <w:num w:numId="14" w16cid:durableId="948121702">
    <w:abstractNumId w:val="6"/>
  </w:num>
  <w:num w:numId="15" w16cid:durableId="1990555227">
    <w:abstractNumId w:val="8"/>
  </w:num>
  <w:num w:numId="16" w16cid:durableId="966853610">
    <w:abstractNumId w:val="25"/>
  </w:num>
  <w:num w:numId="17" w16cid:durableId="407725391">
    <w:abstractNumId w:val="10"/>
  </w:num>
  <w:num w:numId="18" w16cid:durableId="37824706">
    <w:abstractNumId w:val="0"/>
  </w:num>
  <w:num w:numId="19" w16cid:durableId="1494221130">
    <w:abstractNumId w:val="11"/>
  </w:num>
  <w:num w:numId="20" w16cid:durableId="946818093">
    <w:abstractNumId w:val="26"/>
  </w:num>
  <w:num w:numId="21" w16cid:durableId="177936158">
    <w:abstractNumId w:val="32"/>
  </w:num>
  <w:num w:numId="22" w16cid:durableId="727726695">
    <w:abstractNumId w:val="12"/>
  </w:num>
  <w:num w:numId="23" w16cid:durableId="1479155335">
    <w:abstractNumId w:val="2"/>
  </w:num>
  <w:num w:numId="24" w16cid:durableId="1744600163">
    <w:abstractNumId w:val="4"/>
  </w:num>
  <w:num w:numId="25" w16cid:durableId="503907856">
    <w:abstractNumId w:val="18"/>
  </w:num>
  <w:num w:numId="26" w16cid:durableId="21519862">
    <w:abstractNumId w:val="13"/>
  </w:num>
  <w:num w:numId="27" w16cid:durableId="942614622">
    <w:abstractNumId w:val="28"/>
  </w:num>
  <w:num w:numId="28" w16cid:durableId="2117216620">
    <w:abstractNumId w:val="15"/>
  </w:num>
  <w:num w:numId="29" w16cid:durableId="163866176">
    <w:abstractNumId w:val="23"/>
  </w:num>
  <w:num w:numId="30" w16cid:durableId="245498308">
    <w:abstractNumId w:val="21"/>
  </w:num>
  <w:num w:numId="31" w16cid:durableId="2025741660">
    <w:abstractNumId w:val="20"/>
  </w:num>
  <w:num w:numId="32" w16cid:durableId="1538081209">
    <w:abstractNumId w:val="24"/>
  </w:num>
  <w:num w:numId="33" w16cid:durableId="7164670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33"/>
    <w:rsid w:val="00006E94"/>
    <w:rsid w:val="0000782C"/>
    <w:rsid w:val="00026476"/>
    <w:rsid w:val="0003336D"/>
    <w:rsid w:val="0003595B"/>
    <w:rsid w:val="000422E4"/>
    <w:rsid w:val="00044C53"/>
    <w:rsid w:val="00050FE4"/>
    <w:rsid w:val="00051865"/>
    <w:rsid w:val="00066CF9"/>
    <w:rsid w:val="000713CF"/>
    <w:rsid w:val="000742B8"/>
    <w:rsid w:val="00075C14"/>
    <w:rsid w:val="0008041C"/>
    <w:rsid w:val="00091A4B"/>
    <w:rsid w:val="00094B87"/>
    <w:rsid w:val="000A5201"/>
    <w:rsid w:val="000A5418"/>
    <w:rsid w:val="000A653B"/>
    <w:rsid w:val="000B1E8C"/>
    <w:rsid w:val="000B48CB"/>
    <w:rsid w:val="000B595C"/>
    <w:rsid w:val="000B675C"/>
    <w:rsid w:val="000D7C75"/>
    <w:rsid w:val="000E702D"/>
    <w:rsid w:val="000F517C"/>
    <w:rsid w:val="000F5540"/>
    <w:rsid w:val="001004D5"/>
    <w:rsid w:val="00101662"/>
    <w:rsid w:val="00104039"/>
    <w:rsid w:val="0012614F"/>
    <w:rsid w:val="0012796C"/>
    <w:rsid w:val="00127D9A"/>
    <w:rsid w:val="00130A94"/>
    <w:rsid w:val="00133947"/>
    <w:rsid w:val="00140158"/>
    <w:rsid w:val="00142A44"/>
    <w:rsid w:val="00147764"/>
    <w:rsid w:val="0015127A"/>
    <w:rsid w:val="00152E46"/>
    <w:rsid w:val="001539DD"/>
    <w:rsid w:val="00155442"/>
    <w:rsid w:val="00156C5C"/>
    <w:rsid w:val="00164353"/>
    <w:rsid w:val="00164E26"/>
    <w:rsid w:val="001677DC"/>
    <w:rsid w:val="00171E38"/>
    <w:rsid w:val="00175623"/>
    <w:rsid w:val="00177989"/>
    <w:rsid w:val="00181017"/>
    <w:rsid w:val="00196568"/>
    <w:rsid w:val="0019713F"/>
    <w:rsid w:val="001A07AA"/>
    <w:rsid w:val="001A2F16"/>
    <w:rsid w:val="001B18C2"/>
    <w:rsid w:val="001B363F"/>
    <w:rsid w:val="001B7E50"/>
    <w:rsid w:val="001D3CB9"/>
    <w:rsid w:val="001D528C"/>
    <w:rsid w:val="001D5D7E"/>
    <w:rsid w:val="001E6C4D"/>
    <w:rsid w:val="001F0D26"/>
    <w:rsid w:val="001F3D64"/>
    <w:rsid w:val="001F4511"/>
    <w:rsid w:val="001F5947"/>
    <w:rsid w:val="001F72F2"/>
    <w:rsid w:val="0021588B"/>
    <w:rsid w:val="00217303"/>
    <w:rsid w:val="002216AC"/>
    <w:rsid w:val="002219FD"/>
    <w:rsid w:val="00224B3A"/>
    <w:rsid w:val="00230738"/>
    <w:rsid w:val="00241BCF"/>
    <w:rsid w:val="00250B21"/>
    <w:rsid w:val="002534E8"/>
    <w:rsid w:val="00254A1B"/>
    <w:rsid w:val="00272800"/>
    <w:rsid w:val="00273B81"/>
    <w:rsid w:val="002800EB"/>
    <w:rsid w:val="0028454D"/>
    <w:rsid w:val="002855CC"/>
    <w:rsid w:val="00286912"/>
    <w:rsid w:val="002878F7"/>
    <w:rsid w:val="00287DD7"/>
    <w:rsid w:val="00291C9E"/>
    <w:rsid w:val="002926D4"/>
    <w:rsid w:val="00293CCA"/>
    <w:rsid w:val="002B3C9F"/>
    <w:rsid w:val="002C07DA"/>
    <w:rsid w:val="002C520E"/>
    <w:rsid w:val="002C7970"/>
    <w:rsid w:val="002C7EA9"/>
    <w:rsid w:val="002D52FB"/>
    <w:rsid w:val="002D7337"/>
    <w:rsid w:val="002E4950"/>
    <w:rsid w:val="002E7221"/>
    <w:rsid w:val="002F16DF"/>
    <w:rsid w:val="002F2ACD"/>
    <w:rsid w:val="002F3292"/>
    <w:rsid w:val="002F7AE6"/>
    <w:rsid w:val="00303354"/>
    <w:rsid w:val="00310F5C"/>
    <w:rsid w:val="003208A4"/>
    <w:rsid w:val="00325434"/>
    <w:rsid w:val="00334512"/>
    <w:rsid w:val="003400F9"/>
    <w:rsid w:val="00342F20"/>
    <w:rsid w:val="00343067"/>
    <w:rsid w:val="003540E0"/>
    <w:rsid w:val="003548C2"/>
    <w:rsid w:val="00366A36"/>
    <w:rsid w:val="00372C23"/>
    <w:rsid w:val="003809C7"/>
    <w:rsid w:val="003A4630"/>
    <w:rsid w:val="003A59F2"/>
    <w:rsid w:val="003A6347"/>
    <w:rsid w:val="003A6A39"/>
    <w:rsid w:val="003A7300"/>
    <w:rsid w:val="003B03B2"/>
    <w:rsid w:val="003B28ED"/>
    <w:rsid w:val="003B6263"/>
    <w:rsid w:val="003B708A"/>
    <w:rsid w:val="003B72A0"/>
    <w:rsid w:val="003C0AB7"/>
    <w:rsid w:val="003C64A7"/>
    <w:rsid w:val="003D25E1"/>
    <w:rsid w:val="003D38FC"/>
    <w:rsid w:val="003D3FDA"/>
    <w:rsid w:val="003D48E3"/>
    <w:rsid w:val="003D6EF3"/>
    <w:rsid w:val="003E4812"/>
    <w:rsid w:val="003F7B40"/>
    <w:rsid w:val="003F7C9E"/>
    <w:rsid w:val="00401AB4"/>
    <w:rsid w:val="0040423E"/>
    <w:rsid w:val="00406CEC"/>
    <w:rsid w:val="00406EAB"/>
    <w:rsid w:val="00410493"/>
    <w:rsid w:val="0041402B"/>
    <w:rsid w:val="00417ACB"/>
    <w:rsid w:val="00420822"/>
    <w:rsid w:val="00422B10"/>
    <w:rsid w:val="00423D77"/>
    <w:rsid w:val="00425222"/>
    <w:rsid w:val="00433301"/>
    <w:rsid w:val="00434B2A"/>
    <w:rsid w:val="00444170"/>
    <w:rsid w:val="00445C8A"/>
    <w:rsid w:val="00446097"/>
    <w:rsid w:val="004523AA"/>
    <w:rsid w:val="0045458F"/>
    <w:rsid w:val="00454B2F"/>
    <w:rsid w:val="0045561F"/>
    <w:rsid w:val="004618BD"/>
    <w:rsid w:val="004633B4"/>
    <w:rsid w:val="00476F6D"/>
    <w:rsid w:val="004854EE"/>
    <w:rsid w:val="00490D80"/>
    <w:rsid w:val="00494D01"/>
    <w:rsid w:val="004A7118"/>
    <w:rsid w:val="004B2A11"/>
    <w:rsid w:val="004B3553"/>
    <w:rsid w:val="004B36E1"/>
    <w:rsid w:val="004B6397"/>
    <w:rsid w:val="004D22D8"/>
    <w:rsid w:val="004D62B0"/>
    <w:rsid w:val="004E1774"/>
    <w:rsid w:val="004E2A78"/>
    <w:rsid w:val="004E44A2"/>
    <w:rsid w:val="004E46C5"/>
    <w:rsid w:val="004F3EFD"/>
    <w:rsid w:val="004F7944"/>
    <w:rsid w:val="00507D02"/>
    <w:rsid w:val="00510276"/>
    <w:rsid w:val="00510741"/>
    <w:rsid w:val="00512C78"/>
    <w:rsid w:val="00526CD0"/>
    <w:rsid w:val="00530E8C"/>
    <w:rsid w:val="005429EA"/>
    <w:rsid w:val="00543132"/>
    <w:rsid w:val="00543F7C"/>
    <w:rsid w:val="00544D55"/>
    <w:rsid w:val="00545933"/>
    <w:rsid w:val="0054610B"/>
    <w:rsid w:val="00550271"/>
    <w:rsid w:val="0055256E"/>
    <w:rsid w:val="00557544"/>
    <w:rsid w:val="005606F6"/>
    <w:rsid w:val="00566698"/>
    <w:rsid w:val="0056772F"/>
    <w:rsid w:val="00577C0A"/>
    <w:rsid w:val="00577C12"/>
    <w:rsid w:val="00582906"/>
    <w:rsid w:val="00587875"/>
    <w:rsid w:val="00590C0F"/>
    <w:rsid w:val="005B30A1"/>
    <w:rsid w:val="005B4C4E"/>
    <w:rsid w:val="005C5EB6"/>
    <w:rsid w:val="005C652D"/>
    <w:rsid w:val="005D3914"/>
    <w:rsid w:val="005D4A88"/>
    <w:rsid w:val="005D6B2F"/>
    <w:rsid w:val="005E56CD"/>
    <w:rsid w:val="005E7CA1"/>
    <w:rsid w:val="00604583"/>
    <w:rsid w:val="00607E2B"/>
    <w:rsid w:val="006139D6"/>
    <w:rsid w:val="006163DC"/>
    <w:rsid w:val="00623AAD"/>
    <w:rsid w:val="00623CE1"/>
    <w:rsid w:val="0063062B"/>
    <w:rsid w:val="00654A88"/>
    <w:rsid w:val="00656B6B"/>
    <w:rsid w:val="00657713"/>
    <w:rsid w:val="00667229"/>
    <w:rsid w:val="00670CE1"/>
    <w:rsid w:val="006730AA"/>
    <w:rsid w:val="006769C2"/>
    <w:rsid w:val="00682BE5"/>
    <w:rsid w:val="00690FED"/>
    <w:rsid w:val="006939A5"/>
    <w:rsid w:val="006A3376"/>
    <w:rsid w:val="006A7077"/>
    <w:rsid w:val="006B0CE4"/>
    <w:rsid w:val="006B2A00"/>
    <w:rsid w:val="006B2E2B"/>
    <w:rsid w:val="006B480A"/>
    <w:rsid w:val="006C6E3B"/>
    <w:rsid w:val="006D437F"/>
    <w:rsid w:val="006D561C"/>
    <w:rsid w:val="006D696C"/>
    <w:rsid w:val="006E00A1"/>
    <w:rsid w:val="006E12FC"/>
    <w:rsid w:val="006E66EB"/>
    <w:rsid w:val="006F6C9C"/>
    <w:rsid w:val="007009DF"/>
    <w:rsid w:val="00700EE3"/>
    <w:rsid w:val="007049B5"/>
    <w:rsid w:val="0070745F"/>
    <w:rsid w:val="00712451"/>
    <w:rsid w:val="00731041"/>
    <w:rsid w:val="00732F08"/>
    <w:rsid w:val="0074190C"/>
    <w:rsid w:val="007419AB"/>
    <w:rsid w:val="00757E77"/>
    <w:rsid w:val="00762576"/>
    <w:rsid w:val="00763ECE"/>
    <w:rsid w:val="007728D2"/>
    <w:rsid w:val="007744CF"/>
    <w:rsid w:val="0077693F"/>
    <w:rsid w:val="00781941"/>
    <w:rsid w:val="00782758"/>
    <w:rsid w:val="00786E33"/>
    <w:rsid w:val="00791060"/>
    <w:rsid w:val="007936AE"/>
    <w:rsid w:val="00794489"/>
    <w:rsid w:val="007A25B5"/>
    <w:rsid w:val="007A3AF7"/>
    <w:rsid w:val="007A3E29"/>
    <w:rsid w:val="007B5626"/>
    <w:rsid w:val="007D0BE8"/>
    <w:rsid w:val="007D41F6"/>
    <w:rsid w:val="007D752F"/>
    <w:rsid w:val="007E1FDD"/>
    <w:rsid w:val="007E3B30"/>
    <w:rsid w:val="007E511B"/>
    <w:rsid w:val="007E7497"/>
    <w:rsid w:val="007F08FF"/>
    <w:rsid w:val="007F1CC0"/>
    <w:rsid w:val="007F4564"/>
    <w:rsid w:val="007F6D93"/>
    <w:rsid w:val="0080570B"/>
    <w:rsid w:val="0080670F"/>
    <w:rsid w:val="008148E1"/>
    <w:rsid w:val="00816F4E"/>
    <w:rsid w:val="00822B8A"/>
    <w:rsid w:val="008315F6"/>
    <w:rsid w:val="008319BF"/>
    <w:rsid w:val="008337EA"/>
    <w:rsid w:val="00837E04"/>
    <w:rsid w:val="008424FA"/>
    <w:rsid w:val="00845A38"/>
    <w:rsid w:val="00862705"/>
    <w:rsid w:val="008649BA"/>
    <w:rsid w:val="0087183F"/>
    <w:rsid w:val="00875AAD"/>
    <w:rsid w:val="008950FB"/>
    <w:rsid w:val="00895A86"/>
    <w:rsid w:val="00896294"/>
    <w:rsid w:val="008973DD"/>
    <w:rsid w:val="00897A88"/>
    <w:rsid w:val="008A15FA"/>
    <w:rsid w:val="008A1883"/>
    <w:rsid w:val="008A481F"/>
    <w:rsid w:val="008A6FBF"/>
    <w:rsid w:val="008B1F3F"/>
    <w:rsid w:val="008C6711"/>
    <w:rsid w:val="008C68CB"/>
    <w:rsid w:val="008D0E09"/>
    <w:rsid w:val="008D4AA6"/>
    <w:rsid w:val="008E2079"/>
    <w:rsid w:val="008E277C"/>
    <w:rsid w:val="008E3821"/>
    <w:rsid w:val="00907A61"/>
    <w:rsid w:val="00927E7C"/>
    <w:rsid w:val="00930715"/>
    <w:rsid w:val="0094028D"/>
    <w:rsid w:val="0094276F"/>
    <w:rsid w:val="00943554"/>
    <w:rsid w:val="009477AE"/>
    <w:rsid w:val="00947EA6"/>
    <w:rsid w:val="009544CD"/>
    <w:rsid w:val="009615AA"/>
    <w:rsid w:val="00961B97"/>
    <w:rsid w:val="0097693B"/>
    <w:rsid w:val="00980617"/>
    <w:rsid w:val="00981932"/>
    <w:rsid w:val="00993355"/>
    <w:rsid w:val="009A4A6D"/>
    <w:rsid w:val="009B6F32"/>
    <w:rsid w:val="009B7126"/>
    <w:rsid w:val="009C3A03"/>
    <w:rsid w:val="009C5794"/>
    <w:rsid w:val="009C6620"/>
    <w:rsid w:val="009D4B7A"/>
    <w:rsid w:val="009D5C56"/>
    <w:rsid w:val="009F7DE0"/>
    <w:rsid w:val="00A01995"/>
    <w:rsid w:val="00A0503B"/>
    <w:rsid w:val="00A11F26"/>
    <w:rsid w:val="00A13265"/>
    <w:rsid w:val="00A16291"/>
    <w:rsid w:val="00A17AC8"/>
    <w:rsid w:val="00A21C4C"/>
    <w:rsid w:val="00A3272B"/>
    <w:rsid w:val="00A339A1"/>
    <w:rsid w:val="00A51D60"/>
    <w:rsid w:val="00A56EB1"/>
    <w:rsid w:val="00A610F9"/>
    <w:rsid w:val="00A66908"/>
    <w:rsid w:val="00A71136"/>
    <w:rsid w:val="00A72F6D"/>
    <w:rsid w:val="00A771BE"/>
    <w:rsid w:val="00A8035D"/>
    <w:rsid w:val="00A856A2"/>
    <w:rsid w:val="00AA2D8E"/>
    <w:rsid w:val="00AA474C"/>
    <w:rsid w:val="00AD1FBB"/>
    <w:rsid w:val="00AD2E14"/>
    <w:rsid w:val="00AD45FD"/>
    <w:rsid w:val="00AD7E5F"/>
    <w:rsid w:val="00AF4BCF"/>
    <w:rsid w:val="00AF6E67"/>
    <w:rsid w:val="00B01AA1"/>
    <w:rsid w:val="00B04997"/>
    <w:rsid w:val="00B04F62"/>
    <w:rsid w:val="00B236C7"/>
    <w:rsid w:val="00B30C81"/>
    <w:rsid w:val="00B3474C"/>
    <w:rsid w:val="00B466EE"/>
    <w:rsid w:val="00B4793B"/>
    <w:rsid w:val="00B92D88"/>
    <w:rsid w:val="00B93D0F"/>
    <w:rsid w:val="00B94065"/>
    <w:rsid w:val="00B9474F"/>
    <w:rsid w:val="00BA0CD3"/>
    <w:rsid w:val="00BB0A15"/>
    <w:rsid w:val="00BB28DB"/>
    <w:rsid w:val="00BB33AC"/>
    <w:rsid w:val="00BC006E"/>
    <w:rsid w:val="00BC67B2"/>
    <w:rsid w:val="00BC7506"/>
    <w:rsid w:val="00BE29EB"/>
    <w:rsid w:val="00BF134C"/>
    <w:rsid w:val="00C02048"/>
    <w:rsid w:val="00C041B5"/>
    <w:rsid w:val="00C10E9D"/>
    <w:rsid w:val="00C13196"/>
    <w:rsid w:val="00C14FDB"/>
    <w:rsid w:val="00C15633"/>
    <w:rsid w:val="00C15799"/>
    <w:rsid w:val="00C15D35"/>
    <w:rsid w:val="00C16253"/>
    <w:rsid w:val="00C17B46"/>
    <w:rsid w:val="00C20F4D"/>
    <w:rsid w:val="00C25E15"/>
    <w:rsid w:val="00C319B4"/>
    <w:rsid w:val="00C34224"/>
    <w:rsid w:val="00C357AD"/>
    <w:rsid w:val="00C37512"/>
    <w:rsid w:val="00C403D9"/>
    <w:rsid w:val="00C5062D"/>
    <w:rsid w:val="00C51244"/>
    <w:rsid w:val="00C514A0"/>
    <w:rsid w:val="00C559E6"/>
    <w:rsid w:val="00C6069C"/>
    <w:rsid w:val="00C60DCF"/>
    <w:rsid w:val="00C61E52"/>
    <w:rsid w:val="00C63898"/>
    <w:rsid w:val="00C70047"/>
    <w:rsid w:val="00C712CE"/>
    <w:rsid w:val="00C73F61"/>
    <w:rsid w:val="00C805B0"/>
    <w:rsid w:val="00C83338"/>
    <w:rsid w:val="00C85119"/>
    <w:rsid w:val="00CA18A0"/>
    <w:rsid w:val="00CA2A5A"/>
    <w:rsid w:val="00CA36F1"/>
    <w:rsid w:val="00CB2FC9"/>
    <w:rsid w:val="00CC3F29"/>
    <w:rsid w:val="00CC7620"/>
    <w:rsid w:val="00CD5431"/>
    <w:rsid w:val="00CD7A2A"/>
    <w:rsid w:val="00CE0E10"/>
    <w:rsid w:val="00CE6B09"/>
    <w:rsid w:val="00CF2491"/>
    <w:rsid w:val="00CF375A"/>
    <w:rsid w:val="00D06E35"/>
    <w:rsid w:val="00D1252E"/>
    <w:rsid w:val="00D22210"/>
    <w:rsid w:val="00D2623A"/>
    <w:rsid w:val="00D2651B"/>
    <w:rsid w:val="00D31096"/>
    <w:rsid w:val="00D3276B"/>
    <w:rsid w:val="00D50FA6"/>
    <w:rsid w:val="00D546E9"/>
    <w:rsid w:val="00D571D6"/>
    <w:rsid w:val="00D57772"/>
    <w:rsid w:val="00D60B7F"/>
    <w:rsid w:val="00D61F12"/>
    <w:rsid w:val="00D64812"/>
    <w:rsid w:val="00D65F2B"/>
    <w:rsid w:val="00D72AE3"/>
    <w:rsid w:val="00D75A4D"/>
    <w:rsid w:val="00D8478B"/>
    <w:rsid w:val="00D86151"/>
    <w:rsid w:val="00D9465E"/>
    <w:rsid w:val="00D97030"/>
    <w:rsid w:val="00D97C8A"/>
    <w:rsid w:val="00DA565F"/>
    <w:rsid w:val="00DA5D96"/>
    <w:rsid w:val="00DA7595"/>
    <w:rsid w:val="00DB0A68"/>
    <w:rsid w:val="00DB4F13"/>
    <w:rsid w:val="00DB5EAB"/>
    <w:rsid w:val="00DB6EC4"/>
    <w:rsid w:val="00DC06EA"/>
    <w:rsid w:val="00DC2FA0"/>
    <w:rsid w:val="00DC43A3"/>
    <w:rsid w:val="00DC696D"/>
    <w:rsid w:val="00DD7C09"/>
    <w:rsid w:val="00DE1D45"/>
    <w:rsid w:val="00DF1721"/>
    <w:rsid w:val="00DF791C"/>
    <w:rsid w:val="00E0124F"/>
    <w:rsid w:val="00E14F78"/>
    <w:rsid w:val="00E23D98"/>
    <w:rsid w:val="00E320BC"/>
    <w:rsid w:val="00E36366"/>
    <w:rsid w:val="00E371AC"/>
    <w:rsid w:val="00E41E94"/>
    <w:rsid w:val="00E45829"/>
    <w:rsid w:val="00E468F1"/>
    <w:rsid w:val="00E50C09"/>
    <w:rsid w:val="00E5387B"/>
    <w:rsid w:val="00E545D9"/>
    <w:rsid w:val="00E55764"/>
    <w:rsid w:val="00E56DA3"/>
    <w:rsid w:val="00E639BA"/>
    <w:rsid w:val="00E63CC8"/>
    <w:rsid w:val="00E65FC2"/>
    <w:rsid w:val="00E67186"/>
    <w:rsid w:val="00E674D3"/>
    <w:rsid w:val="00E70FD0"/>
    <w:rsid w:val="00E742F3"/>
    <w:rsid w:val="00E74E9D"/>
    <w:rsid w:val="00E80263"/>
    <w:rsid w:val="00E82E43"/>
    <w:rsid w:val="00E8772A"/>
    <w:rsid w:val="00E953C0"/>
    <w:rsid w:val="00EA7027"/>
    <w:rsid w:val="00EC0233"/>
    <w:rsid w:val="00EC1B79"/>
    <w:rsid w:val="00EC538C"/>
    <w:rsid w:val="00EC6683"/>
    <w:rsid w:val="00EC7E78"/>
    <w:rsid w:val="00EE0381"/>
    <w:rsid w:val="00EE6F70"/>
    <w:rsid w:val="00EF574E"/>
    <w:rsid w:val="00F17BE0"/>
    <w:rsid w:val="00F2224A"/>
    <w:rsid w:val="00F22807"/>
    <w:rsid w:val="00F2678E"/>
    <w:rsid w:val="00F27A79"/>
    <w:rsid w:val="00F31B1A"/>
    <w:rsid w:val="00F33BC7"/>
    <w:rsid w:val="00F60437"/>
    <w:rsid w:val="00F6252D"/>
    <w:rsid w:val="00F70E0C"/>
    <w:rsid w:val="00F8271D"/>
    <w:rsid w:val="00F84067"/>
    <w:rsid w:val="00F871F5"/>
    <w:rsid w:val="00F94C4B"/>
    <w:rsid w:val="00F9501C"/>
    <w:rsid w:val="00FA2358"/>
    <w:rsid w:val="00FA7811"/>
    <w:rsid w:val="00FB45F8"/>
    <w:rsid w:val="00FB6259"/>
    <w:rsid w:val="00FC156A"/>
    <w:rsid w:val="00FE3DE5"/>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ED1DFA"/>
  <w15:docId w15:val="{83713E17-1D42-4BD1-9621-F7C4CFC0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406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aliases w:val="List Paragraph1,Recommendation,List Paragraph11,L,CV text,Dot pt,F5 List Paragraph,No Spacing1,List Paragraph Char Char Char,Indicator Text,Numbered Para 1,Bullet 1,List Paragraph12,Bullet Points,MAIN CONTENT"/>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nhideWhenUsed/>
    <w:rsid w:val="00E65FC2"/>
    <w:rPr>
      <w:color w:val="0000FF" w:themeColor="hyperlink"/>
      <w:u w:val="single"/>
    </w:rPr>
  </w:style>
  <w:style w:type="character" w:customStyle="1" w:styleId="UnresolvedMention1">
    <w:name w:val="Unresolved Mention1"/>
    <w:basedOn w:val="DefaultParagraphFont"/>
    <w:uiPriority w:val="99"/>
    <w:semiHidden/>
    <w:unhideWhenUsed/>
    <w:rsid w:val="00D61F12"/>
    <w:rPr>
      <w:color w:val="605E5C"/>
      <w:shd w:val="clear" w:color="auto" w:fill="E1DFDD"/>
    </w:rPr>
  </w:style>
  <w:style w:type="paragraph" w:styleId="FootnoteText">
    <w:name w:val="footnote text"/>
    <w:aliases w:val="ECC Footnote,ALTS FOOTNOTE,Footnote Text Char Char1,Footnote Text Char4 Char Char,Footnote Text Char1 Char1 Char1 Char,Footnote Text Char Char1 Char1 Char Char,Footnote Text Char1 Char1 Char1 Char Char Char1,DN,DNV-FT"/>
    <w:basedOn w:val="Normal"/>
    <w:link w:val="FootnoteTextChar"/>
    <w:semiHidden/>
    <w:unhideWhenUsed/>
    <w:qFormat/>
    <w:rsid w:val="009D4B7A"/>
    <w:rPr>
      <w:sz w:val="20"/>
      <w:szCs w:val="20"/>
    </w:rPr>
  </w:style>
  <w:style w:type="character" w:customStyle="1" w:styleId="FootnoteTextChar">
    <w:name w:val="Footnote Text Char"/>
    <w:aliases w:val="ECC Footnote Char,ALTS FOOTNOTE Char,Footnote Text Char Char1 Char,Footnote Text Char4 Char Char Char,Footnote Text Char1 Char1 Char1 Char Char,Footnote Text Char Char1 Char1 Char Char Char,DN Char,DNV-FT Char"/>
    <w:basedOn w:val="DefaultParagraphFont"/>
    <w:link w:val="FootnoteText"/>
    <w:semiHidden/>
    <w:qFormat/>
    <w:rsid w:val="009D4B7A"/>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semiHidden/>
    <w:unhideWhenUsed/>
    <w:qFormat/>
    <w:rsid w:val="009D4B7A"/>
    <w:rPr>
      <w:vertAlign w:val="superscript"/>
    </w:rPr>
  </w:style>
  <w:style w:type="paragraph" w:styleId="Revision">
    <w:name w:val="Revision"/>
    <w:hidden/>
    <w:uiPriority w:val="99"/>
    <w:semiHidden/>
    <w:rsid w:val="00C37512"/>
    <w:rPr>
      <w:rFonts w:eastAsia="BatangChe"/>
      <w:sz w:val="24"/>
      <w:szCs w:val="24"/>
    </w:rPr>
  </w:style>
  <w:style w:type="paragraph" w:styleId="NormalWeb">
    <w:name w:val="Normal (Web)"/>
    <w:basedOn w:val="Normal"/>
    <w:semiHidden/>
    <w:unhideWhenUsed/>
    <w:rsid w:val="004E1774"/>
  </w:style>
  <w:style w:type="character" w:customStyle="1" w:styleId="ListParagraphChar">
    <w:name w:val="List Paragraph Char"/>
    <w:aliases w:val="List Paragraph1 Char,Recommendation Char,List Paragraph11 Char,L Char,CV text Char,Dot pt Char,F5 List Paragraph Char,No Spacing1 Char,List Paragraph Char Char Char Char,Indicator Text Char,Numbered Para 1 Char,Bullet 1 Char"/>
    <w:basedOn w:val="DefaultParagraphFont"/>
    <w:link w:val="ListParagraph"/>
    <w:uiPriority w:val="34"/>
    <w:qFormat/>
    <w:locked/>
    <w:rsid w:val="00E8772A"/>
    <w:rPr>
      <w:rFonts w:eastAsia="BatangChe"/>
      <w:sz w:val="24"/>
      <w:szCs w:val="24"/>
    </w:rPr>
  </w:style>
  <w:style w:type="table" w:styleId="TableGrid">
    <w:name w:val="Table Grid"/>
    <w:basedOn w:val="TableNormal"/>
    <w:uiPriority w:val="39"/>
    <w:qFormat/>
    <w:rsid w:val="00E8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E8772A"/>
    <w:rPr>
      <w:sz w:val="16"/>
      <w:szCs w:val="16"/>
    </w:rPr>
  </w:style>
  <w:style w:type="character" w:customStyle="1" w:styleId="ECCParagraph">
    <w:name w:val="ECC Paragraph"/>
    <w:basedOn w:val="DefaultParagraphFont"/>
    <w:uiPriority w:val="1"/>
    <w:qFormat/>
    <w:rsid w:val="00423D77"/>
    <w:rPr>
      <w:rFonts w:ascii="Arial" w:hAnsi="Arial"/>
      <w:noProof w:val="0"/>
      <w:sz w:val="20"/>
      <w:bdr w:val="none" w:sz="0" w:space="0" w:color="auto"/>
      <w:lang w:val="en-GB"/>
    </w:rPr>
  </w:style>
  <w:style w:type="table" w:customStyle="1" w:styleId="1">
    <w:name w:val="网格型1"/>
    <w:basedOn w:val="TableNormal"/>
    <w:next w:val="TableGrid"/>
    <w:uiPriority w:val="39"/>
    <w:rsid w:val="004D22D8"/>
    <w:rPr>
      <w:rFonts w:ascii="Calibri" w:eastAsia="SimSun"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t.int/sites/default/files/2023/08/APG23-6-INP-20_India_WP4_PACP_WRC-23_Agenda_Items.docx" TargetMode="External"/><Relationship Id="rId18" Type="http://schemas.openxmlformats.org/officeDocument/2006/relationships/hyperlink" Target="https://www.apt.int/sites/default/files/2023/08/APG23-6-INP-61_Thailand_WP4_PACP_WRC-23_Agenda_Items.docx" TargetMode="External"/><Relationship Id="rId26" Type="http://schemas.openxmlformats.org/officeDocument/2006/relationships/hyperlink" Target="https://www.apt.int/sites/default/files/2023/08/APG23-6-INP-127_Multicountry_WP4_PACP_WRC-23_Agenda_Item_1.17.docx" TargetMode="External"/><Relationship Id="rId39" Type="http://schemas.openxmlformats.org/officeDocument/2006/relationships/image" Target="media/image5.emf"/><Relationship Id="rId21" Type="http://schemas.openxmlformats.org/officeDocument/2006/relationships/hyperlink" Target="https://www.apt.int/sites/default/files/2023/08/APG23-6-INP-90R1_KOR_WP4_PACP_WRC-23_Agenda_Items.docx" TargetMode="External"/><Relationship Id="rId34" Type="http://schemas.openxmlformats.org/officeDocument/2006/relationships/package" Target="embeddings/Microsoft_Word_Document.docx"/><Relationship Id="rId42" Type="http://schemas.openxmlformats.org/officeDocument/2006/relationships/package" Target="embeddings/Microsoft_Word_Document4.docx"/><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pt.int/sites/default/files/2023/08/APG23-6-INP-50_Indonesia_WP4_PACP_WRC-23_Agenda_Items.docx" TargetMode="External"/><Relationship Id="rId29" Type="http://schemas.openxmlformats.org/officeDocument/2006/relationships/hyperlink" Target="https://www.apt.int/sites/default/files/2023/02/APG23-5-INF-39_Status_of_CEPT_preparation_for_WRC-23_and_RA-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dms_ties/itu-r/md/19/wp4a/c/R19-WP4A-C-0978!N18!MSW-E.docx" TargetMode="External"/><Relationship Id="rId24" Type="http://schemas.openxmlformats.org/officeDocument/2006/relationships/hyperlink" Target="https://www.apt.int/sites/default/files/2023/08/APG23-6-INP-112_Malaysia_WP4_PACP_WRC-23_Agenda_Items.docx" TargetMode="External"/><Relationship Id="rId32" Type="http://schemas.openxmlformats.org/officeDocument/2006/relationships/hyperlink" Target="https://www.apt.int/sites/default/files/2023/02/APG23-5-INF-43_CITEL_preparation_for_WRC-23.pdf" TargetMode="External"/><Relationship Id="rId37" Type="http://schemas.openxmlformats.org/officeDocument/2006/relationships/image" Target="media/image4.emf"/><Relationship Id="rId40" Type="http://schemas.openxmlformats.org/officeDocument/2006/relationships/package" Target="embeddings/Microsoft_Word_Document3.docx"/><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pt.int/sites/default/files/2023/08/APG23-6-INP-38_Japan_WP4_Views_and_Proposals_WRC-23_Agenda_Items.docx" TargetMode="External"/><Relationship Id="rId23" Type="http://schemas.openxmlformats.org/officeDocument/2006/relationships/hyperlink" Target="https://www.apt.int/sites/default/files/2023/08/APG23-6-INP-106_China_WP4_PACP_WRC-23_Agenda_Items.docx" TargetMode="External"/><Relationship Id="rId28" Type="http://schemas.openxmlformats.org/officeDocument/2006/relationships/hyperlink" Target="https://www.apt.int/sites/default/files/2023/01/APG23-5-INF-01_WMO_Position_on_WRC-23_Agenda.docx" TargetMode="External"/><Relationship Id="rId36" Type="http://schemas.openxmlformats.org/officeDocument/2006/relationships/package" Target="embeddings/Microsoft_Word_Document1.docx"/><Relationship Id="rId10" Type="http://schemas.openxmlformats.org/officeDocument/2006/relationships/hyperlink" Target="https://www.itu.int/dms_ties/itu-r/md/19/wp4a/c/R19-WP4A-C-0978!N17!MSW-E.docx" TargetMode="External"/><Relationship Id="rId19" Type="http://schemas.openxmlformats.org/officeDocument/2006/relationships/hyperlink" Target="https://www.apt.int/sites/default/files/2023/08/APG23-6-INP-68_Iran_WP4_Preliminary_Views_on_WRC-23_Agenda_Items.docx" TargetMode="External"/><Relationship Id="rId31" Type="http://schemas.openxmlformats.org/officeDocument/2006/relationships/hyperlink" Target="https://www.apt.int/sites/default/files/2023/08/APG23-6-INF-52_CITEL_preparation_for_WRC-23.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tu.int/dms_ties/itu-r/md/19/wp4a/c/R19-WP4A-C-0978!N16!MSW-E.docx" TargetMode="External"/><Relationship Id="rId14" Type="http://schemas.openxmlformats.org/officeDocument/2006/relationships/hyperlink" Target="https://www.apt.int/sites/default/files/2023/08/APG23-6-INP-26_Bangladesh_WP4_PACP_WRC-23_Agenda_Items_0.docx" TargetMode="External"/><Relationship Id="rId22" Type="http://schemas.openxmlformats.org/officeDocument/2006/relationships/hyperlink" Target="https://www.apt.int/sites/default/files/2023/08/APG23-6-INP-94_Philippines_WP4_PACP_WRC-23_Agenda_Items.docx" TargetMode="External"/><Relationship Id="rId27" Type="http://schemas.openxmlformats.org/officeDocument/2006/relationships/hyperlink" Target="https://www.apt.int/sites/default/files/2023/02/APG23-5-INF-36_Brief_on_AI1.17.docx" TargetMode="External"/><Relationship Id="rId30" Type="http://schemas.openxmlformats.org/officeDocument/2006/relationships/hyperlink" Target="https://www.apt.int/sites/default/files/2023/02/APG23-5-INF-43_CITEL_preparation_for_WRC-23.pdf" TargetMode="External"/><Relationship Id="rId35" Type="http://schemas.openxmlformats.org/officeDocument/2006/relationships/image" Target="media/image3.emf"/><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apt.int/sites/default/files/2023/07/APG23-6-INP-14_Cambodia_WP4__PACP_for_WRC-23_Agenda_Items.docx" TargetMode="External"/><Relationship Id="rId17" Type="http://schemas.openxmlformats.org/officeDocument/2006/relationships/hyperlink" Target="https://www.apt.int/sites/default/files/2023/08/APG23-6-INP-56_Singapore_WP4_PACP_WRC-23_Agenda_Items_0.docx" TargetMode="External"/><Relationship Id="rId25" Type="http://schemas.openxmlformats.org/officeDocument/2006/relationships/hyperlink" Target="https://www.apt.int/sites/default/files/2023/08/APG23-6-INP-120_VietNam_WP4_PACP_WRC-23_Agenda_Items.docx" TargetMode="External"/><Relationship Id="rId33" Type="http://schemas.openxmlformats.org/officeDocument/2006/relationships/image" Target="media/image2.emf"/><Relationship Id="rId38" Type="http://schemas.openxmlformats.org/officeDocument/2006/relationships/package" Target="embeddings/Microsoft_Word_Document2.docx"/><Relationship Id="rId46" Type="http://schemas.openxmlformats.org/officeDocument/2006/relationships/footer" Target="footer3.xml"/><Relationship Id="rId20" Type="http://schemas.openxmlformats.org/officeDocument/2006/relationships/hyperlink" Target="https://www.apt.int/sites/default/files/2023/08/APG23-6-INP-83_Australia_WP4_PACP_WRC-23_Agenda_Items.docx" TargetMode="External"/><Relationship Id="rId4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39CDB-E17B-4870-AE52-5ACFF097B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5877</Words>
  <Characters>33501</Characters>
  <Application>Microsoft Office Word</Application>
  <DocSecurity>0</DocSecurity>
  <Lines>279</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APT</Company>
  <LinksUpToDate>false</LinksUpToDate>
  <CharactersWithSpaces>39300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dc:creator>
  <cp:keywords/>
  <dc:description/>
  <cp:lastModifiedBy>Forhadul Parvez</cp:lastModifiedBy>
  <cp:revision>3</cp:revision>
  <cp:lastPrinted>2004-07-28T02:14:00Z</cp:lastPrinted>
  <dcterms:created xsi:type="dcterms:W3CDTF">2023-08-31T01:55:00Z</dcterms:created>
  <dcterms:modified xsi:type="dcterms:W3CDTF">2023-08-31T01:56:00Z</dcterms:modified>
</cp:coreProperties>
</file>