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689429E" w14:textId="77777777" w:rsidTr="007E1FDD">
        <w:trPr>
          <w:cantSplit/>
          <w:trHeight w:val="288"/>
        </w:trPr>
        <w:tc>
          <w:tcPr>
            <w:tcW w:w="1399" w:type="dxa"/>
            <w:vMerge w:val="restart"/>
          </w:tcPr>
          <w:p w14:paraId="308B07B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0B2BD9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41FE461"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3D940FB" w14:textId="77777777" w:rsidTr="007E7497">
        <w:trPr>
          <w:cantSplit/>
          <w:trHeight w:val="504"/>
        </w:trPr>
        <w:tc>
          <w:tcPr>
            <w:tcW w:w="1399" w:type="dxa"/>
            <w:vMerge/>
          </w:tcPr>
          <w:p w14:paraId="2ACD7806" w14:textId="77777777" w:rsidR="003D25E1" w:rsidRPr="00891D0B" w:rsidRDefault="003D25E1" w:rsidP="000D7C75"/>
        </w:tc>
        <w:tc>
          <w:tcPr>
            <w:tcW w:w="5760" w:type="dxa"/>
            <w:vAlign w:val="center"/>
          </w:tcPr>
          <w:p w14:paraId="278242BE"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4B472E37"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65820E51" w14:textId="34FCE743" w:rsidR="00FB51E6"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9F617E">
              <w:rPr>
                <w:b/>
                <w:bCs/>
                <w:lang w:val="fr-FR"/>
              </w:rPr>
              <w:t>OUT-31</w:t>
            </w:r>
          </w:p>
          <w:p w14:paraId="0FF2E21E" w14:textId="4AF42574" w:rsidR="003D25E1" w:rsidRPr="00FB51E6" w:rsidRDefault="003D25E1" w:rsidP="007E1FDD">
            <w:pPr>
              <w:rPr>
                <w:rFonts w:eastAsiaTheme="minorEastAsia"/>
                <w:b/>
                <w:bCs/>
                <w:lang w:val="en-GB" w:eastAsia="zh-CN"/>
                <w:rPrChange w:id="0" w:author="Lenovo" w:date="2023-08-18T16:12:00Z">
                  <w:rPr>
                    <w:b/>
                    <w:bCs/>
                    <w:lang w:val="en-GB"/>
                  </w:rPr>
                </w:rPrChange>
              </w:rPr>
            </w:pPr>
          </w:p>
        </w:tc>
      </w:tr>
      <w:tr w:rsidR="007E1FDD" w:rsidRPr="00891D0B" w14:paraId="4B861CA3" w14:textId="77777777" w:rsidTr="007E1FDD">
        <w:trPr>
          <w:cantSplit/>
          <w:trHeight w:val="288"/>
        </w:trPr>
        <w:tc>
          <w:tcPr>
            <w:tcW w:w="1399" w:type="dxa"/>
            <w:vMerge/>
          </w:tcPr>
          <w:p w14:paraId="709EE434" w14:textId="77777777" w:rsidR="007E1FDD" w:rsidRPr="007E1FDD" w:rsidRDefault="007E1FDD" w:rsidP="000D7C75">
            <w:pPr>
              <w:rPr>
                <w:lang w:val="en-GB"/>
              </w:rPr>
            </w:pPr>
          </w:p>
        </w:tc>
        <w:tc>
          <w:tcPr>
            <w:tcW w:w="5760" w:type="dxa"/>
            <w:vAlign w:val="bottom"/>
          </w:tcPr>
          <w:p w14:paraId="1AA58505"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5AECDA78" w14:textId="0D62ED61" w:rsidR="007E1FDD" w:rsidRPr="007E1FDD" w:rsidRDefault="009A17D5" w:rsidP="00C73F61">
            <w:pPr>
              <w:spacing w:before="40"/>
              <w:rPr>
                <w:bCs/>
              </w:rPr>
            </w:pPr>
            <w:r>
              <w:rPr>
                <w:bCs/>
              </w:rPr>
              <w:t>1</w:t>
            </w:r>
            <w:r w:rsidR="00781490">
              <w:rPr>
                <w:bCs/>
              </w:rPr>
              <w:t>9</w:t>
            </w:r>
            <w:r w:rsidR="007E1FDD" w:rsidRPr="007E1FDD">
              <w:rPr>
                <w:bCs/>
              </w:rPr>
              <w:t xml:space="preserve"> </w:t>
            </w:r>
            <w:r w:rsidR="0058612C">
              <w:rPr>
                <w:bCs/>
              </w:rPr>
              <w:t>August</w:t>
            </w:r>
            <w:r w:rsidR="007E1FDD" w:rsidRPr="007E1FDD">
              <w:rPr>
                <w:bCs/>
              </w:rPr>
              <w:t xml:space="preserve"> 20</w:t>
            </w:r>
            <w:r w:rsidR="00BB33AC">
              <w:rPr>
                <w:bCs/>
              </w:rPr>
              <w:t>23</w:t>
            </w:r>
          </w:p>
        </w:tc>
      </w:tr>
    </w:tbl>
    <w:p w14:paraId="34356516" w14:textId="77777777" w:rsidR="007E7497" w:rsidRDefault="007E7497" w:rsidP="00DA7595">
      <w:pPr>
        <w:rPr>
          <w:lang w:eastAsia="ko-KR"/>
        </w:rPr>
      </w:pPr>
    </w:p>
    <w:p w14:paraId="0B5FBB6E" w14:textId="25BCC238" w:rsidR="009D4B7A" w:rsidRPr="002A0111" w:rsidRDefault="002A6FF5" w:rsidP="009D4B7A">
      <w:pPr>
        <w:jc w:val="center"/>
        <w:rPr>
          <w:lang w:val="en-NZ" w:eastAsia="ko-KR"/>
        </w:rPr>
      </w:pPr>
      <w:r>
        <w:rPr>
          <w:lang w:val="en-NZ" w:eastAsia="ko-KR"/>
        </w:rPr>
        <w:t>Working Party 4</w:t>
      </w:r>
    </w:p>
    <w:p w14:paraId="72A6339A" w14:textId="77777777" w:rsidR="009D4B7A" w:rsidRPr="002A0111" w:rsidRDefault="009D4B7A" w:rsidP="009D4B7A">
      <w:pPr>
        <w:jc w:val="center"/>
        <w:rPr>
          <w:bCs/>
          <w:caps/>
          <w:lang w:val="en-NZ"/>
        </w:rPr>
      </w:pPr>
    </w:p>
    <w:p w14:paraId="2D1B59D6" w14:textId="77777777" w:rsidR="006F7A80" w:rsidRDefault="00104039" w:rsidP="009D4B7A">
      <w:pPr>
        <w:jc w:val="center"/>
        <w:rPr>
          <w:b/>
          <w:bCs/>
          <w:caps/>
          <w:lang w:val="en-NZ"/>
        </w:rPr>
      </w:pPr>
      <w:r>
        <w:rPr>
          <w:b/>
          <w:bCs/>
          <w:caps/>
          <w:lang w:val="en-NZ"/>
        </w:rPr>
        <w:t>APT</w:t>
      </w:r>
      <w:r w:rsidR="009D4B7A" w:rsidRPr="00441526">
        <w:rPr>
          <w:b/>
          <w:bCs/>
          <w:caps/>
          <w:lang w:val="en-NZ"/>
        </w:rPr>
        <w:t xml:space="preserve"> VIEW</w:t>
      </w:r>
      <w:r>
        <w:rPr>
          <w:b/>
          <w:bCs/>
          <w:caps/>
          <w:lang w:val="en-NZ"/>
        </w:rPr>
        <w:t xml:space="preserve"> and </w:t>
      </w:r>
      <w:r w:rsidRPr="00104039">
        <w:rPr>
          <w:b/>
          <w:bCs/>
          <w:caps/>
          <w:lang w:val="en-NZ"/>
        </w:rPr>
        <w:t xml:space="preserve">Preliminary APT Common Proposal </w:t>
      </w:r>
      <w:r w:rsidR="009D4B7A" w:rsidRPr="00441526">
        <w:rPr>
          <w:b/>
          <w:bCs/>
          <w:caps/>
          <w:lang w:val="en-NZ"/>
        </w:rPr>
        <w:t xml:space="preserve">on </w:t>
      </w:r>
    </w:p>
    <w:p w14:paraId="6D168BD3" w14:textId="33CBD0F0" w:rsidR="009D4B7A" w:rsidRPr="00441526" w:rsidRDefault="009D4B7A" w:rsidP="009D4B7A">
      <w:pPr>
        <w:jc w:val="center"/>
        <w:rPr>
          <w:b/>
          <w:bCs/>
          <w:caps/>
          <w:lang w:val="en-NZ"/>
        </w:rPr>
      </w:pPr>
      <w:r w:rsidRPr="00441526">
        <w:rPr>
          <w:b/>
          <w:bCs/>
          <w:caps/>
          <w:lang w:val="en-NZ"/>
        </w:rPr>
        <w:t>WRC-</w:t>
      </w:r>
      <w:r>
        <w:rPr>
          <w:b/>
          <w:bCs/>
          <w:caps/>
          <w:lang w:val="en-NZ"/>
        </w:rPr>
        <w:t>23</w:t>
      </w:r>
      <w:r w:rsidRPr="00441526">
        <w:rPr>
          <w:b/>
          <w:bCs/>
          <w:caps/>
          <w:lang w:val="en-NZ"/>
        </w:rPr>
        <w:t xml:space="preserve"> agenda item 1.</w:t>
      </w:r>
      <w:r w:rsidR="00255181">
        <w:rPr>
          <w:b/>
          <w:bCs/>
          <w:caps/>
          <w:lang w:val="en-NZ"/>
        </w:rPr>
        <w:t>19</w:t>
      </w:r>
    </w:p>
    <w:p w14:paraId="14FEFD0A" w14:textId="77777777" w:rsidR="009D4B7A" w:rsidRPr="00441526" w:rsidRDefault="009D4B7A" w:rsidP="009D4B7A">
      <w:pPr>
        <w:spacing w:after="120"/>
        <w:rPr>
          <w:lang w:val="en-NZ"/>
        </w:rPr>
      </w:pPr>
    </w:p>
    <w:p w14:paraId="153E24F4" w14:textId="52AD0045" w:rsidR="009D4B7A" w:rsidRPr="00441526" w:rsidRDefault="009D4B7A" w:rsidP="009D4B7A">
      <w:pPr>
        <w:spacing w:after="120"/>
        <w:jc w:val="both"/>
        <w:rPr>
          <w:lang w:val="en-NZ"/>
        </w:rPr>
      </w:pPr>
      <w:r w:rsidRPr="00441526">
        <w:rPr>
          <w:b/>
          <w:lang w:val="en-NZ"/>
        </w:rPr>
        <w:t>Agenda Item 1.</w:t>
      </w:r>
      <w:r w:rsidR="00E447EE">
        <w:rPr>
          <w:b/>
          <w:lang w:val="en-NZ"/>
        </w:rPr>
        <w:t>19</w:t>
      </w:r>
      <w:r w:rsidRPr="00441526">
        <w:rPr>
          <w:b/>
          <w:lang w:val="en-NZ"/>
        </w:rPr>
        <w:t xml:space="preserve">: </w:t>
      </w:r>
    </w:p>
    <w:p w14:paraId="3DF61CCF" w14:textId="77777777" w:rsidR="00E447EE" w:rsidRPr="00441526" w:rsidRDefault="00E447EE" w:rsidP="00E447EE">
      <w:pPr>
        <w:spacing w:after="120"/>
        <w:jc w:val="both"/>
        <w:rPr>
          <w:i/>
          <w:lang w:val="en-NZ"/>
        </w:rPr>
      </w:pPr>
      <w:r w:rsidRPr="0012124C">
        <w:rPr>
          <w:i/>
          <w:lang w:val="en-NZ"/>
        </w:rPr>
        <w:t xml:space="preserve">to consider a new primary allocation to the fixed-satellite service in the space-to-Earth direction in the frequency band 17.3-17.7 GHz in Region 2, while protecting existing primary services in the band, in accordance with Resolution </w:t>
      </w:r>
      <w:r w:rsidRPr="00906F27">
        <w:rPr>
          <w:b/>
          <w:bCs/>
          <w:i/>
          <w:lang w:val="en-NZ"/>
        </w:rPr>
        <w:t>174 (WRC 19).</w:t>
      </w:r>
    </w:p>
    <w:p w14:paraId="37B219F5" w14:textId="77777777" w:rsidR="009D4B7A" w:rsidRPr="00441526" w:rsidRDefault="009D4B7A" w:rsidP="009D4B7A">
      <w:pPr>
        <w:jc w:val="both"/>
        <w:rPr>
          <w:lang w:val="en-NZ"/>
        </w:rPr>
      </w:pPr>
    </w:p>
    <w:p w14:paraId="469AA013" w14:textId="77777777" w:rsidR="009D4B7A" w:rsidRPr="00441526" w:rsidRDefault="009D4B7A" w:rsidP="009D4B7A">
      <w:pPr>
        <w:spacing w:after="120"/>
        <w:jc w:val="both"/>
        <w:rPr>
          <w:b/>
          <w:lang w:val="en-NZ" w:eastAsia="ko-KR"/>
        </w:rPr>
      </w:pPr>
      <w:r w:rsidRPr="00441526">
        <w:rPr>
          <w:b/>
          <w:lang w:val="en-NZ" w:eastAsia="ko-KR"/>
        </w:rPr>
        <w:t xml:space="preserve">1. </w:t>
      </w:r>
      <w:r w:rsidRPr="00441526">
        <w:rPr>
          <w:b/>
          <w:lang w:val="en-NZ" w:eastAsia="ko-KR"/>
        </w:rPr>
        <w:tab/>
        <w:t>Background</w:t>
      </w:r>
    </w:p>
    <w:p w14:paraId="486936F7" w14:textId="77777777" w:rsidR="00E447EE" w:rsidRDefault="00E447EE" w:rsidP="00E447EE">
      <w:pPr>
        <w:jc w:val="both"/>
        <w:rPr>
          <w:lang w:val="en-NZ"/>
        </w:rPr>
      </w:pPr>
      <w:r w:rsidRPr="00906F27">
        <w:rPr>
          <w:lang w:val="en-NZ"/>
        </w:rPr>
        <w:t xml:space="preserve">WRC-23 agenda item 1.19, in accordance with Resolution </w:t>
      </w:r>
      <w:r w:rsidRPr="00746576">
        <w:rPr>
          <w:b/>
          <w:bCs/>
          <w:lang w:val="en-NZ"/>
        </w:rPr>
        <w:t>174 (WRC-19)</w:t>
      </w:r>
      <w:r w:rsidRPr="00906F27">
        <w:rPr>
          <w:lang w:val="en-NZ"/>
        </w:rPr>
        <w:t xml:space="preserve">, invites ITU-R Sector to conduct, and complete in time for WRC-23, sharing and compatibility studies between the </w:t>
      </w:r>
      <w:bookmarkStart w:id="1" w:name="_Hlk65488639"/>
      <w:r w:rsidRPr="00906F27">
        <w:rPr>
          <w:lang w:val="en-NZ"/>
        </w:rPr>
        <w:t xml:space="preserve">FSS (space-to-Earth) </w:t>
      </w:r>
      <w:bookmarkEnd w:id="1"/>
      <w:r w:rsidRPr="00906F27">
        <w:rPr>
          <w:lang w:val="en-NZ"/>
        </w:rPr>
        <w:t xml:space="preserve">and the BSS </w:t>
      </w:r>
      <w:bookmarkStart w:id="2" w:name="_Hlk65488656"/>
      <w:r w:rsidRPr="00906F27">
        <w:rPr>
          <w:lang w:val="en-NZ"/>
        </w:rPr>
        <w:t xml:space="preserve">(space-to-Earth) </w:t>
      </w:r>
      <w:bookmarkEnd w:id="2"/>
      <w:r w:rsidRPr="00906F27">
        <w:rPr>
          <w:lang w:val="en-NZ"/>
        </w:rPr>
        <w:t xml:space="preserve">and between the </w:t>
      </w:r>
      <w:bookmarkStart w:id="3" w:name="_Hlk65488683"/>
      <w:r w:rsidRPr="00906F27">
        <w:rPr>
          <w:lang w:val="en-NZ"/>
        </w:rPr>
        <w:t>FSS (space-to-Earth) and the FSS (Earth-to-space)</w:t>
      </w:r>
      <w:bookmarkEnd w:id="3"/>
      <w:r w:rsidRPr="00906F27">
        <w:rPr>
          <w:lang w:val="en-NZ"/>
        </w:rPr>
        <w:t>, in order to consider a possible new primary allocation to the FSS (space-to-Earth) in the frequency band 17.3-17.7 GHz for Region 2, while ensuring the protection of existing primary allocations in the same and adjacent frequency bands, as appropriate, and without imposing any additional constraints on existing allocations to the BSS (space-to-Earth) and the FSS (Earth-to-space).</w:t>
      </w:r>
    </w:p>
    <w:p w14:paraId="7DAAB4B1" w14:textId="78F89894" w:rsidR="00E447EE" w:rsidRPr="000B65CD" w:rsidRDefault="00E447EE" w:rsidP="000B65CD">
      <w:pPr>
        <w:spacing w:before="240" w:after="240"/>
        <w:jc w:val="both"/>
        <w:rPr>
          <w:lang w:val="en-NZ"/>
        </w:rPr>
      </w:pPr>
      <w:r w:rsidRPr="000B65CD">
        <w:rPr>
          <w:rFonts w:eastAsia="Times New Roman" w:cstheme="minorHAnsi"/>
          <w:color w:val="000000"/>
        </w:rPr>
        <w:t xml:space="preserve">The </w:t>
      </w:r>
      <w:r w:rsidRPr="000B65CD">
        <w:rPr>
          <w:rFonts w:cstheme="minorHAnsi"/>
        </w:rPr>
        <w:t>2</w:t>
      </w:r>
      <w:r w:rsidRPr="000B65CD">
        <w:rPr>
          <w:rFonts w:cstheme="minorHAnsi"/>
          <w:vertAlign w:val="superscript"/>
        </w:rPr>
        <w:t>nd</w:t>
      </w:r>
      <w:r w:rsidRPr="000B65CD">
        <w:rPr>
          <w:rFonts w:cstheme="minorHAnsi"/>
        </w:rPr>
        <w:t xml:space="preserve"> session of Conference Preparatory Meeting for WRC-23 (CPM 23-2) in March 2023</w:t>
      </w:r>
      <w:r w:rsidRPr="000B65CD">
        <w:rPr>
          <w:rFonts w:eastAsia="Times New Roman" w:cstheme="minorHAnsi"/>
          <w:color w:val="000000"/>
        </w:rPr>
        <w:t xml:space="preserve"> discussed and finalized the draft of CPM text including the methods to satisfy the agenda item 1.19. There were 4 methods, instead of 2 methods as indicated in the </w:t>
      </w:r>
      <w:r w:rsidR="000B65CD">
        <w:rPr>
          <w:rFonts w:eastAsia="Times New Roman" w:cstheme="minorHAnsi"/>
          <w:color w:val="000000"/>
        </w:rPr>
        <w:t>previous</w:t>
      </w:r>
      <w:r w:rsidRPr="000B65CD">
        <w:rPr>
          <w:rFonts w:eastAsia="Times New Roman" w:cstheme="minorHAnsi"/>
          <w:color w:val="000000"/>
        </w:rPr>
        <w:t xml:space="preserve"> ITU WP 4A </w:t>
      </w:r>
      <w:r w:rsidR="00543B90">
        <w:rPr>
          <w:rFonts w:eastAsia="Times New Roman" w:cstheme="minorHAnsi"/>
          <w:color w:val="000000"/>
        </w:rPr>
        <w:t>meeting</w:t>
      </w:r>
      <w:r w:rsidRPr="000B65CD">
        <w:rPr>
          <w:rFonts w:eastAsia="Times New Roman" w:cstheme="minorHAnsi"/>
          <w:color w:val="000000"/>
        </w:rPr>
        <w:t>, identified to satisfy this agenda item, as described below:</w:t>
      </w:r>
    </w:p>
    <w:p w14:paraId="18E2F3DF" w14:textId="77777777" w:rsidR="00E447EE" w:rsidRPr="009A042C" w:rsidRDefault="00E447EE" w:rsidP="000B65CD">
      <w:pPr>
        <w:pStyle w:val="ListParagraph"/>
        <w:numPr>
          <w:ilvl w:val="1"/>
          <w:numId w:val="13"/>
        </w:numPr>
        <w:autoSpaceDE w:val="0"/>
        <w:autoSpaceDN w:val="0"/>
        <w:adjustRightInd w:val="0"/>
        <w:ind w:left="426" w:hanging="426"/>
        <w:jc w:val="both"/>
        <w:rPr>
          <w:rFonts w:eastAsia="TimesNewRomanPSMT"/>
          <w:lang w:val="en-ID"/>
        </w:rPr>
      </w:pPr>
      <w:r w:rsidRPr="009A042C">
        <w:rPr>
          <w:rFonts w:eastAsia="TimesNewRomanPSMT"/>
          <w:lang w:val="en-ID"/>
        </w:rPr>
        <w:t>Method A proposes no change to the RR and suppression of Resolution 174 (WRC-19);</w:t>
      </w:r>
    </w:p>
    <w:p w14:paraId="55B2785E" w14:textId="77777777" w:rsidR="00E447EE" w:rsidRPr="009A042C" w:rsidRDefault="00E447EE" w:rsidP="000B65CD">
      <w:pPr>
        <w:pStyle w:val="ListParagraph"/>
        <w:numPr>
          <w:ilvl w:val="1"/>
          <w:numId w:val="13"/>
        </w:numPr>
        <w:autoSpaceDE w:val="0"/>
        <w:autoSpaceDN w:val="0"/>
        <w:adjustRightInd w:val="0"/>
        <w:ind w:left="426" w:hanging="426"/>
        <w:jc w:val="both"/>
        <w:rPr>
          <w:rFonts w:eastAsia="TimesNewRomanPSMT"/>
          <w:lang w:val="en-ID"/>
        </w:rPr>
      </w:pPr>
      <w:r w:rsidRPr="009A042C">
        <w:rPr>
          <w:rFonts w:eastAsia="TimesNewRomanPSMT"/>
          <w:lang w:val="en-ID"/>
        </w:rPr>
        <w:t>Method B proposes modifications to the RR in order to allocate the frequency band 17.3-17.7 GHz in Region 2 to the FSS in the space-to-Earth direction. This method contains two alternatives for several items to provide a wide range of options. The selection of Alternative 1 for all the items extends provisions used in Region 1 to Region 2, as well as the addition of other provisions, while the selection of Alternative 2 for all items results in more conservative conditions with the objective to provide further protection of the BSS feeder link AP30A receiving space station and GSO FSS systems;</w:t>
      </w:r>
    </w:p>
    <w:p w14:paraId="3AC09D7E" w14:textId="77777777" w:rsidR="00E447EE" w:rsidRPr="009A042C" w:rsidRDefault="00E447EE" w:rsidP="000B65CD">
      <w:pPr>
        <w:pStyle w:val="ListParagraph"/>
        <w:numPr>
          <w:ilvl w:val="1"/>
          <w:numId w:val="13"/>
        </w:numPr>
        <w:autoSpaceDE w:val="0"/>
        <w:autoSpaceDN w:val="0"/>
        <w:adjustRightInd w:val="0"/>
        <w:ind w:left="426" w:hanging="426"/>
        <w:jc w:val="both"/>
        <w:rPr>
          <w:rFonts w:eastAsia="TimesNewRomanPSMT"/>
          <w:lang w:val="en-ID"/>
        </w:rPr>
      </w:pPr>
      <w:r w:rsidRPr="009A042C">
        <w:rPr>
          <w:rFonts w:eastAsia="TimesNewRomanPSMT"/>
          <w:lang w:val="en-ID"/>
        </w:rPr>
        <w:t>Method C proposes modifications to the RR in order to allocate the frequency band 17.3-17.7 GHz in Region 2 to the FSS in the space-to-Earth direction, limiting the FSS operation to geostationary satellites; and</w:t>
      </w:r>
    </w:p>
    <w:p w14:paraId="6913EDB8" w14:textId="4CEF7BA9" w:rsidR="000B65CD" w:rsidRPr="000B65CD" w:rsidRDefault="00E447EE" w:rsidP="000B65CD">
      <w:pPr>
        <w:pStyle w:val="ListParagraph"/>
        <w:numPr>
          <w:ilvl w:val="1"/>
          <w:numId w:val="13"/>
        </w:numPr>
        <w:autoSpaceDE w:val="0"/>
        <w:autoSpaceDN w:val="0"/>
        <w:adjustRightInd w:val="0"/>
        <w:spacing w:after="120"/>
        <w:ind w:left="426" w:hanging="426"/>
        <w:jc w:val="both"/>
        <w:textAlignment w:val="baseline"/>
        <w:rPr>
          <w:rFonts w:eastAsia="Times New Roman"/>
          <w:color w:val="000000"/>
        </w:rPr>
      </w:pPr>
      <w:r w:rsidRPr="009A042C">
        <w:rPr>
          <w:rFonts w:eastAsia="TimesNewRomanPSMT"/>
          <w:lang w:val="en-ID"/>
        </w:rPr>
        <w:t xml:space="preserve">Method D proposes modifications to the RR in order to allocate the frequency band 17.3-17.7 GHz in Region 2 to the FSS in the space-to-Earth direction, extending the regulatory provisions used in Region 1 to Region 2, as well as the addition of other </w:t>
      </w:r>
      <w:r w:rsidRPr="009A042C">
        <w:rPr>
          <w:rFonts w:eastAsia="Batang"/>
          <w:sz w:val="22"/>
          <w:szCs w:val="22"/>
          <w:lang w:val="en-ID"/>
        </w:rPr>
        <w:t>provisions.</w:t>
      </w:r>
    </w:p>
    <w:p w14:paraId="6B373815" w14:textId="77777777" w:rsidR="000B65CD" w:rsidRPr="009B381E" w:rsidRDefault="000B65CD" w:rsidP="000B65CD">
      <w:pPr>
        <w:jc w:val="both"/>
        <w:rPr>
          <w:rFonts w:eastAsia="Times New Roman" w:cstheme="minorHAnsi"/>
          <w:color w:val="000000"/>
        </w:rPr>
      </w:pPr>
    </w:p>
    <w:p w14:paraId="4B47EE69" w14:textId="77777777" w:rsidR="009D4B7A" w:rsidRPr="00441526" w:rsidRDefault="009D4B7A" w:rsidP="009D4B7A">
      <w:pPr>
        <w:spacing w:after="120"/>
        <w:jc w:val="both"/>
        <w:rPr>
          <w:b/>
          <w:lang w:val="en-NZ" w:eastAsia="ko-KR"/>
        </w:rPr>
      </w:pPr>
      <w:r w:rsidRPr="00441526">
        <w:rPr>
          <w:b/>
          <w:lang w:val="en-NZ" w:eastAsia="ko-KR"/>
        </w:rPr>
        <w:t xml:space="preserve">2. </w:t>
      </w:r>
      <w:r w:rsidRPr="00441526">
        <w:rPr>
          <w:b/>
          <w:lang w:val="en-NZ" w:eastAsia="ko-KR"/>
        </w:rPr>
        <w:tab/>
        <w:t>Documents</w:t>
      </w:r>
    </w:p>
    <w:p w14:paraId="558291B0" w14:textId="74025FAC" w:rsidR="00E447EE" w:rsidRPr="00D71474" w:rsidRDefault="00E447EE" w:rsidP="00464F8D">
      <w:pPr>
        <w:numPr>
          <w:ilvl w:val="0"/>
          <w:numId w:val="13"/>
        </w:numPr>
        <w:spacing w:after="120"/>
        <w:jc w:val="both"/>
        <w:textAlignment w:val="baseline"/>
      </w:pPr>
      <w:r w:rsidRPr="00D71474">
        <w:rPr>
          <w:lang w:val="en-NZ"/>
        </w:rPr>
        <w:t xml:space="preserve">Input Documents: </w:t>
      </w:r>
      <w:hyperlink r:id="rId8" w:tgtFrame="_blank" w:history="1">
        <w:r w:rsidRPr="007A0956">
          <w:rPr>
            <w:rStyle w:val="Hyperlink"/>
            <w:color w:val="095E54"/>
          </w:rPr>
          <w:t>APG23-6/INP-07</w:t>
        </w:r>
      </w:hyperlink>
      <w:r w:rsidRPr="007A0956">
        <w:rPr>
          <w:b/>
          <w:bCs/>
          <w:color w:val="000000"/>
        </w:rPr>
        <w:t xml:space="preserve"> </w:t>
      </w:r>
      <w:r w:rsidRPr="00D71474">
        <w:rPr>
          <w:rFonts w:eastAsiaTheme="minorEastAsia"/>
          <w:lang w:eastAsia="ja-JP"/>
        </w:rPr>
        <w:t xml:space="preserve">(Co-Chairs, WP4), </w:t>
      </w:r>
      <w:hyperlink r:id="rId9" w:tgtFrame="_blank" w:history="1">
        <w:r w:rsidRPr="007A0956">
          <w:rPr>
            <w:rStyle w:val="Hyperlink"/>
            <w:color w:val="095E54"/>
          </w:rPr>
          <w:t>INP-26</w:t>
        </w:r>
      </w:hyperlink>
      <w:r w:rsidRPr="00D71474">
        <w:rPr>
          <w:rStyle w:val="Hyperlink"/>
          <w:color w:val="095E54"/>
        </w:rPr>
        <w:t xml:space="preserve"> </w:t>
      </w:r>
      <w:r w:rsidRPr="00D71474">
        <w:rPr>
          <w:rFonts w:eastAsiaTheme="minorEastAsia"/>
          <w:lang w:eastAsia="ja-JP"/>
        </w:rPr>
        <w:t xml:space="preserve">(BGD), </w:t>
      </w:r>
      <w:hyperlink r:id="rId10" w:tgtFrame="_blank" w:history="1">
        <w:r w:rsidRPr="007A0956">
          <w:rPr>
            <w:rStyle w:val="Hyperlink"/>
            <w:color w:val="095E54"/>
          </w:rPr>
          <w:t>INP-38</w:t>
        </w:r>
      </w:hyperlink>
      <w:r w:rsidRPr="007A0956">
        <w:rPr>
          <w:b/>
          <w:bCs/>
          <w:color w:val="000000"/>
        </w:rPr>
        <w:t xml:space="preserve"> </w:t>
      </w:r>
      <w:r w:rsidRPr="00D71474">
        <w:rPr>
          <w:rFonts w:eastAsiaTheme="minorEastAsia"/>
          <w:lang w:eastAsia="ja-JP"/>
        </w:rPr>
        <w:t xml:space="preserve">(J), </w:t>
      </w:r>
      <w:hyperlink r:id="rId11" w:history="1">
        <w:r w:rsidRPr="00464F8D">
          <w:rPr>
            <w:rStyle w:val="Hyperlink"/>
            <w:color w:val="095E54"/>
          </w:rPr>
          <w:t>INP-68</w:t>
        </w:r>
        <w:r w:rsidR="000D742C" w:rsidRPr="00464F8D">
          <w:rPr>
            <w:rStyle w:val="Hyperlink"/>
            <w:color w:val="095E54"/>
          </w:rPr>
          <w:t xml:space="preserve"> (Rev.1)</w:t>
        </w:r>
      </w:hyperlink>
      <w:r w:rsidRPr="007A0956">
        <w:rPr>
          <w:b/>
          <w:bCs/>
          <w:color w:val="000000"/>
        </w:rPr>
        <w:t xml:space="preserve"> </w:t>
      </w:r>
      <w:r w:rsidRPr="00D71474">
        <w:rPr>
          <w:rFonts w:eastAsiaTheme="minorEastAsia"/>
          <w:lang w:eastAsia="ja-JP"/>
        </w:rPr>
        <w:t xml:space="preserve">(IRN), </w:t>
      </w:r>
      <w:r w:rsidRPr="00D71474">
        <w:rPr>
          <w:b/>
          <w:bCs/>
          <w:color w:val="000000"/>
        </w:rPr>
        <w:t xml:space="preserve"> </w:t>
      </w:r>
      <w:hyperlink r:id="rId12" w:tgtFrame="_blank" w:history="1">
        <w:r w:rsidRPr="007A0956">
          <w:rPr>
            <w:rStyle w:val="Hyperlink"/>
            <w:color w:val="095E54"/>
          </w:rPr>
          <w:t>INP-83</w:t>
        </w:r>
      </w:hyperlink>
      <w:r w:rsidRPr="007A0956">
        <w:rPr>
          <w:b/>
          <w:bCs/>
          <w:color w:val="000000"/>
        </w:rPr>
        <w:t xml:space="preserve"> </w:t>
      </w:r>
      <w:r w:rsidRPr="00D71474">
        <w:rPr>
          <w:rFonts w:eastAsiaTheme="minorEastAsia"/>
          <w:lang w:eastAsia="ja-JP"/>
        </w:rPr>
        <w:t xml:space="preserve">(AUS), </w:t>
      </w:r>
      <w:hyperlink r:id="rId13" w:tgtFrame="_blank" w:history="1">
        <w:r w:rsidRPr="007A0956">
          <w:rPr>
            <w:rStyle w:val="Hyperlink"/>
            <w:color w:val="095E54"/>
          </w:rPr>
          <w:t>INP-90</w:t>
        </w:r>
      </w:hyperlink>
      <w:r w:rsidR="009B61E1">
        <w:rPr>
          <w:rStyle w:val="Hyperlink"/>
          <w:color w:val="095E54"/>
        </w:rPr>
        <w:t xml:space="preserve"> (Rev.1)</w:t>
      </w:r>
      <w:r>
        <w:rPr>
          <w:b/>
          <w:bCs/>
          <w:color w:val="000000"/>
        </w:rPr>
        <w:t xml:space="preserve"> </w:t>
      </w:r>
      <w:r w:rsidRPr="007A0956">
        <w:rPr>
          <w:color w:val="000000"/>
        </w:rPr>
        <w:t>(KOR)</w:t>
      </w:r>
      <w:r>
        <w:rPr>
          <w:color w:val="000000"/>
        </w:rPr>
        <w:t>,</w:t>
      </w:r>
      <w:r w:rsidRPr="00D71474">
        <w:rPr>
          <w:rFonts w:eastAsiaTheme="minorEastAsia"/>
          <w:lang w:eastAsia="ja-JP"/>
        </w:rPr>
        <w:t xml:space="preserve">  </w:t>
      </w:r>
      <w:hyperlink r:id="rId14" w:tgtFrame="_blank" w:history="1">
        <w:r w:rsidRPr="007A0956">
          <w:rPr>
            <w:rStyle w:val="Hyperlink"/>
            <w:color w:val="095E54"/>
          </w:rPr>
          <w:t>INP-106</w:t>
        </w:r>
      </w:hyperlink>
      <w:r w:rsidRPr="007A0956">
        <w:rPr>
          <w:b/>
          <w:bCs/>
          <w:color w:val="000000"/>
        </w:rPr>
        <w:t xml:space="preserve"> </w:t>
      </w:r>
      <w:r w:rsidRPr="00D71474">
        <w:rPr>
          <w:rFonts w:eastAsiaTheme="minorEastAsia"/>
          <w:lang w:eastAsia="ja-JP"/>
        </w:rPr>
        <w:t>(CHN)</w:t>
      </w:r>
      <w:r w:rsidR="00EA0183">
        <w:rPr>
          <w:rFonts w:eastAsiaTheme="minorEastAsia"/>
          <w:lang w:eastAsia="ja-JP"/>
        </w:rPr>
        <w:t xml:space="preserve">, </w:t>
      </w:r>
      <w:hyperlink r:id="rId15" w:tgtFrame="_blank" w:history="1">
        <w:r w:rsidR="00EA0183" w:rsidRPr="00EA0183">
          <w:rPr>
            <w:rStyle w:val="Hyperlink"/>
            <w:color w:val="095E54"/>
          </w:rPr>
          <w:t>INP-120</w:t>
        </w:r>
      </w:hyperlink>
      <w:r w:rsidR="00EA0183">
        <w:rPr>
          <w:rStyle w:val="Hyperlink"/>
          <w:color w:val="095E54"/>
          <w:u w:val="none"/>
        </w:rPr>
        <w:t xml:space="preserve"> </w:t>
      </w:r>
      <w:r w:rsidR="00EA0183">
        <w:rPr>
          <w:rFonts w:eastAsiaTheme="minorEastAsia"/>
          <w:lang w:eastAsia="ja-JP"/>
        </w:rPr>
        <w:t>(VTN)</w:t>
      </w:r>
      <w:r w:rsidR="00543B90">
        <w:rPr>
          <w:rFonts w:eastAsiaTheme="minorEastAsia"/>
          <w:lang w:eastAsia="ja-JP"/>
        </w:rPr>
        <w:t>.</w:t>
      </w:r>
      <w:r w:rsidRPr="00D71474">
        <w:rPr>
          <w:rFonts w:eastAsiaTheme="minorEastAsia"/>
          <w:lang w:eastAsia="ja-JP"/>
        </w:rPr>
        <w:t xml:space="preserve"> </w:t>
      </w:r>
    </w:p>
    <w:p w14:paraId="213BBC18" w14:textId="12FB1858" w:rsidR="009D4B7A" w:rsidRPr="000B65CD" w:rsidRDefault="00E447EE" w:rsidP="000B65CD">
      <w:pPr>
        <w:numPr>
          <w:ilvl w:val="0"/>
          <w:numId w:val="13"/>
        </w:numPr>
        <w:spacing w:after="120"/>
        <w:jc w:val="both"/>
        <w:textAlignment w:val="baseline"/>
        <w:rPr>
          <w:rFonts w:eastAsia="Times New Roman" w:cstheme="minorHAnsi"/>
          <w:color w:val="000000"/>
        </w:rPr>
      </w:pPr>
      <w:r>
        <w:rPr>
          <w:rFonts w:eastAsiaTheme="minorEastAsia"/>
          <w:lang w:eastAsia="ja-JP"/>
        </w:rPr>
        <w:lastRenderedPageBreak/>
        <w:t>I</w:t>
      </w:r>
      <w:r w:rsidR="0071604D" w:rsidRPr="00BF4446">
        <w:rPr>
          <w:lang w:val="en-NZ"/>
        </w:rPr>
        <w:t>information</w:t>
      </w:r>
      <w:r w:rsidRPr="00BF4446">
        <w:rPr>
          <w:lang w:val="en-NZ"/>
        </w:rPr>
        <w:t xml:space="preserve"> Documents: </w:t>
      </w:r>
      <w:hyperlink r:id="rId16" w:tgtFrame="_blank" w:history="1">
        <w:r w:rsidR="00EA0183" w:rsidRPr="00EA0183">
          <w:rPr>
            <w:rStyle w:val="Hyperlink"/>
            <w:color w:val="095E54"/>
          </w:rPr>
          <w:t>APG23-6/INF-15</w:t>
        </w:r>
      </w:hyperlink>
      <w:r w:rsidR="00EA0183" w:rsidRPr="00EA0183">
        <w:rPr>
          <w:rStyle w:val="Hyperlink"/>
          <w:color w:val="095E54"/>
        </w:rPr>
        <w:t xml:space="preserve"> </w:t>
      </w:r>
      <w:r w:rsidRPr="00777FC2">
        <w:rPr>
          <w:rFonts w:eastAsia="SimSun"/>
          <w:lang w:eastAsia="zh-CN"/>
        </w:rPr>
        <w:t xml:space="preserve">(DG Chair), </w:t>
      </w:r>
      <w:hyperlink r:id="rId17" w:tgtFrame="_blank" w:history="1">
        <w:r w:rsidR="00EA0183" w:rsidRPr="00EA0183">
          <w:rPr>
            <w:rStyle w:val="Hyperlink"/>
            <w:color w:val="095E54"/>
          </w:rPr>
          <w:t>INF-28</w:t>
        </w:r>
      </w:hyperlink>
      <w:r w:rsidR="00EA0183" w:rsidRPr="00777FC2">
        <w:rPr>
          <w:color w:val="000000"/>
        </w:rPr>
        <w:t xml:space="preserve"> </w:t>
      </w:r>
      <w:r w:rsidRPr="00777FC2">
        <w:rPr>
          <w:color w:val="000000"/>
        </w:rPr>
        <w:t>(</w:t>
      </w:r>
      <w:r w:rsidR="00EA0183">
        <w:rPr>
          <w:color w:val="000000"/>
        </w:rPr>
        <w:t>GSOA</w:t>
      </w:r>
      <w:r w:rsidRPr="00777FC2">
        <w:rPr>
          <w:color w:val="000000"/>
        </w:rPr>
        <w:t xml:space="preserve">), </w:t>
      </w:r>
      <w:hyperlink r:id="rId18" w:tgtFrame="_blank" w:history="1">
        <w:r w:rsidRPr="00777FC2">
          <w:rPr>
            <w:rStyle w:val="Hyperlink"/>
            <w:color w:val="095E54"/>
          </w:rPr>
          <w:t>INF-45</w:t>
        </w:r>
      </w:hyperlink>
      <w:r w:rsidRPr="00777FC2">
        <w:rPr>
          <w:color w:val="000000"/>
        </w:rPr>
        <w:t xml:space="preserve"> (RCC)</w:t>
      </w:r>
      <w:r w:rsidR="00EA0183">
        <w:rPr>
          <w:color w:val="000000"/>
        </w:rPr>
        <w:t xml:space="preserve">, </w:t>
      </w:r>
      <w:hyperlink r:id="rId19" w:tgtFrame="_blank" w:history="1">
        <w:r w:rsidR="00EA0183" w:rsidRPr="00EA0183">
          <w:rPr>
            <w:rStyle w:val="Hyperlink"/>
            <w:color w:val="095E54"/>
          </w:rPr>
          <w:t>INF-46</w:t>
        </w:r>
      </w:hyperlink>
      <w:r w:rsidR="00EA0183" w:rsidRPr="00441ECD">
        <w:rPr>
          <w:rStyle w:val="Hyperlink"/>
          <w:color w:val="095E54"/>
          <w:u w:val="none"/>
        </w:rPr>
        <w:t xml:space="preserve"> </w:t>
      </w:r>
      <w:r w:rsidR="00EA0183" w:rsidRPr="00441ECD">
        <w:rPr>
          <w:rStyle w:val="Hyperlink"/>
          <w:color w:val="000000" w:themeColor="text1"/>
          <w:u w:val="none"/>
        </w:rPr>
        <w:t>(CEPT)</w:t>
      </w:r>
      <w:r w:rsidR="00441ECD">
        <w:rPr>
          <w:rStyle w:val="Hyperlink"/>
          <w:color w:val="000000" w:themeColor="text1"/>
          <w:u w:val="none"/>
        </w:rPr>
        <w:t>,</w:t>
      </w:r>
      <w:r w:rsidR="00FB60F2" w:rsidRPr="00441ECD">
        <w:rPr>
          <w:rStyle w:val="Hyperlink"/>
          <w:color w:val="095E54"/>
          <w:u w:val="none"/>
        </w:rPr>
        <w:t xml:space="preserve"> </w:t>
      </w:r>
      <w:hyperlink r:id="rId20" w:tgtFrame="_blank" w:history="1">
        <w:r w:rsidR="00FB60F2" w:rsidRPr="00FB60F2">
          <w:rPr>
            <w:rStyle w:val="Hyperlink"/>
            <w:color w:val="095E54"/>
          </w:rPr>
          <w:t>INF-52</w:t>
        </w:r>
      </w:hyperlink>
      <w:r w:rsidR="00441ECD">
        <w:rPr>
          <w:rFonts w:ascii="Arial" w:hAnsi="Arial" w:cs="Arial"/>
          <w:b/>
          <w:bCs/>
          <w:color w:val="000000"/>
          <w:sz w:val="18"/>
          <w:szCs w:val="18"/>
        </w:rPr>
        <w:t xml:space="preserve"> </w:t>
      </w:r>
      <w:r w:rsidR="00441ECD" w:rsidRPr="00441ECD">
        <w:rPr>
          <w:rFonts w:eastAsia="SimSun"/>
          <w:lang w:eastAsia="zh-CN"/>
        </w:rPr>
        <w:t>(CITEL)</w:t>
      </w:r>
      <w:r w:rsidR="00441ECD">
        <w:rPr>
          <w:rFonts w:eastAsia="SimSun"/>
          <w:lang w:eastAsia="zh-CN"/>
        </w:rPr>
        <w:t>.</w:t>
      </w:r>
    </w:p>
    <w:p w14:paraId="1E32F3B9" w14:textId="77777777" w:rsidR="000B65CD" w:rsidRPr="009B381E" w:rsidRDefault="000B65CD" w:rsidP="000B65CD">
      <w:pPr>
        <w:jc w:val="both"/>
      </w:pPr>
    </w:p>
    <w:p w14:paraId="0BABA4DC" w14:textId="77777777" w:rsidR="009D4B7A" w:rsidRPr="00441526" w:rsidRDefault="009D4B7A" w:rsidP="006371D4">
      <w:pPr>
        <w:jc w:val="both"/>
        <w:rPr>
          <w:b/>
          <w:lang w:val="en-NZ" w:eastAsia="ko-KR"/>
        </w:rPr>
      </w:pPr>
      <w:r w:rsidRPr="00441526">
        <w:rPr>
          <w:b/>
          <w:lang w:val="en-NZ" w:eastAsia="ko-KR"/>
        </w:rPr>
        <w:t xml:space="preserve">3. </w:t>
      </w:r>
      <w:r w:rsidRPr="00441526">
        <w:rPr>
          <w:b/>
          <w:lang w:val="en-NZ" w:eastAsia="ko-KR"/>
        </w:rPr>
        <w:tab/>
        <w:t>Summary of discussions</w:t>
      </w:r>
    </w:p>
    <w:p w14:paraId="52E051FB" w14:textId="77777777" w:rsidR="009D4B7A" w:rsidRPr="00441526" w:rsidRDefault="009D4B7A" w:rsidP="009D4B7A">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CB665A9" w14:textId="0D1CB003" w:rsidR="00E447EE" w:rsidRPr="00441526" w:rsidRDefault="009B381E" w:rsidP="00E447EE">
      <w:pPr>
        <w:spacing w:after="120"/>
        <w:jc w:val="both"/>
        <w:rPr>
          <w:b/>
          <w:lang w:val="en-NZ" w:eastAsia="ko-KR"/>
        </w:rPr>
      </w:pPr>
      <w:r>
        <w:rPr>
          <w:b/>
          <w:lang w:val="en-NZ" w:eastAsia="ko-KR"/>
        </w:rPr>
        <w:t>3.1.1</w:t>
      </w:r>
      <w:r>
        <w:rPr>
          <w:b/>
          <w:lang w:val="en-NZ" w:eastAsia="ko-KR"/>
        </w:rPr>
        <w:tab/>
      </w:r>
      <w:r w:rsidR="00E447EE">
        <w:rPr>
          <w:b/>
          <w:lang w:val="en-NZ" w:eastAsia="ko-KR"/>
        </w:rPr>
        <w:t>Bangladesh (People’s Republic of)</w:t>
      </w:r>
      <w:r w:rsidR="00E447EE" w:rsidRPr="00441526">
        <w:rPr>
          <w:b/>
          <w:lang w:val="en-NZ" w:eastAsia="ko-KR"/>
        </w:rPr>
        <w:t xml:space="preserve"> </w:t>
      </w:r>
      <w:r w:rsidR="00E447EE" w:rsidRPr="00441526">
        <w:t xml:space="preserve">- </w:t>
      </w:r>
      <w:r w:rsidR="00E447EE" w:rsidRPr="00441526">
        <w:rPr>
          <w:b/>
          <w:lang w:val="en-NZ" w:eastAsia="ko-KR"/>
        </w:rPr>
        <w:t>Document APG</w:t>
      </w:r>
      <w:r w:rsidR="00E447EE">
        <w:rPr>
          <w:b/>
          <w:lang w:val="en-NZ" w:eastAsia="ko-KR"/>
        </w:rPr>
        <w:t>23</w:t>
      </w:r>
      <w:r w:rsidR="00E447EE" w:rsidRPr="00441526">
        <w:rPr>
          <w:b/>
          <w:lang w:val="en-NZ" w:eastAsia="ko-KR"/>
        </w:rPr>
        <w:t>-</w:t>
      </w:r>
      <w:r w:rsidR="00E447EE">
        <w:rPr>
          <w:b/>
          <w:lang w:val="en-NZ" w:eastAsia="ko-KR"/>
        </w:rPr>
        <w:t>6</w:t>
      </w:r>
      <w:r w:rsidR="00E447EE" w:rsidRPr="00441526">
        <w:rPr>
          <w:b/>
          <w:lang w:val="en-NZ" w:eastAsia="ko-KR"/>
        </w:rPr>
        <w:t>/INP-</w:t>
      </w:r>
      <w:r w:rsidR="00E447EE">
        <w:rPr>
          <w:b/>
          <w:lang w:val="en-NZ" w:eastAsia="ko-KR"/>
        </w:rPr>
        <w:t>26</w:t>
      </w:r>
    </w:p>
    <w:p w14:paraId="4BA68475" w14:textId="39D130BA" w:rsidR="007062B8" w:rsidRPr="007062B8" w:rsidRDefault="007062B8" w:rsidP="007062B8">
      <w:pPr>
        <w:spacing w:beforeLines="50" w:before="120" w:afterLines="50" w:after="120"/>
        <w:ind w:left="709"/>
        <w:jc w:val="both"/>
        <w:rPr>
          <w:lang w:val="en-NZ"/>
        </w:rPr>
      </w:pPr>
      <w:r>
        <w:rPr>
          <w:lang w:val="en-NZ"/>
        </w:rPr>
        <w:t xml:space="preserve">This agenda is for the issue of Region-2. Synchronization of frequencies across the regions is important for its efficient utilization. However, </w:t>
      </w:r>
      <w:r w:rsidRPr="007062B8">
        <w:rPr>
          <w:lang w:val="en-NZ"/>
        </w:rPr>
        <w:t>the new allocation to FSS in Region 2 in the band 17.3-17.7 GHz (space-to-Earth) shall not adversely affect existing allocations and services for Region 3 and shall not impose any constraints to the incumbent services operating in the concerned frequency bands and adjacent bands in Region 3.</w:t>
      </w:r>
    </w:p>
    <w:p w14:paraId="70CA5C94" w14:textId="77777777" w:rsidR="00E447EE" w:rsidRPr="00441526" w:rsidRDefault="00E447EE" w:rsidP="00E447EE">
      <w:pPr>
        <w:jc w:val="both"/>
        <w:rPr>
          <w:lang w:val="en-NZ"/>
        </w:rPr>
      </w:pPr>
    </w:p>
    <w:p w14:paraId="1E4E9600" w14:textId="77777777" w:rsidR="00E447EE" w:rsidRPr="00D510D6" w:rsidRDefault="00E447EE" w:rsidP="00E447EE">
      <w:pPr>
        <w:spacing w:after="120"/>
        <w:jc w:val="both"/>
        <w:rPr>
          <w:b/>
          <w:lang w:eastAsia="ko-KR"/>
        </w:rPr>
      </w:pPr>
      <w:r w:rsidRPr="00441526">
        <w:rPr>
          <w:b/>
          <w:lang w:val="en-NZ" w:eastAsia="ko-KR"/>
        </w:rPr>
        <w:t xml:space="preserve">3.1.2 </w:t>
      </w:r>
      <w:r w:rsidRPr="00441526">
        <w:rPr>
          <w:b/>
          <w:lang w:val="en-NZ" w:eastAsia="ko-KR"/>
        </w:rPr>
        <w:tab/>
      </w:r>
      <w:r>
        <w:rPr>
          <w:b/>
          <w:lang w:val="en-NZ" w:eastAsia="ko-KR"/>
        </w:rPr>
        <w:t>Japan</w:t>
      </w:r>
      <w:r w:rsidRPr="007D6CDC">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38</w:t>
      </w:r>
    </w:p>
    <w:p w14:paraId="2394786D" w14:textId="44AD0FFE" w:rsidR="007062B8" w:rsidRPr="007062B8" w:rsidRDefault="007062B8" w:rsidP="007062B8">
      <w:pPr>
        <w:spacing w:beforeLines="50" w:before="120" w:afterLines="50" w:after="120"/>
        <w:ind w:left="709"/>
        <w:jc w:val="both"/>
        <w:rPr>
          <w:lang w:val="en-NZ"/>
        </w:rPr>
      </w:pPr>
      <w:r w:rsidRPr="007062B8">
        <w:rPr>
          <w:lang w:val="en-NZ"/>
        </w:rPr>
        <w:t>The frequency band 17.3–17.7 GHz is assigned to feeder links for the broadcasting satellite service in Japan, and the incumbent services in this frequency band and its adjacent bands including such feeder links are necessary to be protected. Unless the feeder links for the broadcasting satellite service are protected, Japan does not support new primary allocation of the fixed-satellite service.</w:t>
      </w:r>
    </w:p>
    <w:p w14:paraId="0CB15C22" w14:textId="77777777" w:rsidR="00E447EE" w:rsidRPr="00441526" w:rsidRDefault="00E447EE" w:rsidP="00E447EE">
      <w:pPr>
        <w:jc w:val="both"/>
        <w:rPr>
          <w:lang w:val="en-NZ"/>
        </w:rPr>
      </w:pPr>
      <w:r w:rsidRPr="00441526">
        <w:rPr>
          <w:lang w:val="en-NZ"/>
        </w:rPr>
        <w:t xml:space="preserve"> </w:t>
      </w:r>
    </w:p>
    <w:p w14:paraId="0B28367B" w14:textId="6691E3BD" w:rsidR="00E447EE" w:rsidRPr="00441526" w:rsidRDefault="00E447EE" w:rsidP="00E447EE">
      <w:pPr>
        <w:spacing w:after="120"/>
        <w:jc w:val="both"/>
        <w:rPr>
          <w:b/>
          <w:lang w:val="en-NZ" w:eastAsia="ko-KR"/>
        </w:rPr>
      </w:pPr>
      <w:r w:rsidRPr="00441526">
        <w:rPr>
          <w:b/>
          <w:lang w:val="en-NZ" w:eastAsia="ko-KR"/>
        </w:rPr>
        <w:t>3.1.</w:t>
      </w:r>
      <w:r>
        <w:rPr>
          <w:b/>
          <w:lang w:val="en-NZ" w:eastAsia="ko-KR"/>
        </w:rPr>
        <w:t>3</w:t>
      </w:r>
      <w:r w:rsidRPr="00441526">
        <w:rPr>
          <w:b/>
          <w:lang w:val="en-NZ" w:eastAsia="ko-KR"/>
        </w:rPr>
        <w:tab/>
      </w:r>
      <w:r w:rsidRPr="007D6CDC">
        <w:rPr>
          <w:b/>
          <w:lang w:val="en-NZ" w:eastAsia="ko-KR"/>
        </w:rPr>
        <w:t xml:space="preserve">Iran (Islamic Republic of) </w:t>
      </w:r>
      <w:r w:rsidRPr="007D6CDC">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Pr>
          <w:b/>
          <w:lang w:val="en-NZ" w:eastAsia="ko-KR"/>
        </w:rPr>
        <w:t>-68</w:t>
      </w:r>
      <w:r w:rsidR="009B61E1">
        <w:rPr>
          <w:b/>
          <w:lang w:val="en-NZ" w:eastAsia="ko-KR"/>
        </w:rPr>
        <w:t xml:space="preserve"> (Rev.1)</w:t>
      </w:r>
    </w:p>
    <w:p w14:paraId="4E8407B9" w14:textId="77777777" w:rsidR="007062B8" w:rsidRDefault="007062B8" w:rsidP="007062B8">
      <w:pPr>
        <w:numPr>
          <w:ilvl w:val="0"/>
          <w:numId w:val="16"/>
        </w:numPr>
        <w:tabs>
          <w:tab w:val="left" w:pos="720"/>
          <w:tab w:val="left" w:pos="1134"/>
          <w:tab w:val="left" w:pos="1871"/>
          <w:tab w:val="left" w:pos="2268"/>
        </w:tabs>
        <w:autoSpaceDN w:val="0"/>
        <w:spacing w:before="240"/>
        <w:jc w:val="both"/>
        <w:rPr>
          <w:lang w:val="en-NZ"/>
        </w:rPr>
      </w:pPr>
      <w:r>
        <w:rPr>
          <w:lang w:val="en-NZ"/>
        </w:rPr>
        <w:t xml:space="preserve">This Administration supports Methods B alternative 2. </w:t>
      </w:r>
      <w:r>
        <w:rPr>
          <w:sz w:val="23"/>
          <w:szCs w:val="23"/>
        </w:rPr>
        <w:t>This method contains two alternatives for several items to provide a wide range of options. The selection of Alternative 1 for all the items makes it identical to Method D, while the selection of Alternative 2 for all items results in achieving the objective to provide necessary protection of the BSS feeder link AP30A receiving space station and GSO FSS systems;</w:t>
      </w:r>
    </w:p>
    <w:p w14:paraId="3A291069" w14:textId="5CED58E6" w:rsidR="007062B8" w:rsidRDefault="007062B8" w:rsidP="007062B8">
      <w:pPr>
        <w:numPr>
          <w:ilvl w:val="0"/>
          <w:numId w:val="16"/>
        </w:numPr>
        <w:tabs>
          <w:tab w:val="left" w:pos="720"/>
          <w:tab w:val="left" w:pos="1134"/>
          <w:tab w:val="left" w:pos="1871"/>
          <w:tab w:val="left" w:pos="2268"/>
        </w:tabs>
        <w:autoSpaceDN w:val="0"/>
        <w:spacing w:before="240"/>
        <w:jc w:val="both"/>
        <w:rPr>
          <w:lang w:val="en-NZ"/>
        </w:rPr>
      </w:pPr>
      <w:r>
        <w:rPr>
          <w:lang w:val="en-NZ"/>
        </w:rPr>
        <w:t>This Administration also considering to</w:t>
      </w:r>
      <w:r w:rsidR="007C793D">
        <w:rPr>
          <w:lang w:val="en-NZ"/>
        </w:rPr>
        <w:t xml:space="preserve"> </w:t>
      </w:r>
      <w:r>
        <w:rPr>
          <w:lang w:val="en-NZ"/>
        </w:rPr>
        <w:t xml:space="preserve">use appropriate elements / parts of Method C with a view to further improve / complement Method B, Alternative 2 in order that assignments to incumbent service be fully protected. </w:t>
      </w:r>
      <w:r>
        <w:t xml:space="preserve">For example, the addition of footnote </w:t>
      </w:r>
      <w:hyperlink r:id="rId21" w:tgtFrame="_blank" w:history="1">
        <w:r w:rsidRPr="006371D4">
          <w:t>5.XXX</w:t>
        </w:r>
      </w:hyperlink>
      <w:r>
        <w:t xml:space="preserve"> in Method C will limit the new allocation to GSO, so it can fully address the concerns regarding the interference caused by non-GSO systems compared to modifications to Article 22 proposed in Method B.</w:t>
      </w:r>
    </w:p>
    <w:p w14:paraId="54675B91" w14:textId="2F4EECAA" w:rsidR="007062B8" w:rsidRDefault="007062B8" w:rsidP="007062B8">
      <w:pPr>
        <w:numPr>
          <w:ilvl w:val="0"/>
          <w:numId w:val="16"/>
        </w:numPr>
        <w:tabs>
          <w:tab w:val="left" w:pos="720"/>
          <w:tab w:val="left" w:pos="1134"/>
          <w:tab w:val="left" w:pos="1871"/>
          <w:tab w:val="left" w:pos="2268"/>
        </w:tabs>
        <w:autoSpaceDN w:val="0"/>
        <w:spacing w:before="240" w:after="120"/>
        <w:jc w:val="both"/>
        <w:rPr>
          <w:lang w:val="en-NZ"/>
        </w:rPr>
      </w:pPr>
      <w:r>
        <w:rPr>
          <w:lang w:val="en-NZ"/>
        </w:rPr>
        <w:t xml:space="preserve">To address the </w:t>
      </w:r>
      <w:r>
        <w:rPr>
          <w:color w:val="000000" w:themeColor="text1"/>
          <w:lang w:val="en-MY"/>
        </w:rPr>
        <w:t xml:space="preserve">protection of assignments </w:t>
      </w:r>
      <w:r w:rsidRPr="00294866">
        <w:rPr>
          <w:color w:val="000000" w:themeColor="text1"/>
          <w:lang w:val="en-MY"/>
        </w:rPr>
        <w:t>pertai</w:t>
      </w:r>
      <w:r w:rsidR="00294866" w:rsidRPr="00294866">
        <w:rPr>
          <w:color w:val="000000" w:themeColor="text1"/>
          <w:lang w:val="en-MY"/>
        </w:rPr>
        <w:t>ni</w:t>
      </w:r>
      <w:r w:rsidRPr="00294866">
        <w:rPr>
          <w:color w:val="000000" w:themeColor="text1"/>
          <w:lang w:val="en-MY"/>
        </w:rPr>
        <w:t>ng</w:t>
      </w:r>
      <w:r>
        <w:rPr>
          <w:color w:val="000000" w:themeColor="text1"/>
          <w:lang w:val="en-MY"/>
        </w:rPr>
        <w:t xml:space="preserve"> to existing allocations and services, assignments relating to agenda item 1.19 </w:t>
      </w:r>
      <w:r>
        <w:rPr>
          <w:rFonts w:eastAsia="SimSun"/>
          <w:lang w:eastAsia="zh-CN"/>
        </w:rPr>
        <w:t xml:space="preserve">shall not cause unacceptable interference to nor claim protection from and not adversely affected the operation of incumbent service operating the </w:t>
      </w:r>
      <w:r>
        <w:rPr>
          <w:color w:val="000000" w:themeColor="text1"/>
          <w:lang w:val="en-MY"/>
        </w:rPr>
        <w:t>same and adjacent frequency bands in Region 3</w:t>
      </w:r>
      <w:r>
        <w:rPr>
          <w:lang w:val="en-NZ"/>
        </w:rPr>
        <w:t>.</w:t>
      </w:r>
    </w:p>
    <w:p w14:paraId="1C30B833" w14:textId="77777777" w:rsidR="007062B8" w:rsidRPr="007062B8" w:rsidRDefault="007062B8" w:rsidP="007062B8">
      <w:pPr>
        <w:numPr>
          <w:ilvl w:val="0"/>
          <w:numId w:val="16"/>
        </w:numPr>
        <w:shd w:val="clear" w:color="auto" w:fill="FFFFFF"/>
        <w:tabs>
          <w:tab w:val="left" w:pos="720"/>
          <w:tab w:val="left" w:pos="1134"/>
          <w:tab w:val="left" w:pos="1871"/>
          <w:tab w:val="left" w:pos="2268"/>
        </w:tabs>
        <w:autoSpaceDN w:val="0"/>
        <w:spacing w:before="80"/>
        <w:rPr>
          <w:rFonts w:eastAsia="Times New Roman"/>
          <w:color w:val="222222"/>
          <w:lang w:val="en-GB" w:eastAsia="fr-CH"/>
        </w:rPr>
      </w:pPr>
      <w:r>
        <w:rPr>
          <w:color w:val="222222"/>
          <w:lang w:eastAsia="fr-CH"/>
        </w:rPr>
        <w:t>To this effect the following should be included in output of the WRC-23 for this agendas item:</w:t>
      </w:r>
    </w:p>
    <w:p w14:paraId="66B65154" w14:textId="766DD761" w:rsidR="007062B8" w:rsidRPr="007062B8" w:rsidRDefault="007062B8" w:rsidP="0018292A">
      <w:pPr>
        <w:pStyle w:val="ListParagraph"/>
        <w:numPr>
          <w:ilvl w:val="0"/>
          <w:numId w:val="23"/>
        </w:numPr>
        <w:shd w:val="clear" w:color="auto" w:fill="FFFFFF"/>
        <w:tabs>
          <w:tab w:val="left" w:pos="1985"/>
          <w:tab w:val="left" w:pos="2127"/>
        </w:tabs>
        <w:ind w:left="993" w:hanging="284"/>
        <w:jc w:val="both"/>
        <w:rPr>
          <w:rFonts w:eastAsia="Times New Roman"/>
          <w:color w:val="222222"/>
          <w:lang w:eastAsia="fr-CH"/>
        </w:rPr>
      </w:pPr>
      <w:r w:rsidRPr="007062B8">
        <w:rPr>
          <w:color w:val="222222"/>
          <w:lang w:eastAsia="fr-CH"/>
        </w:rPr>
        <w:t>the notifying administration of the assignments relating to this agenda item when submitting Appendix 4 information / data elements for the implantation of the new allocation shall also send a firm, objective, measurable, enforceable with actionable evidence commitment that in case of reported unacceptable interference undertake to immediately cease the interference or reduce it to an acceptable level.</w:t>
      </w:r>
    </w:p>
    <w:p w14:paraId="06D6D12A" w14:textId="6EEC89C3" w:rsidR="007062B8" w:rsidRPr="007062B8" w:rsidRDefault="007062B8" w:rsidP="0018292A">
      <w:pPr>
        <w:pStyle w:val="ListParagraph"/>
        <w:numPr>
          <w:ilvl w:val="0"/>
          <w:numId w:val="23"/>
        </w:numPr>
        <w:shd w:val="clear" w:color="auto" w:fill="FFFFFF"/>
        <w:tabs>
          <w:tab w:val="left" w:pos="1985"/>
          <w:tab w:val="left" w:pos="2127"/>
        </w:tabs>
        <w:ind w:left="993" w:hanging="284"/>
        <w:jc w:val="both"/>
        <w:rPr>
          <w:rFonts w:eastAsia="Times New Roman"/>
          <w:color w:val="222222"/>
          <w:lang w:eastAsia="fr-CH"/>
        </w:rPr>
      </w:pPr>
      <w:r w:rsidRPr="007062B8">
        <w:rPr>
          <w:color w:val="222222"/>
          <w:lang w:eastAsia="fr-CH"/>
        </w:rPr>
        <w:lastRenderedPageBreak/>
        <w:t>in case of inaction in regard with obligations referred to in a) above the Bureau shall send a reminder and requests that the notifying administration to comply with the requirements referred to in commitment</w:t>
      </w:r>
    </w:p>
    <w:p w14:paraId="38B21772" w14:textId="66C29EDA" w:rsidR="007062B8" w:rsidRPr="007062B8" w:rsidRDefault="007062B8" w:rsidP="0018292A">
      <w:pPr>
        <w:pStyle w:val="ListParagraph"/>
        <w:numPr>
          <w:ilvl w:val="0"/>
          <w:numId w:val="23"/>
        </w:numPr>
        <w:shd w:val="clear" w:color="auto" w:fill="FFFFFF"/>
        <w:tabs>
          <w:tab w:val="left" w:pos="1985"/>
          <w:tab w:val="left" w:pos="2127"/>
        </w:tabs>
        <w:ind w:left="993" w:hanging="284"/>
        <w:jc w:val="both"/>
        <w:rPr>
          <w:rFonts w:eastAsia="Times New Roman"/>
          <w:color w:val="222222"/>
          <w:lang w:eastAsia="fr-CH"/>
        </w:rPr>
      </w:pPr>
      <w:r w:rsidRPr="007062B8">
        <w:rPr>
          <w:color w:val="222222"/>
          <w:lang w:eastAsia="fr-CH"/>
        </w:rPr>
        <w:t>Should the interference continued to persist, 30 days after the dispatch date of the above- mentioned reminder, the Bureau shall submit the case to the subsequent meeting of the RRB for review and eventual suppression from the date base of the Bureau and inform the notifying administration accordingly</w:t>
      </w:r>
      <w:r>
        <w:rPr>
          <w:color w:val="222222"/>
          <w:lang w:eastAsia="fr-CH"/>
        </w:rPr>
        <w:t>.</w:t>
      </w:r>
    </w:p>
    <w:p w14:paraId="0C646559" w14:textId="2CE6BBDB" w:rsidR="007062B8" w:rsidRDefault="007062B8" w:rsidP="007062B8">
      <w:pPr>
        <w:numPr>
          <w:ilvl w:val="0"/>
          <w:numId w:val="16"/>
        </w:numPr>
        <w:tabs>
          <w:tab w:val="left" w:pos="720"/>
          <w:tab w:val="left" w:pos="1134"/>
          <w:tab w:val="left" w:pos="1871"/>
          <w:tab w:val="left" w:pos="2268"/>
        </w:tabs>
        <w:autoSpaceDN w:val="0"/>
        <w:spacing w:before="240" w:after="120"/>
        <w:jc w:val="both"/>
        <w:rPr>
          <w:lang w:val="en-NZ"/>
        </w:rPr>
      </w:pPr>
      <w:r>
        <w:rPr>
          <w:lang w:val="en-NZ"/>
        </w:rPr>
        <w:t xml:space="preserve">This Administration supports </w:t>
      </w:r>
      <w:r>
        <w:t xml:space="preserve">Alternative 2 </w:t>
      </w:r>
      <w:r>
        <w:rPr>
          <w:lang w:val="en-NZ"/>
        </w:rPr>
        <w:t xml:space="preserve">for modification to RR No. </w:t>
      </w:r>
      <w:r>
        <w:rPr>
          <w:b/>
          <w:bCs/>
          <w:lang w:val="en-NZ"/>
        </w:rPr>
        <w:t>5.516A</w:t>
      </w:r>
      <w:r>
        <w:rPr>
          <w:lang w:val="en-NZ"/>
        </w:rPr>
        <w:t xml:space="preserve"> in Method B in order to ensure the protection of the space station receivers of the broadcasting-satellite service feeder link in regions 1 and 3 of Appendix </w:t>
      </w:r>
      <w:r>
        <w:rPr>
          <w:b/>
          <w:bCs/>
          <w:lang w:val="en-NZ"/>
        </w:rPr>
        <w:t>30A</w:t>
      </w:r>
      <w:r>
        <w:rPr>
          <w:lang w:val="en-NZ"/>
        </w:rPr>
        <w:t xml:space="preserve"> and propose the regulatory text </w:t>
      </w:r>
      <w:r w:rsidR="00B51B1B" w:rsidRPr="00C43C3E">
        <w:rPr>
          <w:lang w:val="en-NZ"/>
          <w:rPrChange w:id="4" w:author="Lenovo" w:date="2023-08-18T16:08:00Z">
            <w:rPr>
              <w:highlight w:val="green"/>
              <w:lang w:val="en-NZ"/>
            </w:rPr>
          </w:rPrChange>
        </w:rPr>
        <w:t>mentioned in the previous bullet</w:t>
      </w:r>
      <w:r w:rsidR="00B51B1B">
        <w:rPr>
          <w:lang w:val="en-NZ"/>
        </w:rPr>
        <w:t xml:space="preserve"> </w:t>
      </w:r>
      <w:r>
        <w:rPr>
          <w:lang w:val="en-NZ"/>
        </w:rPr>
        <w:t xml:space="preserve">to be added to the current Alternative 2 of Method B for modification to RR No. </w:t>
      </w:r>
      <w:r>
        <w:rPr>
          <w:b/>
          <w:bCs/>
          <w:lang w:val="en-NZ"/>
        </w:rPr>
        <w:t>5.516A</w:t>
      </w:r>
      <w:r w:rsidR="00B51B1B">
        <w:rPr>
          <w:lang w:val="en-NZ"/>
        </w:rPr>
        <w:t>.</w:t>
      </w:r>
      <w:r>
        <w:rPr>
          <w:lang w:val="en-NZ"/>
        </w:rPr>
        <w:t xml:space="preserve"> </w:t>
      </w:r>
    </w:p>
    <w:p w14:paraId="0290B425" w14:textId="77777777" w:rsidR="007062B8" w:rsidRDefault="007062B8" w:rsidP="007062B8">
      <w:pPr>
        <w:numPr>
          <w:ilvl w:val="0"/>
          <w:numId w:val="16"/>
        </w:numPr>
        <w:tabs>
          <w:tab w:val="left" w:pos="720"/>
          <w:tab w:val="left" w:pos="1134"/>
          <w:tab w:val="left" w:pos="1871"/>
          <w:tab w:val="left" w:pos="2268"/>
        </w:tabs>
        <w:autoSpaceDN w:val="0"/>
        <w:spacing w:before="240" w:after="120"/>
        <w:jc w:val="both"/>
        <w:rPr>
          <w:lang w:eastAsia="ja-JP"/>
        </w:rPr>
      </w:pPr>
      <w:r>
        <w:rPr>
          <w:lang w:val="en-NZ"/>
        </w:rPr>
        <w:t xml:space="preserve">This Administration </w:t>
      </w:r>
      <w:r>
        <w:t xml:space="preserve">also supports </w:t>
      </w:r>
      <w:r>
        <w:rPr>
          <w:lang w:val="en-NZ"/>
        </w:rPr>
        <w:t xml:space="preserve">Alternative 2 for the ADD RR No. </w:t>
      </w:r>
      <w:r>
        <w:rPr>
          <w:b/>
          <w:bCs/>
          <w:lang w:val="en-NZ"/>
        </w:rPr>
        <w:t>22.5F.Y</w:t>
      </w:r>
      <w:r>
        <w:rPr>
          <w:lang w:val="en-NZ"/>
        </w:rPr>
        <w:t xml:space="preserve"> in Method B in order to ensure the protection of the space station receivers of the broadcasting-satellite service feeder link in regions 1 and 3 of Appendix </w:t>
      </w:r>
      <w:r>
        <w:rPr>
          <w:b/>
          <w:bCs/>
          <w:lang w:val="en-NZ"/>
        </w:rPr>
        <w:t>30A</w:t>
      </w:r>
      <w:r>
        <w:rPr>
          <w:lang w:val="en-NZ"/>
        </w:rPr>
        <w:t>:</w:t>
      </w:r>
    </w:p>
    <w:p w14:paraId="0AEE61B7" w14:textId="77777777" w:rsidR="007062B8" w:rsidRPr="007062B8" w:rsidRDefault="007062B8" w:rsidP="007062B8">
      <w:pPr>
        <w:pStyle w:val="ListParagraph"/>
        <w:tabs>
          <w:tab w:val="left" w:pos="720"/>
        </w:tabs>
        <w:spacing w:before="240" w:after="120"/>
        <w:jc w:val="both"/>
        <w:rPr>
          <w:i/>
          <w:iCs/>
          <w:lang w:val="en-NZ"/>
        </w:rPr>
      </w:pPr>
      <w:r w:rsidRPr="007062B8">
        <w:rPr>
          <w:i/>
          <w:iCs/>
          <w:lang w:eastAsia="ja-JP"/>
        </w:rPr>
        <w:t>“</w:t>
      </w:r>
      <w:r w:rsidRPr="007062B8">
        <w:rPr>
          <w:lang w:val="en-NZ"/>
        </w:rPr>
        <w:t xml:space="preserve">22.5F.Y </w:t>
      </w:r>
      <w:r w:rsidRPr="007062B8">
        <w:rPr>
          <w:i/>
          <w:iCs/>
          <w:lang w:eastAsia="ja-JP"/>
        </w:rPr>
        <w:t xml:space="preserve">a non-geostationary-satellite system operating in region 2 </w:t>
      </w:r>
      <w:r w:rsidRPr="007062B8">
        <w:rPr>
          <w:i/>
          <w:iCs/>
          <w:sz w:val="23"/>
          <w:szCs w:val="23"/>
        </w:rPr>
        <w:t xml:space="preserve">at any position in the orbit, </w:t>
      </w:r>
      <w:r w:rsidRPr="007062B8">
        <w:rPr>
          <w:i/>
          <w:iCs/>
          <w:lang w:eastAsia="ja-JP"/>
        </w:rPr>
        <w:t xml:space="preserve">shall meet the limits of this table for the 17.3-17.7 GHz band with respect to all receiving space station in the broadcasting-satellite feeder link of Appendix </w:t>
      </w:r>
      <w:r w:rsidRPr="007062B8">
        <w:rPr>
          <w:b/>
          <w:bCs/>
          <w:i/>
          <w:iCs/>
          <w:lang w:eastAsia="ja-JP"/>
        </w:rPr>
        <w:t>30A</w:t>
      </w:r>
      <w:r w:rsidRPr="007062B8">
        <w:rPr>
          <w:i/>
          <w:iCs/>
          <w:lang w:eastAsia="ja-JP"/>
        </w:rPr>
        <w:t>, in all three regions.”</w:t>
      </w:r>
    </w:p>
    <w:p w14:paraId="56C6295B" w14:textId="77777777" w:rsidR="00E447EE" w:rsidRDefault="00E447EE" w:rsidP="00E447EE">
      <w:pPr>
        <w:ind w:left="708"/>
        <w:jc w:val="both"/>
        <w:rPr>
          <w:lang w:val="en-NZ"/>
        </w:rPr>
      </w:pPr>
    </w:p>
    <w:p w14:paraId="483A659F" w14:textId="1BEB699B" w:rsidR="00FC1F4A" w:rsidRPr="00FC1F4A" w:rsidRDefault="00E447EE" w:rsidP="00FC1F4A">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Australia</w:t>
      </w:r>
      <w:r w:rsidRPr="0097584A">
        <w:rPr>
          <w:b/>
          <w:lang w:val="en-NZ" w:eastAsia="ko-KR"/>
        </w:rPr>
        <w:t xml:space="preserve"> </w:t>
      </w:r>
      <w:r w:rsidRPr="007D6CDC">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Pr>
          <w:b/>
          <w:lang w:val="en-NZ" w:eastAsia="ko-KR"/>
        </w:rPr>
        <w:t>83</w:t>
      </w:r>
    </w:p>
    <w:p w14:paraId="215473AE" w14:textId="0A560547" w:rsidR="00FC1F4A" w:rsidRDefault="00FC1F4A" w:rsidP="00FC1F4A">
      <w:pPr>
        <w:ind w:left="709"/>
        <w:jc w:val="both"/>
        <w:rPr>
          <w:rFonts w:eastAsia="Calibri"/>
          <w:color w:val="000000"/>
          <w:kern w:val="12"/>
          <w:szCs w:val="20"/>
        </w:rPr>
      </w:pPr>
      <w:r>
        <w:rPr>
          <w:rFonts w:eastAsia="Calibri"/>
          <w:color w:val="000000"/>
          <w:kern w:val="12"/>
          <w:szCs w:val="20"/>
        </w:rPr>
        <w:t>Australia supports arrangements that are consistent with the rational and efficient use of Australia’s sovereign assets in the radiofrequency spectrum. Noting that this is a Region 2 issue, Australia does not currently have a position on the proposed new primary allocation, however, protection for existing Appendix 30A satellite networks should be ensured.</w:t>
      </w:r>
    </w:p>
    <w:p w14:paraId="0C299B5A" w14:textId="1CAA644A" w:rsidR="00FC1F4A" w:rsidRPr="00FC1F4A" w:rsidRDefault="00FC1F4A" w:rsidP="00FC1F4A">
      <w:pPr>
        <w:spacing w:beforeLines="50" w:before="120" w:afterLines="50" w:after="120"/>
        <w:ind w:left="709"/>
        <w:jc w:val="both"/>
        <w:rPr>
          <w:rFonts w:eastAsia="Calibri"/>
          <w:color w:val="000000"/>
          <w:kern w:val="12"/>
          <w:szCs w:val="20"/>
        </w:rPr>
      </w:pPr>
      <w:r w:rsidRPr="00FC1F4A">
        <w:rPr>
          <w:rFonts w:eastAsia="Calibri"/>
          <w:color w:val="000000"/>
          <w:kern w:val="12"/>
          <w:szCs w:val="20"/>
        </w:rPr>
        <w:t>Australia does not propose a Preliminary APT Common Proposal for this issue.</w:t>
      </w:r>
    </w:p>
    <w:p w14:paraId="06DD3327" w14:textId="77777777" w:rsidR="00E447EE" w:rsidRPr="00441526" w:rsidRDefault="00E447EE" w:rsidP="00E447EE">
      <w:pPr>
        <w:ind w:left="708"/>
        <w:jc w:val="both"/>
        <w:rPr>
          <w:lang w:val="en-NZ"/>
        </w:rPr>
      </w:pPr>
    </w:p>
    <w:p w14:paraId="6F0024C6" w14:textId="55001344" w:rsidR="00E447EE" w:rsidRPr="00441526" w:rsidRDefault="00E447EE" w:rsidP="00E447EE">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Pr>
          <w:b/>
          <w:lang w:val="en-NZ" w:eastAsia="ko-KR"/>
        </w:rPr>
        <w:t>Korea (Republic of)</w:t>
      </w:r>
      <w:r w:rsidRPr="007D6CDC">
        <w:rPr>
          <w:b/>
          <w:lang w:val="en-NZ" w:eastAsia="ko-KR"/>
        </w:rPr>
        <w:t xml:space="preserve"> </w:t>
      </w:r>
      <w:r w:rsidRPr="007D6CDC">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Pr>
          <w:b/>
          <w:lang w:val="en-NZ" w:eastAsia="ko-KR"/>
        </w:rPr>
        <w:t>90</w:t>
      </w:r>
      <w:r w:rsidR="009B61E1">
        <w:rPr>
          <w:b/>
          <w:lang w:val="en-NZ" w:eastAsia="ko-KR"/>
        </w:rPr>
        <w:t xml:space="preserve"> (Rev.1)</w:t>
      </w:r>
    </w:p>
    <w:p w14:paraId="5CBD13D5" w14:textId="101BF8E4" w:rsidR="00FC1F4A" w:rsidRPr="00FC1F4A" w:rsidRDefault="00FC1F4A" w:rsidP="00FC1F4A">
      <w:pPr>
        <w:spacing w:beforeLines="50" w:before="120" w:afterLines="50" w:after="120"/>
        <w:ind w:left="709"/>
        <w:jc w:val="both"/>
        <w:rPr>
          <w:lang w:eastAsia="ko-KR"/>
        </w:rPr>
      </w:pPr>
      <w:r>
        <w:rPr>
          <w:lang w:eastAsia="ko-KR"/>
        </w:rPr>
        <w:t xml:space="preserve">The Republic of Korea </w:t>
      </w:r>
      <w:r w:rsidRPr="00FC1F4A">
        <w:rPr>
          <w:lang w:eastAsia="ko-KR"/>
        </w:rPr>
        <w:t>is of the view that</w:t>
      </w:r>
      <w:r>
        <w:rPr>
          <w:lang w:eastAsia="ko-KR"/>
        </w:rPr>
        <w:t xml:space="preserve"> the</w:t>
      </w:r>
      <w:r w:rsidRPr="00FC1F4A">
        <w:rPr>
          <w:lang w:eastAsia="ko-KR"/>
        </w:rPr>
        <w:t xml:space="preserve"> new</w:t>
      </w:r>
      <w:r>
        <w:rPr>
          <w:lang w:eastAsia="ko-KR"/>
        </w:rPr>
        <w:t xml:space="preserve"> </w:t>
      </w:r>
      <w:r w:rsidRPr="00FC1F4A">
        <w:rPr>
          <w:lang w:eastAsia="ko-KR"/>
        </w:rPr>
        <w:t xml:space="preserve">primary allocation of the frequency band 17.3-17.7 GHz in Region 2 to the FSS in the space-to-Earth direction should ensure protecting existing services operated in Region 3. Therefore, Korea (Rep. of) supports </w:t>
      </w:r>
      <w:r>
        <w:rPr>
          <w:lang w:eastAsia="ko-KR"/>
        </w:rPr>
        <w:t xml:space="preserve">the Method </w:t>
      </w:r>
      <w:r w:rsidRPr="00FC1F4A">
        <w:rPr>
          <w:lang w:eastAsia="ko-KR"/>
        </w:rPr>
        <w:t>B (Alternative</w:t>
      </w:r>
      <w:r>
        <w:rPr>
          <w:lang w:eastAsia="ko-KR"/>
        </w:rPr>
        <w:t xml:space="preserve"> 2</w:t>
      </w:r>
      <w:r w:rsidRPr="00FC1F4A">
        <w:rPr>
          <w:lang w:eastAsia="ko-KR"/>
        </w:rPr>
        <w:t>)</w:t>
      </w:r>
      <w:r>
        <w:rPr>
          <w:lang w:eastAsia="ko-KR"/>
        </w:rPr>
        <w:t xml:space="preserve"> presented in the CPM Report. In addition, Method C limiting the FSS operation to GSO could also be supported.</w:t>
      </w:r>
    </w:p>
    <w:p w14:paraId="47E151F8" w14:textId="77777777" w:rsidR="00E447EE" w:rsidRDefault="00E447EE" w:rsidP="00E447EE">
      <w:pPr>
        <w:jc w:val="both"/>
        <w:rPr>
          <w:lang w:val="en-NZ"/>
        </w:rPr>
      </w:pPr>
    </w:p>
    <w:p w14:paraId="2A1261A6" w14:textId="19F4FECC" w:rsidR="00E447EE" w:rsidRPr="00441526" w:rsidRDefault="00E447EE" w:rsidP="00E447EE">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sidRPr="00DD507F">
        <w:rPr>
          <w:b/>
          <w:lang w:val="en-NZ" w:eastAsia="ko-KR"/>
        </w:rPr>
        <w:t>China (People’s Republic of)</w:t>
      </w:r>
      <w:r w:rsidRPr="007D6CDC">
        <w:rPr>
          <w:b/>
          <w:lang w:val="en-NZ" w:eastAsia="ko-KR"/>
        </w:rPr>
        <w:t xml:space="preserve"> </w:t>
      </w:r>
      <w:r w:rsidRPr="0097584A">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sidR="003939F7">
        <w:rPr>
          <w:b/>
          <w:lang w:val="en-NZ" w:eastAsia="ko-KR"/>
        </w:rPr>
        <w:t>106</w:t>
      </w:r>
    </w:p>
    <w:p w14:paraId="01FB99F7" w14:textId="77777777" w:rsidR="00FC1F4A" w:rsidRDefault="00FC1F4A" w:rsidP="00FC1F4A">
      <w:pPr>
        <w:ind w:left="709"/>
        <w:jc w:val="both"/>
        <w:rPr>
          <w:lang w:eastAsia="zh-CN"/>
        </w:rPr>
      </w:pPr>
      <w:r>
        <w:rPr>
          <w:lang w:eastAsia="zh-CN"/>
        </w:rPr>
        <w:t>With respect to the condition of sharing and compatibility studies, this administration is of the views that:</w:t>
      </w:r>
    </w:p>
    <w:p w14:paraId="48747ECF" w14:textId="77777777" w:rsidR="00FC1F4A" w:rsidRDefault="00FC1F4A" w:rsidP="00FC1F4A">
      <w:pPr>
        <w:numPr>
          <w:ilvl w:val="0"/>
          <w:numId w:val="14"/>
        </w:numPr>
        <w:spacing w:beforeLines="50" w:before="120" w:afterLines="50" w:after="120"/>
        <w:ind w:leftChars="295" w:left="1133" w:hangingChars="177" w:hanging="425"/>
        <w:jc w:val="both"/>
        <w:rPr>
          <w:lang w:eastAsia="zh-CN"/>
        </w:rPr>
      </w:pPr>
      <w:r w:rsidRPr="00FC1F4A">
        <w:rPr>
          <w:lang w:eastAsia="zh-CN"/>
        </w:rPr>
        <w:t>The new allocation to FSS in Region 2 in the band 17.3-17.7 GHz (space-to-Earth) shall not adversely affect existing allocations and services for Region 3 and shall not impose any constraints to the incumbent services operating in the concerned frequency bands and adjacent bands in Region 3.</w:t>
      </w:r>
    </w:p>
    <w:p w14:paraId="799BC90C" w14:textId="04CE3986" w:rsidR="00FC1F4A" w:rsidRPr="00FC1F4A" w:rsidRDefault="00FC1F4A" w:rsidP="00FC1F4A">
      <w:pPr>
        <w:numPr>
          <w:ilvl w:val="0"/>
          <w:numId w:val="14"/>
        </w:numPr>
        <w:spacing w:beforeLines="50" w:before="120" w:afterLines="50" w:after="120"/>
        <w:ind w:leftChars="295" w:left="1133" w:hangingChars="177" w:hanging="425"/>
        <w:jc w:val="both"/>
        <w:rPr>
          <w:lang w:eastAsia="zh-CN"/>
        </w:rPr>
      </w:pPr>
      <w:r w:rsidRPr="00FC1F4A">
        <w:rPr>
          <w:lang w:eastAsia="zh-CN"/>
        </w:rPr>
        <w:t xml:space="preserve">As there is no frequency allocation of FSS in Region 3 in the band 17.3-17.7 GHz (space-to-Earth), any new allocation in Region 2 in the band 17.3-17.7 GHz used by </w:t>
      </w:r>
      <w:r w:rsidRPr="00FC1F4A">
        <w:rPr>
          <w:lang w:eastAsia="zh-CN"/>
        </w:rPr>
        <w:lastRenderedPageBreak/>
        <w:t>a non-geostationary satellite system in the fixed-satellite service, may cause potential interference to existing allocations and services for Region 3 considering the operating characteristics of satellite system. The modifications of Article 22 are inconsistent with the Radio Regulation. And the value of efpd which were added in Methods is not proven and validated. Therefore, the new allocation to FSS in Region 2 in the band 17.3-17.7 GHz (space-to-Earth) is better to limit to geostationary satellites.</w:t>
      </w:r>
    </w:p>
    <w:p w14:paraId="687CCCC4" w14:textId="77777777" w:rsidR="00FC1F4A" w:rsidRPr="00FC1F4A" w:rsidRDefault="00FC1F4A" w:rsidP="00FC1F4A">
      <w:pPr>
        <w:ind w:left="709"/>
        <w:jc w:val="both"/>
        <w:rPr>
          <w:rFonts w:eastAsia="SimSun"/>
          <w:lang w:eastAsia="zh-CN"/>
        </w:rPr>
      </w:pPr>
      <w:r w:rsidRPr="00FC1F4A">
        <w:rPr>
          <w:rFonts w:eastAsia="SimSun"/>
          <w:lang w:eastAsia="zh-CN"/>
        </w:rPr>
        <w:t>For the above consideration, China would like to propose that the Method C to be the PACP under the WRC-23 agenda item 1.19 in order to protect services of our region’s.</w:t>
      </w:r>
    </w:p>
    <w:p w14:paraId="53787E88" w14:textId="7067F417" w:rsidR="00FC1F4A" w:rsidRPr="00FC1F4A" w:rsidRDefault="00FC1F4A" w:rsidP="00FC1F4A">
      <w:pPr>
        <w:spacing w:beforeLines="50" w:before="120" w:afterLines="50" w:after="120"/>
        <w:ind w:left="709"/>
        <w:jc w:val="both"/>
        <w:rPr>
          <w:rFonts w:eastAsia="SimSun"/>
          <w:lang w:eastAsia="zh-CN"/>
        </w:rPr>
      </w:pPr>
      <w:r w:rsidRPr="00FC1F4A">
        <w:rPr>
          <w:rFonts w:eastAsia="SimSun"/>
          <w:lang w:eastAsia="zh-CN"/>
        </w:rPr>
        <w:t>In addition, we also would like to consider Method B (Alternative 2 for all cases) for the WRC-23 agenda item 1.19.</w:t>
      </w:r>
    </w:p>
    <w:p w14:paraId="0D5897E8" w14:textId="77777777" w:rsidR="00221CDA" w:rsidRDefault="00221CDA" w:rsidP="00E447EE">
      <w:pPr>
        <w:ind w:left="709"/>
        <w:jc w:val="both"/>
        <w:rPr>
          <w:rFonts w:eastAsia="SimSun"/>
          <w:lang w:eastAsia="zh-CN"/>
        </w:rPr>
      </w:pPr>
    </w:p>
    <w:p w14:paraId="5252173C" w14:textId="6664C68D" w:rsidR="00221CDA" w:rsidRPr="00441526" w:rsidRDefault="00221CDA" w:rsidP="00221CDA">
      <w:pPr>
        <w:spacing w:after="120"/>
        <w:jc w:val="both"/>
        <w:rPr>
          <w:b/>
          <w:lang w:val="en-NZ" w:eastAsia="ko-KR"/>
        </w:rPr>
      </w:pPr>
      <w:r w:rsidRPr="00441526">
        <w:rPr>
          <w:b/>
          <w:lang w:val="en-NZ" w:eastAsia="ko-KR"/>
        </w:rPr>
        <w:t>3.1.</w:t>
      </w:r>
      <w:r w:rsidR="000158AE">
        <w:rPr>
          <w:b/>
          <w:lang w:val="en-NZ" w:eastAsia="ko-KR"/>
        </w:rPr>
        <w:t>7</w:t>
      </w:r>
      <w:r w:rsidRPr="00441526">
        <w:rPr>
          <w:b/>
          <w:lang w:val="en-NZ" w:eastAsia="ko-KR"/>
        </w:rPr>
        <w:tab/>
      </w:r>
      <w:r w:rsidR="000158AE">
        <w:rPr>
          <w:b/>
          <w:lang w:val="en-NZ" w:eastAsia="ko-KR"/>
        </w:rPr>
        <w:t>Vietnam</w:t>
      </w:r>
      <w:r w:rsidRPr="00DD507F">
        <w:rPr>
          <w:b/>
          <w:lang w:val="en-NZ" w:eastAsia="ko-KR"/>
        </w:rPr>
        <w:t xml:space="preserve"> (</w:t>
      </w:r>
      <w:r w:rsidR="000158AE">
        <w:rPr>
          <w:b/>
          <w:lang w:val="en-NZ" w:eastAsia="ko-KR"/>
        </w:rPr>
        <w:t xml:space="preserve">Socialist </w:t>
      </w:r>
      <w:r w:rsidRPr="00DD507F">
        <w:rPr>
          <w:b/>
          <w:lang w:val="en-NZ" w:eastAsia="ko-KR"/>
        </w:rPr>
        <w:t>Republic of)</w:t>
      </w:r>
      <w:r w:rsidRPr="007D6CDC">
        <w:rPr>
          <w:b/>
          <w:lang w:val="en-NZ" w:eastAsia="ko-KR"/>
        </w:rPr>
        <w:t xml:space="preserve"> </w:t>
      </w:r>
      <w:r w:rsidRPr="0097584A">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Pr>
          <w:b/>
          <w:lang w:val="en-NZ" w:eastAsia="ko-KR"/>
        </w:rPr>
        <w:t>1</w:t>
      </w:r>
      <w:r w:rsidR="009D78C4">
        <w:rPr>
          <w:b/>
          <w:lang w:val="en-NZ" w:eastAsia="ko-KR"/>
        </w:rPr>
        <w:t>20</w:t>
      </w:r>
    </w:p>
    <w:p w14:paraId="0E0FB334" w14:textId="77777777" w:rsidR="00FC1F4A" w:rsidRPr="00FC1F4A" w:rsidRDefault="00FC1F4A" w:rsidP="00FC1F4A">
      <w:pPr>
        <w:spacing w:beforeLines="50" w:before="120" w:afterLines="50" w:after="120"/>
        <w:ind w:left="709"/>
        <w:jc w:val="both"/>
        <w:rPr>
          <w:rFonts w:eastAsia="SimSun"/>
          <w:lang w:eastAsia="zh-CN"/>
        </w:rPr>
      </w:pPr>
      <w:r w:rsidRPr="00FC1F4A">
        <w:rPr>
          <w:rFonts w:eastAsia="SimSun"/>
          <w:lang w:eastAsia="zh-CN"/>
        </w:rPr>
        <w:t>Two orbital scenarios for FSS operations were considered in the studies conducted under agenda item 1.19. In some instances, no studies were performed even when an allocation may exist as no characteristics or protection criteria were liaised by the contributing working party. Therefore, Viet Nam supports method A.</w:t>
      </w:r>
    </w:p>
    <w:p w14:paraId="4021D385" w14:textId="77777777" w:rsidR="00221CDA" w:rsidRPr="00441526" w:rsidRDefault="00221CDA" w:rsidP="009D4B7A">
      <w:pPr>
        <w:jc w:val="both"/>
        <w:rPr>
          <w:lang w:val="en-NZ"/>
        </w:rPr>
      </w:pPr>
    </w:p>
    <w:p w14:paraId="7A63430F" w14:textId="77777777" w:rsidR="009D4B7A" w:rsidRPr="00441526" w:rsidRDefault="009D4B7A" w:rsidP="009D4B7A">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92E958D" w14:textId="1569303C" w:rsidR="0018292A" w:rsidRDefault="0018292A" w:rsidP="0018292A">
      <w:pPr>
        <w:spacing w:beforeLines="50" w:before="120" w:afterLines="50" w:after="120"/>
        <w:ind w:left="709"/>
        <w:jc w:val="both"/>
        <w:rPr>
          <w:rFonts w:eastAsia="SimSun"/>
          <w:kern w:val="2"/>
          <w:szCs w:val="22"/>
          <w:lang w:eastAsia="zh-CN"/>
        </w:rPr>
      </w:pPr>
      <w:r>
        <w:rPr>
          <w:rFonts w:eastAsia="SimSun"/>
          <w:kern w:val="2"/>
          <w:szCs w:val="22"/>
          <w:lang w:eastAsia="zh-CN"/>
        </w:rPr>
        <w:t>The following concerns were expressed and discussed at the meeting:</w:t>
      </w:r>
    </w:p>
    <w:p w14:paraId="62CA9B7A" w14:textId="15EACB86" w:rsidR="0018292A" w:rsidRPr="001B330F" w:rsidRDefault="001B330F" w:rsidP="00EE1FCD">
      <w:pPr>
        <w:numPr>
          <w:ilvl w:val="0"/>
          <w:numId w:val="14"/>
        </w:numPr>
        <w:spacing w:beforeLines="50" w:before="120" w:afterLines="50" w:after="120"/>
        <w:ind w:leftChars="295" w:left="1133" w:hangingChars="177" w:hanging="425"/>
        <w:jc w:val="both"/>
        <w:rPr>
          <w:rFonts w:eastAsia="SimSun"/>
          <w:kern w:val="2"/>
          <w:szCs w:val="22"/>
          <w:lang w:eastAsia="zh-CN"/>
        </w:rPr>
      </w:pPr>
      <w:r>
        <w:rPr>
          <w:rFonts w:eastAsia="SimSun"/>
          <w:kern w:val="2"/>
          <w:szCs w:val="22"/>
          <w:lang w:eastAsia="zh-CN"/>
        </w:rPr>
        <w:t>Protection to the existing services in Region 3</w:t>
      </w:r>
      <w:r w:rsidR="005A2E64">
        <w:rPr>
          <w:rFonts w:eastAsia="SimSun"/>
          <w:kern w:val="2"/>
          <w:szCs w:val="22"/>
          <w:lang w:eastAsia="zh-CN"/>
        </w:rPr>
        <w:t xml:space="preserve">, </w:t>
      </w:r>
      <w:bookmarkStart w:id="5" w:name="_Hlk143024139"/>
      <w:r w:rsidR="005A2E64">
        <w:rPr>
          <w:rFonts w:eastAsia="SimSun"/>
          <w:kern w:val="2"/>
          <w:szCs w:val="22"/>
          <w:lang w:eastAsia="zh-CN"/>
        </w:rPr>
        <w:t xml:space="preserve">including </w:t>
      </w:r>
      <w:r w:rsidR="005A2E64">
        <w:rPr>
          <w:sz w:val="23"/>
          <w:szCs w:val="23"/>
        </w:rPr>
        <w:t>BSS feeder link AP30A receiving space station and GSO FSS systems</w:t>
      </w:r>
      <w:bookmarkEnd w:id="5"/>
      <w:r w:rsidR="005A2E64">
        <w:rPr>
          <w:rFonts w:eastAsia="Calibri"/>
          <w:color w:val="000000"/>
          <w:kern w:val="12"/>
          <w:szCs w:val="20"/>
        </w:rPr>
        <w:t>,</w:t>
      </w:r>
      <w:r>
        <w:rPr>
          <w:rFonts w:eastAsia="SimSun"/>
          <w:kern w:val="2"/>
          <w:szCs w:val="22"/>
          <w:lang w:eastAsia="zh-CN"/>
        </w:rPr>
        <w:t xml:space="preserve"> </w:t>
      </w:r>
      <w:r w:rsidR="005A2E64">
        <w:rPr>
          <w:rFonts w:eastAsia="SimSun"/>
          <w:kern w:val="2"/>
          <w:szCs w:val="22"/>
          <w:lang w:eastAsia="zh-CN"/>
        </w:rPr>
        <w:t xml:space="preserve">operating </w:t>
      </w:r>
      <w:r>
        <w:rPr>
          <w:rFonts w:eastAsia="SimSun"/>
          <w:kern w:val="2"/>
          <w:szCs w:val="22"/>
          <w:lang w:eastAsia="zh-CN"/>
        </w:rPr>
        <w:t>in the same and adjacent frequency band studied under this agenda item</w:t>
      </w:r>
      <w:r w:rsidR="005A2E64">
        <w:rPr>
          <w:rFonts w:eastAsia="SimSun"/>
          <w:kern w:val="2"/>
          <w:szCs w:val="22"/>
          <w:lang w:eastAsia="zh-CN"/>
        </w:rPr>
        <w:t>.</w:t>
      </w:r>
    </w:p>
    <w:p w14:paraId="4AC325BA" w14:textId="77777777" w:rsidR="00EE1FCD" w:rsidRDefault="001B330F" w:rsidP="00EE1FCD">
      <w:pPr>
        <w:numPr>
          <w:ilvl w:val="0"/>
          <w:numId w:val="14"/>
        </w:numPr>
        <w:spacing w:beforeLines="50" w:before="120" w:afterLines="50" w:after="120"/>
        <w:ind w:leftChars="295" w:left="1133" w:hangingChars="177" w:hanging="425"/>
        <w:jc w:val="both"/>
        <w:rPr>
          <w:rFonts w:eastAsia="SimSun"/>
          <w:iCs/>
          <w:kern w:val="2"/>
          <w:szCs w:val="22"/>
          <w:lang w:eastAsia="zh-CN"/>
        </w:rPr>
      </w:pPr>
      <w:r>
        <w:rPr>
          <w:rFonts w:eastAsia="SimSun"/>
          <w:kern w:val="2"/>
          <w:szCs w:val="22"/>
          <w:lang w:eastAsia="zh-CN"/>
        </w:rPr>
        <w:t xml:space="preserve">Potential interference to existing services in Region 3 caused by </w:t>
      </w:r>
      <w:r>
        <w:t>non-GSO systems operating</w:t>
      </w:r>
      <w:r w:rsidR="00DF24AC">
        <w:t xml:space="preserve"> in</w:t>
      </w:r>
      <w:r>
        <w:t xml:space="preserve"> the band 17.3-17.7 GHz </w:t>
      </w:r>
      <w:r w:rsidRPr="00FC1F4A">
        <w:rPr>
          <w:lang w:eastAsia="zh-CN"/>
        </w:rPr>
        <w:t>(space-to-Earth)</w:t>
      </w:r>
      <w:r>
        <w:rPr>
          <w:lang w:eastAsia="zh-CN"/>
        </w:rPr>
        <w:t>.</w:t>
      </w:r>
    </w:p>
    <w:p w14:paraId="665AE328" w14:textId="5C6256AA" w:rsidR="00EE1FCD" w:rsidRPr="00EE1FCD" w:rsidRDefault="00C109E3" w:rsidP="00EE1FCD">
      <w:pPr>
        <w:numPr>
          <w:ilvl w:val="0"/>
          <w:numId w:val="14"/>
        </w:numPr>
        <w:spacing w:beforeLines="50" w:before="120" w:afterLines="50" w:after="120"/>
        <w:ind w:leftChars="295" w:left="1133" w:hangingChars="177" w:hanging="425"/>
        <w:jc w:val="both"/>
        <w:rPr>
          <w:rFonts w:eastAsia="SimSun"/>
          <w:iCs/>
          <w:kern w:val="2"/>
          <w:szCs w:val="22"/>
          <w:lang w:eastAsia="zh-CN"/>
        </w:rPr>
      </w:pPr>
      <w:r>
        <w:rPr>
          <w:rFonts w:eastAsia="Times New Roman"/>
          <w:lang w:val="en-AU"/>
        </w:rPr>
        <w:t>Some APT Members</w:t>
      </w:r>
      <w:r w:rsidRPr="00EE1FCD">
        <w:rPr>
          <w:rFonts w:eastAsia="Times New Roman"/>
          <w:lang w:val="en-AU"/>
        </w:rPr>
        <w:t xml:space="preserve"> </w:t>
      </w:r>
      <w:r w:rsidR="00533C3C" w:rsidRPr="00EE1FCD">
        <w:rPr>
          <w:rFonts w:eastAsia="Times New Roman"/>
          <w:lang w:val="en-AU"/>
        </w:rPr>
        <w:t xml:space="preserve">expressed concern on the appropriateness of a power-flux density limit proposed. While it is acknowledged that there is potential interference path from Region 2 FSS downlink into an Appendix 30A BSS feeder link receiver, </w:t>
      </w:r>
      <w:r w:rsidR="00B51B1B" w:rsidRPr="00C0017D">
        <w:rPr>
          <w:rFonts w:eastAsia="Times New Roman"/>
          <w:lang w:val="en-AU"/>
        </w:rPr>
        <w:t>some APT Members are</w:t>
      </w:r>
      <w:r w:rsidR="00533C3C" w:rsidRPr="00EE1FCD">
        <w:rPr>
          <w:rFonts w:eastAsia="Times New Roman"/>
          <w:lang w:val="en-AU"/>
        </w:rPr>
        <w:t xml:space="preserve"> considering which is the most appropriate method to mitigate this risk. Additionally, a pfd level referenced at earth surface to protect a GSO receiver could be difficult to understand</w:t>
      </w:r>
      <w:r w:rsidR="00EE1FCD" w:rsidRPr="00EE1FCD">
        <w:rPr>
          <w:rFonts w:eastAsia="Times New Roman"/>
          <w:lang w:val="en-AU"/>
        </w:rPr>
        <w:t>.</w:t>
      </w:r>
    </w:p>
    <w:p w14:paraId="3BF1B23C" w14:textId="27C5712B" w:rsidR="00EE1FCD" w:rsidRPr="00EE1FCD" w:rsidRDefault="00C109E3" w:rsidP="00EE1FCD">
      <w:pPr>
        <w:numPr>
          <w:ilvl w:val="0"/>
          <w:numId w:val="14"/>
        </w:numPr>
        <w:spacing w:beforeLines="50" w:before="120" w:afterLines="50" w:after="120"/>
        <w:ind w:leftChars="295" w:left="1133" w:hangingChars="177" w:hanging="425"/>
        <w:jc w:val="both"/>
        <w:rPr>
          <w:rFonts w:eastAsia="Times New Roman"/>
          <w:sz w:val="22"/>
          <w:szCs w:val="22"/>
          <w:lang w:val="en-AU"/>
        </w:rPr>
      </w:pPr>
      <w:r>
        <w:rPr>
          <w:rFonts w:eastAsia="Times New Roman"/>
          <w:lang w:val="en-AU"/>
        </w:rPr>
        <w:t>Some APT Members</w:t>
      </w:r>
      <w:r w:rsidRPr="00EE1FCD">
        <w:rPr>
          <w:rFonts w:eastAsia="Times New Roman"/>
          <w:lang w:val="en-AU"/>
        </w:rPr>
        <w:t xml:space="preserve"> </w:t>
      </w:r>
      <w:r w:rsidR="00533C3C" w:rsidRPr="00EE1FCD">
        <w:rPr>
          <w:rFonts w:eastAsia="Times New Roman"/>
          <w:lang w:val="en-AU"/>
        </w:rPr>
        <w:t xml:space="preserve">expressed a view </w:t>
      </w:r>
      <w:r w:rsidR="003374D4" w:rsidRPr="00EE1FCD">
        <w:rPr>
          <w:rFonts w:eastAsia="Times New Roman"/>
          <w:lang w:val="en-AU"/>
        </w:rPr>
        <w:t>of w</w:t>
      </w:r>
      <w:r w:rsidR="00EE1FCD" w:rsidRPr="00EE1FCD">
        <w:rPr>
          <w:rFonts w:eastAsia="SimSun"/>
          <w:kern w:val="2"/>
          <w:szCs w:val="22"/>
          <w:lang w:val="en-AU" w:eastAsia="zh-CN"/>
        </w:rPr>
        <w:t>he</w:t>
      </w:r>
      <w:r w:rsidR="003374D4" w:rsidRPr="00EE1FCD">
        <w:rPr>
          <w:rFonts w:eastAsia="SimSun"/>
          <w:kern w:val="2"/>
          <w:szCs w:val="22"/>
          <w:lang w:eastAsia="zh-CN"/>
        </w:rPr>
        <w:t>ther the allocation of 17.3-17.7 GHz in Region 2 to the FSS in the space-to-Earth direction should be limited to the FSS GSO.</w:t>
      </w:r>
    </w:p>
    <w:p w14:paraId="137C88F0" w14:textId="51B109D5" w:rsidR="00533C3C" w:rsidRPr="00C0017D" w:rsidRDefault="00533C3C" w:rsidP="00EE1FCD">
      <w:pPr>
        <w:numPr>
          <w:ilvl w:val="0"/>
          <w:numId w:val="14"/>
        </w:numPr>
        <w:spacing w:beforeLines="50" w:before="120" w:afterLines="50" w:after="120"/>
        <w:ind w:leftChars="295" w:left="1133" w:hangingChars="177" w:hanging="425"/>
        <w:jc w:val="both"/>
        <w:rPr>
          <w:rFonts w:eastAsia="Times New Roman"/>
          <w:sz w:val="22"/>
          <w:szCs w:val="22"/>
          <w:lang w:val="en-AU"/>
        </w:rPr>
      </w:pPr>
      <w:r w:rsidRPr="00EE1FCD">
        <w:rPr>
          <w:rFonts w:eastAsia="Times New Roman"/>
          <w:lang w:val="en-AU"/>
        </w:rPr>
        <w:t xml:space="preserve">Footnote 5.516A contains a number of elements (for example a no interference obligation, actions to take if there is interference, and commitments). Some </w:t>
      </w:r>
      <w:r w:rsidR="003939F7" w:rsidRPr="00C6284C">
        <w:rPr>
          <w:rFonts w:eastAsia="Times New Roman" w:hint="eastAsia"/>
          <w:lang w:val="en-AU"/>
        </w:rPr>
        <w:t>thought</w:t>
      </w:r>
      <w:r w:rsidRPr="00EE1FCD">
        <w:rPr>
          <w:rFonts w:eastAsia="Times New Roman"/>
          <w:lang w:val="en-AU"/>
        </w:rPr>
        <w:t xml:space="preserve"> that all elements </w:t>
      </w:r>
      <w:r w:rsidRPr="00C0017D">
        <w:rPr>
          <w:rFonts w:eastAsia="Times New Roman"/>
          <w:lang w:val="en-AU"/>
        </w:rPr>
        <w:t xml:space="preserve">are </w:t>
      </w:r>
      <w:r w:rsidR="00BC088E" w:rsidRPr="00C0017D">
        <w:rPr>
          <w:rFonts w:eastAsia="Times New Roman"/>
          <w:lang w:val="en-AU"/>
        </w:rPr>
        <w:t xml:space="preserve">not </w:t>
      </w:r>
      <w:r w:rsidRPr="00C0017D">
        <w:rPr>
          <w:rFonts w:eastAsia="Times New Roman"/>
          <w:lang w:val="en-AU"/>
        </w:rPr>
        <w:t xml:space="preserve">required. </w:t>
      </w:r>
      <w:r w:rsidR="00B51B1B" w:rsidRPr="00C0017D">
        <w:rPr>
          <w:rFonts w:eastAsia="Times New Roman"/>
          <w:lang w:val="en-AU"/>
        </w:rPr>
        <w:t>While some other APT Members thought more elements are required.</w:t>
      </w:r>
    </w:p>
    <w:p w14:paraId="622190D9" w14:textId="771F9E9F" w:rsidR="00533C3C" w:rsidRPr="00EE1FCD" w:rsidRDefault="00533C3C" w:rsidP="00EE1FCD">
      <w:pPr>
        <w:pStyle w:val="ListParagraph"/>
        <w:numPr>
          <w:ilvl w:val="0"/>
          <w:numId w:val="14"/>
        </w:numPr>
        <w:ind w:left="1134"/>
        <w:jc w:val="both"/>
        <w:rPr>
          <w:rFonts w:eastAsia="Times New Roman"/>
          <w:lang w:val="en-AU"/>
        </w:rPr>
      </w:pPr>
      <w:r w:rsidRPr="00BC088E">
        <w:rPr>
          <w:rFonts w:eastAsia="Times New Roman"/>
          <w:lang w:val="en-AU"/>
        </w:rPr>
        <w:t xml:space="preserve">Some </w:t>
      </w:r>
      <w:r w:rsidR="00C109E3">
        <w:rPr>
          <w:rFonts w:eastAsia="Times New Roman"/>
          <w:lang w:val="en-AU"/>
        </w:rPr>
        <w:t>APT Members</w:t>
      </w:r>
      <w:r w:rsidR="00C109E3" w:rsidRPr="00BC088E">
        <w:rPr>
          <w:rFonts w:eastAsia="Times New Roman"/>
          <w:lang w:val="en-AU"/>
        </w:rPr>
        <w:t xml:space="preserve"> </w:t>
      </w:r>
      <w:r w:rsidRPr="00BC088E">
        <w:rPr>
          <w:rFonts w:eastAsia="Times New Roman"/>
          <w:lang w:val="en-AU"/>
        </w:rPr>
        <w:t xml:space="preserve">indicated that the use </w:t>
      </w:r>
      <w:r w:rsidR="00C0017D" w:rsidRPr="00BC088E">
        <w:rPr>
          <w:rFonts w:eastAsia="Times New Roman"/>
          <w:lang w:val="en-AU"/>
        </w:rPr>
        <w:t xml:space="preserve">of </w:t>
      </w:r>
      <w:r w:rsidR="00C0017D">
        <w:rPr>
          <w:rFonts w:eastAsia="Times New Roman"/>
          <w:lang w:val="en-AU"/>
        </w:rPr>
        <w:t>No.</w:t>
      </w:r>
      <w:r w:rsidR="00310DFA">
        <w:rPr>
          <w:rFonts w:eastAsia="Times New Roman"/>
          <w:lang w:val="en-AU"/>
        </w:rPr>
        <w:t xml:space="preserve"> </w:t>
      </w:r>
      <w:r w:rsidRPr="00774277">
        <w:rPr>
          <w:rFonts w:eastAsia="Times New Roman"/>
          <w:b/>
          <w:bCs/>
          <w:lang w:val="en-AU"/>
        </w:rPr>
        <w:t>11.41</w:t>
      </w:r>
      <w:r w:rsidRPr="00BC088E">
        <w:rPr>
          <w:rFonts w:eastAsia="Times New Roman"/>
          <w:lang w:val="en-AU"/>
        </w:rPr>
        <w:t xml:space="preserve"> could potentially be acceptable for some cases (e.g.  List entries</w:t>
      </w:r>
      <w:r w:rsidR="00BC088E">
        <w:rPr>
          <w:rFonts w:eastAsia="Times New Roman"/>
          <w:lang w:val="en-AU"/>
        </w:rPr>
        <w:t>).</w:t>
      </w:r>
    </w:p>
    <w:p w14:paraId="552FE4B9" w14:textId="77777777" w:rsidR="009D4B7A" w:rsidRPr="005A2E64" w:rsidRDefault="009D4B7A" w:rsidP="009D4B7A">
      <w:pPr>
        <w:jc w:val="both"/>
        <w:rPr>
          <w:iCs/>
          <w:lang w:val="en-NZ"/>
        </w:rPr>
      </w:pPr>
    </w:p>
    <w:p w14:paraId="57F68FC1" w14:textId="7A04804F" w:rsidR="009D4B7A" w:rsidRPr="00441526" w:rsidRDefault="009D4B7A" w:rsidP="009D4B7A">
      <w:pPr>
        <w:rPr>
          <w:b/>
          <w:lang w:val="en-NZ" w:eastAsia="ko-KR"/>
        </w:rPr>
      </w:pPr>
      <w:r w:rsidRPr="00441526">
        <w:rPr>
          <w:b/>
          <w:lang w:val="en-NZ" w:eastAsia="ko-KR"/>
        </w:rPr>
        <w:t xml:space="preserve">4. </w:t>
      </w:r>
      <w:r w:rsidRPr="00441526">
        <w:rPr>
          <w:b/>
          <w:lang w:val="en-NZ" w:eastAsia="ko-KR"/>
        </w:rPr>
        <w:tab/>
        <w:t>APT View(s)</w:t>
      </w:r>
    </w:p>
    <w:p w14:paraId="78270F9B" w14:textId="017E023C" w:rsidR="001C411B" w:rsidRPr="00273C26" w:rsidRDefault="001C411B" w:rsidP="001C411B">
      <w:pPr>
        <w:spacing w:beforeLines="50" w:before="120" w:afterLines="50" w:after="120"/>
        <w:ind w:left="709"/>
        <w:jc w:val="both"/>
        <w:rPr>
          <w:lang w:val="en-NZ"/>
        </w:rPr>
      </w:pPr>
      <w:r w:rsidRPr="00273C26">
        <w:rPr>
          <w:lang w:val="en-NZ"/>
        </w:rPr>
        <w:t>APT</w:t>
      </w:r>
      <w:r w:rsidR="00310DFA">
        <w:rPr>
          <w:lang w:val="en-NZ"/>
        </w:rPr>
        <w:t xml:space="preserve"> Members</w:t>
      </w:r>
      <w:r w:rsidRPr="00273C26">
        <w:rPr>
          <w:lang w:val="en-NZ"/>
        </w:rPr>
        <w:t xml:space="preserve"> ha</w:t>
      </w:r>
      <w:r w:rsidR="00310DFA">
        <w:rPr>
          <w:lang w:val="en-NZ"/>
        </w:rPr>
        <w:t>ve</w:t>
      </w:r>
      <w:r w:rsidRPr="00273C26">
        <w:rPr>
          <w:lang w:val="en-NZ"/>
        </w:rPr>
        <w:t xml:space="preserve"> considered agenda item 1.19 and </w:t>
      </w:r>
      <w:r w:rsidR="00862004">
        <w:rPr>
          <w:lang w:val="en-NZ"/>
        </w:rPr>
        <w:t xml:space="preserve">agreed on </w:t>
      </w:r>
      <w:r w:rsidRPr="00273C26">
        <w:rPr>
          <w:lang w:val="en-NZ"/>
        </w:rPr>
        <w:t xml:space="preserve">a Preliminary APT Common Proposal on the matter.  In addition, APT </w:t>
      </w:r>
      <w:r w:rsidR="00310DFA">
        <w:rPr>
          <w:lang w:val="en-NZ"/>
        </w:rPr>
        <w:t xml:space="preserve">Members </w:t>
      </w:r>
      <w:r w:rsidRPr="00273C26">
        <w:rPr>
          <w:lang w:val="en-NZ"/>
        </w:rPr>
        <w:t>ha</w:t>
      </w:r>
      <w:r w:rsidR="00310DFA">
        <w:rPr>
          <w:lang w:val="en-NZ"/>
        </w:rPr>
        <w:t>ve</w:t>
      </w:r>
      <w:r w:rsidRPr="00273C26">
        <w:rPr>
          <w:lang w:val="en-NZ"/>
        </w:rPr>
        <w:t xml:space="preserve"> </w:t>
      </w:r>
      <w:r w:rsidR="00862004">
        <w:rPr>
          <w:lang w:val="en-NZ"/>
        </w:rPr>
        <w:t xml:space="preserve">also agreed on the following views for Agenda item 1.19. </w:t>
      </w:r>
      <w:r w:rsidR="00337871">
        <w:rPr>
          <w:lang w:val="en-NZ"/>
        </w:rPr>
        <w:t xml:space="preserve"> </w:t>
      </w:r>
    </w:p>
    <w:p w14:paraId="39120B06" w14:textId="25B64175" w:rsidR="009623AF" w:rsidRPr="00273C26" w:rsidRDefault="000E4B43" w:rsidP="009623AF">
      <w:pPr>
        <w:pStyle w:val="ListParagraph"/>
        <w:numPr>
          <w:ilvl w:val="0"/>
          <w:numId w:val="29"/>
        </w:numPr>
        <w:spacing w:beforeLines="50" w:before="120" w:afterLines="50" w:after="120"/>
        <w:ind w:left="1134"/>
        <w:jc w:val="both"/>
        <w:rPr>
          <w:lang w:val="en-NZ"/>
        </w:rPr>
      </w:pPr>
      <w:r w:rsidRPr="00273C26">
        <w:rPr>
          <w:lang w:val="en-NZ"/>
        </w:rPr>
        <w:lastRenderedPageBreak/>
        <w:t xml:space="preserve">APT Members </w:t>
      </w:r>
      <w:r w:rsidR="00DF24AC" w:rsidRPr="00273C26">
        <w:rPr>
          <w:lang w:val="en-NZ"/>
        </w:rPr>
        <w:t>are of the view that protection to the existing services in Region 3</w:t>
      </w:r>
      <w:r w:rsidR="00BC088E" w:rsidRPr="00273C26">
        <w:rPr>
          <w:lang w:val="en-NZ"/>
        </w:rPr>
        <w:t xml:space="preserve"> in the 17</w:t>
      </w:r>
      <w:r w:rsidR="00EE1FCD">
        <w:rPr>
          <w:lang w:val="en-NZ"/>
        </w:rPr>
        <w:t>.</w:t>
      </w:r>
      <w:r w:rsidR="00BC088E" w:rsidRPr="00273C26">
        <w:rPr>
          <w:lang w:val="en-NZ"/>
        </w:rPr>
        <w:t>3-17</w:t>
      </w:r>
      <w:r w:rsidR="00EE1FCD">
        <w:rPr>
          <w:lang w:val="en-NZ"/>
        </w:rPr>
        <w:t>.</w:t>
      </w:r>
      <w:r w:rsidR="00BC088E" w:rsidRPr="00273C26">
        <w:rPr>
          <w:lang w:val="en-NZ"/>
        </w:rPr>
        <w:t>7 GHz and adjacent band</w:t>
      </w:r>
      <w:r w:rsidR="00273C26" w:rsidRPr="00273C26">
        <w:rPr>
          <w:lang w:val="en-NZ"/>
        </w:rPr>
        <w:t>s</w:t>
      </w:r>
      <w:r w:rsidR="009623AF" w:rsidRPr="00273C26">
        <w:rPr>
          <w:lang w:val="en-NZ"/>
        </w:rPr>
        <w:t xml:space="preserve">, including BSS feeder link AP30A receiving space station, </w:t>
      </w:r>
      <w:r w:rsidR="00DF24AC" w:rsidRPr="00273C26">
        <w:rPr>
          <w:lang w:val="en-NZ"/>
        </w:rPr>
        <w:t>shall be ensured.</w:t>
      </w:r>
    </w:p>
    <w:p w14:paraId="0E81FA97" w14:textId="68683427" w:rsidR="00533C3C" w:rsidRPr="00273C26" w:rsidRDefault="009623AF" w:rsidP="00533C3C">
      <w:pPr>
        <w:pStyle w:val="ListParagraph"/>
        <w:numPr>
          <w:ilvl w:val="0"/>
          <w:numId w:val="29"/>
        </w:numPr>
        <w:spacing w:beforeLines="50" w:before="120" w:afterLines="50" w:after="120"/>
        <w:ind w:left="1134"/>
        <w:jc w:val="both"/>
        <w:rPr>
          <w:lang w:val="en-NZ"/>
        </w:rPr>
      </w:pPr>
      <w:r w:rsidRPr="00273C26">
        <w:rPr>
          <w:lang w:val="en-NZ"/>
        </w:rPr>
        <w:t xml:space="preserve">APT Members are of the view to support </w:t>
      </w:r>
      <w:r w:rsidR="004906E9" w:rsidRPr="00273C26">
        <w:rPr>
          <w:lang w:val="en-NZ"/>
        </w:rPr>
        <w:t xml:space="preserve">the proposed New </w:t>
      </w:r>
      <w:r w:rsidRPr="00273C26">
        <w:rPr>
          <w:lang w:val="en-NZ"/>
        </w:rPr>
        <w:t>Method</w:t>
      </w:r>
      <w:r w:rsidR="004906E9" w:rsidRPr="00273C26">
        <w:rPr>
          <w:lang w:val="en-NZ"/>
        </w:rPr>
        <w:t>,</w:t>
      </w:r>
      <w:r w:rsidR="00A06DEE" w:rsidRPr="00273C26">
        <w:rPr>
          <w:lang w:val="en-NZ"/>
        </w:rPr>
        <w:t xml:space="preserve"> modification of Method </w:t>
      </w:r>
      <w:r w:rsidR="00A06DEE" w:rsidRPr="00C0017D">
        <w:rPr>
          <w:lang w:val="en-NZ"/>
        </w:rPr>
        <w:t xml:space="preserve">B </w:t>
      </w:r>
      <w:r w:rsidR="00B51B1B" w:rsidRPr="00C0017D">
        <w:rPr>
          <w:lang w:val="en-NZ"/>
        </w:rPr>
        <w:t>(</w:t>
      </w:r>
      <w:r w:rsidR="00A06DEE" w:rsidRPr="00C0017D">
        <w:rPr>
          <w:lang w:val="en-NZ"/>
        </w:rPr>
        <w:t>Alternative 2</w:t>
      </w:r>
      <w:r w:rsidR="00B51B1B" w:rsidRPr="00C0017D">
        <w:rPr>
          <w:lang w:val="en-NZ"/>
        </w:rPr>
        <w:t xml:space="preserve"> )</w:t>
      </w:r>
      <w:r w:rsidR="00A06DEE" w:rsidRPr="00C0017D">
        <w:rPr>
          <w:lang w:val="en-NZ"/>
        </w:rPr>
        <w:t xml:space="preserve">, </w:t>
      </w:r>
      <w:r w:rsidR="004906E9" w:rsidRPr="00C0017D">
        <w:rPr>
          <w:lang w:val="en-NZ"/>
        </w:rPr>
        <w:t>as</w:t>
      </w:r>
      <w:r w:rsidR="004906E9" w:rsidRPr="00273C26">
        <w:rPr>
          <w:lang w:val="en-NZ"/>
        </w:rPr>
        <w:t xml:space="preserve"> described in the PACP document.</w:t>
      </w:r>
    </w:p>
    <w:p w14:paraId="4D1339BC" w14:textId="5BF9E544" w:rsidR="00533C3C" w:rsidRPr="00273C26" w:rsidRDefault="00533C3C" w:rsidP="00533C3C">
      <w:pPr>
        <w:pStyle w:val="ListParagraph"/>
        <w:numPr>
          <w:ilvl w:val="0"/>
          <w:numId w:val="29"/>
        </w:numPr>
        <w:spacing w:beforeLines="50" w:before="120" w:afterLines="50" w:after="120"/>
        <w:ind w:left="1134"/>
        <w:jc w:val="both"/>
        <w:rPr>
          <w:lang w:val="en-NZ"/>
        </w:rPr>
      </w:pPr>
      <w:r w:rsidRPr="00273C26">
        <w:rPr>
          <w:lang w:val="en-AU"/>
        </w:rPr>
        <w:t>It is acknowledged that there is potential interference path from Region 2 FSS downlink into an Appendix 30A BSS feeder link receiver</w:t>
      </w:r>
      <w:r w:rsidR="00273C26" w:rsidRPr="00273C26">
        <w:rPr>
          <w:lang w:val="en-AU"/>
        </w:rPr>
        <w:t>.</w:t>
      </w:r>
    </w:p>
    <w:p w14:paraId="37FA9FAB" w14:textId="77777777" w:rsidR="00F0216A" w:rsidRPr="00F0216A" w:rsidRDefault="00F0216A" w:rsidP="00F0216A">
      <w:pPr>
        <w:jc w:val="both"/>
        <w:rPr>
          <w:lang w:val="en-NZ"/>
        </w:rPr>
      </w:pPr>
    </w:p>
    <w:p w14:paraId="7A3A9F47" w14:textId="1B47244F" w:rsidR="009D4B7A" w:rsidRPr="00441526" w:rsidRDefault="009D4B7A" w:rsidP="009D4B7A">
      <w:pPr>
        <w:spacing w:after="120"/>
        <w:jc w:val="both"/>
        <w:rPr>
          <w:b/>
          <w:lang w:val="en-NZ" w:eastAsia="ko-KR"/>
        </w:rPr>
      </w:pPr>
      <w:r w:rsidRPr="00441526">
        <w:rPr>
          <w:b/>
          <w:lang w:val="en-NZ" w:eastAsia="ko-KR"/>
        </w:rPr>
        <w:t xml:space="preserve">5. </w:t>
      </w:r>
      <w:r w:rsidRPr="00441526">
        <w:rPr>
          <w:b/>
          <w:lang w:val="en-NZ" w:eastAsia="ko-KR"/>
        </w:rPr>
        <w:tab/>
      </w:r>
      <w:r w:rsidR="00DB6EC4">
        <w:rPr>
          <w:b/>
          <w:lang w:val="en-NZ" w:eastAsia="ko-KR"/>
        </w:rPr>
        <w:t>Preliminary APT Common Proposal</w:t>
      </w:r>
    </w:p>
    <w:p w14:paraId="0916845F" w14:textId="150418A7" w:rsidR="008C747E" w:rsidRPr="00A43101" w:rsidRDefault="009A59A2" w:rsidP="00A43101">
      <w:pPr>
        <w:spacing w:beforeLines="50" w:before="120" w:afterLines="50" w:after="120"/>
        <w:jc w:val="both"/>
        <w:rPr>
          <w:rFonts w:eastAsia="SimSun"/>
          <w:kern w:val="2"/>
          <w:szCs w:val="22"/>
          <w:lang w:eastAsia="zh-CN"/>
        </w:rPr>
      </w:pPr>
      <w:r>
        <w:rPr>
          <w:rFonts w:eastAsia="SimSun"/>
          <w:kern w:val="2"/>
          <w:szCs w:val="22"/>
          <w:lang w:eastAsia="zh-CN"/>
        </w:rPr>
        <w:tab/>
      </w:r>
      <w:bookmarkStart w:id="6" w:name="_MON_1753809840"/>
      <w:bookmarkEnd w:id="6"/>
      <w:r w:rsidR="000D4090">
        <w:rPr>
          <w:rFonts w:eastAsia="SimSun"/>
          <w:kern w:val="2"/>
          <w:szCs w:val="22"/>
          <w:lang w:eastAsia="zh-CN"/>
        </w:rPr>
        <w:object w:dxaOrig="1504" w:dyaOrig="982" w14:anchorId="6DD0C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4pt" o:ole="">
            <v:imagedata r:id="rId22" o:title=""/>
          </v:shape>
          <o:OLEObject Type="Embed" ProgID="Word.Document.12" ShapeID="_x0000_i1025" DrawAspect="Icon" ObjectID="_1753914516" r:id="rId23">
            <o:FieldCodes>\s</o:FieldCodes>
          </o:OLEObject>
        </w:object>
      </w:r>
    </w:p>
    <w:p w14:paraId="3AE817BE" w14:textId="58DD47D9" w:rsidR="009D4B7A" w:rsidRDefault="009D4B7A" w:rsidP="009D4B7A">
      <w:pPr>
        <w:rPr>
          <w:lang w:val="en-NZ"/>
        </w:rPr>
      </w:pPr>
    </w:p>
    <w:p w14:paraId="5CA333B1" w14:textId="089C44C5" w:rsidR="009D4B7A" w:rsidRPr="00441526" w:rsidRDefault="009D4B7A" w:rsidP="009D4B7A">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APG</w:t>
      </w:r>
      <w:r w:rsidR="00DB6EC4">
        <w:rPr>
          <w:b/>
          <w:lang w:val="en-NZ" w:eastAsia="ko-KR"/>
        </w:rPr>
        <w:t xml:space="preserve"> Coordination</w:t>
      </w:r>
      <w:r w:rsidRPr="00441526">
        <w:rPr>
          <w:b/>
          <w:lang w:val="en-NZ" w:eastAsia="ko-KR"/>
        </w:rPr>
        <w:t xml:space="preserve"> Meeting</w:t>
      </w:r>
      <w:r w:rsidR="00DB6EC4">
        <w:rPr>
          <w:b/>
          <w:lang w:val="en-NZ" w:eastAsia="ko-KR"/>
        </w:rPr>
        <w:t xml:space="preserve"> at WRC-23 (if any)</w:t>
      </w:r>
    </w:p>
    <w:p w14:paraId="6BD50062" w14:textId="74406827" w:rsidR="00FF32C9" w:rsidRPr="00FD2F11" w:rsidRDefault="00FF32C9" w:rsidP="00FF32C9">
      <w:pPr>
        <w:spacing w:beforeLines="50" w:before="120" w:afterLines="50" w:after="120"/>
        <w:ind w:left="709"/>
        <w:jc w:val="both"/>
        <w:rPr>
          <w:rFonts w:eastAsia="SimSun"/>
          <w:kern w:val="2"/>
          <w:szCs w:val="22"/>
          <w:lang w:eastAsia="zh-CN"/>
        </w:rPr>
      </w:pPr>
      <w:r w:rsidRPr="00FD2F11">
        <w:rPr>
          <w:rFonts w:eastAsia="SimSun"/>
          <w:kern w:val="2"/>
          <w:szCs w:val="22"/>
          <w:lang w:eastAsia="zh-CN"/>
        </w:rPr>
        <w:t xml:space="preserve">The following issue </w:t>
      </w:r>
      <w:r w:rsidR="00A6126A" w:rsidRPr="00FD2F11">
        <w:rPr>
          <w:rFonts w:eastAsia="SimSun"/>
          <w:kern w:val="2"/>
          <w:szCs w:val="22"/>
          <w:lang w:eastAsia="zh-CN"/>
        </w:rPr>
        <w:t>may need to</w:t>
      </w:r>
      <w:r w:rsidRPr="00FD2F11">
        <w:rPr>
          <w:rFonts w:eastAsia="SimSun"/>
          <w:kern w:val="2"/>
          <w:szCs w:val="22"/>
          <w:lang w:eastAsia="zh-CN"/>
        </w:rPr>
        <w:t xml:space="preserve"> be considered at APG Coordination Meeting at WRC-23:</w:t>
      </w:r>
    </w:p>
    <w:p w14:paraId="586AAA8F" w14:textId="190D6876" w:rsidR="00533C3C" w:rsidRPr="00C0017D" w:rsidRDefault="00FF32C9" w:rsidP="00C0017D">
      <w:pPr>
        <w:numPr>
          <w:ilvl w:val="0"/>
          <w:numId w:val="14"/>
        </w:numPr>
        <w:spacing w:beforeLines="50" w:before="120" w:afterLines="50" w:after="120"/>
        <w:ind w:leftChars="295" w:left="1133" w:hangingChars="177" w:hanging="425"/>
        <w:jc w:val="both"/>
        <w:rPr>
          <w:rFonts w:eastAsia="SimSun"/>
          <w:kern w:val="2"/>
          <w:szCs w:val="22"/>
          <w:lang w:eastAsia="zh-CN"/>
        </w:rPr>
      </w:pPr>
      <w:r w:rsidRPr="00FD2F11">
        <w:rPr>
          <w:rFonts w:eastAsia="SimSun"/>
          <w:kern w:val="2"/>
          <w:szCs w:val="22"/>
          <w:lang w:eastAsia="zh-CN"/>
        </w:rPr>
        <w:t xml:space="preserve">some aspects of Method B Alternative 2 including </w:t>
      </w:r>
      <w:r w:rsidR="00154515" w:rsidRPr="00FD2F11">
        <w:rPr>
          <w:rFonts w:eastAsia="SimSun"/>
          <w:kern w:val="2"/>
          <w:szCs w:val="22"/>
          <w:lang w:eastAsia="zh-CN"/>
        </w:rPr>
        <w:t xml:space="preserve">the appropriateness of a power-flux density limit referenced at earth surface proposed in Annex 4 of Appendix 30A </w:t>
      </w:r>
      <w:r w:rsidR="009270D6" w:rsidRPr="00FD2F11">
        <w:rPr>
          <w:rFonts w:eastAsia="SimSun"/>
          <w:kern w:val="2"/>
          <w:szCs w:val="22"/>
          <w:lang w:eastAsia="zh-CN"/>
        </w:rPr>
        <w:t xml:space="preserve">and the </w:t>
      </w:r>
      <w:r w:rsidRPr="00FD2F11">
        <w:rPr>
          <w:rFonts w:eastAsia="SimSun"/>
          <w:kern w:val="2"/>
          <w:szCs w:val="22"/>
          <w:lang w:eastAsia="zh-CN"/>
        </w:rPr>
        <w:t>additions</w:t>
      </w:r>
      <w:r w:rsidR="009270D6" w:rsidRPr="00FD2F11">
        <w:rPr>
          <w:rFonts w:eastAsia="SimSun"/>
          <w:kern w:val="2"/>
          <w:szCs w:val="22"/>
          <w:lang w:eastAsia="zh-CN"/>
        </w:rPr>
        <w:t xml:space="preserve"> </w:t>
      </w:r>
      <w:r w:rsidR="00154515" w:rsidRPr="00FD2F11">
        <w:rPr>
          <w:rFonts w:eastAsia="SimSun"/>
          <w:kern w:val="2"/>
          <w:szCs w:val="22"/>
          <w:lang w:eastAsia="zh-CN"/>
        </w:rPr>
        <w:t xml:space="preserve">relating to provision 11.41 </w:t>
      </w:r>
      <w:r w:rsidRPr="00FD2F11">
        <w:rPr>
          <w:rFonts w:eastAsia="SimSun"/>
          <w:kern w:val="2"/>
          <w:szCs w:val="22"/>
          <w:lang w:eastAsia="zh-CN"/>
        </w:rPr>
        <w:t xml:space="preserve">in AP30A Article </w:t>
      </w:r>
      <w:r w:rsidR="009270D6" w:rsidRPr="00FD2F11">
        <w:rPr>
          <w:rFonts w:eastAsia="SimSun"/>
          <w:kern w:val="2"/>
          <w:szCs w:val="22"/>
          <w:lang w:eastAsia="zh-CN"/>
        </w:rPr>
        <w:t>7.</w:t>
      </w:r>
    </w:p>
    <w:p w14:paraId="168F0996" w14:textId="77777777" w:rsidR="00866016" w:rsidRPr="00FF32C9" w:rsidRDefault="00866016" w:rsidP="00866016">
      <w:pPr>
        <w:spacing w:beforeLines="50" w:before="120" w:afterLines="50" w:after="120"/>
        <w:ind w:leftChars="295" w:left="1133" w:hangingChars="177" w:hanging="425"/>
        <w:jc w:val="both"/>
      </w:pPr>
    </w:p>
    <w:p w14:paraId="6873B883" w14:textId="77FB73AF" w:rsidR="009D4B7A" w:rsidRPr="00441526" w:rsidRDefault="009D4B7A" w:rsidP="004D111E">
      <w:pPr>
        <w:spacing w:after="120"/>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78EFD8BE" w14:textId="53B52B40" w:rsidR="009D4B7A" w:rsidRPr="00441526" w:rsidRDefault="009D4B7A" w:rsidP="009A79C6">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4E3E82C1" w14:textId="5822FB32" w:rsidR="009D4B7A" w:rsidRPr="00441526" w:rsidRDefault="009D4B7A" w:rsidP="009D4B7A">
      <w:pPr>
        <w:spacing w:after="120"/>
        <w:jc w:val="both"/>
        <w:rPr>
          <w:b/>
          <w:lang w:val="en-NZ" w:eastAsia="ko-KR"/>
        </w:rPr>
      </w:pPr>
      <w:r>
        <w:rPr>
          <w:b/>
          <w:lang w:val="en-NZ" w:eastAsia="ko-KR"/>
        </w:rPr>
        <w:t>7</w:t>
      </w:r>
      <w:r w:rsidRPr="00441526">
        <w:rPr>
          <w:b/>
          <w:lang w:val="en-NZ" w:eastAsia="ko-KR"/>
        </w:rPr>
        <w:t>.1.</w:t>
      </w:r>
      <w:r w:rsidR="009A79C6">
        <w:rPr>
          <w:b/>
          <w:lang w:val="en-NZ" w:eastAsia="ko-KR"/>
        </w:rPr>
        <w:t>1</w:t>
      </w:r>
      <w:r w:rsidRPr="00441526">
        <w:rPr>
          <w:b/>
          <w:lang w:val="en-NZ" w:eastAsia="ko-KR"/>
        </w:rPr>
        <w:t xml:space="preserve">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r w:rsidR="008531BA">
        <w:rPr>
          <w:b/>
          <w:lang w:val="en-NZ" w:eastAsia="ko-KR"/>
        </w:rPr>
        <w:t>46</w:t>
      </w:r>
    </w:p>
    <w:p w14:paraId="26B576AA" w14:textId="5D7155F9" w:rsidR="00DC555C" w:rsidRPr="00DC555C" w:rsidRDefault="00DC555C" w:rsidP="00DC555C">
      <w:pPr>
        <w:pStyle w:val="ListParagraph"/>
        <w:autoSpaceDE w:val="0"/>
        <w:autoSpaceDN w:val="0"/>
        <w:adjustRightInd w:val="0"/>
        <w:spacing w:before="240"/>
        <w:jc w:val="both"/>
      </w:pPr>
      <w:r w:rsidRPr="00DC555C">
        <w:t>CEPT supports a new FSS (space-to-Earth) allocation in Region 2 in the frequency band 17.3-17.7 GHz, which facilitates</w:t>
      </w:r>
      <w:r>
        <w:t xml:space="preserve"> </w:t>
      </w:r>
      <w:r w:rsidRPr="00DC555C">
        <w:t>the use of spectrum available to networks and systems in the FSS across Regions.</w:t>
      </w:r>
    </w:p>
    <w:p w14:paraId="34D83F07" w14:textId="3C003095" w:rsidR="00DC555C" w:rsidRDefault="00DC555C" w:rsidP="00DC555C">
      <w:pPr>
        <w:spacing w:beforeLines="50" w:before="120" w:afterLines="50" w:after="120"/>
        <w:ind w:left="709"/>
        <w:jc w:val="both"/>
      </w:pPr>
      <w:r w:rsidRPr="00DC555C">
        <w:t>CEPT also supports harmonisation in Regions 1 and 2 of the provisions that apply between FSS networks in this</w:t>
      </w:r>
      <w:r>
        <w:t xml:space="preserve"> </w:t>
      </w:r>
      <w:r w:rsidRPr="00DC555C">
        <w:t>frequency band.</w:t>
      </w:r>
    </w:p>
    <w:p w14:paraId="3E6533ED" w14:textId="77777777" w:rsidR="009D4B7A" w:rsidRPr="00441526" w:rsidRDefault="009D4B7A" w:rsidP="009D4B7A">
      <w:pPr>
        <w:rPr>
          <w:lang w:val="en-NZ"/>
        </w:rPr>
      </w:pPr>
    </w:p>
    <w:p w14:paraId="4B85E9CE" w14:textId="445DAAFB" w:rsidR="009D4B7A" w:rsidRPr="00441526" w:rsidRDefault="009D4B7A" w:rsidP="009D4B7A">
      <w:pPr>
        <w:spacing w:after="120"/>
        <w:jc w:val="both"/>
        <w:rPr>
          <w:b/>
          <w:lang w:val="en-NZ" w:eastAsia="ko-KR"/>
        </w:rPr>
      </w:pPr>
      <w:r>
        <w:rPr>
          <w:b/>
          <w:lang w:val="en-NZ" w:eastAsia="ko-KR"/>
        </w:rPr>
        <w:t>7</w:t>
      </w:r>
      <w:r w:rsidRPr="00441526">
        <w:rPr>
          <w:b/>
          <w:lang w:val="en-NZ" w:eastAsia="ko-KR"/>
        </w:rPr>
        <w:t>.1.</w:t>
      </w:r>
      <w:r w:rsidR="009A79C6">
        <w:rPr>
          <w:b/>
          <w:lang w:val="en-NZ" w:eastAsia="ko-KR"/>
        </w:rPr>
        <w:t>2</w:t>
      </w:r>
      <w:r w:rsidRPr="00441526">
        <w:rPr>
          <w:b/>
          <w:lang w:val="en-NZ" w:eastAsia="ko-KR"/>
        </w:rPr>
        <w:t xml:space="preserve">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137788">
        <w:rPr>
          <w:b/>
          <w:lang w:val="en-NZ" w:eastAsia="ko-KR"/>
        </w:rPr>
        <w:t>6</w:t>
      </w:r>
      <w:r w:rsidRPr="00441526">
        <w:rPr>
          <w:b/>
          <w:lang w:val="en-NZ" w:eastAsia="ko-KR"/>
        </w:rPr>
        <w:t>/INF-</w:t>
      </w:r>
      <w:r w:rsidR="00137788">
        <w:rPr>
          <w:b/>
          <w:lang w:val="en-NZ" w:eastAsia="ko-KR"/>
        </w:rPr>
        <w:t>52</w:t>
      </w:r>
    </w:p>
    <w:p w14:paraId="63F93EAF" w14:textId="77777777" w:rsidR="00DC555C" w:rsidRPr="00DC555C" w:rsidRDefault="00DC555C" w:rsidP="00DC555C">
      <w:pPr>
        <w:spacing w:beforeLines="50" w:before="120" w:afterLines="50" w:after="120"/>
        <w:ind w:left="709"/>
        <w:jc w:val="both"/>
      </w:pPr>
      <w:r w:rsidRPr="00DC555C">
        <w:t>Supporting the proposals below:</w:t>
      </w:r>
    </w:p>
    <w:p w14:paraId="231CD1A0" w14:textId="77777777" w:rsidR="00DC555C" w:rsidRDefault="00DC555C" w:rsidP="00DC555C">
      <w:pPr>
        <w:numPr>
          <w:ilvl w:val="0"/>
          <w:numId w:val="14"/>
        </w:numPr>
        <w:spacing w:beforeLines="50" w:before="120" w:afterLines="50" w:after="120"/>
        <w:ind w:leftChars="295" w:left="1133" w:hangingChars="177" w:hanging="425"/>
        <w:jc w:val="both"/>
      </w:pPr>
      <w:r w:rsidRPr="00DC555C">
        <w:t>Changes to the Frequency Allocations table of Article 5 of the Radio Regulations, and to the respective</w:t>
      </w:r>
      <w:r>
        <w:t xml:space="preserve"> </w:t>
      </w:r>
      <w:r w:rsidRPr="00DC555C">
        <w:t>footnotes 5.484A, 5.516A and 5.517;</w:t>
      </w:r>
    </w:p>
    <w:p w14:paraId="35E6849A" w14:textId="77777777" w:rsidR="00DC555C" w:rsidRDefault="00DC555C" w:rsidP="00DC555C">
      <w:pPr>
        <w:numPr>
          <w:ilvl w:val="0"/>
          <w:numId w:val="14"/>
        </w:numPr>
        <w:spacing w:beforeLines="50" w:before="120" w:afterLines="50" w:after="120"/>
        <w:ind w:leftChars="295" w:left="1133" w:hangingChars="177" w:hanging="425"/>
        <w:jc w:val="both"/>
      </w:pPr>
      <w:r w:rsidRPr="00DC555C">
        <w:t>Addition of two new notes stating that, in Region 2, a Non-GSO system operating in the FSS must always</w:t>
      </w:r>
      <w:r>
        <w:t xml:space="preserve"> </w:t>
      </w:r>
      <w:r w:rsidRPr="00DC555C">
        <w:t>respect the limits of Article 22 of the Radio Regulations;</w:t>
      </w:r>
    </w:p>
    <w:p w14:paraId="63C6D36B" w14:textId="77777777" w:rsidR="00DC555C" w:rsidRDefault="00DC555C" w:rsidP="00DC555C">
      <w:pPr>
        <w:numPr>
          <w:ilvl w:val="0"/>
          <w:numId w:val="14"/>
        </w:numPr>
        <w:spacing w:beforeLines="50" w:before="120" w:afterLines="50" w:after="120"/>
        <w:ind w:leftChars="295" w:left="1133" w:hangingChars="177" w:hanging="425"/>
        <w:jc w:val="both"/>
      </w:pPr>
      <w:r w:rsidRPr="00DC555C">
        <w:t>Changes to Article 7 of the Appendix 30A to consider this new FSS allocation;</w:t>
      </w:r>
    </w:p>
    <w:p w14:paraId="556233AB" w14:textId="5347DCBE" w:rsidR="00DC555C" w:rsidRDefault="00DC555C" w:rsidP="00DC555C">
      <w:pPr>
        <w:numPr>
          <w:ilvl w:val="0"/>
          <w:numId w:val="14"/>
        </w:numPr>
        <w:spacing w:beforeLines="50" w:before="120" w:afterLines="50" w:after="120"/>
        <w:ind w:leftChars="295" w:left="1133" w:hangingChars="177" w:hanging="425"/>
        <w:jc w:val="both"/>
      </w:pPr>
      <w:r w:rsidRPr="00DC555C">
        <w:t>Consequential changes to the table 5-1 of Appendix 5 to the Radio Regulations and the suppression of the</w:t>
      </w:r>
      <w:r>
        <w:t xml:space="preserve"> </w:t>
      </w:r>
      <w:r w:rsidRPr="00DC555C">
        <w:t>Resolution 174 (WRC-19).</w:t>
      </w:r>
    </w:p>
    <w:p w14:paraId="33F1AAE4" w14:textId="77777777" w:rsidR="00DC555C" w:rsidRPr="00DC555C" w:rsidRDefault="00DC555C" w:rsidP="00DC555C"/>
    <w:p w14:paraId="32D6919E" w14:textId="2424EC56" w:rsidR="009D4B7A" w:rsidRPr="00441526" w:rsidRDefault="009D4B7A" w:rsidP="004D111E">
      <w:pPr>
        <w:rPr>
          <w:b/>
          <w:lang w:val="en-NZ" w:eastAsia="ko-KR"/>
        </w:rPr>
      </w:pPr>
      <w:r>
        <w:rPr>
          <w:b/>
          <w:lang w:val="en-NZ" w:eastAsia="ko-KR"/>
        </w:rPr>
        <w:t>7</w:t>
      </w:r>
      <w:r w:rsidRPr="00441526">
        <w:rPr>
          <w:b/>
          <w:lang w:val="en-NZ" w:eastAsia="ko-KR"/>
        </w:rPr>
        <w:t>.1.</w:t>
      </w:r>
      <w:r w:rsidR="009A79C6">
        <w:rPr>
          <w:b/>
          <w:lang w:val="en-NZ" w:eastAsia="ko-KR"/>
        </w:rPr>
        <w:t>3</w:t>
      </w:r>
      <w:r w:rsidRPr="00441526">
        <w:rPr>
          <w:b/>
          <w:lang w:val="en-NZ" w:eastAsia="ko-KR"/>
        </w:rPr>
        <w:t xml:space="preserve">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r w:rsidR="008531BA">
        <w:rPr>
          <w:b/>
          <w:lang w:val="en-NZ" w:eastAsia="ko-KR"/>
        </w:rPr>
        <w:t>45</w:t>
      </w:r>
    </w:p>
    <w:p w14:paraId="22A489C0" w14:textId="1FCED941" w:rsidR="004D111E" w:rsidRPr="004D111E" w:rsidRDefault="004D111E" w:rsidP="004D111E">
      <w:pPr>
        <w:shd w:val="clear" w:color="auto" w:fill="FFFFFF"/>
        <w:ind w:left="720"/>
        <w:jc w:val="both"/>
        <w:textAlignment w:val="baseline"/>
      </w:pPr>
      <w:r w:rsidRPr="004D111E">
        <w:lastRenderedPageBreak/>
        <w:t>The RCC Administrations are of the view that, considering a new primary</w:t>
      </w:r>
      <w:r>
        <w:t xml:space="preserve"> </w:t>
      </w:r>
      <w:r w:rsidRPr="004D111E">
        <w:t>allocation of frequency band 17.3-17.7 GHz to the fixed-satellite service in</w:t>
      </w:r>
      <w:r>
        <w:t xml:space="preserve"> </w:t>
      </w:r>
      <w:r w:rsidRPr="004D111E">
        <w:t>the space-to-Earth direction in Region 2, the existing services in Region 1</w:t>
      </w:r>
      <w:r>
        <w:t xml:space="preserve"> </w:t>
      </w:r>
      <w:r w:rsidRPr="004D111E">
        <w:t>within this and adjacent frequency bands shall be protected without</w:t>
      </w:r>
      <w:r>
        <w:t xml:space="preserve"> </w:t>
      </w:r>
      <w:r w:rsidRPr="004D111E">
        <w:t>imposing any additional restrictions on these services.</w:t>
      </w:r>
    </w:p>
    <w:p w14:paraId="75E841C1" w14:textId="378B6826" w:rsidR="00244DCC" w:rsidRPr="009A79C6" w:rsidRDefault="004D111E" w:rsidP="009A79C6">
      <w:pPr>
        <w:spacing w:beforeLines="50" w:before="120" w:afterLines="50" w:after="120"/>
        <w:ind w:firstLine="720"/>
        <w:jc w:val="both"/>
      </w:pPr>
      <w:r w:rsidRPr="004D111E">
        <w:t>Method В from the CPM Report is preferable</w:t>
      </w:r>
      <w:r>
        <w:t>.</w:t>
      </w:r>
    </w:p>
    <w:p w14:paraId="39A2FD8E" w14:textId="77777777" w:rsidR="00244DCC" w:rsidRPr="00441526" w:rsidRDefault="00244DCC" w:rsidP="009D4B7A">
      <w:pPr>
        <w:rPr>
          <w:lang w:val="en-NZ"/>
        </w:rPr>
      </w:pPr>
    </w:p>
    <w:p w14:paraId="6520ABC6" w14:textId="77777777" w:rsidR="009D4B7A" w:rsidRPr="00862004" w:rsidRDefault="009D4B7A" w:rsidP="009D4B7A">
      <w:pPr>
        <w:spacing w:after="120"/>
        <w:jc w:val="both"/>
        <w:rPr>
          <w:b/>
          <w:lang w:val="fr-FR" w:eastAsia="ko-KR"/>
        </w:rPr>
      </w:pPr>
      <w:r w:rsidRPr="00862004">
        <w:rPr>
          <w:b/>
          <w:lang w:val="fr-FR" w:eastAsia="ko-KR"/>
        </w:rPr>
        <w:t xml:space="preserve">7.2 </w:t>
      </w:r>
      <w:r w:rsidRPr="00862004">
        <w:rPr>
          <w:b/>
          <w:lang w:val="fr-FR" w:eastAsia="ko-KR"/>
        </w:rPr>
        <w:tab/>
        <w:t>International Organisations</w:t>
      </w:r>
    </w:p>
    <w:p w14:paraId="748A526B" w14:textId="0241AD44" w:rsidR="003B2C67" w:rsidRPr="00862004" w:rsidRDefault="009D4B7A" w:rsidP="009D4B7A">
      <w:pPr>
        <w:spacing w:after="120"/>
        <w:jc w:val="both"/>
        <w:rPr>
          <w:b/>
          <w:lang w:val="fr-FR" w:eastAsia="ko-KR"/>
        </w:rPr>
      </w:pPr>
      <w:r w:rsidRPr="00862004">
        <w:rPr>
          <w:b/>
          <w:lang w:val="fr-FR" w:eastAsia="ko-KR"/>
        </w:rPr>
        <w:t xml:space="preserve">7.2.1 </w:t>
      </w:r>
      <w:r w:rsidRPr="00862004">
        <w:rPr>
          <w:b/>
          <w:lang w:val="fr-FR" w:eastAsia="ko-KR"/>
        </w:rPr>
        <w:tab/>
      </w:r>
      <w:r w:rsidR="003B2C67" w:rsidRPr="00862004">
        <w:rPr>
          <w:b/>
          <w:lang w:val="fr-FR" w:eastAsia="ko-KR"/>
        </w:rPr>
        <w:t>GSOA- Document APG23-6/INF-</w:t>
      </w:r>
      <w:r w:rsidR="00134298" w:rsidRPr="00862004">
        <w:rPr>
          <w:b/>
          <w:lang w:val="fr-FR" w:eastAsia="ko-KR"/>
        </w:rPr>
        <w:t>28</w:t>
      </w:r>
    </w:p>
    <w:p w14:paraId="1AD6D720" w14:textId="77777777" w:rsidR="004D111E" w:rsidRPr="004D111E" w:rsidRDefault="004D111E" w:rsidP="004D111E">
      <w:pPr>
        <w:numPr>
          <w:ilvl w:val="0"/>
          <w:numId w:val="14"/>
        </w:numPr>
        <w:spacing w:beforeLines="50" w:before="120" w:afterLines="50" w:after="120"/>
        <w:ind w:leftChars="295" w:left="1133" w:hangingChars="177" w:hanging="425"/>
        <w:jc w:val="both"/>
      </w:pPr>
      <w:r w:rsidRPr="004D111E">
        <w:t>Support the development of a regulatory framework to allocate the 17.3 – 17.7 GHz band to the FSS (space-to-Earth) in Region 2 while ensuring the protection of BSS feeder links (Earth-to-space) subject to Appendix 30A and BSS (space-to-Earth).</w:t>
      </w:r>
    </w:p>
    <w:p w14:paraId="3F07A843" w14:textId="77777777" w:rsidR="004D111E" w:rsidRPr="004D111E" w:rsidRDefault="004D111E" w:rsidP="004D111E">
      <w:pPr>
        <w:numPr>
          <w:ilvl w:val="0"/>
          <w:numId w:val="14"/>
        </w:numPr>
        <w:spacing w:beforeLines="50" w:before="120" w:afterLines="50" w:after="120"/>
        <w:ind w:leftChars="295" w:left="1133" w:hangingChars="177" w:hanging="425"/>
        <w:jc w:val="both"/>
      </w:pPr>
      <w:r w:rsidRPr="004D111E">
        <w:t>Expanding the FSS allocation by 400 MHz would add a contiguous spectrum in Region 2 for gateways and user terminals, responding to the ever increasing demand for broadband satellite service throughout the Americas.</w:t>
      </w:r>
    </w:p>
    <w:p w14:paraId="5C3FAD51" w14:textId="00A928E0" w:rsidR="003B2C67" w:rsidRPr="004D111E" w:rsidRDefault="004D111E" w:rsidP="009D4B7A">
      <w:pPr>
        <w:numPr>
          <w:ilvl w:val="0"/>
          <w:numId w:val="14"/>
        </w:numPr>
        <w:spacing w:beforeLines="50" w:before="120" w:afterLines="50" w:after="120"/>
        <w:ind w:leftChars="295" w:left="1133" w:hangingChars="177" w:hanging="425"/>
        <w:jc w:val="both"/>
      </w:pPr>
      <w:r w:rsidRPr="004D111E">
        <w:t>The new allocation would allow satellite operators to satisfy BSS or FSS service demand in the same frequency band indistinctly and, in many cases, without the necessity to use exclusive payloads depending on the service.</w:t>
      </w:r>
    </w:p>
    <w:sectPr w:rsidR="003B2C67" w:rsidRPr="004D111E" w:rsidSect="007A3E29">
      <w:headerReference w:type="default" r:id="rId24"/>
      <w:footerReference w:type="even" r:id="rId25"/>
      <w:footerReference w:type="default" r:id="rId26"/>
      <w:footerReference w:type="first" r:id="rId2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ED25" w14:textId="77777777" w:rsidR="006F2659" w:rsidRDefault="006F2659">
      <w:r>
        <w:separator/>
      </w:r>
    </w:p>
  </w:endnote>
  <w:endnote w:type="continuationSeparator" w:id="0">
    <w:p w14:paraId="2D9E7DB5" w14:textId="77777777" w:rsidR="006F2659" w:rsidRDefault="006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DAA"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44178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3D8" w14:textId="63152168"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9F617E">
      <w:rPr>
        <w:rStyle w:val="PageNumber"/>
      </w:rPr>
      <w:t>OUT-31</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FB51E6">
      <w:rPr>
        <w:rStyle w:val="PageNumber"/>
        <w:noProof/>
      </w:rPr>
      <w:t>6</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FB51E6">
      <w:rPr>
        <w:rStyle w:val="PageNumber"/>
        <w:noProof/>
      </w:rPr>
      <w:t>6</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1C60F989" w14:textId="77777777" w:rsidTr="007E7497">
      <w:trPr>
        <w:cantSplit/>
        <w:trHeight w:val="204"/>
        <w:jc w:val="center"/>
      </w:trPr>
      <w:tc>
        <w:tcPr>
          <w:tcW w:w="1152" w:type="dxa"/>
        </w:tcPr>
        <w:p w14:paraId="1E6DAB35" w14:textId="77777777" w:rsidR="007E7497" w:rsidRDefault="007E7497" w:rsidP="007E7497">
          <w:pPr>
            <w:rPr>
              <w:b/>
              <w:bCs/>
            </w:rPr>
          </w:pPr>
          <w:r>
            <w:rPr>
              <w:b/>
              <w:bCs/>
            </w:rPr>
            <w:t>Contact:</w:t>
          </w:r>
        </w:p>
      </w:tc>
      <w:tc>
        <w:tcPr>
          <w:tcW w:w="5040" w:type="dxa"/>
        </w:tcPr>
        <w:p w14:paraId="736EA230" w14:textId="67EF13A8" w:rsidR="00E639BA" w:rsidRDefault="00E639BA" w:rsidP="007E7497">
          <w:pPr>
            <w:pStyle w:val="Equation"/>
            <w:tabs>
              <w:tab w:val="clear" w:pos="794"/>
              <w:tab w:val="clear" w:pos="4820"/>
              <w:tab w:val="clear" w:pos="9639"/>
            </w:tabs>
            <w:spacing w:beforeLines="0"/>
            <w:rPr>
              <w:rFonts w:eastAsia="Batang"/>
            </w:rPr>
          </w:pPr>
        </w:p>
      </w:tc>
      <w:tc>
        <w:tcPr>
          <w:tcW w:w="3024" w:type="dxa"/>
        </w:tcPr>
        <w:p w14:paraId="7650FF59" w14:textId="59D213EF" w:rsidR="007E7497" w:rsidRDefault="007E7497" w:rsidP="00E23D98">
          <w:pPr>
            <w:rPr>
              <w:lang w:eastAsia="ja-JP"/>
            </w:rPr>
          </w:pPr>
          <w:r>
            <w:t>Email</w:t>
          </w:r>
          <w:r>
            <w:rPr>
              <w:rFonts w:hint="eastAsia"/>
            </w:rPr>
            <w:t xml:space="preserve">: </w:t>
          </w:r>
          <w:r w:rsidR="00E65FC2">
            <w:t xml:space="preserve"> </w:t>
          </w:r>
        </w:p>
      </w:tc>
    </w:tr>
  </w:tbl>
  <w:p w14:paraId="4F51CE8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98BC" w14:textId="77777777" w:rsidR="006F2659" w:rsidRDefault="006F2659">
      <w:r>
        <w:separator/>
      </w:r>
    </w:p>
  </w:footnote>
  <w:footnote w:type="continuationSeparator" w:id="0">
    <w:p w14:paraId="392EEA5C" w14:textId="77777777" w:rsidR="006F2659" w:rsidRDefault="006F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F17" w14:textId="77777777" w:rsidR="007E1FDD" w:rsidRDefault="007E1FDD" w:rsidP="008E3821">
    <w:pPr>
      <w:pStyle w:val="Header"/>
      <w:tabs>
        <w:tab w:val="clear" w:pos="4320"/>
        <w:tab w:val="clear" w:pos="8640"/>
      </w:tabs>
      <w:rPr>
        <w:lang w:eastAsia="ko-KR"/>
      </w:rPr>
    </w:pPr>
  </w:p>
  <w:p w14:paraId="24FDB20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D1D0D"/>
    <w:multiLevelType w:val="hybridMultilevel"/>
    <w:tmpl w:val="846E019E"/>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6E44ECE"/>
    <w:multiLevelType w:val="hybridMultilevel"/>
    <w:tmpl w:val="0FEE82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7C34C3B"/>
    <w:multiLevelType w:val="hybridMultilevel"/>
    <w:tmpl w:val="75D01F2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5CD5BD5"/>
    <w:multiLevelType w:val="hybridMultilevel"/>
    <w:tmpl w:val="6346EA2C"/>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9" w15:restartNumberingAfterBreak="0">
    <w:nsid w:val="27470829"/>
    <w:multiLevelType w:val="hybridMultilevel"/>
    <w:tmpl w:val="617419C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F370862"/>
    <w:multiLevelType w:val="hybridMultilevel"/>
    <w:tmpl w:val="33FCBC70"/>
    <w:lvl w:ilvl="0" w:tplc="81F65682">
      <w:start w:val="1"/>
      <w:numFmt w:val="bullet"/>
      <w:lvlText w:val=""/>
      <w:lvlJc w:val="left"/>
      <w:pPr>
        <w:ind w:left="720" w:hanging="360"/>
      </w:pPr>
      <w:rPr>
        <w:rFonts w:ascii="Symbol" w:hAnsi="Symbol" w:hint="default"/>
      </w:rPr>
    </w:lvl>
    <w:lvl w:ilvl="1" w:tplc="3356F6B8">
      <w:start w:val="1"/>
      <w:numFmt w:val="decimal"/>
      <w:lvlText w:val="%2."/>
      <w:lvlJc w:val="left"/>
      <w:pPr>
        <w:ind w:left="1440" w:hanging="360"/>
      </w:pPr>
      <w:rPr>
        <w:rFonts w:hint="default"/>
        <w:b w:val="0"/>
        <w:bCs w:val="0"/>
      </w:rPr>
    </w:lvl>
    <w:lvl w:ilvl="2" w:tplc="38090001">
      <w:start w:val="1"/>
      <w:numFmt w:val="bullet"/>
      <w:lvlText w:val=""/>
      <w:lvlJc w:val="left"/>
      <w:pPr>
        <w:ind w:left="2160" w:hanging="360"/>
      </w:pPr>
      <w:rPr>
        <w:rFonts w:ascii="Symbol" w:hAnsi="Symbol" w:hint="default"/>
      </w:rPr>
    </w:lvl>
    <w:lvl w:ilvl="3" w:tplc="38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7DE492B"/>
    <w:multiLevelType w:val="hybridMultilevel"/>
    <w:tmpl w:val="80C2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919C3"/>
    <w:multiLevelType w:val="hybridMultilevel"/>
    <w:tmpl w:val="107A744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5D652A9E"/>
    <w:multiLevelType w:val="hybridMultilevel"/>
    <w:tmpl w:val="3508F3C0"/>
    <w:lvl w:ilvl="0" w:tplc="B33A50B8">
      <w:start w:val="1"/>
      <w:numFmt w:val="lowerLetter"/>
      <w:lvlText w:val="%1)"/>
      <w:lvlJc w:val="left"/>
      <w:pPr>
        <w:ind w:left="1080" w:hanging="360"/>
      </w:pPr>
      <w:rPr>
        <w:rFonts w:ascii="Times New Roman" w:eastAsia="BatangChe"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0DD4BA5"/>
    <w:multiLevelType w:val="hybridMultilevel"/>
    <w:tmpl w:val="71D68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2" w15:restartNumberingAfterBreak="0">
    <w:nsid w:val="7A990B56"/>
    <w:multiLevelType w:val="hybridMultilevel"/>
    <w:tmpl w:val="B386A66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7BF36463"/>
    <w:multiLevelType w:val="hybridMultilevel"/>
    <w:tmpl w:val="5400E1B6"/>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4" w15:restartNumberingAfterBreak="0">
    <w:nsid w:val="7F336D22"/>
    <w:multiLevelType w:val="hybridMultilevel"/>
    <w:tmpl w:val="55004B8C"/>
    <w:lvl w:ilvl="0" w:tplc="AB0C8558">
      <w:start w:val="1"/>
      <w:numFmt w:val="bullet"/>
      <w:lvlText w:val="·"/>
      <w:lvlJc w:val="left"/>
      <w:pPr>
        <w:ind w:left="720" w:hanging="360"/>
      </w:pPr>
      <w:rPr>
        <w:rFonts w:ascii="Symbol" w:hAnsi="Symbol" w:hint="default"/>
      </w:rPr>
    </w:lvl>
    <w:lvl w:ilvl="1" w:tplc="237E047A">
      <w:start w:val="1"/>
      <w:numFmt w:val="bullet"/>
      <w:lvlText w:val="o"/>
      <w:lvlJc w:val="left"/>
      <w:pPr>
        <w:ind w:left="1440" w:hanging="360"/>
      </w:pPr>
      <w:rPr>
        <w:rFonts w:ascii="Courier New" w:hAnsi="Courier New" w:cs="Times New Roman" w:hint="default"/>
      </w:rPr>
    </w:lvl>
    <w:lvl w:ilvl="2" w:tplc="1C2899CA">
      <w:start w:val="1"/>
      <w:numFmt w:val="bullet"/>
      <w:lvlText w:val=""/>
      <w:lvlJc w:val="left"/>
      <w:pPr>
        <w:ind w:left="2160" w:hanging="360"/>
      </w:pPr>
      <w:rPr>
        <w:rFonts w:ascii="Wingdings" w:hAnsi="Wingdings" w:hint="default"/>
      </w:rPr>
    </w:lvl>
    <w:lvl w:ilvl="3" w:tplc="74FC6564">
      <w:start w:val="1"/>
      <w:numFmt w:val="bullet"/>
      <w:lvlText w:val=""/>
      <w:lvlJc w:val="left"/>
      <w:pPr>
        <w:ind w:left="2880" w:hanging="360"/>
      </w:pPr>
      <w:rPr>
        <w:rFonts w:ascii="Symbol" w:hAnsi="Symbol" w:hint="default"/>
      </w:rPr>
    </w:lvl>
    <w:lvl w:ilvl="4" w:tplc="03AA05FA">
      <w:start w:val="1"/>
      <w:numFmt w:val="bullet"/>
      <w:lvlText w:val="o"/>
      <w:lvlJc w:val="left"/>
      <w:pPr>
        <w:ind w:left="3600" w:hanging="360"/>
      </w:pPr>
      <w:rPr>
        <w:rFonts w:ascii="Courier New" w:hAnsi="Courier New" w:cs="Times New Roman" w:hint="default"/>
      </w:rPr>
    </w:lvl>
    <w:lvl w:ilvl="5" w:tplc="8676C158">
      <w:start w:val="1"/>
      <w:numFmt w:val="bullet"/>
      <w:lvlText w:val=""/>
      <w:lvlJc w:val="left"/>
      <w:pPr>
        <w:ind w:left="4320" w:hanging="360"/>
      </w:pPr>
      <w:rPr>
        <w:rFonts w:ascii="Wingdings" w:hAnsi="Wingdings" w:hint="default"/>
      </w:rPr>
    </w:lvl>
    <w:lvl w:ilvl="6" w:tplc="E49CE5F2">
      <w:start w:val="1"/>
      <w:numFmt w:val="bullet"/>
      <w:lvlText w:val=""/>
      <w:lvlJc w:val="left"/>
      <w:pPr>
        <w:ind w:left="5040" w:hanging="360"/>
      </w:pPr>
      <w:rPr>
        <w:rFonts w:ascii="Symbol" w:hAnsi="Symbol" w:hint="default"/>
      </w:rPr>
    </w:lvl>
    <w:lvl w:ilvl="7" w:tplc="2132C74A">
      <w:start w:val="1"/>
      <w:numFmt w:val="bullet"/>
      <w:lvlText w:val="o"/>
      <w:lvlJc w:val="left"/>
      <w:pPr>
        <w:ind w:left="5760" w:hanging="360"/>
      </w:pPr>
      <w:rPr>
        <w:rFonts w:ascii="Courier New" w:hAnsi="Courier New" w:cs="Times New Roman" w:hint="default"/>
      </w:rPr>
    </w:lvl>
    <w:lvl w:ilvl="8" w:tplc="0A06E214">
      <w:start w:val="1"/>
      <w:numFmt w:val="bullet"/>
      <w:lvlText w:val=""/>
      <w:lvlJc w:val="left"/>
      <w:pPr>
        <w:ind w:left="6480" w:hanging="360"/>
      </w:pPr>
      <w:rPr>
        <w:rFonts w:ascii="Wingdings" w:hAnsi="Wingdings" w:hint="default"/>
      </w:rPr>
    </w:lvl>
  </w:abstractNum>
  <w:num w:numId="1" w16cid:durableId="1958831580">
    <w:abstractNumId w:val="12"/>
  </w:num>
  <w:num w:numId="2" w16cid:durableId="1866668702">
    <w:abstractNumId w:val="7"/>
  </w:num>
  <w:num w:numId="3" w16cid:durableId="650058327">
    <w:abstractNumId w:val="6"/>
  </w:num>
  <w:num w:numId="4" w16cid:durableId="1784497509">
    <w:abstractNumId w:val="19"/>
  </w:num>
  <w:num w:numId="5" w16cid:durableId="1409886308">
    <w:abstractNumId w:val="11"/>
  </w:num>
  <w:num w:numId="6" w16cid:durableId="1210411472">
    <w:abstractNumId w:val="13"/>
  </w:num>
  <w:num w:numId="7" w16cid:durableId="700741905">
    <w:abstractNumId w:val="5"/>
  </w:num>
  <w:num w:numId="8" w16cid:durableId="1555434734">
    <w:abstractNumId w:val="2"/>
  </w:num>
  <w:num w:numId="9" w16cid:durableId="261842463">
    <w:abstractNumId w:val="21"/>
  </w:num>
  <w:num w:numId="10" w16cid:durableId="167065471">
    <w:abstractNumId w:val="0"/>
  </w:num>
  <w:num w:numId="11" w16cid:durableId="374695215">
    <w:abstractNumId w:val="20"/>
  </w:num>
  <w:num w:numId="12" w16cid:durableId="418329370">
    <w:abstractNumId w:val="14"/>
  </w:num>
  <w:num w:numId="13" w16cid:durableId="1599018821">
    <w:abstractNumId w:val="10"/>
  </w:num>
  <w:num w:numId="14" w16cid:durableId="1283146557">
    <w:abstractNumId w:val="23"/>
  </w:num>
  <w:num w:numId="15" w16cid:durableId="84304643">
    <w:abstractNumId w:val="3"/>
  </w:num>
  <w:num w:numId="16" w16cid:durableId="448819013">
    <w:abstractNumId w:val="15"/>
  </w:num>
  <w:num w:numId="17" w16cid:durableId="1224366470">
    <w:abstractNumId w:val="1"/>
  </w:num>
  <w:num w:numId="18" w16cid:durableId="61488319">
    <w:abstractNumId w:val="24"/>
  </w:num>
  <w:num w:numId="19" w16cid:durableId="48964375">
    <w:abstractNumId w:val="8"/>
  </w:num>
  <w:num w:numId="20" w16cid:durableId="1660620749">
    <w:abstractNumId w:val="22"/>
  </w:num>
  <w:num w:numId="21" w16cid:durableId="1530291218">
    <w:abstractNumId w:val="15"/>
  </w:num>
  <w:num w:numId="22" w16cid:durableId="1062292129">
    <w:abstractNumId w:val="3"/>
  </w:num>
  <w:num w:numId="23" w16cid:durableId="906111817">
    <w:abstractNumId w:val="9"/>
  </w:num>
  <w:num w:numId="24" w16cid:durableId="1312828531">
    <w:abstractNumId w:val="17"/>
  </w:num>
  <w:num w:numId="25" w16cid:durableId="154880759">
    <w:abstractNumId w:val="23"/>
  </w:num>
  <w:num w:numId="26" w16cid:durableId="432894779">
    <w:abstractNumId w:val="24"/>
  </w:num>
  <w:num w:numId="27" w16cid:durableId="653799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3157981">
    <w:abstractNumId w:val="4"/>
  </w:num>
  <w:num w:numId="29" w16cid:durableId="1970823285">
    <w:abstractNumId w:val="16"/>
  </w:num>
  <w:num w:numId="30" w16cid:durableId="3683791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DCA"/>
    <w:rsid w:val="000158AE"/>
    <w:rsid w:val="0003595B"/>
    <w:rsid w:val="00050138"/>
    <w:rsid w:val="00066CF9"/>
    <w:rsid w:val="000713CF"/>
    <w:rsid w:val="00075C14"/>
    <w:rsid w:val="00094B87"/>
    <w:rsid w:val="000A5418"/>
    <w:rsid w:val="000B1E8C"/>
    <w:rsid w:val="000B595C"/>
    <w:rsid w:val="000B65CD"/>
    <w:rsid w:val="000D13FA"/>
    <w:rsid w:val="000D4090"/>
    <w:rsid w:val="000D742C"/>
    <w:rsid w:val="000D7C75"/>
    <w:rsid w:val="000E4B43"/>
    <w:rsid w:val="000E702D"/>
    <w:rsid w:val="000F04E3"/>
    <w:rsid w:val="000F517C"/>
    <w:rsid w:val="000F5540"/>
    <w:rsid w:val="00104039"/>
    <w:rsid w:val="0012796C"/>
    <w:rsid w:val="00130A94"/>
    <w:rsid w:val="00133947"/>
    <w:rsid w:val="00134298"/>
    <w:rsid w:val="00137788"/>
    <w:rsid w:val="001432BC"/>
    <w:rsid w:val="001539DD"/>
    <w:rsid w:val="00154515"/>
    <w:rsid w:val="00164353"/>
    <w:rsid w:val="0018292A"/>
    <w:rsid w:val="00195634"/>
    <w:rsid w:val="00196568"/>
    <w:rsid w:val="001A2F16"/>
    <w:rsid w:val="001A5A0D"/>
    <w:rsid w:val="001B18C2"/>
    <w:rsid w:val="001B330F"/>
    <w:rsid w:val="001C411B"/>
    <w:rsid w:val="001D5D7E"/>
    <w:rsid w:val="001F5947"/>
    <w:rsid w:val="0021588B"/>
    <w:rsid w:val="00216088"/>
    <w:rsid w:val="002216AC"/>
    <w:rsid w:val="002219FD"/>
    <w:rsid w:val="00221CDA"/>
    <w:rsid w:val="00230738"/>
    <w:rsid w:val="00241BCF"/>
    <w:rsid w:val="00244DCC"/>
    <w:rsid w:val="00254A1B"/>
    <w:rsid w:val="00255181"/>
    <w:rsid w:val="00273C26"/>
    <w:rsid w:val="0028454D"/>
    <w:rsid w:val="00285681"/>
    <w:rsid w:val="00286912"/>
    <w:rsid w:val="002875F9"/>
    <w:rsid w:val="00291C9E"/>
    <w:rsid w:val="002926D4"/>
    <w:rsid w:val="00294866"/>
    <w:rsid w:val="002A24BB"/>
    <w:rsid w:val="002A6FF5"/>
    <w:rsid w:val="002B1FD4"/>
    <w:rsid w:val="002C07DA"/>
    <w:rsid w:val="002C520E"/>
    <w:rsid w:val="002C7EA9"/>
    <w:rsid w:val="00310DFA"/>
    <w:rsid w:val="003374D4"/>
    <w:rsid w:val="00337871"/>
    <w:rsid w:val="00342F20"/>
    <w:rsid w:val="00343067"/>
    <w:rsid w:val="003540E0"/>
    <w:rsid w:val="003548C2"/>
    <w:rsid w:val="00366A36"/>
    <w:rsid w:val="00374252"/>
    <w:rsid w:val="003809C7"/>
    <w:rsid w:val="0038624F"/>
    <w:rsid w:val="003873D0"/>
    <w:rsid w:val="003939F7"/>
    <w:rsid w:val="003A0E76"/>
    <w:rsid w:val="003A4630"/>
    <w:rsid w:val="003A6A39"/>
    <w:rsid w:val="003B03B2"/>
    <w:rsid w:val="003B2C67"/>
    <w:rsid w:val="003B6263"/>
    <w:rsid w:val="003C64A7"/>
    <w:rsid w:val="003D25E1"/>
    <w:rsid w:val="003D38FC"/>
    <w:rsid w:val="003D3FDA"/>
    <w:rsid w:val="003D5C1E"/>
    <w:rsid w:val="003D7A69"/>
    <w:rsid w:val="00420822"/>
    <w:rsid w:val="00441ECD"/>
    <w:rsid w:val="00444170"/>
    <w:rsid w:val="004523AA"/>
    <w:rsid w:val="0045458F"/>
    <w:rsid w:val="004633B4"/>
    <w:rsid w:val="00464F8D"/>
    <w:rsid w:val="004810C4"/>
    <w:rsid w:val="004837CA"/>
    <w:rsid w:val="004854EE"/>
    <w:rsid w:val="004906E9"/>
    <w:rsid w:val="004B3553"/>
    <w:rsid w:val="004D111E"/>
    <w:rsid w:val="004F3355"/>
    <w:rsid w:val="00510276"/>
    <w:rsid w:val="00511887"/>
    <w:rsid w:val="00530E8C"/>
    <w:rsid w:val="00533C3C"/>
    <w:rsid w:val="00543B90"/>
    <w:rsid w:val="00544971"/>
    <w:rsid w:val="00544D55"/>
    <w:rsid w:val="00545933"/>
    <w:rsid w:val="0054610B"/>
    <w:rsid w:val="00557544"/>
    <w:rsid w:val="005606F6"/>
    <w:rsid w:val="00577C0A"/>
    <w:rsid w:val="0058612C"/>
    <w:rsid w:val="00587875"/>
    <w:rsid w:val="005A2E64"/>
    <w:rsid w:val="005B7CE8"/>
    <w:rsid w:val="005C4E70"/>
    <w:rsid w:val="005C5EB6"/>
    <w:rsid w:val="005D3914"/>
    <w:rsid w:val="005D6B2F"/>
    <w:rsid w:val="005E307C"/>
    <w:rsid w:val="005E6421"/>
    <w:rsid w:val="00607E2B"/>
    <w:rsid w:val="006139D6"/>
    <w:rsid w:val="00616EAA"/>
    <w:rsid w:val="00623CE1"/>
    <w:rsid w:val="0063062B"/>
    <w:rsid w:val="006371D4"/>
    <w:rsid w:val="00647D08"/>
    <w:rsid w:val="00667229"/>
    <w:rsid w:val="006769C2"/>
    <w:rsid w:val="00682BE5"/>
    <w:rsid w:val="00690FED"/>
    <w:rsid w:val="006910A8"/>
    <w:rsid w:val="006939A5"/>
    <w:rsid w:val="006A3A56"/>
    <w:rsid w:val="006B0CE4"/>
    <w:rsid w:val="006B480A"/>
    <w:rsid w:val="006C617F"/>
    <w:rsid w:val="006E12FC"/>
    <w:rsid w:val="006E66EB"/>
    <w:rsid w:val="006F2659"/>
    <w:rsid w:val="006F510E"/>
    <w:rsid w:val="006F7A80"/>
    <w:rsid w:val="00700348"/>
    <w:rsid w:val="007062B8"/>
    <w:rsid w:val="007066D3"/>
    <w:rsid w:val="00712451"/>
    <w:rsid w:val="0071604D"/>
    <w:rsid w:val="00731041"/>
    <w:rsid w:val="00732F08"/>
    <w:rsid w:val="0074190C"/>
    <w:rsid w:val="00762576"/>
    <w:rsid w:val="00770475"/>
    <w:rsid w:val="00774277"/>
    <w:rsid w:val="00780213"/>
    <w:rsid w:val="00781490"/>
    <w:rsid w:val="00786E33"/>
    <w:rsid w:val="00791060"/>
    <w:rsid w:val="007A3E29"/>
    <w:rsid w:val="007B5626"/>
    <w:rsid w:val="007C793D"/>
    <w:rsid w:val="007E1FDD"/>
    <w:rsid w:val="007E6ED1"/>
    <w:rsid w:val="007E7497"/>
    <w:rsid w:val="007F08FF"/>
    <w:rsid w:val="0080570B"/>
    <w:rsid w:val="008148E1"/>
    <w:rsid w:val="00816F4E"/>
    <w:rsid w:val="00823BA9"/>
    <w:rsid w:val="00824627"/>
    <w:rsid w:val="008319BF"/>
    <w:rsid w:val="008337EA"/>
    <w:rsid w:val="00837E04"/>
    <w:rsid w:val="008520AA"/>
    <w:rsid w:val="008531BA"/>
    <w:rsid w:val="00862004"/>
    <w:rsid w:val="00862C98"/>
    <w:rsid w:val="00866016"/>
    <w:rsid w:val="00877428"/>
    <w:rsid w:val="008950FB"/>
    <w:rsid w:val="008973DD"/>
    <w:rsid w:val="008C5032"/>
    <w:rsid w:val="008C747E"/>
    <w:rsid w:val="008D0E09"/>
    <w:rsid w:val="008E3821"/>
    <w:rsid w:val="00911D2D"/>
    <w:rsid w:val="009270D6"/>
    <w:rsid w:val="0093769F"/>
    <w:rsid w:val="0094028D"/>
    <w:rsid w:val="009623AF"/>
    <w:rsid w:val="00973645"/>
    <w:rsid w:val="0097693B"/>
    <w:rsid w:val="00981932"/>
    <w:rsid w:val="00993355"/>
    <w:rsid w:val="00996844"/>
    <w:rsid w:val="009A17D5"/>
    <w:rsid w:val="009A4A6D"/>
    <w:rsid w:val="009A59A2"/>
    <w:rsid w:val="009A79C6"/>
    <w:rsid w:val="009B381E"/>
    <w:rsid w:val="009B61E1"/>
    <w:rsid w:val="009D4B7A"/>
    <w:rsid w:val="009D78C4"/>
    <w:rsid w:val="009F617E"/>
    <w:rsid w:val="00A0503B"/>
    <w:rsid w:val="00A06DEE"/>
    <w:rsid w:val="00A13265"/>
    <w:rsid w:val="00A2119C"/>
    <w:rsid w:val="00A30F78"/>
    <w:rsid w:val="00A43101"/>
    <w:rsid w:val="00A6126A"/>
    <w:rsid w:val="00A71136"/>
    <w:rsid w:val="00A84401"/>
    <w:rsid w:val="00A84A88"/>
    <w:rsid w:val="00AA2D8E"/>
    <w:rsid w:val="00AA474C"/>
    <w:rsid w:val="00AD7E5F"/>
    <w:rsid w:val="00AE5405"/>
    <w:rsid w:val="00AF6E67"/>
    <w:rsid w:val="00B01AA1"/>
    <w:rsid w:val="00B02BBC"/>
    <w:rsid w:val="00B13AF9"/>
    <w:rsid w:val="00B30C81"/>
    <w:rsid w:val="00B3474C"/>
    <w:rsid w:val="00B4793B"/>
    <w:rsid w:val="00B51B1B"/>
    <w:rsid w:val="00B768F8"/>
    <w:rsid w:val="00BB28DB"/>
    <w:rsid w:val="00BB33AC"/>
    <w:rsid w:val="00BC088E"/>
    <w:rsid w:val="00BC7506"/>
    <w:rsid w:val="00BE29EB"/>
    <w:rsid w:val="00BF310E"/>
    <w:rsid w:val="00BF4AA1"/>
    <w:rsid w:val="00C0017D"/>
    <w:rsid w:val="00C041B5"/>
    <w:rsid w:val="00C109E3"/>
    <w:rsid w:val="00C12CEE"/>
    <w:rsid w:val="00C14531"/>
    <w:rsid w:val="00C15633"/>
    <w:rsid w:val="00C15799"/>
    <w:rsid w:val="00C17679"/>
    <w:rsid w:val="00C20F4D"/>
    <w:rsid w:val="00C21CC2"/>
    <w:rsid w:val="00C357AD"/>
    <w:rsid w:val="00C43C3E"/>
    <w:rsid w:val="00C6069C"/>
    <w:rsid w:val="00C6284C"/>
    <w:rsid w:val="00C62A54"/>
    <w:rsid w:val="00C73F61"/>
    <w:rsid w:val="00C85119"/>
    <w:rsid w:val="00C93DC3"/>
    <w:rsid w:val="00CD133A"/>
    <w:rsid w:val="00CD3260"/>
    <w:rsid w:val="00CD5431"/>
    <w:rsid w:val="00CF2491"/>
    <w:rsid w:val="00D117C1"/>
    <w:rsid w:val="00D1252E"/>
    <w:rsid w:val="00D30ACD"/>
    <w:rsid w:val="00D320B2"/>
    <w:rsid w:val="00D57772"/>
    <w:rsid w:val="00D61F12"/>
    <w:rsid w:val="00D64812"/>
    <w:rsid w:val="00D72AE3"/>
    <w:rsid w:val="00D75A4D"/>
    <w:rsid w:val="00D8478B"/>
    <w:rsid w:val="00D86151"/>
    <w:rsid w:val="00D93844"/>
    <w:rsid w:val="00DA7595"/>
    <w:rsid w:val="00DB0A68"/>
    <w:rsid w:val="00DB6EC4"/>
    <w:rsid w:val="00DC43A3"/>
    <w:rsid w:val="00DC555C"/>
    <w:rsid w:val="00DC5627"/>
    <w:rsid w:val="00DD48BC"/>
    <w:rsid w:val="00DD7C09"/>
    <w:rsid w:val="00DE3D5E"/>
    <w:rsid w:val="00DF24AC"/>
    <w:rsid w:val="00DF791C"/>
    <w:rsid w:val="00E0124F"/>
    <w:rsid w:val="00E03EDF"/>
    <w:rsid w:val="00E045C9"/>
    <w:rsid w:val="00E04D97"/>
    <w:rsid w:val="00E23D98"/>
    <w:rsid w:val="00E3544C"/>
    <w:rsid w:val="00E447EE"/>
    <w:rsid w:val="00E545D9"/>
    <w:rsid w:val="00E62C7A"/>
    <w:rsid w:val="00E639BA"/>
    <w:rsid w:val="00E65FC2"/>
    <w:rsid w:val="00E674D3"/>
    <w:rsid w:val="00E70FD0"/>
    <w:rsid w:val="00E7136B"/>
    <w:rsid w:val="00E80263"/>
    <w:rsid w:val="00E82E43"/>
    <w:rsid w:val="00E84E25"/>
    <w:rsid w:val="00EA0183"/>
    <w:rsid w:val="00EA7027"/>
    <w:rsid w:val="00EC1B79"/>
    <w:rsid w:val="00EC538C"/>
    <w:rsid w:val="00EE1FCD"/>
    <w:rsid w:val="00F0216A"/>
    <w:rsid w:val="00F17BE0"/>
    <w:rsid w:val="00F22807"/>
    <w:rsid w:val="00F2678E"/>
    <w:rsid w:val="00F27A79"/>
    <w:rsid w:val="00F54003"/>
    <w:rsid w:val="00F84067"/>
    <w:rsid w:val="00F871F5"/>
    <w:rsid w:val="00FB3D11"/>
    <w:rsid w:val="00FB51E6"/>
    <w:rsid w:val="00FB60F2"/>
    <w:rsid w:val="00FC156A"/>
    <w:rsid w:val="00FC1F4A"/>
    <w:rsid w:val="00FC5A9D"/>
    <w:rsid w:val="00FD2F11"/>
    <w:rsid w:val="00FE3DE5"/>
    <w:rsid w:val="00FF32C9"/>
    <w:rsid w:val="00FF6FA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CEO_Hyperlink,超级链接"/>
    <w:basedOn w:val="DefaultParagraphFont"/>
    <w:uiPriority w:val="99"/>
    <w:unhideWhenUsed/>
    <w:rsid w:val="00E65FC2"/>
    <w:rPr>
      <w:color w:val="0000FF" w:themeColor="hyperlink"/>
      <w:u w:val="single"/>
    </w:rPr>
  </w:style>
  <w:style w:type="character" w:customStyle="1" w:styleId="UnresolvedMention1">
    <w:name w:val="Unresolved Mention1"/>
    <w:basedOn w:val="DefaultParagraphFont"/>
    <w:uiPriority w:val="99"/>
    <w:semiHidden/>
    <w:unhideWhenUsed/>
    <w:rsid w:val="00D61F12"/>
    <w:rPr>
      <w:color w:val="605E5C"/>
      <w:shd w:val="clear" w:color="auto" w:fill="E1DFDD"/>
    </w:rPr>
  </w:style>
  <w:style w:type="paragraph" w:styleId="FootnoteText">
    <w:name w:val="footnote text"/>
    <w:basedOn w:val="Normal"/>
    <w:link w:val="FootnoteTextChar"/>
    <w:semiHidden/>
    <w:unhideWhenUsed/>
    <w:rsid w:val="009D4B7A"/>
    <w:rPr>
      <w:sz w:val="20"/>
      <w:szCs w:val="20"/>
    </w:rPr>
  </w:style>
  <w:style w:type="character" w:customStyle="1" w:styleId="FootnoteTextChar">
    <w:name w:val="Footnote Text Char"/>
    <w:basedOn w:val="DefaultParagraphFont"/>
    <w:link w:val="FootnoteText"/>
    <w:semiHidden/>
    <w:rsid w:val="009D4B7A"/>
    <w:rPr>
      <w:rFonts w:eastAsia="BatangChe"/>
    </w:rPr>
  </w:style>
  <w:style w:type="character" w:styleId="FootnoteReference">
    <w:name w:val="footnote reference"/>
    <w:basedOn w:val="DefaultParagraphFont"/>
    <w:semiHidden/>
    <w:unhideWhenUsed/>
    <w:rsid w:val="009D4B7A"/>
    <w:rPr>
      <w:vertAlign w:val="superscript"/>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E447EE"/>
    <w:rPr>
      <w:rFonts w:eastAsia="BatangChe"/>
      <w:sz w:val="24"/>
      <w:szCs w:val="24"/>
    </w:rPr>
  </w:style>
  <w:style w:type="character" w:customStyle="1" w:styleId="fontstyle01">
    <w:name w:val="fontstyle01"/>
    <w:basedOn w:val="DefaultParagraphFont"/>
    <w:rsid w:val="00221CDA"/>
    <w:rPr>
      <w:rFonts w:ascii="TimesNewRomanPSMT" w:hAnsi="TimesNewRomanPSMT" w:hint="default"/>
      <w:b w:val="0"/>
      <w:bCs w:val="0"/>
      <w:i w:val="0"/>
      <w:iCs w:val="0"/>
      <w:color w:val="000000"/>
      <w:sz w:val="24"/>
      <w:szCs w:val="24"/>
    </w:rPr>
  </w:style>
  <w:style w:type="paragraph" w:styleId="Revision">
    <w:name w:val="Revision"/>
    <w:hidden/>
    <w:uiPriority w:val="99"/>
    <w:semiHidden/>
    <w:rsid w:val="003939F7"/>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234">
      <w:bodyDiv w:val="1"/>
      <w:marLeft w:val="0"/>
      <w:marRight w:val="0"/>
      <w:marTop w:val="0"/>
      <w:marBottom w:val="0"/>
      <w:divBdr>
        <w:top w:val="none" w:sz="0" w:space="0" w:color="auto"/>
        <w:left w:val="none" w:sz="0" w:space="0" w:color="auto"/>
        <w:bottom w:val="none" w:sz="0" w:space="0" w:color="auto"/>
        <w:right w:val="none" w:sz="0" w:space="0" w:color="auto"/>
      </w:divBdr>
    </w:div>
    <w:div w:id="119958871">
      <w:bodyDiv w:val="1"/>
      <w:marLeft w:val="0"/>
      <w:marRight w:val="0"/>
      <w:marTop w:val="0"/>
      <w:marBottom w:val="0"/>
      <w:divBdr>
        <w:top w:val="none" w:sz="0" w:space="0" w:color="auto"/>
        <w:left w:val="none" w:sz="0" w:space="0" w:color="auto"/>
        <w:bottom w:val="none" w:sz="0" w:space="0" w:color="auto"/>
        <w:right w:val="none" w:sz="0" w:space="0" w:color="auto"/>
      </w:divBdr>
    </w:div>
    <w:div w:id="182785910">
      <w:bodyDiv w:val="1"/>
      <w:marLeft w:val="0"/>
      <w:marRight w:val="0"/>
      <w:marTop w:val="0"/>
      <w:marBottom w:val="0"/>
      <w:divBdr>
        <w:top w:val="none" w:sz="0" w:space="0" w:color="auto"/>
        <w:left w:val="none" w:sz="0" w:space="0" w:color="auto"/>
        <w:bottom w:val="none" w:sz="0" w:space="0" w:color="auto"/>
        <w:right w:val="none" w:sz="0" w:space="0" w:color="auto"/>
      </w:divBdr>
    </w:div>
    <w:div w:id="222330273">
      <w:bodyDiv w:val="1"/>
      <w:marLeft w:val="0"/>
      <w:marRight w:val="0"/>
      <w:marTop w:val="0"/>
      <w:marBottom w:val="0"/>
      <w:divBdr>
        <w:top w:val="none" w:sz="0" w:space="0" w:color="auto"/>
        <w:left w:val="none" w:sz="0" w:space="0" w:color="auto"/>
        <w:bottom w:val="none" w:sz="0" w:space="0" w:color="auto"/>
        <w:right w:val="none" w:sz="0" w:space="0" w:color="auto"/>
      </w:divBdr>
    </w:div>
    <w:div w:id="347759991">
      <w:bodyDiv w:val="1"/>
      <w:marLeft w:val="0"/>
      <w:marRight w:val="0"/>
      <w:marTop w:val="0"/>
      <w:marBottom w:val="0"/>
      <w:divBdr>
        <w:top w:val="none" w:sz="0" w:space="0" w:color="auto"/>
        <w:left w:val="none" w:sz="0" w:space="0" w:color="auto"/>
        <w:bottom w:val="none" w:sz="0" w:space="0" w:color="auto"/>
        <w:right w:val="none" w:sz="0" w:space="0" w:color="auto"/>
      </w:divBdr>
    </w:div>
    <w:div w:id="945697630">
      <w:bodyDiv w:val="1"/>
      <w:marLeft w:val="0"/>
      <w:marRight w:val="0"/>
      <w:marTop w:val="0"/>
      <w:marBottom w:val="0"/>
      <w:divBdr>
        <w:top w:val="none" w:sz="0" w:space="0" w:color="auto"/>
        <w:left w:val="none" w:sz="0" w:space="0" w:color="auto"/>
        <w:bottom w:val="none" w:sz="0" w:space="0" w:color="auto"/>
        <w:right w:val="none" w:sz="0" w:space="0" w:color="auto"/>
      </w:divBdr>
    </w:div>
    <w:div w:id="1125926718">
      <w:bodyDiv w:val="1"/>
      <w:marLeft w:val="0"/>
      <w:marRight w:val="0"/>
      <w:marTop w:val="0"/>
      <w:marBottom w:val="0"/>
      <w:divBdr>
        <w:top w:val="none" w:sz="0" w:space="0" w:color="auto"/>
        <w:left w:val="none" w:sz="0" w:space="0" w:color="auto"/>
        <w:bottom w:val="none" w:sz="0" w:space="0" w:color="auto"/>
        <w:right w:val="none" w:sz="0" w:space="0" w:color="auto"/>
      </w:divBdr>
    </w:div>
    <w:div w:id="1149908251">
      <w:bodyDiv w:val="1"/>
      <w:marLeft w:val="0"/>
      <w:marRight w:val="0"/>
      <w:marTop w:val="0"/>
      <w:marBottom w:val="0"/>
      <w:divBdr>
        <w:top w:val="none" w:sz="0" w:space="0" w:color="auto"/>
        <w:left w:val="none" w:sz="0" w:space="0" w:color="auto"/>
        <w:bottom w:val="none" w:sz="0" w:space="0" w:color="auto"/>
        <w:right w:val="none" w:sz="0" w:space="0" w:color="auto"/>
      </w:divBdr>
    </w:div>
    <w:div w:id="1206135621">
      <w:bodyDiv w:val="1"/>
      <w:marLeft w:val="0"/>
      <w:marRight w:val="0"/>
      <w:marTop w:val="0"/>
      <w:marBottom w:val="0"/>
      <w:divBdr>
        <w:top w:val="none" w:sz="0" w:space="0" w:color="auto"/>
        <w:left w:val="none" w:sz="0" w:space="0" w:color="auto"/>
        <w:bottom w:val="none" w:sz="0" w:space="0" w:color="auto"/>
        <w:right w:val="none" w:sz="0" w:space="0" w:color="auto"/>
      </w:divBdr>
    </w:div>
    <w:div w:id="1218391540">
      <w:bodyDiv w:val="1"/>
      <w:marLeft w:val="0"/>
      <w:marRight w:val="0"/>
      <w:marTop w:val="0"/>
      <w:marBottom w:val="0"/>
      <w:divBdr>
        <w:top w:val="none" w:sz="0" w:space="0" w:color="auto"/>
        <w:left w:val="none" w:sz="0" w:space="0" w:color="auto"/>
        <w:bottom w:val="none" w:sz="0" w:space="0" w:color="auto"/>
        <w:right w:val="none" w:sz="0" w:space="0" w:color="auto"/>
      </w:divBdr>
    </w:div>
    <w:div w:id="1270549381">
      <w:bodyDiv w:val="1"/>
      <w:marLeft w:val="0"/>
      <w:marRight w:val="0"/>
      <w:marTop w:val="0"/>
      <w:marBottom w:val="0"/>
      <w:divBdr>
        <w:top w:val="none" w:sz="0" w:space="0" w:color="auto"/>
        <w:left w:val="none" w:sz="0" w:space="0" w:color="auto"/>
        <w:bottom w:val="none" w:sz="0" w:space="0" w:color="auto"/>
        <w:right w:val="none" w:sz="0" w:space="0" w:color="auto"/>
      </w:divBdr>
    </w:div>
    <w:div w:id="1322154912">
      <w:bodyDiv w:val="1"/>
      <w:marLeft w:val="0"/>
      <w:marRight w:val="0"/>
      <w:marTop w:val="0"/>
      <w:marBottom w:val="0"/>
      <w:divBdr>
        <w:top w:val="none" w:sz="0" w:space="0" w:color="auto"/>
        <w:left w:val="none" w:sz="0" w:space="0" w:color="auto"/>
        <w:bottom w:val="none" w:sz="0" w:space="0" w:color="auto"/>
        <w:right w:val="none" w:sz="0" w:space="0" w:color="auto"/>
      </w:divBdr>
    </w:div>
    <w:div w:id="1498426492">
      <w:bodyDiv w:val="1"/>
      <w:marLeft w:val="0"/>
      <w:marRight w:val="0"/>
      <w:marTop w:val="0"/>
      <w:marBottom w:val="0"/>
      <w:divBdr>
        <w:top w:val="none" w:sz="0" w:space="0" w:color="auto"/>
        <w:left w:val="none" w:sz="0" w:space="0" w:color="auto"/>
        <w:bottom w:val="none" w:sz="0" w:space="0" w:color="auto"/>
        <w:right w:val="none" w:sz="0" w:space="0" w:color="auto"/>
      </w:divBdr>
    </w:div>
    <w:div w:id="1646817338">
      <w:bodyDiv w:val="1"/>
      <w:marLeft w:val="0"/>
      <w:marRight w:val="0"/>
      <w:marTop w:val="0"/>
      <w:marBottom w:val="0"/>
      <w:divBdr>
        <w:top w:val="none" w:sz="0" w:space="0" w:color="auto"/>
        <w:left w:val="none" w:sz="0" w:space="0" w:color="auto"/>
        <w:bottom w:val="none" w:sz="0" w:space="0" w:color="auto"/>
        <w:right w:val="none" w:sz="0" w:space="0" w:color="auto"/>
      </w:divBdr>
    </w:div>
    <w:div w:id="1734884723">
      <w:bodyDiv w:val="1"/>
      <w:marLeft w:val="0"/>
      <w:marRight w:val="0"/>
      <w:marTop w:val="0"/>
      <w:marBottom w:val="0"/>
      <w:divBdr>
        <w:top w:val="none" w:sz="0" w:space="0" w:color="auto"/>
        <w:left w:val="none" w:sz="0" w:space="0" w:color="auto"/>
        <w:bottom w:val="none" w:sz="0" w:space="0" w:color="auto"/>
        <w:right w:val="none" w:sz="0" w:space="0" w:color="auto"/>
      </w:divBdr>
    </w:div>
    <w:div w:id="1875801304">
      <w:bodyDiv w:val="1"/>
      <w:marLeft w:val="0"/>
      <w:marRight w:val="0"/>
      <w:marTop w:val="0"/>
      <w:marBottom w:val="0"/>
      <w:divBdr>
        <w:top w:val="none" w:sz="0" w:space="0" w:color="auto"/>
        <w:left w:val="none" w:sz="0" w:space="0" w:color="auto"/>
        <w:bottom w:val="none" w:sz="0" w:space="0" w:color="auto"/>
        <w:right w:val="none" w:sz="0" w:space="0" w:color="auto"/>
      </w:divBdr>
    </w:div>
    <w:div w:id="1907106077">
      <w:bodyDiv w:val="1"/>
      <w:marLeft w:val="0"/>
      <w:marRight w:val="0"/>
      <w:marTop w:val="0"/>
      <w:marBottom w:val="0"/>
      <w:divBdr>
        <w:top w:val="none" w:sz="0" w:space="0" w:color="auto"/>
        <w:left w:val="none" w:sz="0" w:space="0" w:color="auto"/>
        <w:bottom w:val="none" w:sz="0" w:space="0" w:color="auto"/>
        <w:right w:val="none" w:sz="0" w:space="0" w:color="auto"/>
      </w:divBdr>
    </w:div>
    <w:div w:id="1973704800">
      <w:bodyDiv w:val="1"/>
      <w:marLeft w:val="0"/>
      <w:marRight w:val="0"/>
      <w:marTop w:val="0"/>
      <w:marBottom w:val="0"/>
      <w:divBdr>
        <w:top w:val="none" w:sz="0" w:space="0" w:color="auto"/>
        <w:left w:val="none" w:sz="0" w:space="0" w:color="auto"/>
        <w:bottom w:val="none" w:sz="0" w:space="0" w:color="auto"/>
        <w:right w:val="none" w:sz="0" w:space="0" w:color="auto"/>
      </w:divBdr>
    </w:div>
    <w:div w:id="21285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int/sites/default/files/2023/06/APG23-6-INP-07_WP4_Report.docx" TargetMode="External"/><Relationship Id="rId13" Type="http://schemas.openxmlformats.org/officeDocument/2006/relationships/hyperlink" Target="https://www.apt.int/sites/default/files/2023/08/APG23-6-INP-90_KOR_WP4_PACP_WRC-23_Agenda_Items.docx" TargetMode="External"/><Relationship Id="rId18" Type="http://schemas.openxmlformats.org/officeDocument/2006/relationships/hyperlink" Target="https://www.apt.int/sites/default/files/2023/02/APG23-5-INF-45_Status_of_RCC_preparation_to_the_WRC-23.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5.xxx/" TargetMode="External"/><Relationship Id="rId7" Type="http://schemas.openxmlformats.org/officeDocument/2006/relationships/image" Target="media/image1.jpeg"/><Relationship Id="rId12" Type="http://schemas.openxmlformats.org/officeDocument/2006/relationships/hyperlink" Target="https://www.apt.int/sites/default/files/2023/08/APG23-6-INP-83_Australia_WP4_PACP_WRC-23_Agenda_Items.docx" TargetMode="External"/><Relationship Id="rId17" Type="http://schemas.openxmlformats.org/officeDocument/2006/relationships/hyperlink" Target="https://www.apt.int/sites/default/files/2023/08/APG23-6-INF-28_GSOA_Positions_on_WRC-23_Agenda_Items_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pt.int/sites/default/files/2023/07/APG23-6-INF-15_Brief_on_AI1.19.docx" TargetMode="External"/><Relationship Id="rId20" Type="http://schemas.openxmlformats.org/officeDocument/2006/relationships/hyperlink" Target="https://www.apt.int/sites/default/files/2023/08/APG23-6-INF-52_CITEL_preparation_for_WRC-23.pdf"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t.int/sites/default/files/2023/08/APG23-6-INP-68R1_Iran_Preliminary_Views_on_WRC-23_Agenda_Items.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pt.int/sites/default/files/2023/08/APG23-6-INP-120_VietNam_WP4_PACP_WRC-23_Agenda_Items.docx" TargetMode="External"/><Relationship Id="rId23" Type="http://schemas.openxmlformats.org/officeDocument/2006/relationships/package" Target="embeddings/Microsoft_Word_Document.docx"/><Relationship Id="rId28" Type="http://schemas.openxmlformats.org/officeDocument/2006/relationships/fontTable" Target="fontTable.xml"/><Relationship Id="rId10" Type="http://schemas.openxmlformats.org/officeDocument/2006/relationships/hyperlink" Target="https://www.apt.int/sites/default/files/2023/08/APG23-6-INP-38_Japan_WP4_Views_and_Proposals_WRC-23_Agenda_Items.docx" TargetMode="External"/><Relationship Id="rId19" Type="http://schemas.openxmlformats.org/officeDocument/2006/relationships/hyperlink" Target="https://www.apt.int/sites/default/files/2023/08/APG23-6-INF-46_Status_of_CEPT_preparation_for_WRC-23_and_RA-23.pdf" TargetMode="External"/><Relationship Id="rId4" Type="http://schemas.openxmlformats.org/officeDocument/2006/relationships/webSettings" Target="webSettings.xml"/><Relationship Id="rId9" Type="http://schemas.openxmlformats.org/officeDocument/2006/relationships/hyperlink" Target="https://www.apt.int/sites/default/files/2023/08/APG23-6-INP-26_Bangladesh_WP4_PACP_WRC-23_Agenda_Items_0.docx" TargetMode="External"/><Relationship Id="rId14" Type="http://schemas.openxmlformats.org/officeDocument/2006/relationships/hyperlink" Target="https://www.apt.int/sites/default/files/2023/08/APG23-6-INP-106_China_WP4_PACP_WRC-23_Agenda_Items.docx" TargetMode="External"/><Relationship Id="rId22" Type="http://schemas.openxmlformats.org/officeDocument/2006/relationships/image" Target="media/image2.e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14214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Nidup Gyeltshen</cp:lastModifiedBy>
  <cp:revision>7</cp:revision>
  <cp:lastPrinted>2023-08-10T07:13:00Z</cp:lastPrinted>
  <dcterms:created xsi:type="dcterms:W3CDTF">2023-08-18T15:12:00Z</dcterms:created>
  <dcterms:modified xsi:type="dcterms:W3CDTF">2023-08-18T15:42:00Z</dcterms:modified>
</cp:coreProperties>
</file>