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756"/>
        <w:tblW w:w="11052" w:type="dxa"/>
        <w:tblLook w:val="04A0" w:firstRow="1" w:lastRow="0" w:firstColumn="1" w:lastColumn="0" w:noHBand="0" w:noVBand="1"/>
      </w:tblPr>
      <w:tblGrid>
        <w:gridCol w:w="1555"/>
        <w:gridCol w:w="298"/>
        <w:gridCol w:w="269"/>
        <w:gridCol w:w="795"/>
        <w:gridCol w:w="480"/>
        <w:gridCol w:w="295"/>
        <w:gridCol w:w="272"/>
        <w:gridCol w:w="1560"/>
        <w:gridCol w:w="8"/>
        <w:gridCol w:w="700"/>
        <w:gridCol w:w="142"/>
        <w:gridCol w:w="998"/>
        <w:gridCol w:w="1128"/>
        <w:gridCol w:w="712"/>
        <w:gridCol w:w="1840"/>
      </w:tblGrid>
      <w:tr w:rsidR="0077095D" w:rsidRPr="00D93A66" w14:paraId="24D6745F" w14:textId="77777777" w:rsidTr="00B466C9">
        <w:trPr>
          <w:trHeight w:val="283"/>
        </w:trPr>
        <w:tc>
          <w:tcPr>
            <w:tcW w:w="11052" w:type="dxa"/>
            <w:gridSpan w:val="15"/>
            <w:vAlign w:val="center"/>
          </w:tcPr>
          <w:p w14:paraId="4538886C" w14:textId="77777777" w:rsidR="0077095D" w:rsidRPr="006C7438" w:rsidRDefault="0077095D" w:rsidP="006C7438">
            <w:pPr>
              <w:pStyle w:val="ListParagraph"/>
              <w:numPr>
                <w:ilvl w:val="0"/>
                <w:numId w:val="4"/>
              </w:numPr>
              <w:jc w:val="left"/>
              <w:rPr>
                <w:rFonts w:cstheme="minorHAnsi"/>
                <w:b/>
                <w:sz w:val="28"/>
                <w:szCs w:val="28"/>
              </w:rPr>
            </w:pPr>
            <w:r w:rsidRPr="006C7438">
              <w:rPr>
                <w:rFonts w:cstheme="minorHAnsi"/>
                <w:b/>
                <w:sz w:val="28"/>
                <w:szCs w:val="28"/>
              </w:rPr>
              <w:t xml:space="preserve">Agenda item </w:t>
            </w:r>
          </w:p>
        </w:tc>
      </w:tr>
      <w:tr w:rsidR="007E7577" w:rsidRPr="00D93A66" w14:paraId="126A4873" w14:textId="77777777" w:rsidTr="00C63D90">
        <w:trPr>
          <w:trHeight w:val="694"/>
        </w:trPr>
        <w:tc>
          <w:tcPr>
            <w:tcW w:w="2122" w:type="dxa"/>
            <w:gridSpan w:val="3"/>
            <w:vMerge w:val="restart"/>
            <w:vAlign w:val="center"/>
          </w:tcPr>
          <w:p w14:paraId="523B31E2" w14:textId="77777777" w:rsidR="007E7577" w:rsidRDefault="007E7577" w:rsidP="00D93A66">
            <w:pPr>
              <w:jc w:val="center"/>
              <w:rPr>
                <w:rFonts w:cstheme="minorHAnsi"/>
                <w:b/>
                <w:sz w:val="28"/>
                <w:szCs w:val="28"/>
              </w:rPr>
            </w:pPr>
            <w:r w:rsidRPr="00D93A66">
              <w:rPr>
                <w:rFonts w:cstheme="minorHAnsi"/>
                <w:b/>
                <w:sz w:val="28"/>
                <w:szCs w:val="28"/>
              </w:rPr>
              <w:t>Agenda Item</w:t>
            </w:r>
          </w:p>
          <w:p w14:paraId="43F58EFB" w14:textId="0B167907" w:rsidR="007E7577" w:rsidRPr="005E5CFA" w:rsidRDefault="00F1297B" w:rsidP="00D93A66">
            <w:pPr>
              <w:jc w:val="center"/>
              <w:rPr>
                <w:rFonts w:cstheme="minorHAnsi"/>
                <w:bCs/>
                <w:sz w:val="28"/>
                <w:szCs w:val="28"/>
                <w:lang w:eastAsia="zh-CN"/>
              </w:rPr>
            </w:pPr>
            <w:r>
              <w:rPr>
                <w:rFonts w:cstheme="minorHAnsi" w:hint="eastAsia"/>
                <w:bCs/>
                <w:sz w:val="28"/>
                <w:szCs w:val="28"/>
                <w:lang w:eastAsia="zh-CN"/>
              </w:rPr>
              <w:t>1</w:t>
            </w:r>
            <w:r>
              <w:rPr>
                <w:rFonts w:cstheme="minorHAnsi"/>
                <w:bCs/>
                <w:sz w:val="28"/>
                <w:szCs w:val="28"/>
                <w:lang w:eastAsia="zh-CN"/>
              </w:rPr>
              <w:t>.13</w:t>
            </w:r>
          </w:p>
        </w:tc>
        <w:tc>
          <w:tcPr>
            <w:tcW w:w="8930" w:type="dxa"/>
            <w:gridSpan w:val="12"/>
          </w:tcPr>
          <w:p w14:paraId="3E7B11E5" w14:textId="639B5C24" w:rsidR="007E7577" w:rsidRPr="00C63D90" w:rsidRDefault="00F1297B" w:rsidP="00F1297B">
            <w:pPr>
              <w:rPr>
                <w:rFonts w:cstheme="minorHAnsi"/>
                <w:bCs/>
                <w:sz w:val="24"/>
                <w:szCs w:val="24"/>
              </w:rPr>
            </w:pPr>
            <w:r>
              <w:t>t</w:t>
            </w:r>
            <w:r w:rsidRPr="00F1297B">
              <w:rPr>
                <w:rFonts w:cstheme="minorHAnsi"/>
                <w:bCs/>
                <w:sz w:val="24"/>
                <w:szCs w:val="24"/>
              </w:rPr>
              <w:t>o consider a possible upgrade of the allocation of the frequency band 14.8-15.35 GHz to</w:t>
            </w:r>
            <w:r>
              <w:rPr>
                <w:rFonts w:cstheme="minorHAnsi"/>
                <w:bCs/>
                <w:sz w:val="24"/>
                <w:szCs w:val="24"/>
              </w:rPr>
              <w:t xml:space="preserve"> </w:t>
            </w:r>
            <w:r w:rsidRPr="00F1297B">
              <w:rPr>
                <w:rFonts w:cstheme="minorHAnsi"/>
                <w:bCs/>
                <w:sz w:val="24"/>
                <w:szCs w:val="24"/>
              </w:rPr>
              <w:t xml:space="preserve">the space research service, in accordance with Resolution </w:t>
            </w:r>
            <w:r w:rsidRPr="00F1297B">
              <w:rPr>
                <w:rFonts w:cstheme="minorHAnsi"/>
                <w:b/>
                <w:sz w:val="24"/>
                <w:szCs w:val="24"/>
              </w:rPr>
              <w:t>661 (WRC 19)</w:t>
            </w:r>
          </w:p>
        </w:tc>
      </w:tr>
      <w:tr w:rsidR="007E7577" w:rsidRPr="00D93A66" w14:paraId="7B0800E5" w14:textId="77777777" w:rsidTr="00C63D90">
        <w:trPr>
          <w:trHeight w:val="283"/>
        </w:trPr>
        <w:tc>
          <w:tcPr>
            <w:tcW w:w="2122" w:type="dxa"/>
            <w:gridSpan w:val="3"/>
            <w:vMerge/>
          </w:tcPr>
          <w:p w14:paraId="126A177B" w14:textId="77777777" w:rsidR="00D93A66" w:rsidRPr="00D93A66" w:rsidRDefault="00D93A66" w:rsidP="00D93A66">
            <w:pPr>
              <w:jc w:val="center"/>
              <w:rPr>
                <w:rFonts w:cstheme="minorHAnsi"/>
                <w:b/>
                <w:sz w:val="28"/>
                <w:szCs w:val="28"/>
              </w:rPr>
            </w:pPr>
          </w:p>
        </w:tc>
        <w:tc>
          <w:tcPr>
            <w:tcW w:w="1842" w:type="dxa"/>
            <w:gridSpan w:val="4"/>
          </w:tcPr>
          <w:p w14:paraId="0B1389E7" w14:textId="77777777" w:rsidR="00D93A66" w:rsidRPr="006C7438" w:rsidRDefault="00D93A66" w:rsidP="00D93A66">
            <w:pPr>
              <w:jc w:val="center"/>
              <w:rPr>
                <w:rFonts w:cstheme="minorHAnsi"/>
                <w:b/>
                <w:sz w:val="24"/>
                <w:szCs w:val="24"/>
              </w:rPr>
            </w:pPr>
            <w:r w:rsidRPr="006C7438">
              <w:rPr>
                <w:rFonts w:cstheme="minorHAnsi"/>
                <w:b/>
                <w:sz w:val="24"/>
                <w:szCs w:val="24"/>
              </w:rPr>
              <w:t>Working Group</w:t>
            </w:r>
          </w:p>
        </w:tc>
        <w:tc>
          <w:tcPr>
            <w:tcW w:w="2268" w:type="dxa"/>
            <w:gridSpan w:val="3"/>
          </w:tcPr>
          <w:p w14:paraId="079E0996" w14:textId="037C1E36" w:rsidR="00D93A66" w:rsidRPr="006C7438" w:rsidRDefault="006464B2" w:rsidP="00D93A66">
            <w:pPr>
              <w:jc w:val="center"/>
              <w:rPr>
                <w:rFonts w:cstheme="minorHAnsi"/>
                <w:bCs/>
                <w:sz w:val="24"/>
                <w:szCs w:val="24"/>
                <w:lang w:eastAsia="zh-CN"/>
              </w:rPr>
            </w:pPr>
            <w:r>
              <w:rPr>
                <w:rFonts w:cstheme="minorHAnsi"/>
                <w:bCs/>
                <w:sz w:val="24"/>
                <w:szCs w:val="24"/>
                <w:lang w:eastAsia="zh-CN"/>
              </w:rPr>
              <w:t xml:space="preserve">WG </w:t>
            </w:r>
            <w:r w:rsidR="00B6780E">
              <w:rPr>
                <w:rFonts w:cstheme="minorHAnsi" w:hint="eastAsia"/>
                <w:bCs/>
                <w:sz w:val="24"/>
                <w:szCs w:val="24"/>
                <w:lang w:eastAsia="zh-CN"/>
              </w:rPr>
              <w:t>3</w:t>
            </w:r>
          </w:p>
        </w:tc>
        <w:tc>
          <w:tcPr>
            <w:tcW w:w="2268" w:type="dxa"/>
            <w:gridSpan w:val="3"/>
          </w:tcPr>
          <w:p w14:paraId="54E2687A" w14:textId="77777777" w:rsidR="00D93A66" w:rsidRPr="006C7438" w:rsidRDefault="00D93A66" w:rsidP="00D93A66">
            <w:pPr>
              <w:jc w:val="center"/>
              <w:rPr>
                <w:rFonts w:cstheme="minorHAnsi"/>
                <w:b/>
                <w:sz w:val="24"/>
                <w:szCs w:val="24"/>
              </w:rPr>
            </w:pPr>
            <w:r w:rsidRPr="006C7438">
              <w:rPr>
                <w:rFonts w:cstheme="minorHAnsi"/>
                <w:b/>
                <w:sz w:val="24"/>
                <w:szCs w:val="24"/>
              </w:rPr>
              <w:t xml:space="preserve">Sub-Working Group </w:t>
            </w:r>
          </w:p>
        </w:tc>
        <w:tc>
          <w:tcPr>
            <w:tcW w:w="2552" w:type="dxa"/>
            <w:gridSpan w:val="2"/>
          </w:tcPr>
          <w:p w14:paraId="0CCEF7E0" w14:textId="640DCA55" w:rsidR="00D93A66" w:rsidRPr="006C7438" w:rsidRDefault="006464B2" w:rsidP="00D93A66">
            <w:pPr>
              <w:jc w:val="center"/>
              <w:rPr>
                <w:rFonts w:cstheme="minorHAnsi"/>
                <w:bCs/>
                <w:sz w:val="24"/>
                <w:szCs w:val="24"/>
                <w:lang w:eastAsia="zh-CN"/>
              </w:rPr>
            </w:pPr>
            <w:r>
              <w:rPr>
                <w:rFonts w:cstheme="minorHAnsi" w:hint="eastAsia"/>
                <w:bCs/>
                <w:sz w:val="24"/>
                <w:szCs w:val="24"/>
                <w:lang w:eastAsia="zh-CN"/>
              </w:rPr>
              <w:t>S</w:t>
            </w:r>
            <w:r>
              <w:rPr>
                <w:rFonts w:cstheme="minorHAnsi"/>
                <w:bCs/>
                <w:sz w:val="24"/>
                <w:szCs w:val="24"/>
                <w:lang w:eastAsia="zh-CN"/>
              </w:rPr>
              <w:t>WG 3B</w:t>
            </w:r>
          </w:p>
        </w:tc>
      </w:tr>
      <w:tr w:rsidR="007E7577" w:rsidRPr="00D93A66" w14:paraId="47B1FC68" w14:textId="77777777" w:rsidTr="00B466C9">
        <w:tc>
          <w:tcPr>
            <w:tcW w:w="1555" w:type="dxa"/>
          </w:tcPr>
          <w:p w14:paraId="7D175E0E" w14:textId="77777777" w:rsidR="00D93A66" w:rsidRPr="00D93A66" w:rsidRDefault="00D93A66" w:rsidP="00D93A66">
            <w:pPr>
              <w:jc w:val="center"/>
              <w:rPr>
                <w:rFonts w:cstheme="minorHAnsi"/>
                <w:b/>
                <w:sz w:val="24"/>
                <w:szCs w:val="24"/>
              </w:rPr>
            </w:pPr>
            <w:r w:rsidRPr="00D93A66">
              <w:rPr>
                <w:rFonts w:cstheme="minorHAnsi"/>
                <w:b/>
                <w:sz w:val="24"/>
                <w:szCs w:val="24"/>
              </w:rPr>
              <w:t>Coordinator</w:t>
            </w:r>
          </w:p>
        </w:tc>
        <w:tc>
          <w:tcPr>
            <w:tcW w:w="3969" w:type="dxa"/>
            <w:gridSpan w:val="7"/>
          </w:tcPr>
          <w:p w14:paraId="04802B83" w14:textId="3DD50041" w:rsidR="00D93A66" w:rsidRPr="00D93A66" w:rsidRDefault="00B6780E" w:rsidP="00D93A66">
            <w:pPr>
              <w:jc w:val="center"/>
              <w:rPr>
                <w:rFonts w:cstheme="minorHAnsi"/>
                <w:bCs/>
                <w:sz w:val="24"/>
                <w:szCs w:val="24"/>
                <w:lang w:eastAsia="zh-CN"/>
              </w:rPr>
            </w:pPr>
            <w:r>
              <w:rPr>
                <w:rFonts w:cstheme="minorHAnsi" w:hint="eastAsia"/>
                <w:bCs/>
                <w:sz w:val="24"/>
                <w:szCs w:val="24"/>
                <w:lang w:eastAsia="zh-CN"/>
              </w:rPr>
              <w:t>R</w:t>
            </w:r>
            <w:r>
              <w:rPr>
                <w:rFonts w:cstheme="minorHAnsi"/>
                <w:bCs/>
                <w:sz w:val="24"/>
                <w:szCs w:val="24"/>
                <w:lang w:eastAsia="zh-CN"/>
              </w:rPr>
              <w:t>ui Han</w:t>
            </w:r>
          </w:p>
        </w:tc>
        <w:tc>
          <w:tcPr>
            <w:tcW w:w="850" w:type="dxa"/>
            <w:gridSpan w:val="3"/>
          </w:tcPr>
          <w:p w14:paraId="4411EDC6" w14:textId="77777777" w:rsidR="00D93A66" w:rsidRPr="00D93A66" w:rsidRDefault="00D93A66" w:rsidP="00D93A66">
            <w:pPr>
              <w:jc w:val="center"/>
              <w:rPr>
                <w:rFonts w:cstheme="minorHAnsi"/>
                <w:b/>
                <w:sz w:val="24"/>
                <w:szCs w:val="24"/>
              </w:rPr>
            </w:pPr>
            <w:r w:rsidRPr="00D93A66">
              <w:rPr>
                <w:rFonts w:cstheme="minorHAnsi"/>
                <w:b/>
                <w:sz w:val="24"/>
                <w:szCs w:val="24"/>
              </w:rPr>
              <w:t>Email</w:t>
            </w:r>
          </w:p>
        </w:tc>
        <w:tc>
          <w:tcPr>
            <w:tcW w:w="4678" w:type="dxa"/>
            <w:gridSpan w:val="4"/>
          </w:tcPr>
          <w:p w14:paraId="7EDB8CB5" w14:textId="389DAA57" w:rsidR="00D93A66" w:rsidRPr="00D93A66" w:rsidRDefault="00B6780E" w:rsidP="00D93A66">
            <w:pPr>
              <w:jc w:val="center"/>
              <w:rPr>
                <w:rFonts w:cstheme="minorHAnsi"/>
                <w:bCs/>
                <w:sz w:val="24"/>
                <w:szCs w:val="24"/>
                <w:lang w:eastAsia="zh-CN"/>
              </w:rPr>
            </w:pPr>
            <w:r>
              <w:rPr>
                <w:rFonts w:cstheme="minorHAnsi"/>
                <w:bCs/>
                <w:sz w:val="24"/>
                <w:szCs w:val="24"/>
                <w:lang w:eastAsia="zh-CN"/>
              </w:rPr>
              <w:t>henryxju@gmail.com</w:t>
            </w:r>
            <w:r w:rsidR="004218C6">
              <w:rPr>
                <w:rFonts w:cstheme="minorHAnsi"/>
                <w:bCs/>
                <w:sz w:val="24"/>
                <w:szCs w:val="24"/>
                <w:lang w:eastAsia="zh-CN"/>
              </w:rPr>
              <w:t>/</w:t>
            </w:r>
            <w:r w:rsidR="004218C6">
              <w:rPr>
                <w:rFonts w:cstheme="minorHAnsi" w:hint="eastAsia"/>
                <w:bCs/>
                <w:sz w:val="24"/>
                <w:szCs w:val="24"/>
                <w:lang w:eastAsia="zh-CN"/>
              </w:rPr>
              <w:t xml:space="preserve"> </w:t>
            </w:r>
            <w:r w:rsidR="004218C6">
              <w:rPr>
                <w:rFonts w:cstheme="minorHAnsi" w:hint="eastAsia"/>
                <w:bCs/>
                <w:sz w:val="24"/>
                <w:szCs w:val="24"/>
                <w:lang w:eastAsia="zh-CN"/>
              </w:rPr>
              <w:t>h</w:t>
            </w:r>
            <w:r w:rsidR="004218C6">
              <w:rPr>
                <w:rFonts w:cstheme="minorHAnsi"/>
                <w:bCs/>
                <w:sz w:val="24"/>
                <w:szCs w:val="24"/>
                <w:lang w:eastAsia="zh-CN"/>
              </w:rPr>
              <w:t>anrui@srrc.org.cn</w:t>
            </w:r>
          </w:p>
        </w:tc>
      </w:tr>
      <w:tr w:rsidR="007E7577" w:rsidRPr="00D93A66" w14:paraId="20B68BC8" w14:textId="77777777" w:rsidTr="00B466C9">
        <w:tc>
          <w:tcPr>
            <w:tcW w:w="1555" w:type="dxa"/>
          </w:tcPr>
          <w:p w14:paraId="122CF6FA" w14:textId="77777777" w:rsidR="00E00EC9" w:rsidRPr="00D93A66" w:rsidRDefault="00E00EC9" w:rsidP="00D93A66">
            <w:pPr>
              <w:jc w:val="center"/>
              <w:rPr>
                <w:rFonts w:cstheme="minorHAnsi"/>
                <w:b/>
                <w:sz w:val="24"/>
                <w:szCs w:val="24"/>
              </w:rPr>
            </w:pPr>
            <w:r>
              <w:rPr>
                <w:rFonts w:cstheme="minorHAnsi"/>
                <w:b/>
                <w:sz w:val="24"/>
                <w:szCs w:val="24"/>
              </w:rPr>
              <w:t>WP Chair</w:t>
            </w:r>
          </w:p>
        </w:tc>
        <w:tc>
          <w:tcPr>
            <w:tcW w:w="3969" w:type="dxa"/>
            <w:gridSpan w:val="7"/>
          </w:tcPr>
          <w:p w14:paraId="620B9C73" w14:textId="0E0E4F70" w:rsidR="00E00EC9" w:rsidRPr="00D93A66" w:rsidRDefault="00725CB3" w:rsidP="00D93A66">
            <w:pPr>
              <w:jc w:val="center"/>
              <w:rPr>
                <w:rFonts w:cstheme="minorHAnsi"/>
                <w:bCs/>
                <w:sz w:val="24"/>
                <w:szCs w:val="24"/>
              </w:rPr>
            </w:pPr>
            <w:r w:rsidRPr="00725CB3">
              <w:rPr>
                <w:rFonts w:cstheme="minorHAnsi"/>
                <w:bCs/>
                <w:sz w:val="24"/>
                <w:szCs w:val="24"/>
              </w:rPr>
              <w:t xml:space="preserve">Mr. </w:t>
            </w:r>
            <w:proofErr w:type="spellStart"/>
            <w:r w:rsidRPr="00725CB3">
              <w:rPr>
                <w:rFonts w:cstheme="minorHAnsi"/>
                <w:bCs/>
                <w:sz w:val="24"/>
                <w:szCs w:val="24"/>
              </w:rPr>
              <w:t>Wahyudi</w:t>
            </w:r>
            <w:proofErr w:type="spellEnd"/>
            <w:r w:rsidRPr="00725CB3">
              <w:rPr>
                <w:rFonts w:cstheme="minorHAnsi"/>
                <w:bCs/>
                <w:sz w:val="24"/>
                <w:szCs w:val="24"/>
              </w:rPr>
              <w:t xml:space="preserve"> </w:t>
            </w:r>
            <w:proofErr w:type="spellStart"/>
            <w:r w:rsidRPr="00725CB3">
              <w:rPr>
                <w:rFonts w:cstheme="minorHAnsi"/>
                <w:bCs/>
                <w:sz w:val="24"/>
                <w:szCs w:val="24"/>
              </w:rPr>
              <w:t>Hasb</w:t>
            </w:r>
            <w:r>
              <w:rPr>
                <w:rFonts w:cstheme="minorHAnsi"/>
                <w:bCs/>
                <w:sz w:val="24"/>
                <w:szCs w:val="24"/>
              </w:rPr>
              <w:t>i</w:t>
            </w:r>
            <w:proofErr w:type="spellEnd"/>
          </w:p>
        </w:tc>
        <w:tc>
          <w:tcPr>
            <w:tcW w:w="850" w:type="dxa"/>
            <w:gridSpan w:val="3"/>
          </w:tcPr>
          <w:p w14:paraId="727DDA7D" w14:textId="77777777" w:rsidR="00E00EC9" w:rsidRPr="00D93A66" w:rsidRDefault="00E00EC9" w:rsidP="00D93A66">
            <w:pPr>
              <w:jc w:val="center"/>
              <w:rPr>
                <w:rFonts w:cstheme="minorHAnsi"/>
                <w:b/>
                <w:sz w:val="24"/>
                <w:szCs w:val="24"/>
              </w:rPr>
            </w:pPr>
            <w:r>
              <w:rPr>
                <w:rFonts w:cstheme="minorHAnsi"/>
                <w:b/>
                <w:sz w:val="24"/>
                <w:szCs w:val="24"/>
              </w:rPr>
              <w:t>Email</w:t>
            </w:r>
          </w:p>
        </w:tc>
        <w:tc>
          <w:tcPr>
            <w:tcW w:w="4678" w:type="dxa"/>
            <w:gridSpan w:val="4"/>
          </w:tcPr>
          <w:p w14:paraId="6133F122" w14:textId="574762CB" w:rsidR="00E00EC9" w:rsidRPr="00D93A66" w:rsidRDefault="00725CB3" w:rsidP="00D93A66">
            <w:pPr>
              <w:jc w:val="center"/>
              <w:rPr>
                <w:rFonts w:cstheme="minorHAnsi"/>
                <w:bCs/>
                <w:sz w:val="24"/>
                <w:szCs w:val="24"/>
              </w:rPr>
            </w:pPr>
            <w:r w:rsidRPr="00725CB3">
              <w:rPr>
                <w:rFonts w:cstheme="minorHAnsi"/>
                <w:bCs/>
                <w:sz w:val="24"/>
                <w:szCs w:val="24"/>
              </w:rPr>
              <w:t xml:space="preserve">wahyudi.hasbi@lapan.go.id </w:t>
            </w:r>
          </w:p>
        </w:tc>
      </w:tr>
      <w:tr w:rsidR="00057D04" w:rsidRPr="00D93A66" w14:paraId="5893A19F" w14:textId="77777777" w:rsidTr="00B466C9">
        <w:tc>
          <w:tcPr>
            <w:tcW w:w="1555" w:type="dxa"/>
          </w:tcPr>
          <w:p w14:paraId="161D36C0" w14:textId="77777777" w:rsidR="00057D04" w:rsidRDefault="00057D04" w:rsidP="00057D04">
            <w:pPr>
              <w:jc w:val="left"/>
              <w:rPr>
                <w:rFonts w:cstheme="minorHAnsi"/>
                <w:b/>
                <w:sz w:val="24"/>
                <w:szCs w:val="24"/>
              </w:rPr>
            </w:pPr>
            <w:r w:rsidRPr="00D93A66">
              <w:rPr>
                <w:rFonts w:cstheme="minorHAnsi"/>
                <w:b/>
                <w:sz w:val="24"/>
                <w:szCs w:val="24"/>
              </w:rPr>
              <w:t>Report Date</w:t>
            </w:r>
          </w:p>
        </w:tc>
        <w:tc>
          <w:tcPr>
            <w:tcW w:w="9497" w:type="dxa"/>
            <w:gridSpan w:val="14"/>
          </w:tcPr>
          <w:p w14:paraId="79CA14FA" w14:textId="40AF6F30" w:rsidR="00057D04" w:rsidRPr="00F33BB9" w:rsidRDefault="00D73A7D" w:rsidP="00057D04">
            <w:pPr>
              <w:jc w:val="left"/>
              <w:rPr>
                <w:rFonts w:cstheme="minorHAnsi"/>
                <w:bCs/>
                <w:sz w:val="24"/>
                <w:szCs w:val="24"/>
                <w:lang w:eastAsia="zh-CN"/>
              </w:rPr>
            </w:pPr>
            <w:r w:rsidRPr="00F33BB9">
              <w:rPr>
                <w:rFonts w:cstheme="minorHAnsi"/>
                <w:bCs/>
                <w:sz w:val="24"/>
                <w:szCs w:val="24"/>
                <w:lang w:eastAsia="zh-CN"/>
              </w:rPr>
              <w:t>03</w:t>
            </w:r>
            <w:r w:rsidR="00A03195" w:rsidRPr="00F33BB9">
              <w:rPr>
                <w:rFonts w:cstheme="minorHAnsi"/>
                <w:bCs/>
                <w:sz w:val="24"/>
                <w:szCs w:val="24"/>
                <w:lang w:eastAsia="zh-CN"/>
              </w:rPr>
              <w:t>.0</w:t>
            </w:r>
            <w:r w:rsidRPr="00F33BB9">
              <w:rPr>
                <w:rFonts w:cstheme="minorHAnsi"/>
                <w:bCs/>
                <w:sz w:val="24"/>
                <w:szCs w:val="24"/>
                <w:lang w:eastAsia="zh-CN"/>
              </w:rPr>
              <w:t>4</w:t>
            </w:r>
            <w:r w:rsidR="00A03195" w:rsidRPr="00F33BB9">
              <w:rPr>
                <w:rFonts w:cstheme="minorHAnsi"/>
                <w:bCs/>
                <w:sz w:val="24"/>
                <w:szCs w:val="24"/>
                <w:lang w:eastAsia="zh-CN"/>
              </w:rPr>
              <w:t>.2023</w:t>
            </w:r>
          </w:p>
        </w:tc>
      </w:tr>
      <w:tr w:rsidR="00E00EC9" w:rsidRPr="00D93A66" w14:paraId="132199A7" w14:textId="77777777" w:rsidTr="00B466C9">
        <w:tc>
          <w:tcPr>
            <w:tcW w:w="11052" w:type="dxa"/>
            <w:gridSpan w:val="15"/>
          </w:tcPr>
          <w:p w14:paraId="32AC32B2" w14:textId="77777777" w:rsidR="00E00EC9" w:rsidRDefault="00E00EC9" w:rsidP="00D93A66">
            <w:pPr>
              <w:jc w:val="center"/>
              <w:rPr>
                <w:rFonts w:cstheme="minorHAnsi"/>
                <w:b/>
                <w:sz w:val="24"/>
                <w:szCs w:val="24"/>
              </w:rPr>
            </w:pPr>
          </w:p>
        </w:tc>
      </w:tr>
      <w:tr w:rsidR="0077095D" w:rsidRPr="00D93A66" w14:paraId="0DF23683" w14:textId="77777777" w:rsidTr="00B466C9">
        <w:tc>
          <w:tcPr>
            <w:tcW w:w="11052" w:type="dxa"/>
            <w:gridSpan w:val="15"/>
          </w:tcPr>
          <w:p w14:paraId="0B105DFC" w14:textId="77777777" w:rsidR="0077095D" w:rsidRPr="007E7577" w:rsidRDefault="0077095D" w:rsidP="006C7438">
            <w:pPr>
              <w:pStyle w:val="ListParagraph"/>
              <w:numPr>
                <w:ilvl w:val="0"/>
                <w:numId w:val="4"/>
              </w:numPr>
              <w:jc w:val="left"/>
              <w:rPr>
                <w:rFonts w:cstheme="minorHAnsi"/>
                <w:b/>
                <w:sz w:val="28"/>
                <w:szCs w:val="28"/>
              </w:rPr>
            </w:pPr>
            <w:r w:rsidRPr="007E7577">
              <w:rPr>
                <w:rFonts w:cstheme="minorHAnsi"/>
                <w:b/>
                <w:sz w:val="28"/>
                <w:szCs w:val="28"/>
              </w:rPr>
              <w:t>APT</w:t>
            </w:r>
          </w:p>
        </w:tc>
      </w:tr>
      <w:tr w:rsidR="0077095D" w:rsidRPr="00D93A66" w14:paraId="44D225BC" w14:textId="77777777" w:rsidTr="00D834DA">
        <w:trPr>
          <w:trHeight w:val="596"/>
        </w:trPr>
        <w:tc>
          <w:tcPr>
            <w:tcW w:w="2917" w:type="dxa"/>
            <w:gridSpan w:val="4"/>
          </w:tcPr>
          <w:p w14:paraId="2021E847" w14:textId="77777777" w:rsidR="0077095D" w:rsidRPr="00D93A66" w:rsidRDefault="0077095D" w:rsidP="00D93A66">
            <w:pPr>
              <w:jc w:val="center"/>
              <w:rPr>
                <w:rFonts w:cstheme="minorHAnsi"/>
                <w:b/>
                <w:sz w:val="24"/>
                <w:szCs w:val="24"/>
              </w:rPr>
            </w:pPr>
            <w:r>
              <w:rPr>
                <w:rFonts w:cstheme="minorHAnsi"/>
                <w:b/>
                <w:sz w:val="24"/>
                <w:szCs w:val="24"/>
              </w:rPr>
              <w:t>APT Preliminary Views</w:t>
            </w:r>
          </w:p>
          <w:p w14:paraId="4FD8B778" w14:textId="77777777" w:rsidR="0077095D" w:rsidRPr="00D93A66" w:rsidRDefault="0077095D" w:rsidP="00B63CF7">
            <w:pPr>
              <w:jc w:val="center"/>
              <w:rPr>
                <w:rFonts w:cstheme="minorHAnsi"/>
                <w:b/>
                <w:sz w:val="24"/>
                <w:szCs w:val="24"/>
              </w:rPr>
            </w:pPr>
            <w:r>
              <w:rPr>
                <w:rFonts w:cstheme="minorHAnsi"/>
                <w:bCs/>
                <w:sz w:val="24"/>
                <w:szCs w:val="24"/>
              </w:rPr>
              <w:t>CPM23-2/</w:t>
            </w:r>
            <w:proofErr w:type="spellStart"/>
            <w:r>
              <w:rPr>
                <w:rFonts w:cstheme="minorHAnsi"/>
                <w:bCs/>
                <w:sz w:val="24"/>
                <w:szCs w:val="24"/>
              </w:rPr>
              <w:t>xxxx</w:t>
            </w:r>
            <w:proofErr w:type="spellEnd"/>
          </w:p>
        </w:tc>
        <w:tc>
          <w:tcPr>
            <w:tcW w:w="8135" w:type="dxa"/>
            <w:gridSpan w:val="11"/>
          </w:tcPr>
          <w:p w14:paraId="35BD0CB3" w14:textId="595B3FC3" w:rsidR="00BE4186" w:rsidRPr="00BE4186" w:rsidRDefault="00BE4186" w:rsidP="00BE4186">
            <w:pPr>
              <w:wordWrap/>
              <w:rPr>
                <w:rFonts w:cstheme="minorHAnsi"/>
                <w:bCs/>
                <w:sz w:val="24"/>
                <w:szCs w:val="24"/>
                <w:lang w:eastAsia="zh-CN"/>
              </w:rPr>
            </w:pPr>
            <w:r w:rsidRPr="00BE4186">
              <w:rPr>
                <w:rFonts w:cstheme="minorHAnsi"/>
                <w:bCs/>
                <w:sz w:val="24"/>
                <w:szCs w:val="24"/>
                <w:lang w:eastAsia="zh-CN"/>
              </w:rPr>
              <w:t>For the APT Preliminary Views on the Agenda item adopted at APG</w:t>
            </w:r>
            <w:r>
              <w:rPr>
                <w:rFonts w:cstheme="minorHAnsi"/>
                <w:bCs/>
                <w:sz w:val="24"/>
                <w:szCs w:val="24"/>
                <w:lang w:eastAsia="zh-CN"/>
              </w:rPr>
              <w:t>23</w:t>
            </w:r>
            <w:r w:rsidRPr="00BE4186">
              <w:rPr>
                <w:rFonts w:cstheme="minorHAnsi"/>
                <w:bCs/>
                <w:sz w:val="24"/>
                <w:szCs w:val="24"/>
                <w:lang w:eastAsia="zh-CN"/>
              </w:rPr>
              <w:t>-</w:t>
            </w:r>
            <w:r>
              <w:rPr>
                <w:rFonts w:cstheme="minorHAnsi"/>
                <w:bCs/>
                <w:sz w:val="24"/>
                <w:szCs w:val="24"/>
                <w:lang w:eastAsia="zh-CN"/>
              </w:rPr>
              <w:t>5</w:t>
            </w:r>
            <w:r w:rsidRPr="00BE4186">
              <w:rPr>
                <w:rFonts w:cstheme="minorHAnsi"/>
                <w:bCs/>
                <w:sz w:val="24"/>
                <w:szCs w:val="24"/>
                <w:lang w:eastAsia="zh-CN"/>
              </w:rPr>
              <w:t>, please refer to the output document of APG</w:t>
            </w:r>
            <w:r>
              <w:rPr>
                <w:rFonts w:cstheme="minorHAnsi"/>
                <w:bCs/>
                <w:sz w:val="24"/>
                <w:szCs w:val="24"/>
                <w:lang w:eastAsia="zh-CN"/>
              </w:rPr>
              <w:t>23</w:t>
            </w:r>
            <w:r w:rsidRPr="00BE4186">
              <w:rPr>
                <w:rFonts w:cstheme="minorHAnsi"/>
                <w:bCs/>
                <w:sz w:val="24"/>
                <w:szCs w:val="24"/>
                <w:lang w:eastAsia="zh-CN"/>
              </w:rPr>
              <w:t>-</w:t>
            </w:r>
            <w:r>
              <w:rPr>
                <w:rFonts w:cstheme="minorHAnsi"/>
                <w:bCs/>
                <w:sz w:val="24"/>
                <w:szCs w:val="24"/>
                <w:lang w:eastAsia="zh-CN"/>
              </w:rPr>
              <w:t>5</w:t>
            </w:r>
            <w:r w:rsidRPr="00BE4186">
              <w:rPr>
                <w:rFonts w:cstheme="minorHAnsi"/>
                <w:bCs/>
                <w:sz w:val="24"/>
                <w:szCs w:val="24"/>
                <w:lang w:eastAsia="zh-CN"/>
              </w:rPr>
              <w:t xml:space="preserve"> meeting (Doc. </w:t>
            </w:r>
            <w:hyperlink r:id="rId7" w:history="1">
              <w:r w:rsidRPr="00F33BB9">
                <w:rPr>
                  <w:rStyle w:val="Hyperlink"/>
                  <w:rFonts w:cstheme="minorHAnsi"/>
                  <w:bCs/>
                  <w:sz w:val="24"/>
                  <w:szCs w:val="24"/>
                  <w:lang w:eastAsia="zh-CN"/>
                </w:rPr>
                <w:t>APG</w:t>
              </w:r>
              <w:r w:rsidR="00E81305" w:rsidRPr="00F33BB9">
                <w:rPr>
                  <w:rStyle w:val="Hyperlink"/>
                  <w:rFonts w:cstheme="minorHAnsi"/>
                  <w:bCs/>
                  <w:sz w:val="24"/>
                  <w:szCs w:val="24"/>
                  <w:lang w:eastAsia="zh-CN"/>
                </w:rPr>
                <w:t>23</w:t>
              </w:r>
              <w:r w:rsidRPr="00F33BB9">
                <w:rPr>
                  <w:rStyle w:val="Hyperlink"/>
                  <w:rFonts w:cstheme="minorHAnsi"/>
                  <w:bCs/>
                  <w:sz w:val="24"/>
                  <w:szCs w:val="24"/>
                  <w:lang w:eastAsia="zh-CN"/>
                </w:rPr>
                <w:t>-5/OUT-</w:t>
              </w:r>
              <w:r w:rsidR="00E81305" w:rsidRPr="00F33BB9">
                <w:rPr>
                  <w:rStyle w:val="Hyperlink"/>
                  <w:rFonts w:cstheme="minorHAnsi"/>
                  <w:bCs/>
                  <w:sz w:val="24"/>
                  <w:szCs w:val="24"/>
                  <w:lang w:eastAsia="zh-CN"/>
                </w:rPr>
                <w:t>21</w:t>
              </w:r>
            </w:hyperlink>
            <w:r w:rsidRPr="00BE4186">
              <w:rPr>
                <w:rFonts w:cstheme="minorHAnsi"/>
                <w:bCs/>
                <w:sz w:val="24"/>
                <w:szCs w:val="24"/>
                <w:lang w:eastAsia="zh-CN"/>
              </w:rPr>
              <w:t>).</w:t>
            </w:r>
          </w:p>
          <w:p w14:paraId="480361F7" w14:textId="72D080BD" w:rsidR="0077095D" w:rsidRPr="00E00EC9" w:rsidRDefault="00BE4186" w:rsidP="00BE4186">
            <w:pPr>
              <w:wordWrap/>
              <w:jc w:val="center"/>
              <w:rPr>
                <w:rFonts w:cstheme="minorHAnsi"/>
                <w:bCs/>
                <w:sz w:val="24"/>
                <w:szCs w:val="24"/>
                <w:lang w:eastAsia="zh-CN"/>
              </w:rPr>
            </w:pPr>
            <w:r w:rsidRPr="00BE4186">
              <w:rPr>
                <w:rFonts w:cstheme="minorHAnsi"/>
                <w:bCs/>
                <w:sz w:val="24"/>
                <w:szCs w:val="24"/>
                <w:lang w:eastAsia="zh-CN"/>
              </w:rPr>
              <w:t>APT did not submit input contribution to CPM</w:t>
            </w:r>
            <w:r>
              <w:rPr>
                <w:rFonts w:cstheme="minorHAnsi"/>
                <w:bCs/>
                <w:sz w:val="24"/>
                <w:szCs w:val="24"/>
                <w:lang w:eastAsia="zh-CN"/>
              </w:rPr>
              <w:t>23-</w:t>
            </w:r>
            <w:r w:rsidRPr="00BE4186">
              <w:rPr>
                <w:rFonts w:cstheme="minorHAnsi"/>
                <w:bCs/>
                <w:sz w:val="24"/>
                <w:szCs w:val="24"/>
                <w:lang w:eastAsia="zh-CN"/>
              </w:rPr>
              <w:t>2 meeting on this Agenda item.</w:t>
            </w:r>
          </w:p>
        </w:tc>
      </w:tr>
      <w:tr w:rsidR="0077095D" w:rsidRPr="00D93A66" w14:paraId="2422B73B" w14:textId="77777777" w:rsidTr="00B466C9">
        <w:trPr>
          <w:trHeight w:val="889"/>
        </w:trPr>
        <w:tc>
          <w:tcPr>
            <w:tcW w:w="2917" w:type="dxa"/>
            <w:gridSpan w:val="4"/>
          </w:tcPr>
          <w:p w14:paraId="4CFE7171" w14:textId="77777777" w:rsidR="0077095D" w:rsidRPr="00D93A66" w:rsidRDefault="0077095D" w:rsidP="00D93A66">
            <w:pPr>
              <w:jc w:val="center"/>
              <w:rPr>
                <w:rFonts w:cstheme="minorHAnsi"/>
                <w:b/>
                <w:sz w:val="24"/>
                <w:szCs w:val="24"/>
              </w:rPr>
            </w:pPr>
            <w:r>
              <w:rPr>
                <w:rFonts w:cstheme="minorHAnsi"/>
                <w:b/>
                <w:sz w:val="24"/>
                <w:szCs w:val="24"/>
              </w:rPr>
              <w:t>APT Views for modification of CPM Report</w:t>
            </w:r>
          </w:p>
          <w:p w14:paraId="5852D537" w14:textId="77777777" w:rsidR="0077095D" w:rsidRPr="00D93A66" w:rsidRDefault="0077095D" w:rsidP="00447DE1">
            <w:pPr>
              <w:jc w:val="center"/>
              <w:rPr>
                <w:rFonts w:cstheme="minorHAnsi"/>
                <w:b/>
                <w:sz w:val="24"/>
                <w:szCs w:val="24"/>
              </w:rPr>
            </w:pPr>
            <w:r>
              <w:rPr>
                <w:rFonts w:cstheme="minorHAnsi"/>
                <w:bCs/>
                <w:sz w:val="24"/>
                <w:szCs w:val="24"/>
              </w:rPr>
              <w:t>CPM23-2/</w:t>
            </w:r>
            <w:proofErr w:type="spellStart"/>
            <w:r>
              <w:rPr>
                <w:rFonts w:cstheme="minorHAnsi"/>
                <w:bCs/>
                <w:sz w:val="24"/>
                <w:szCs w:val="24"/>
              </w:rPr>
              <w:t>xxxx</w:t>
            </w:r>
            <w:proofErr w:type="spellEnd"/>
          </w:p>
        </w:tc>
        <w:tc>
          <w:tcPr>
            <w:tcW w:w="8135" w:type="dxa"/>
            <w:gridSpan w:val="11"/>
          </w:tcPr>
          <w:p w14:paraId="7F6A17DF" w14:textId="3646465E" w:rsidR="0077095D" w:rsidRPr="00E00EC9" w:rsidRDefault="00C97964" w:rsidP="00021CDB">
            <w:pPr>
              <w:jc w:val="center"/>
              <w:rPr>
                <w:rFonts w:cstheme="minorHAnsi"/>
                <w:bCs/>
                <w:sz w:val="24"/>
                <w:szCs w:val="24"/>
              </w:rPr>
            </w:pPr>
            <w:r>
              <w:rPr>
                <w:rFonts w:cstheme="minorHAnsi" w:hint="eastAsia"/>
                <w:bCs/>
                <w:sz w:val="24"/>
                <w:szCs w:val="24"/>
                <w:lang w:eastAsia="zh-CN"/>
              </w:rPr>
              <w:t>N</w:t>
            </w:r>
            <w:r>
              <w:rPr>
                <w:rFonts w:cstheme="minorHAnsi"/>
                <w:bCs/>
                <w:sz w:val="24"/>
                <w:szCs w:val="24"/>
                <w:lang w:eastAsia="zh-CN"/>
              </w:rPr>
              <w:t>one.</w:t>
            </w:r>
          </w:p>
        </w:tc>
      </w:tr>
      <w:tr w:rsidR="0077095D" w:rsidRPr="00D93A66" w14:paraId="7E7C5100" w14:textId="77777777" w:rsidTr="00B466C9">
        <w:tc>
          <w:tcPr>
            <w:tcW w:w="2917" w:type="dxa"/>
            <w:gridSpan w:val="4"/>
          </w:tcPr>
          <w:p w14:paraId="62DC1797" w14:textId="77777777" w:rsidR="006C7438" w:rsidRDefault="0077095D" w:rsidP="0077095D">
            <w:pPr>
              <w:jc w:val="center"/>
              <w:rPr>
                <w:rFonts w:cstheme="minorHAnsi"/>
                <w:b/>
                <w:sz w:val="24"/>
                <w:szCs w:val="24"/>
              </w:rPr>
            </w:pPr>
            <w:r>
              <w:rPr>
                <w:rFonts w:cstheme="minorHAnsi"/>
                <w:b/>
                <w:sz w:val="24"/>
                <w:szCs w:val="24"/>
              </w:rPr>
              <w:t xml:space="preserve">Outcome from earlier </w:t>
            </w:r>
          </w:p>
          <w:p w14:paraId="3081EECC" w14:textId="77777777" w:rsidR="0077095D" w:rsidRPr="0077095D" w:rsidRDefault="0077095D" w:rsidP="0077095D">
            <w:pPr>
              <w:jc w:val="center"/>
              <w:rPr>
                <w:rFonts w:cstheme="minorHAnsi"/>
                <w:bCs/>
                <w:sz w:val="24"/>
                <w:szCs w:val="24"/>
              </w:rPr>
            </w:pPr>
            <w:r>
              <w:rPr>
                <w:rFonts w:cstheme="minorHAnsi"/>
                <w:b/>
                <w:sz w:val="24"/>
                <w:szCs w:val="24"/>
              </w:rPr>
              <w:t>APT Coord meeting</w:t>
            </w:r>
          </w:p>
        </w:tc>
        <w:tc>
          <w:tcPr>
            <w:tcW w:w="8135" w:type="dxa"/>
            <w:gridSpan w:val="11"/>
          </w:tcPr>
          <w:p w14:paraId="03B2D404" w14:textId="3246C911" w:rsidR="0077095D" w:rsidRPr="00D93A66" w:rsidRDefault="00B67FDF" w:rsidP="00D93A66">
            <w:pPr>
              <w:jc w:val="center"/>
              <w:rPr>
                <w:rFonts w:cstheme="minorHAnsi"/>
                <w:b/>
                <w:sz w:val="24"/>
                <w:szCs w:val="24"/>
              </w:rPr>
            </w:pPr>
            <w:r>
              <w:rPr>
                <w:rFonts w:cstheme="minorHAnsi" w:hint="eastAsia"/>
                <w:bCs/>
                <w:sz w:val="24"/>
                <w:szCs w:val="24"/>
                <w:lang w:eastAsia="zh-CN"/>
              </w:rPr>
              <w:t>N</w:t>
            </w:r>
            <w:r>
              <w:rPr>
                <w:rFonts w:cstheme="minorHAnsi"/>
                <w:bCs/>
                <w:sz w:val="24"/>
                <w:szCs w:val="24"/>
                <w:lang w:eastAsia="zh-CN"/>
              </w:rPr>
              <w:t>one.</w:t>
            </w:r>
          </w:p>
        </w:tc>
      </w:tr>
      <w:tr w:rsidR="0077095D" w:rsidRPr="00D93A66" w14:paraId="630837B4" w14:textId="77777777" w:rsidTr="00B466C9">
        <w:tc>
          <w:tcPr>
            <w:tcW w:w="11052" w:type="dxa"/>
            <w:gridSpan w:val="15"/>
          </w:tcPr>
          <w:p w14:paraId="023C6C02" w14:textId="77777777" w:rsidR="0077095D" w:rsidRDefault="0077095D" w:rsidP="0077095D">
            <w:pPr>
              <w:jc w:val="left"/>
              <w:rPr>
                <w:rFonts w:cstheme="minorHAnsi"/>
                <w:b/>
                <w:sz w:val="24"/>
                <w:szCs w:val="24"/>
              </w:rPr>
            </w:pPr>
          </w:p>
        </w:tc>
      </w:tr>
      <w:tr w:rsidR="0077095D" w:rsidRPr="00D93A66" w14:paraId="42097B44" w14:textId="77777777" w:rsidTr="00B466C9">
        <w:tc>
          <w:tcPr>
            <w:tcW w:w="11052" w:type="dxa"/>
            <w:gridSpan w:val="15"/>
          </w:tcPr>
          <w:p w14:paraId="4D4DF053" w14:textId="77777777" w:rsidR="0077095D" w:rsidRPr="007E7577" w:rsidRDefault="0077095D" w:rsidP="006C7438">
            <w:pPr>
              <w:pStyle w:val="ListParagraph"/>
              <w:numPr>
                <w:ilvl w:val="0"/>
                <w:numId w:val="4"/>
              </w:numPr>
              <w:jc w:val="left"/>
              <w:rPr>
                <w:rFonts w:cstheme="minorHAnsi"/>
                <w:b/>
                <w:sz w:val="28"/>
                <w:szCs w:val="28"/>
              </w:rPr>
            </w:pPr>
            <w:r w:rsidRPr="007E7577">
              <w:rPr>
                <w:rFonts w:cstheme="minorHAnsi"/>
                <w:b/>
                <w:sz w:val="28"/>
                <w:szCs w:val="28"/>
              </w:rPr>
              <w:t>Other regional groups</w:t>
            </w:r>
          </w:p>
        </w:tc>
      </w:tr>
      <w:tr w:rsidR="007E7577" w:rsidRPr="00D93A66" w14:paraId="599B9C5D" w14:textId="77777777" w:rsidTr="00B466C9">
        <w:tc>
          <w:tcPr>
            <w:tcW w:w="1853" w:type="dxa"/>
            <w:gridSpan w:val="2"/>
          </w:tcPr>
          <w:p w14:paraId="00CAB4C0" w14:textId="77777777" w:rsidR="007E7577" w:rsidRDefault="007E7577" w:rsidP="00D93A66">
            <w:pPr>
              <w:jc w:val="center"/>
              <w:rPr>
                <w:rFonts w:cstheme="minorHAnsi"/>
                <w:b/>
                <w:sz w:val="24"/>
                <w:szCs w:val="24"/>
              </w:rPr>
            </w:pPr>
          </w:p>
        </w:tc>
        <w:tc>
          <w:tcPr>
            <w:tcW w:w="1839" w:type="dxa"/>
            <w:gridSpan w:val="4"/>
          </w:tcPr>
          <w:p w14:paraId="7B84E371" w14:textId="77777777" w:rsidR="007E7577" w:rsidRDefault="007E7577" w:rsidP="00A809B7">
            <w:pPr>
              <w:jc w:val="center"/>
              <w:rPr>
                <w:rFonts w:cstheme="minorHAnsi"/>
                <w:b/>
                <w:sz w:val="24"/>
                <w:szCs w:val="24"/>
              </w:rPr>
            </w:pPr>
            <w:r>
              <w:rPr>
                <w:rFonts w:cstheme="minorHAnsi"/>
                <w:b/>
                <w:sz w:val="24"/>
                <w:szCs w:val="24"/>
              </w:rPr>
              <w:t>ATU</w:t>
            </w:r>
            <w:r>
              <w:rPr>
                <w:rFonts w:cstheme="minorHAnsi"/>
                <w:bCs/>
                <w:sz w:val="24"/>
                <w:szCs w:val="24"/>
              </w:rPr>
              <w:t xml:space="preserve"> </w:t>
            </w:r>
          </w:p>
        </w:tc>
        <w:tc>
          <w:tcPr>
            <w:tcW w:w="1840" w:type="dxa"/>
            <w:gridSpan w:val="3"/>
          </w:tcPr>
          <w:p w14:paraId="34166103" w14:textId="77777777" w:rsidR="007E7577" w:rsidRDefault="007E7577" w:rsidP="00D93A66">
            <w:pPr>
              <w:jc w:val="center"/>
              <w:rPr>
                <w:rFonts w:cstheme="minorHAnsi"/>
                <w:b/>
                <w:sz w:val="24"/>
                <w:szCs w:val="24"/>
              </w:rPr>
            </w:pPr>
            <w:r>
              <w:rPr>
                <w:rFonts w:cstheme="minorHAnsi"/>
                <w:b/>
                <w:sz w:val="24"/>
                <w:szCs w:val="24"/>
              </w:rPr>
              <w:t>ASMG</w:t>
            </w:r>
          </w:p>
        </w:tc>
        <w:tc>
          <w:tcPr>
            <w:tcW w:w="1840" w:type="dxa"/>
            <w:gridSpan w:val="3"/>
          </w:tcPr>
          <w:p w14:paraId="599471F3" w14:textId="77777777" w:rsidR="007E7577" w:rsidRDefault="007E7577" w:rsidP="00D93A66">
            <w:pPr>
              <w:jc w:val="center"/>
              <w:rPr>
                <w:rFonts w:cstheme="minorHAnsi"/>
                <w:b/>
                <w:sz w:val="24"/>
                <w:szCs w:val="24"/>
              </w:rPr>
            </w:pPr>
            <w:r>
              <w:rPr>
                <w:rFonts w:cstheme="minorHAnsi"/>
                <w:b/>
                <w:sz w:val="24"/>
                <w:szCs w:val="24"/>
              </w:rPr>
              <w:t>CEPT</w:t>
            </w:r>
          </w:p>
        </w:tc>
        <w:tc>
          <w:tcPr>
            <w:tcW w:w="1840" w:type="dxa"/>
            <w:gridSpan w:val="2"/>
          </w:tcPr>
          <w:p w14:paraId="2EE46A85" w14:textId="77777777" w:rsidR="007E7577" w:rsidRDefault="007E7577" w:rsidP="00D93A66">
            <w:pPr>
              <w:jc w:val="center"/>
              <w:rPr>
                <w:rFonts w:cstheme="minorHAnsi"/>
                <w:b/>
                <w:sz w:val="24"/>
                <w:szCs w:val="24"/>
              </w:rPr>
            </w:pPr>
            <w:r>
              <w:rPr>
                <w:rFonts w:cstheme="minorHAnsi"/>
                <w:b/>
                <w:sz w:val="24"/>
                <w:szCs w:val="24"/>
              </w:rPr>
              <w:t>CITEL</w:t>
            </w:r>
          </w:p>
        </w:tc>
        <w:tc>
          <w:tcPr>
            <w:tcW w:w="1840" w:type="dxa"/>
          </w:tcPr>
          <w:p w14:paraId="0BD731BB" w14:textId="77777777" w:rsidR="007E7577" w:rsidRDefault="007E7577" w:rsidP="00D93A66">
            <w:pPr>
              <w:jc w:val="center"/>
              <w:rPr>
                <w:rFonts w:cstheme="minorHAnsi"/>
                <w:b/>
                <w:sz w:val="24"/>
                <w:szCs w:val="24"/>
              </w:rPr>
            </w:pPr>
            <w:r>
              <w:rPr>
                <w:rFonts w:cstheme="minorHAnsi"/>
                <w:b/>
                <w:sz w:val="24"/>
                <w:szCs w:val="24"/>
              </w:rPr>
              <w:t>RCC</w:t>
            </w:r>
          </w:p>
        </w:tc>
      </w:tr>
      <w:tr w:rsidR="007E7577" w:rsidRPr="00D93A66" w14:paraId="209D857E" w14:textId="77777777" w:rsidTr="00B466C9">
        <w:tc>
          <w:tcPr>
            <w:tcW w:w="1853" w:type="dxa"/>
            <w:gridSpan w:val="2"/>
          </w:tcPr>
          <w:p w14:paraId="41CA75ED" w14:textId="77777777" w:rsidR="007E7577" w:rsidRDefault="007E7577" w:rsidP="00D93A66">
            <w:pPr>
              <w:jc w:val="center"/>
              <w:rPr>
                <w:rFonts w:cstheme="minorHAnsi"/>
                <w:b/>
                <w:sz w:val="24"/>
                <w:szCs w:val="24"/>
              </w:rPr>
            </w:pPr>
            <w:r>
              <w:rPr>
                <w:rFonts w:cstheme="minorHAnsi"/>
                <w:b/>
                <w:sz w:val="24"/>
                <w:szCs w:val="24"/>
              </w:rPr>
              <w:t>Input(s)</w:t>
            </w:r>
          </w:p>
        </w:tc>
        <w:tc>
          <w:tcPr>
            <w:tcW w:w="1839" w:type="dxa"/>
            <w:gridSpan w:val="4"/>
          </w:tcPr>
          <w:p w14:paraId="0F1ACC48" w14:textId="16C55B57" w:rsidR="007E7577" w:rsidRDefault="007E7577" w:rsidP="00D93A66">
            <w:pPr>
              <w:jc w:val="center"/>
              <w:rPr>
                <w:rFonts w:cstheme="minorHAnsi"/>
                <w:b/>
                <w:sz w:val="24"/>
                <w:szCs w:val="24"/>
              </w:rPr>
            </w:pPr>
            <w:r>
              <w:rPr>
                <w:rFonts w:cstheme="minorHAnsi"/>
                <w:bCs/>
                <w:sz w:val="24"/>
                <w:szCs w:val="24"/>
              </w:rPr>
              <w:t>CPM23-2/</w:t>
            </w:r>
            <w:r w:rsidR="00154856">
              <w:rPr>
                <w:rFonts w:cstheme="minorHAnsi"/>
                <w:bCs/>
                <w:sz w:val="24"/>
                <w:szCs w:val="24"/>
              </w:rPr>
              <w:t>135</w:t>
            </w:r>
          </w:p>
        </w:tc>
        <w:tc>
          <w:tcPr>
            <w:tcW w:w="1840" w:type="dxa"/>
            <w:gridSpan w:val="3"/>
          </w:tcPr>
          <w:p w14:paraId="121BAF11" w14:textId="1A36B108" w:rsidR="007E7577" w:rsidRDefault="007E7577" w:rsidP="00D93A66">
            <w:pPr>
              <w:jc w:val="center"/>
              <w:rPr>
                <w:rFonts w:cstheme="minorHAnsi"/>
                <w:b/>
                <w:sz w:val="24"/>
                <w:szCs w:val="24"/>
              </w:rPr>
            </w:pPr>
            <w:r>
              <w:rPr>
                <w:rFonts w:cstheme="minorHAnsi"/>
                <w:bCs/>
                <w:sz w:val="24"/>
                <w:szCs w:val="24"/>
              </w:rPr>
              <w:t>CPM23-2/</w:t>
            </w:r>
            <w:r w:rsidR="002409EA">
              <w:rPr>
                <w:rFonts w:cstheme="minorHAnsi"/>
                <w:bCs/>
                <w:sz w:val="24"/>
                <w:szCs w:val="24"/>
              </w:rPr>
              <w:t>47</w:t>
            </w:r>
          </w:p>
        </w:tc>
        <w:tc>
          <w:tcPr>
            <w:tcW w:w="1840" w:type="dxa"/>
            <w:gridSpan w:val="3"/>
          </w:tcPr>
          <w:p w14:paraId="4B17C889" w14:textId="77777777" w:rsidR="007E7577" w:rsidRDefault="007E7577" w:rsidP="00D93A66">
            <w:pPr>
              <w:jc w:val="center"/>
              <w:rPr>
                <w:rFonts w:cstheme="minorHAnsi"/>
                <w:b/>
                <w:sz w:val="24"/>
                <w:szCs w:val="24"/>
              </w:rPr>
            </w:pPr>
            <w:r>
              <w:rPr>
                <w:rFonts w:cstheme="minorHAnsi"/>
                <w:bCs/>
                <w:sz w:val="24"/>
                <w:szCs w:val="24"/>
              </w:rPr>
              <w:t>CPM23-2/</w:t>
            </w:r>
            <w:proofErr w:type="spellStart"/>
            <w:r>
              <w:rPr>
                <w:rFonts w:cstheme="minorHAnsi"/>
                <w:bCs/>
                <w:sz w:val="24"/>
                <w:szCs w:val="24"/>
              </w:rPr>
              <w:t>xxxx</w:t>
            </w:r>
            <w:proofErr w:type="spellEnd"/>
          </w:p>
        </w:tc>
        <w:tc>
          <w:tcPr>
            <w:tcW w:w="1840" w:type="dxa"/>
            <w:gridSpan w:val="2"/>
          </w:tcPr>
          <w:p w14:paraId="6A7513CC" w14:textId="77777777" w:rsidR="007E7577" w:rsidRDefault="007E7577" w:rsidP="00D93A66">
            <w:pPr>
              <w:jc w:val="center"/>
              <w:rPr>
                <w:rFonts w:cstheme="minorHAnsi"/>
                <w:b/>
                <w:sz w:val="24"/>
                <w:szCs w:val="24"/>
              </w:rPr>
            </w:pPr>
            <w:r>
              <w:rPr>
                <w:rFonts w:cstheme="minorHAnsi"/>
                <w:bCs/>
                <w:sz w:val="24"/>
                <w:szCs w:val="24"/>
              </w:rPr>
              <w:t>CPM23-2/</w:t>
            </w:r>
            <w:proofErr w:type="spellStart"/>
            <w:r>
              <w:rPr>
                <w:rFonts w:cstheme="minorHAnsi"/>
                <w:bCs/>
                <w:sz w:val="24"/>
                <w:szCs w:val="24"/>
              </w:rPr>
              <w:t>xxxx</w:t>
            </w:r>
            <w:proofErr w:type="spellEnd"/>
          </w:p>
        </w:tc>
        <w:tc>
          <w:tcPr>
            <w:tcW w:w="1840" w:type="dxa"/>
          </w:tcPr>
          <w:p w14:paraId="288565C2" w14:textId="77777777" w:rsidR="007E7577" w:rsidRDefault="007E7577" w:rsidP="00D93A66">
            <w:pPr>
              <w:jc w:val="center"/>
              <w:rPr>
                <w:rFonts w:cstheme="minorHAnsi"/>
                <w:b/>
                <w:sz w:val="24"/>
                <w:szCs w:val="24"/>
              </w:rPr>
            </w:pPr>
            <w:r>
              <w:rPr>
                <w:rFonts w:cstheme="minorHAnsi"/>
                <w:bCs/>
                <w:sz w:val="24"/>
                <w:szCs w:val="24"/>
              </w:rPr>
              <w:t>CPM23-2/</w:t>
            </w:r>
            <w:proofErr w:type="spellStart"/>
            <w:r>
              <w:rPr>
                <w:rFonts w:cstheme="minorHAnsi"/>
                <w:bCs/>
                <w:sz w:val="24"/>
                <w:szCs w:val="24"/>
              </w:rPr>
              <w:t>xxxx</w:t>
            </w:r>
            <w:proofErr w:type="spellEnd"/>
          </w:p>
        </w:tc>
      </w:tr>
      <w:tr w:rsidR="007E7577" w:rsidRPr="00D93A66" w14:paraId="7CB7B064" w14:textId="77777777" w:rsidTr="00B466C9">
        <w:tc>
          <w:tcPr>
            <w:tcW w:w="1853" w:type="dxa"/>
            <w:gridSpan w:val="2"/>
          </w:tcPr>
          <w:p w14:paraId="5616E739" w14:textId="77777777" w:rsidR="007E7577" w:rsidRDefault="007E7577" w:rsidP="00D93A66">
            <w:pPr>
              <w:jc w:val="center"/>
              <w:rPr>
                <w:rFonts w:cstheme="minorHAnsi"/>
                <w:b/>
                <w:sz w:val="24"/>
                <w:szCs w:val="24"/>
              </w:rPr>
            </w:pPr>
            <w:r>
              <w:rPr>
                <w:rFonts w:cstheme="minorHAnsi"/>
                <w:b/>
                <w:sz w:val="24"/>
                <w:szCs w:val="24"/>
              </w:rPr>
              <w:t>Summary of views/proposals</w:t>
            </w:r>
          </w:p>
        </w:tc>
        <w:tc>
          <w:tcPr>
            <w:tcW w:w="1839" w:type="dxa"/>
            <w:gridSpan w:val="4"/>
          </w:tcPr>
          <w:p w14:paraId="47B1553E" w14:textId="2F52965C" w:rsidR="007E7577" w:rsidRPr="00B908A8" w:rsidRDefault="00B908A8" w:rsidP="00B908A8">
            <w:pPr>
              <w:wordWrap/>
              <w:jc w:val="left"/>
              <w:rPr>
                <w:rFonts w:cstheme="minorHAnsi"/>
                <w:bCs/>
                <w:sz w:val="24"/>
                <w:szCs w:val="24"/>
                <w:lang w:eastAsia="zh-CN"/>
              </w:rPr>
            </w:pPr>
            <w:r>
              <w:rPr>
                <w:rFonts w:cstheme="minorHAnsi"/>
                <w:bCs/>
                <w:sz w:val="24"/>
                <w:szCs w:val="24"/>
                <w:lang w:eastAsia="zh-CN"/>
              </w:rPr>
              <w:t>T</w:t>
            </w:r>
            <w:r w:rsidRPr="00B908A8">
              <w:rPr>
                <w:rFonts w:cstheme="minorHAnsi"/>
                <w:bCs/>
                <w:sz w:val="24"/>
                <w:szCs w:val="24"/>
                <w:lang w:eastAsia="zh-CN"/>
              </w:rPr>
              <w:t>he proposed modifications seek to provide reasons for the No Change method, as well as, adding adjacent frequency bands to Method D (RAS).</w:t>
            </w:r>
          </w:p>
        </w:tc>
        <w:tc>
          <w:tcPr>
            <w:tcW w:w="1840" w:type="dxa"/>
            <w:gridSpan w:val="3"/>
          </w:tcPr>
          <w:p w14:paraId="791FF5B3" w14:textId="28355107" w:rsidR="007E7577" w:rsidRPr="00B908A8" w:rsidRDefault="00B908A8" w:rsidP="00B908A8">
            <w:pPr>
              <w:wordWrap/>
              <w:jc w:val="left"/>
              <w:rPr>
                <w:rFonts w:cstheme="minorHAnsi"/>
                <w:bCs/>
                <w:sz w:val="24"/>
                <w:szCs w:val="24"/>
                <w:lang w:eastAsia="zh-CN"/>
              </w:rPr>
            </w:pPr>
            <w:r>
              <w:rPr>
                <w:rFonts w:cstheme="minorHAnsi" w:hint="eastAsia"/>
                <w:bCs/>
                <w:sz w:val="24"/>
                <w:szCs w:val="24"/>
                <w:lang w:eastAsia="zh-CN"/>
              </w:rPr>
              <w:t>S</w:t>
            </w:r>
            <w:r>
              <w:rPr>
                <w:rFonts w:cstheme="minorHAnsi"/>
                <w:bCs/>
                <w:sz w:val="24"/>
                <w:szCs w:val="24"/>
                <w:lang w:eastAsia="zh-CN"/>
              </w:rPr>
              <w:t xml:space="preserve">ome modifications were made for Method (D) and emphasizing that </w:t>
            </w:r>
            <w:r w:rsidRPr="00B908A8">
              <w:rPr>
                <w:rFonts w:cstheme="minorHAnsi"/>
                <w:bCs/>
                <w:sz w:val="24"/>
                <w:szCs w:val="24"/>
              </w:rPr>
              <w:t>Method (A) “No Change” must be kept in the CPM text.</w:t>
            </w:r>
          </w:p>
        </w:tc>
        <w:tc>
          <w:tcPr>
            <w:tcW w:w="1840" w:type="dxa"/>
            <w:gridSpan w:val="3"/>
          </w:tcPr>
          <w:p w14:paraId="5A21CD7C" w14:textId="77777777" w:rsidR="007E7577" w:rsidRDefault="007E7577" w:rsidP="00D93A66">
            <w:pPr>
              <w:jc w:val="center"/>
              <w:rPr>
                <w:rFonts w:cstheme="minorHAnsi"/>
                <w:b/>
                <w:sz w:val="24"/>
                <w:szCs w:val="24"/>
              </w:rPr>
            </w:pPr>
          </w:p>
        </w:tc>
        <w:tc>
          <w:tcPr>
            <w:tcW w:w="1840" w:type="dxa"/>
            <w:gridSpan w:val="2"/>
          </w:tcPr>
          <w:p w14:paraId="5DD4F8D1" w14:textId="77777777" w:rsidR="007E7577" w:rsidRDefault="007E7577" w:rsidP="00D93A66">
            <w:pPr>
              <w:jc w:val="center"/>
              <w:rPr>
                <w:rFonts w:cstheme="minorHAnsi"/>
                <w:b/>
                <w:sz w:val="24"/>
                <w:szCs w:val="24"/>
              </w:rPr>
            </w:pPr>
          </w:p>
        </w:tc>
        <w:tc>
          <w:tcPr>
            <w:tcW w:w="1840" w:type="dxa"/>
          </w:tcPr>
          <w:p w14:paraId="4E5A63E9" w14:textId="77777777" w:rsidR="007E7577" w:rsidRDefault="007E7577" w:rsidP="00D93A66">
            <w:pPr>
              <w:jc w:val="center"/>
              <w:rPr>
                <w:rFonts w:cstheme="minorHAnsi"/>
                <w:b/>
                <w:sz w:val="24"/>
                <w:szCs w:val="24"/>
              </w:rPr>
            </w:pPr>
          </w:p>
        </w:tc>
      </w:tr>
      <w:tr w:rsidR="006C7438" w:rsidRPr="00D93A66" w14:paraId="74501590" w14:textId="77777777" w:rsidTr="00B466C9">
        <w:tc>
          <w:tcPr>
            <w:tcW w:w="11052" w:type="dxa"/>
            <w:gridSpan w:val="15"/>
          </w:tcPr>
          <w:p w14:paraId="2DF6E8DC" w14:textId="77777777" w:rsidR="006C7438" w:rsidRPr="006C7438" w:rsidRDefault="006C7438" w:rsidP="006C7438">
            <w:pPr>
              <w:jc w:val="left"/>
              <w:rPr>
                <w:rFonts w:cstheme="minorHAnsi"/>
                <w:b/>
                <w:sz w:val="24"/>
                <w:szCs w:val="24"/>
              </w:rPr>
            </w:pPr>
          </w:p>
        </w:tc>
      </w:tr>
      <w:tr w:rsidR="0077095D" w:rsidRPr="00D93A66" w14:paraId="33D39441" w14:textId="77777777" w:rsidTr="00B466C9">
        <w:tc>
          <w:tcPr>
            <w:tcW w:w="11052" w:type="dxa"/>
            <w:gridSpan w:val="15"/>
          </w:tcPr>
          <w:p w14:paraId="3F5826C1" w14:textId="77777777" w:rsidR="0077095D" w:rsidRPr="007E7577" w:rsidRDefault="007E7577" w:rsidP="006C7438">
            <w:pPr>
              <w:pStyle w:val="ListParagraph"/>
              <w:numPr>
                <w:ilvl w:val="0"/>
                <w:numId w:val="4"/>
              </w:numPr>
              <w:jc w:val="left"/>
              <w:rPr>
                <w:rFonts w:cstheme="minorHAnsi"/>
                <w:b/>
                <w:sz w:val="28"/>
                <w:szCs w:val="28"/>
              </w:rPr>
            </w:pPr>
            <w:r>
              <w:rPr>
                <w:rFonts w:cstheme="minorHAnsi"/>
                <w:b/>
                <w:sz w:val="28"/>
                <w:szCs w:val="28"/>
              </w:rPr>
              <w:t>Summary of discussion</w:t>
            </w:r>
            <w:r w:rsidR="00FE6D23">
              <w:rPr>
                <w:rFonts w:cstheme="minorHAnsi"/>
                <w:b/>
                <w:sz w:val="28"/>
                <w:szCs w:val="28"/>
              </w:rPr>
              <w:t>s</w:t>
            </w:r>
            <w:r>
              <w:rPr>
                <w:rFonts w:cstheme="minorHAnsi"/>
                <w:b/>
                <w:sz w:val="28"/>
                <w:szCs w:val="28"/>
              </w:rPr>
              <w:t xml:space="preserve"> during CPM23-</w:t>
            </w:r>
            <w:r w:rsidR="00580AA6">
              <w:rPr>
                <w:rFonts w:cstheme="minorHAnsi"/>
                <w:b/>
                <w:sz w:val="28"/>
                <w:szCs w:val="28"/>
              </w:rPr>
              <w:t>2</w:t>
            </w:r>
          </w:p>
        </w:tc>
      </w:tr>
      <w:tr w:rsidR="006C7438" w:rsidRPr="00D93A66" w14:paraId="1433002E" w14:textId="77777777" w:rsidTr="00B466C9">
        <w:tc>
          <w:tcPr>
            <w:tcW w:w="3397" w:type="dxa"/>
            <w:gridSpan w:val="5"/>
          </w:tcPr>
          <w:p w14:paraId="56EB48CB" w14:textId="77777777" w:rsidR="006C7438" w:rsidRPr="006C7438" w:rsidRDefault="006C7438" w:rsidP="006C7438">
            <w:pPr>
              <w:jc w:val="left"/>
              <w:rPr>
                <w:rFonts w:cstheme="minorHAnsi"/>
                <w:b/>
                <w:sz w:val="24"/>
                <w:szCs w:val="24"/>
              </w:rPr>
            </w:pPr>
            <w:r w:rsidRPr="006C7438">
              <w:rPr>
                <w:rFonts w:cstheme="minorHAnsi"/>
                <w:b/>
                <w:sz w:val="24"/>
                <w:szCs w:val="24"/>
              </w:rPr>
              <w:t>Working documents</w:t>
            </w:r>
            <w:r>
              <w:rPr>
                <w:rFonts w:cstheme="minorHAnsi"/>
                <w:b/>
                <w:sz w:val="24"/>
                <w:szCs w:val="24"/>
              </w:rPr>
              <w:t>/</w:t>
            </w:r>
            <w:r w:rsidRPr="006C7438">
              <w:rPr>
                <w:rFonts w:cstheme="minorHAnsi"/>
                <w:b/>
                <w:sz w:val="24"/>
                <w:szCs w:val="24"/>
              </w:rPr>
              <w:t>TEMPs</w:t>
            </w:r>
            <w:r>
              <w:rPr>
                <w:rFonts w:cstheme="minorHAnsi"/>
                <w:b/>
                <w:sz w:val="24"/>
                <w:szCs w:val="24"/>
              </w:rPr>
              <w:t xml:space="preserve"> </w:t>
            </w:r>
            <w:proofErr w:type="spellStart"/>
            <w:r>
              <w:rPr>
                <w:rFonts w:cstheme="minorHAnsi"/>
                <w:b/>
                <w:sz w:val="24"/>
                <w:szCs w:val="24"/>
              </w:rPr>
              <w:t>etc</w:t>
            </w:r>
            <w:proofErr w:type="spellEnd"/>
          </w:p>
        </w:tc>
        <w:tc>
          <w:tcPr>
            <w:tcW w:w="7655" w:type="dxa"/>
            <w:gridSpan w:val="10"/>
          </w:tcPr>
          <w:p w14:paraId="1D5130DF" w14:textId="53AD8936" w:rsidR="006C7438" w:rsidRPr="00195F6D" w:rsidRDefault="00E55BB2" w:rsidP="006C7438">
            <w:pPr>
              <w:jc w:val="left"/>
              <w:rPr>
                <w:color w:val="000000" w:themeColor="text1"/>
                <w:sz w:val="24"/>
                <w:szCs w:val="24"/>
              </w:rPr>
            </w:pPr>
            <w:r w:rsidRPr="00195F6D">
              <w:rPr>
                <w:color w:val="000000" w:themeColor="text1"/>
                <w:sz w:val="24"/>
                <w:szCs w:val="24"/>
              </w:rPr>
              <w:t xml:space="preserve">Working documents: </w:t>
            </w:r>
            <w:hyperlink r:id="rId8" w:history="1">
              <w:r w:rsidR="00154856" w:rsidRPr="000E0BFB">
                <w:rPr>
                  <w:rStyle w:val="Hyperlink"/>
                  <w:color w:val="2E74B5" w:themeColor="accent5" w:themeShade="BF"/>
                  <w:sz w:val="24"/>
                  <w:szCs w:val="24"/>
                </w:rPr>
                <w:t>1+c1</w:t>
              </w:r>
            </w:hyperlink>
            <w:r w:rsidR="00154856" w:rsidRPr="000E0BFB">
              <w:rPr>
                <w:color w:val="2E74B5" w:themeColor="accent5" w:themeShade="BF"/>
                <w:sz w:val="24"/>
                <w:szCs w:val="24"/>
              </w:rPr>
              <w:t xml:space="preserve">*, </w:t>
            </w:r>
            <w:hyperlink r:id="rId9" w:history="1">
              <w:r w:rsidR="00154856" w:rsidRPr="000E0BFB">
                <w:rPr>
                  <w:rStyle w:val="Hyperlink"/>
                  <w:color w:val="2E74B5" w:themeColor="accent5" w:themeShade="BF"/>
                  <w:sz w:val="24"/>
                  <w:szCs w:val="24"/>
                </w:rPr>
                <w:t>5 (IUCAF)</w:t>
              </w:r>
            </w:hyperlink>
            <w:r w:rsidR="00154856" w:rsidRPr="000E0BFB">
              <w:rPr>
                <w:color w:val="2E74B5" w:themeColor="accent5" w:themeShade="BF"/>
                <w:sz w:val="24"/>
                <w:szCs w:val="24"/>
              </w:rPr>
              <w:t xml:space="preserve">*, </w:t>
            </w:r>
            <w:hyperlink r:id="rId10" w:history="1">
              <w:r w:rsidR="00154856" w:rsidRPr="000E0BFB">
                <w:rPr>
                  <w:rStyle w:val="Hyperlink"/>
                  <w:color w:val="2E74B5" w:themeColor="accent5" w:themeShade="BF"/>
                  <w:sz w:val="24"/>
                  <w:szCs w:val="24"/>
                </w:rPr>
                <w:t>16 (ICAO)</w:t>
              </w:r>
            </w:hyperlink>
            <w:r w:rsidR="00154856" w:rsidRPr="000E0BFB">
              <w:rPr>
                <w:color w:val="2E74B5" w:themeColor="accent5" w:themeShade="BF"/>
                <w:sz w:val="24"/>
                <w:szCs w:val="24"/>
              </w:rPr>
              <w:t xml:space="preserve">*, </w:t>
            </w:r>
            <w:hyperlink r:id="rId11" w:history="1">
              <w:r w:rsidR="00154856" w:rsidRPr="000E0BFB">
                <w:rPr>
                  <w:rStyle w:val="Hyperlink"/>
                  <w:color w:val="2E74B5" w:themeColor="accent5" w:themeShade="BF"/>
                  <w:sz w:val="24"/>
                  <w:szCs w:val="24"/>
                </w:rPr>
                <w:t>47 (ASMG/ARB)</w:t>
              </w:r>
            </w:hyperlink>
            <w:r w:rsidR="00154856" w:rsidRPr="000E0BFB">
              <w:rPr>
                <w:color w:val="2E74B5" w:themeColor="accent5" w:themeShade="BF"/>
                <w:sz w:val="24"/>
                <w:szCs w:val="24"/>
              </w:rPr>
              <w:t xml:space="preserve">, </w:t>
            </w:r>
            <w:hyperlink r:id="rId12" w:history="1">
              <w:r w:rsidR="00154856" w:rsidRPr="000E0BFB">
                <w:rPr>
                  <w:rStyle w:val="Hyperlink"/>
                  <w:color w:val="2E74B5" w:themeColor="accent5" w:themeShade="BF"/>
                  <w:sz w:val="24"/>
                  <w:szCs w:val="24"/>
                </w:rPr>
                <w:t>61 (CHN)</w:t>
              </w:r>
            </w:hyperlink>
            <w:r w:rsidR="00154856" w:rsidRPr="000E0BFB">
              <w:rPr>
                <w:color w:val="2E74B5" w:themeColor="accent5" w:themeShade="BF"/>
                <w:sz w:val="24"/>
                <w:szCs w:val="24"/>
              </w:rPr>
              <w:t xml:space="preserve">, </w:t>
            </w:r>
            <w:hyperlink r:id="rId13" w:history="1">
              <w:r w:rsidR="00154856" w:rsidRPr="000E0BFB">
                <w:rPr>
                  <w:rStyle w:val="Hyperlink"/>
                  <w:color w:val="2E74B5" w:themeColor="accent5" w:themeShade="BF"/>
                  <w:sz w:val="24"/>
                  <w:szCs w:val="24"/>
                </w:rPr>
                <w:t>85 (CRAF)</w:t>
              </w:r>
            </w:hyperlink>
            <w:r w:rsidR="00154856" w:rsidRPr="000E0BFB">
              <w:rPr>
                <w:color w:val="2E74B5" w:themeColor="accent5" w:themeShade="BF"/>
                <w:sz w:val="24"/>
                <w:szCs w:val="24"/>
              </w:rPr>
              <w:t xml:space="preserve">, </w:t>
            </w:r>
            <w:hyperlink r:id="rId14" w:history="1">
              <w:r w:rsidR="00154856" w:rsidRPr="000E0BFB">
                <w:rPr>
                  <w:rStyle w:val="Hyperlink"/>
                  <w:color w:val="2E74B5" w:themeColor="accent5" w:themeShade="BF"/>
                  <w:sz w:val="24"/>
                  <w:szCs w:val="24"/>
                </w:rPr>
                <w:t>116 (F)</w:t>
              </w:r>
            </w:hyperlink>
            <w:r w:rsidR="00154856" w:rsidRPr="000E0BFB">
              <w:rPr>
                <w:color w:val="2E74B5" w:themeColor="accent5" w:themeShade="BF"/>
                <w:sz w:val="24"/>
                <w:szCs w:val="24"/>
              </w:rPr>
              <w:t xml:space="preserve">, </w:t>
            </w:r>
            <w:hyperlink r:id="rId15" w:history="1">
              <w:r w:rsidR="00154856" w:rsidRPr="000E0BFB">
                <w:rPr>
                  <w:rStyle w:val="Hyperlink"/>
                  <w:color w:val="2E74B5" w:themeColor="accent5" w:themeShade="BF"/>
                  <w:sz w:val="24"/>
                  <w:szCs w:val="24"/>
                </w:rPr>
                <w:t>135 (ATU/AFCP)</w:t>
              </w:r>
            </w:hyperlink>
            <w:r w:rsidR="00154856" w:rsidRPr="000E0BFB">
              <w:rPr>
                <w:color w:val="2E74B5" w:themeColor="accent5" w:themeShade="BF"/>
                <w:sz w:val="24"/>
                <w:szCs w:val="24"/>
              </w:rPr>
              <w:t xml:space="preserve">, </w:t>
            </w:r>
            <w:hyperlink r:id="rId16" w:history="1">
              <w:r w:rsidR="00154856" w:rsidRPr="000E0BFB">
                <w:rPr>
                  <w:rStyle w:val="Hyperlink"/>
                  <w:color w:val="2E74B5" w:themeColor="accent5" w:themeShade="BF"/>
                  <w:sz w:val="24"/>
                  <w:szCs w:val="24"/>
                </w:rPr>
                <w:t>168 (RUS)</w:t>
              </w:r>
            </w:hyperlink>
            <w:r w:rsidR="00154856" w:rsidRPr="000E0BFB">
              <w:rPr>
                <w:color w:val="2E74B5" w:themeColor="accent5" w:themeShade="BF"/>
                <w:sz w:val="24"/>
                <w:szCs w:val="24"/>
              </w:rPr>
              <w:t xml:space="preserve">, </w:t>
            </w:r>
            <w:hyperlink r:id="rId17" w:history="1">
              <w:r w:rsidR="00154856" w:rsidRPr="000E0BFB">
                <w:rPr>
                  <w:rStyle w:val="Hyperlink"/>
                  <w:color w:val="2E74B5" w:themeColor="accent5" w:themeShade="BF"/>
                  <w:sz w:val="24"/>
                  <w:szCs w:val="24"/>
                </w:rPr>
                <w:t>170 (USA)</w:t>
              </w:r>
            </w:hyperlink>
            <w:r w:rsidR="00154856" w:rsidRPr="000E0BFB">
              <w:rPr>
                <w:color w:val="2E74B5" w:themeColor="accent5" w:themeShade="BF"/>
                <w:sz w:val="24"/>
                <w:szCs w:val="24"/>
              </w:rPr>
              <w:t xml:space="preserve">, </w:t>
            </w:r>
            <w:hyperlink r:id="rId18" w:history="1">
              <w:r w:rsidR="00154856" w:rsidRPr="000E0BFB">
                <w:rPr>
                  <w:rStyle w:val="Hyperlink"/>
                  <w:color w:val="2E74B5" w:themeColor="accent5" w:themeShade="BF"/>
                  <w:sz w:val="24"/>
                  <w:szCs w:val="24"/>
                </w:rPr>
                <w:t>174 (J)</w:t>
              </w:r>
            </w:hyperlink>
            <w:r w:rsidR="00154856" w:rsidRPr="000E0BFB">
              <w:rPr>
                <w:color w:val="2E74B5" w:themeColor="accent5" w:themeShade="BF"/>
                <w:sz w:val="24"/>
                <w:szCs w:val="24"/>
              </w:rPr>
              <w:t xml:space="preserve">, </w:t>
            </w:r>
            <w:hyperlink r:id="rId19" w:history="1">
              <w:r w:rsidR="00154856" w:rsidRPr="000E0BFB">
                <w:rPr>
                  <w:rStyle w:val="Hyperlink"/>
                  <w:color w:val="2E74B5" w:themeColor="accent5" w:themeShade="BF"/>
                  <w:sz w:val="24"/>
                  <w:szCs w:val="24"/>
                </w:rPr>
                <w:t>209 (SKAO)</w:t>
              </w:r>
            </w:hyperlink>
            <w:r w:rsidR="00154856" w:rsidRPr="000E0BFB">
              <w:rPr>
                <w:color w:val="2E74B5" w:themeColor="accent5" w:themeShade="BF"/>
                <w:sz w:val="24"/>
                <w:szCs w:val="24"/>
              </w:rPr>
              <w:t xml:space="preserve">*, </w:t>
            </w:r>
            <w:hyperlink r:id="rId20" w:history="1">
              <w:r w:rsidR="00154856" w:rsidRPr="000E0BFB">
                <w:rPr>
                  <w:rStyle w:val="Hyperlink"/>
                  <w:color w:val="2E74B5" w:themeColor="accent5" w:themeShade="BF"/>
                  <w:sz w:val="24"/>
                  <w:szCs w:val="24"/>
                </w:rPr>
                <w:t>211 (G)</w:t>
              </w:r>
            </w:hyperlink>
          </w:p>
          <w:p w14:paraId="2F1BF844" w14:textId="77777777" w:rsidR="00154856" w:rsidRDefault="00154856" w:rsidP="006C7438">
            <w:pPr>
              <w:jc w:val="left"/>
              <w:rPr>
                <w:color w:val="000000" w:themeColor="text1"/>
                <w:sz w:val="21"/>
                <w:szCs w:val="21"/>
              </w:rPr>
            </w:pPr>
            <w:r w:rsidRPr="00154856">
              <w:rPr>
                <w:color w:val="000000" w:themeColor="text1"/>
                <w:sz w:val="21"/>
                <w:szCs w:val="21"/>
              </w:rPr>
              <w:t>*  Relevant part(s) of the document.</w:t>
            </w:r>
          </w:p>
          <w:p w14:paraId="67C8F5A9" w14:textId="77777777" w:rsidR="00006A01" w:rsidRDefault="00006A01" w:rsidP="006C7438">
            <w:pPr>
              <w:jc w:val="left"/>
              <w:rPr>
                <w:rFonts w:ascii="Calibri" w:hAnsi="Calibri" w:cs="Calibri"/>
                <w:bCs/>
                <w:sz w:val="24"/>
                <w:szCs w:val="24"/>
              </w:rPr>
            </w:pPr>
            <w:r w:rsidRPr="00B23555">
              <w:rPr>
                <w:color w:val="000000" w:themeColor="text1"/>
                <w:sz w:val="24"/>
                <w:szCs w:val="24"/>
              </w:rPr>
              <w:t>Topic proposed by these contributions:</w:t>
            </w:r>
          </w:p>
          <w:p w14:paraId="10EB926E" w14:textId="331F022C" w:rsidR="00AE6BFE" w:rsidRDefault="00AE6BFE" w:rsidP="00AE6BFE">
            <w:pPr>
              <w:pStyle w:val="ListParagraph"/>
              <w:numPr>
                <w:ilvl w:val="0"/>
                <w:numId w:val="6"/>
              </w:numPr>
              <w:wordWrap/>
              <w:ind w:left="357" w:hanging="357"/>
              <w:jc w:val="left"/>
              <w:rPr>
                <w:rFonts w:cstheme="minorHAnsi"/>
                <w:bCs/>
                <w:sz w:val="24"/>
                <w:szCs w:val="24"/>
                <w:lang w:eastAsia="zh-CN"/>
              </w:rPr>
            </w:pPr>
            <w:r>
              <w:rPr>
                <w:rFonts w:cstheme="minorHAnsi"/>
                <w:bCs/>
                <w:sz w:val="24"/>
                <w:szCs w:val="24"/>
                <w:lang w:eastAsia="zh-CN"/>
              </w:rPr>
              <w:t>Position</w:t>
            </w:r>
            <w:r w:rsidR="000811DB">
              <w:rPr>
                <w:rFonts w:cstheme="minorHAnsi"/>
                <w:bCs/>
                <w:sz w:val="24"/>
                <w:szCs w:val="24"/>
                <w:lang w:eastAsia="zh-CN"/>
              </w:rPr>
              <w:t>s</w:t>
            </w:r>
            <w:r>
              <w:rPr>
                <w:rFonts w:cstheme="minorHAnsi"/>
                <w:bCs/>
                <w:sz w:val="24"/>
                <w:szCs w:val="24"/>
                <w:lang w:eastAsia="zh-CN"/>
              </w:rPr>
              <w:t xml:space="preserve"> for </w:t>
            </w:r>
            <w:r w:rsidRPr="00136A80">
              <w:rPr>
                <w:rFonts w:cstheme="minorHAnsi"/>
                <w:bCs/>
                <w:sz w:val="24"/>
                <w:szCs w:val="24"/>
                <w:lang w:eastAsia="zh-CN"/>
              </w:rPr>
              <w:t>WRC-23 agenda item 1.13</w:t>
            </w:r>
            <w:r>
              <w:rPr>
                <w:rFonts w:cstheme="minorHAnsi"/>
                <w:bCs/>
                <w:sz w:val="24"/>
                <w:szCs w:val="24"/>
                <w:lang w:eastAsia="zh-CN"/>
              </w:rPr>
              <w:t xml:space="preserve"> from international </w:t>
            </w:r>
            <w:proofErr w:type="gramStart"/>
            <w:r w:rsidR="0060442D">
              <w:rPr>
                <w:rFonts w:cstheme="minorHAnsi"/>
                <w:bCs/>
                <w:sz w:val="24"/>
                <w:szCs w:val="24"/>
                <w:lang w:eastAsia="zh-CN"/>
              </w:rPr>
              <w:t>organizations;</w:t>
            </w:r>
            <w:proofErr w:type="gramEnd"/>
          </w:p>
          <w:p w14:paraId="1C29A7A3" w14:textId="18CFB578" w:rsidR="00006A01" w:rsidRPr="00AE6BFE" w:rsidRDefault="00486502" w:rsidP="00AE6BFE">
            <w:pPr>
              <w:pStyle w:val="ListParagraph"/>
              <w:numPr>
                <w:ilvl w:val="0"/>
                <w:numId w:val="6"/>
              </w:numPr>
              <w:wordWrap/>
              <w:ind w:left="357" w:hanging="357"/>
              <w:jc w:val="left"/>
              <w:rPr>
                <w:rFonts w:cstheme="minorHAnsi"/>
                <w:bCs/>
                <w:sz w:val="24"/>
                <w:szCs w:val="24"/>
                <w:lang w:eastAsia="zh-CN"/>
              </w:rPr>
            </w:pPr>
            <w:r w:rsidRPr="00486502">
              <w:rPr>
                <w:rFonts w:cstheme="minorHAnsi"/>
                <w:bCs/>
                <w:sz w:val="24"/>
                <w:szCs w:val="24"/>
                <w:lang w:eastAsia="zh-CN"/>
              </w:rPr>
              <w:t>Modification of Summary of result of ITU-R Study</w:t>
            </w:r>
            <w:r w:rsidR="00AE6BFE">
              <w:rPr>
                <w:rFonts w:cstheme="minorHAnsi"/>
                <w:bCs/>
                <w:sz w:val="24"/>
                <w:szCs w:val="24"/>
                <w:lang w:eastAsia="zh-CN"/>
              </w:rPr>
              <w:t xml:space="preserve"> and</w:t>
            </w:r>
            <w:r w:rsidR="00AE6BFE">
              <w:t xml:space="preserve"> </w:t>
            </w:r>
            <w:r w:rsidR="00AE6BFE" w:rsidRPr="00AE6BFE">
              <w:rPr>
                <w:rFonts w:cstheme="minorHAnsi"/>
                <w:bCs/>
                <w:sz w:val="24"/>
                <w:szCs w:val="24"/>
                <w:lang w:eastAsia="zh-CN"/>
              </w:rPr>
              <w:t xml:space="preserve">Methods to satisfy the agenda </w:t>
            </w:r>
            <w:proofErr w:type="gramStart"/>
            <w:r w:rsidR="00AE6BFE" w:rsidRPr="00AE6BFE">
              <w:rPr>
                <w:rFonts w:cstheme="minorHAnsi"/>
                <w:bCs/>
                <w:sz w:val="24"/>
                <w:szCs w:val="24"/>
                <w:lang w:eastAsia="zh-CN"/>
              </w:rPr>
              <w:t>item</w:t>
            </w:r>
            <w:r w:rsidR="00CE474B">
              <w:rPr>
                <w:rFonts w:cstheme="minorHAnsi"/>
                <w:bCs/>
                <w:sz w:val="24"/>
                <w:szCs w:val="24"/>
                <w:lang w:eastAsia="zh-CN"/>
              </w:rPr>
              <w:t>;</w:t>
            </w:r>
            <w:proofErr w:type="gramEnd"/>
          </w:p>
          <w:p w14:paraId="12053B87" w14:textId="0A0698E2" w:rsidR="00486502" w:rsidRDefault="00486502" w:rsidP="00E3256E">
            <w:pPr>
              <w:pStyle w:val="ListParagraph"/>
              <w:numPr>
                <w:ilvl w:val="0"/>
                <w:numId w:val="6"/>
              </w:numPr>
              <w:wordWrap/>
              <w:ind w:left="357" w:hanging="357"/>
              <w:jc w:val="left"/>
              <w:rPr>
                <w:rFonts w:cstheme="minorHAnsi"/>
                <w:bCs/>
                <w:sz w:val="24"/>
                <w:szCs w:val="24"/>
                <w:lang w:eastAsia="zh-CN"/>
              </w:rPr>
            </w:pPr>
            <w:r>
              <w:rPr>
                <w:rFonts w:cstheme="minorHAnsi"/>
                <w:bCs/>
                <w:sz w:val="24"/>
                <w:szCs w:val="24"/>
                <w:lang w:eastAsia="zh-CN"/>
              </w:rPr>
              <w:t>Providing reasons for</w:t>
            </w:r>
            <w:r w:rsidRPr="00B747D6">
              <w:rPr>
                <w:rFonts w:cstheme="minorHAnsi"/>
                <w:bCs/>
                <w:sz w:val="24"/>
                <w:szCs w:val="24"/>
                <w:lang w:eastAsia="zh-CN"/>
              </w:rPr>
              <w:t xml:space="preserve"> Method A (NOC</w:t>
            </w:r>
            <w:proofErr w:type="gramStart"/>
            <w:r w:rsidRPr="00B747D6">
              <w:rPr>
                <w:rFonts w:cstheme="minorHAnsi"/>
                <w:bCs/>
                <w:sz w:val="24"/>
                <w:szCs w:val="24"/>
                <w:lang w:eastAsia="zh-CN"/>
              </w:rPr>
              <w:t>)</w:t>
            </w:r>
            <w:r w:rsidR="00CE474B">
              <w:rPr>
                <w:rFonts w:cstheme="minorHAnsi"/>
                <w:bCs/>
                <w:sz w:val="24"/>
                <w:szCs w:val="24"/>
                <w:lang w:eastAsia="zh-CN"/>
              </w:rPr>
              <w:t>;</w:t>
            </w:r>
            <w:proofErr w:type="gramEnd"/>
          </w:p>
          <w:p w14:paraId="1B548304" w14:textId="798C5737" w:rsidR="009123FC" w:rsidRPr="000811DB" w:rsidRDefault="008415C6" w:rsidP="000811DB">
            <w:pPr>
              <w:pStyle w:val="ListParagraph"/>
              <w:numPr>
                <w:ilvl w:val="0"/>
                <w:numId w:val="6"/>
              </w:numPr>
              <w:wordWrap/>
              <w:ind w:left="357" w:hanging="357"/>
              <w:jc w:val="left"/>
              <w:rPr>
                <w:rFonts w:cstheme="minorHAnsi"/>
                <w:bCs/>
                <w:sz w:val="24"/>
                <w:szCs w:val="24"/>
                <w:lang w:eastAsia="zh-CN"/>
              </w:rPr>
            </w:pPr>
            <w:r w:rsidRPr="008415C6">
              <w:rPr>
                <w:rFonts w:cstheme="minorHAnsi"/>
                <w:bCs/>
                <w:sz w:val="24"/>
                <w:szCs w:val="24"/>
                <w:lang w:eastAsia="zh-CN"/>
              </w:rPr>
              <w:t>Modification</w:t>
            </w:r>
            <w:r w:rsidR="00032CA4">
              <w:rPr>
                <w:rFonts w:cstheme="minorHAnsi"/>
                <w:bCs/>
                <w:sz w:val="24"/>
                <w:szCs w:val="24"/>
                <w:lang w:eastAsia="zh-CN"/>
              </w:rPr>
              <w:t>s</w:t>
            </w:r>
            <w:r w:rsidRPr="008415C6">
              <w:rPr>
                <w:rFonts w:cstheme="minorHAnsi"/>
                <w:bCs/>
                <w:sz w:val="24"/>
                <w:szCs w:val="24"/>
                <w:lang w:eastAsia="zh-CN"/>
              </w:rPr>
              <w:t xml:space="preserve"> of Method </w:t>
            </w:r>
            <w:r w:rsidR="00E06782">
              <w:rPr>
                <w:rFonts w:cstheme="minorHAnsi" w:hint="eastAsia"/>
                <w:bCs/>
                <w:sz w:val="24"/>
                <w:szCs w:val="24"/>
                <w:lang w:eastAsia="zh-CN"/>
              </w:rPr>
              <w:t>B</w:t>
            </w:r>
            <w:r w:rsidR="00E06782">
              <w:rPr>
                <w:rFonts w:cstheme="minorHAnsi"/>
                <w:bCs/>
                <w:sz w:val="24"/>
                <w:szCs w:val="24"/>
                <w:lang w:eastAsia="zh-CN"/>
              </w:rPr>
              <w:t xml:space="preserve">, </w:t>
            </w:r>
            <w:r w:rsidR="00752CC8">
              <w:rPr>
                <w:rFonts w:cstheme="minorHAnsi" w:hint="eastAsia"/>
                <w:bCs/>
                <w:sz w:val="24"/>
                <w:szCs w:val="24"/>
                <w:lang w:eastAsia="zh-CN"/>
              </w:rPr>
              <w:t>C</w:t>
            </w:r>
            <w:r w:rsidR="000811DB">
              <w:rPr>
                <w:rFonts w:cstheme="minorHAnsi"/>
                <w:bCs/>
                <w:sz w:val="24"/>
                <w:szCs w:val="24"/>
                <w:lang w:eastAsia="zh-CN"/>
              </w:rPr>
              <w:t xml:space="preserve"> and </w:t>
            </w:r>
            <w:r>
              <w:rPr>
                <w:rFonts w:cstheme="minorHAnsi"/>
                <w:bCs/>
                <w:sz w:val="24"/>
                <w:szCs w:val="24"/>
                <w:lang w:eastAsia="zh-CN"/>
              </w:rPr>
              <w:t>D</w:t>
            </w:r>
            <w:r w:rsidR="0060442D">
              <w:rPr>
                <w:rFonts w:cstheme="minorHAnsi"/>
                <w:bCs/>
                <w:sz w:val="24"/>
                <w:szCs w:val="24"/>
                <w:lang w:eastAsia="zh-CN"/>
              </w:rPr>
              <w:t>.</w:t>
            </w:r>
          </w:p>
        </w:tc>
      </w:tr>
      <w:tr w:rsidR="006C7438" w:rsidRPr="00D93A66" w14:paraId="5E542985" w14:textId="77777777" w:rsidTr="00AF2366">
        <w:tc>
          <w:tcPr>
            <w:tcW w:w="11052" w:type="dxa"/>
            <w:gridSpan w:val="15"/>
            <w:vAlign w:val="center"/>
          </w:tcPr>
          <w:p w14:paraId="237BA26F" w14:textId="232D99B8" w:rsidR="00B5057D" w:rsidRPr="00B5057D" w:rsidRDefault="00B5057D" w:rsidP="001E2D4F">
            <w:pPr>
              <w:wordWrap/>
              <w:spacing w:afterLines="50" w:after="120"/>
              <w:rPr>
                <w:rFonts w:eastAsia="Malgun Gothic" w:cstheme="minorHAnsi"/>
                <w:bCs/>
                <w:sz w:val="24"/>
                <w:szCs w:val="24"/>
              </w:rPr>
            </w:pPr>
            <w:r w:rsidRPr="00B5057D">
              <w:rPr>
                <w:rFonts w:eastAsia="Malgun Gothic" w:cstheme="minorHAnsi"/>
                <w:bCs/>
                <w:sz w:val="24"/>
                <w:szCs w:val="24"/>
              </w:rPr>
              <w:t xml:space="preserve">The CPM </w:t>
            </w:r>
            <w:r>
              <w:rPr>
                <w:rFonts w:eastAsia="Malgun Gothic" w:cstheme="minorHAnsi"/>
                <w:bCs/>
                <w:sz w:val="24"/>
                <w:szCs w:val="24"/>
              </w:rPr>
              <w:t>23</w:t>
            </w:r>
            <w:r w:rsidRPr="00B5057D">
              <w:rPr>
                <w:rFonts w:eastAsia="Malgun Gothic" w:cstheme="minorHAnsi"/>
                <w:bCs/>
                <w:sz w:val="24"/>
                <w:szCs w:val="24"/>
              </w:rPr>
              <w:t xml:space="preserve">-2 meeting finalized the </w:t>
            </w:r>
            <w:r w:rsidR="00991303">
              <w:rPr>
                <w:rFonts w:eastAsia="Malgun Gothic" w:cstheme="minorHAnsi"/>
                <w:bCs/>
                <w:sz w:val="24"/>
                <w:szCs w:val="24"/>
              </w:rPr>
              <w:t>modifications</w:t>
            </w:r>
            <w:r w:rsidRPr="00B5057D">
              <w:rPr>
                <w:rFonts w:eastAsia="Malgun Gothic" w:cstheme="minorHAnsi"/>
                <w:bCs/>
                <w:sz w:val="24"/>
                <w:szCs w:val="24"/>
              </w:rPr>
              <w:t xml:space="preserve"> </w:t>
            </w:r>
            <w:r w:rsidR="00991303">
              <w:rPr>
                <w:rFonts w:eastAsia="Malgun Gothic" w:cstheme="minorHAnsi"/>
                <w:bCs/>
                <w:sz w:val="24"/>
                <w:szCs w:val="24"/>
              </w:rPr>
              <w:t>to</w:t>
            </w:r>
            <w:r w:rsidRPr="00B5057D">
              <w:rPr>
                <w:rFonts w:eastAsia="Malgun Gothic" w:cstheme="minorHAnsi"/>
                <w:bCs/>
                <w:sz w:val="24"/>
                <w:szCs w:val="24"/>
              </w:rPr>
              <w:t xml:space="preserve"> the Draft CPM text of Agenda Item 1.1</w:t>
            </w:r>
            <w:r w:rsidR="00B2573C">
              <w:rPr>
                <w:rFonts w:eastAsia="Malgun Gothic" w:cstheme="minorHAnsi"/>
                <w:bCs/>
                <w:sz w:val="24"/>
                <w:szCs w:val="24"/>
              </w:rPr>
              <w:t>3</w:t>
            </w:r>
            <w:r w:rsidRPr="00B5057D">
              <w:rPr>
                <w:rFonts w:eastAsia="Malgun Gothic" w:cstheme="minorHAnsi"/>
                <w:bCs/>
                <w:sz w:val="24"/>
                <w:szCs w:val="24"/>
              </w:rPr>
              <w:t xml:space="preserve">, as shown in </w:t>
            </w:r>
            <w:r w:rsidR="00991303">
              <w:rPr>
                <w:rFonts w:eastAsia="Malgun Gothic" w:cstheme="minorHAnsi"/>
                <w:bCs/>
                <w:sz w:val="24"/>
                <w:szCs w:val="24"/>
              </w:rPr>
              <w:t>TEMP</w:t>
            </w:r>
            <w:r w:rsidRPr="00B5057D">
              <w:rPr>
                <w:rFonts w:eastAsia="Malgun Gothic" w:cstheme="minorHAnsi"/>
                <w:bCs/>
                <w:sz w:val="24"/>
                <w:szCs w:val="24"/>
              </w:rPr>
              <w:t xml:space="preserve"> document </w:t>
            </w:r>
            <w:r w:rsidR="00991303" w:rsidRPr="00AC28AF">
              <w:rPr>
                <w:rFonts w:eastAsia="Malgun Gothic" w:cstheme="minorHAnsi"/>
                <w:bCs/>
                <w:sz w:val="24"/>
                <w:szCs w:val="24"/>
              </w:rPr>
              <w:t>CPM23-2/DT/2</w:t>
            </w:r>
            <w:r w:rsidR="00991303">
              <w:rPr>
                <w:rFonts w:eastAsia="Malgun Gothic" w:cstheme="minorHAnsi"/>
                <w:bCs/>
                <w:sz w:val="24"/>
                <w:szCs w:val="24"/>
              </w:rPr>
              <w:t>2</w:t>
            </w:r>
            <w:r w:rsidR="00037FAC">
              <w:rPr>
                <w:rFonts w:eastAsia="Malgun Gothic" w:cstheme="minorHAnsi"/>
                <w:bCs/>
                <w:sz w:val="24"/>
                <w:szCs w:val="24"/>
              </w:rPr>
              <w:t>, which</w:t>
            </w:r>
            <w:r w:rsidR="00037FAC" w:rsidRPr="009C11B0">
              <w:rPr>
                <w:rFonts w:eastAsia="Malgun Gothic" w:cstheme="minorHAnsi"/>
                <w:bCs/>
                <w:sz w:val="24"/>
                <w:szCs w:val="24"/>
              </w:rPr>
              <w:t xml:space="preserve"> will be presented to WG 3 this afternoon and, if approved, a subsequent </w:t>
            </w:r>
            <w:r w:rsidR="00037FAC" w:rsidRPr="009C11B0">
              <w:rPr>
                <w:rFonts w:eastAsia="Malgun Gothic" w:cstheme="minorHAnsi"/>
                <w:bCs/>
                <w:sz w:val="24"/>
                <w:szCs w:val="24"/>
              </w:rPr>
              <w:lastRenderedPageBreak/>
              <w:t>plenary meeting.</w:t>
            </w:r>
          </w:p>
          <w:p w14:paraId="46BA4D01" w14:textId="77777777" w:rsidR="001E2D4F" w:rsidRDefault="00983F17" w:rsidP="001E2D4F">
            <w:pPr>
              <w:wordWrap/>
              <w:spacing w:afterLines="50" w:after="120"/>
              <w:rPr>
                <w:rFonts w:eastAsia="Malgun Gothic" w:cstheme="minorHAnsi"/>
                <w:bCs/>
                <w:sz w:val="24"/>
                <w:szCs w:val="24"/>
              </w:rPr>
            </w:pPr>
            <w:r w:rsidRPr="00C72A13">
              <w:rPr>
                <w:rFonts w:eastAsia="Malgun Gothic" w:cstheme="minorHAnsi" w:hint="eastAsia"/>
                <w:bCs/>
                <w:sz w:val="24"/>
                <w:szCs w:val="24"/>
              </w:rPr>
              <w:t>A</w:t>
            </w:r>
            <w:r w:rsidRPr="00C72A13">
              <w:rPr>
                <w:rFonts w:eastAsia="Malgun Gothic" w:cstheme="minorHAnsi"/>
                <w:bCs/>
                <w:sz w:val="24"/>
                <w:szCs w:val="24"/>
              </w:rPr>
              <w:t xml:space="preserve">fter the discussion at the meeting, </w:t>
            </w:r>
            <w:r w:rsidR="00BE4B0C">
              <w:rPr>
                <w:rFonts w:eastAsia="Malgun Gothic" w:cstheme="minorHAnsi"/>
                <w:bCs/>
                <w:sz w:val="24"/>
                <w:szCs w:val="24"/>
              </w:rPr>
              <w:t>o</w:t>
            </w:r>
            <w:r w:rsidR="00BE4B0C" w:rsidRPr="00B5057D">
              <w:rPr>
                <w:rFonts w:eastAsia="Malgun Gothic" w:cstheme="minorHAnsi"/>
                <w:bCs/>
                <w:sz w:val="24"/>
                <w:szCs w:val="24"/>
              </w:rPr>
              <w:t xml:space="preserve">riginal Method </w:t>
            </w:r>
            <w:r w:rsidR="00BE4B0C">
              <w:rPr>
                <w:rFonts w:eastAsia="Malgun Gothic" w:cstheme="minorHAnsi"/>
                <w:bCs/>
                <w:sz w:val="24"/>
                <w:szCs w:val="24"/>
              </w:rPr>
              <w:t>E</w:t>
            </w:r>
            <w:r w:rsidR="00BE4B0C" w:rsidRPr="00B5057D">
              <w:rPr>
                <w:rFonts w:eastAsia="Malgun Gothic" w:cstheme="minorHAnsi"/>
                <w:bCs/>
                <w:sz w:val="24"/>
                <w:szCs w:val="24"/>
              </w:rPr>
              <w:t xml:space="preserve"> has been removed</w:t>
            </w:r>
            <w:r w:rsidR="00BE4B0C">
              <w:rPr>
                <w:rFonts w:eastAsia="Malgun Gothic" w:cstheme="minorHAnsi"/>
                <w:bCs/>
                <w:sz w:val="24"/>
                <w:szCs w:val="24"/>
              </w:rPr>
              <w:t xml:space="preserve"> and the proposed Method B3 </w:t>
            </w:r>
            <w:r w:rsidR="00C72A13">
              <w:rPr>
                <w:rFonts w:eastAsia="Malgun Gothic" w:cstheme="minorHAnsi"/>
                <w:bCs/>
                <w:sz w:val="24"/>
                <w:szCs w:val="24"/>
              </w:rPr>
              <w:t xml:space="preserve">has been turned to Method C. Original Method C, D and F have been rearranged </w:t>
            </w:r>
            <w:r w:rsidR="00591823">
              <w:rPr>
                <w:rFonts w:eastAsia="Malgun Gothic" w:cstheme="minorHAnsi"/>
                <w:bCs/>
                <w:sz w:val="24"/>
                <w:szCs w:val="24"/>
              </w:rPr>
              <w:t>and put into</w:t>
            </w:r>
            <w:r w:rsidR="00C72A13">
              <w:rPr>
                <w:rFonts w:eastAsia="Malgun Gothic" w:cstheme="minorHAnsi"/>
                <w:bCs/>
                <w:sz w:val="24"/>
                <w:szCs w:val="24"/>
              </w:rPr>
              <w:t xml:space="preserve"> the new Method E. </w:t>
            </w:r>
            <w:r w:rsidR="00C72A13" w:rsidRPr="00B5057D">
              <w:rPr>
                <w:rFonts w:eastAsia="Malgun Gothic" w:cstheme="minorHAnsi"/>
                <w:bCs/>
                <w:sz w:val="24"/>
                <w:szCs w:val="24"/>
              </w:rPr>
              <w:t xml:space="preserve"> </w:t>
            </w:r>
          </w:p>
          <w:p w14:paraId="3BA85AD8" w14:textId="77777777" w:rsidR="001E2D4F" w:rsidRPr="002375D7" w:rsidRDefault="001E2D4F" w:rsidP="001E2D4F">
            <w:pPr>
              <w:wordWrap/>
              <w:spacing w:afterLines="50" w:after="120"/>
              <w:rPr>
                <w:rFonts w:eastAsia="Malgun Gothic" w:cstheme="minorHAnsi"/>
                <w:bCs/>
                <w:sz w:val="24"/>
                <w:szCs w:val="24"/>
              </w:rPr>
            </w:pPr>
            <w:r>
              <w:rPr>
                <w:rFonts w:eastAsia="Malgun Gothic" w:cstheme="minorHAnsi"/>
                <w:bCs/>
                <w:sz w:val="24"/>
                <w:szCs w:val="24"/>
              </w:rPr>
              <w:t>It should be noted that s</w:t>
            </w:r>
            <w:r w:rsidRPr="002375D7">
              <w:rPr>
                <w:rFonts w:eastAsia="Malgun Gothic" w:cstheme="minorHAnsi"/>
                <w:bCs/>
                <w:sz w:val="24"/>
                <w:szCs w:val="24"/>
              </w:rPr>
              <w:t xml:space="preserve">everal studies were performed to determine </w:t>
            </w:r>
            <w:proofErr w:type="spellStart"/>
            <w:r w:rsidRPr="002375D7">
              <w:rPr>
                <w:rFonts w:eastAsia="Malgun Gothic" w:cstheme="minorHAnsi"/>
                <w:bCs/>
                <w:sz w:val="24"/>
                <w:szCs w:val="24"/>
              </w:rPr>
              <w:t>pfd</w:t>
            </w:r>
            <w:proofErr w:type="spellEnd"/>
            <w:r w:rsidRPr="002375D7">
              <w:rPr>
                <w:rFonts w:eastAsia="Malgun Gothic" w:cstheme="minorHAnsi"/>
                <w:bCs/>
                <w:sz w:val="24"/>
                <w:szCs w:val="24"/>
              </w:rPr>
              <w:t xml:space="preserve"> levels corresponding to the interference criteria, and the results of those studies have diverging results, which are reflected by the various methods to resolve the agenda item.</w:t>
            </w:r>
          </w:p>
          <w:p w14:paraId="44B1E942" w14:textId="77777777" w:rsidR="001E2D4F" w:rsidRPr="002375D7" w:rsidRDefault="001E2D4F" w:rsidP="001E2D4F">
            <w:pPr>
              <w:wordWrap/>
              <w:spacing w:afterLines="50" w:after="120"/>
              <w:rPr>
                <w:rFonts w:eastAsia="Malgun Gothic" w:cstheme="minorHAnsi"/>
                <w:bCs/>
                <w:sz w:val="24"/>
                <w:szCs w:val="24"/>
              </w:rPr>
            </w:pPr>
            <w:r w:rsidRPr="002375D7">
              <w:rPr>
                <w:rFonts w:eastAsia="Malgun Gothic" w:cstheme="minorHAnsi"/>
                <w:bCs/>
                <w:sz w:val="24"/>
                <w:szCs w:val="24"/>
              </w:rPr>
              <w:t xml:space="preserve">Some of studies carried out by ITU-R show that the </w:t>
            </w:r>
            <w:proofErr w:type="spellStart"/>
            <w:r w:rsidRPr="002375D7">
              <w:rPr>
                <w:rFonts w:eastAsia="Malgun Gothic" w:cstheme="minorHAnsi"/>
                <w:bCs/>
                <w:sz w:val="24"/>
                <w:szCs w:val="24"/>
              </w:rPr>
              <w:t>pfd</w:t>
            </w:r>
            <w:proofErr w:type="spellEnd"/>
            <w:r w:rsidRPr="002375D7">
              <w:rPr>
                <w:rFonts w:eastAsia="Malgun Gothic" w:cstheme="minorHAnsi"/>
                <w:bCs/>
                <w:sz w:val="24"/>
                <w:szCs w:val="24"/>
              </w:rPr>
              <w:t xml:space="preserve"> limits described in Recommendations ITU-R SA.1626-1 (for space-to-Earth) and SA.510-3 (for space-to-space) do not provide sufficient protection of the incumbent terrestrial services.</w:t>
            </w:r>
          </w:p>
          <w:p w14:paraId="638B2A73" w14:textId="3C4E36A0" w:rsidR="001E2D4F" w:rsidRDefault="001E2D4F" w:rsidP="00143CAB">
            <w:pPr>
              <w:wordWrap/>
              <w:spacing w:afterLines="50" w:after="120"/>
              <w:rPr>
                <w:rFonts w:eastAsia="Malgun Gothic" w:cstheme="minorHAnsi"/>
                <w:bCs/>
                <w:sz w:val="24"/>
                <w:szCs w:val="24"/>
              </w:rPr>
            </w:pPr>
            <w:r w:rsidRPr="002375D7">
              <w:rPr>
                <w:rFonts w:eastAsia="Malgun Gothic" w:cstheme="minorHAnsi"/>
                <w:bCs/>
                <w:sz w:val="24"/>
                <w:szCs w:val="24"/>
              </w:rPr>
              <w:t>All studies were performed considering the characteristics of near-Earth missions, whereas some Methods</w:t>
            </w:r>
            <w:r w:rsidR="00143CAB">
              <w:rPr>
                <w:rFonts w:eastAsia="Malgun Gothic" w:cstheme="minorHAnsi"/>
                <w:bCs/>
                <w:sz w:val="24"/>
                <w:szCs w:val="24"/>
              </w:rPr>
              <w:t xml:space="preserve"> </w:t>
            </w:r>
            <w:r w:rsidRPr="002375D7">
              <w:rPr>
                <w:rFonts w:eastAsia="Malgun Gothic" w:cstheme="minorHAnsi"/>
                <w:bCs/>
                <w:sz w:val="24"/>
                <w:szCs w:val="24"/>
              </w:rPr>
              <w:t>propose to upgrade SRS (all subsets), some subsets, or a subset of SRS.</w:t>
            </w:r>
          </w:p>
          <w:p w14:paraId="59133C3D" w14:textId="7F5F7A33" w:rsidR="00B5057D" w:rsidRPr="00C72A13" w:rsidRDefault="001E2D4F" w:rsidP="001E2D4F">
            <w:pPr>
              <w:wordWrap/>
              <w:spacing w:afterLines="50" w:after="120"/>
              <w:rPr>
                <w:rFonts w:eastAsia="Malgun Gothic" w:cstheme="minorHAnsi"/>
                <w:bCs/>
                <w:sz w:val="24"/>
                <w:szCs w:val="24"/>
              </w:rPr>
            </w:pPr>
            <w:r>
              <w:rPr>
                <w:rFonts w:eastAsia="Malgun Gothic" w:cstheme="minorHAnsi"/>
                <w:bCs/>
                <w:sz w:val="24"/>
                <w:szCs w:val="24"/>
              </w:rPr>
              <w:t>I</w:t>
            </w:r>
            <w:r w:rsidR="00C72A13" w:rsidRPr="00B5057D">
              <w:rPr>
                <w:rFonts w:eastAsia="Malgun Gothic" w:cstheme="minorHAnsi"/>
                <w:bCs/>
                <w:sz w:val="24"/>
                <w:szCs w:val="24"/>
              </w:rPr>
              <w:t xml:space="preserve">n </w:t>
            </w:r>
            <w:r w:rsidR="003D5550" w:rsidRPr="00B5057D">
              <w:rPr>
                <w:rFonts w:eastAsia="Malgun Gothic" w:cstheme="minorHAnsi"/>
                <w:bCs/>
                <w:sz w:val="24"/>
                <w:szCs w:val="24"/>
              </w:rPr>
              <w:t xml:space="preserve">the </w:t>
            </w:r>
            <w:r w:rsidR="003D5550">
              <w:rPr>
                <w:rFonts w:eastAsia="Malgun Gothic" w:cstheme="minorHAnsi"/>
                <w:bCs/>
                <w:sz w:val="24"/>
                <w:szCs w:val="24"/>
              </w:rPr>
              <w:t>TEMP</w:t>
            </w:r>
            <w:r w:rsidR="00C72A13" w:rsidRPr="00B5057D">
              <w:rPr>
                <w:rFonts w:eastAsia="Malgun Gothic" w:cstheme="minorHAnsi"/>
                <w:bCs/>
                <w:sz w:val="24"/>
                <w:szCs w:val="24"/>
              </w:rPr>
              <w:t xml:space="preserve"> document, there are </w:t>
            </w:r>
            <w:r w:rsidR="003D5550">
              <w:rPr>
                <w:rFonts w:eastAsia="Malgun Gothic" w:cstheme="minorHAnsi"/>
                <w:bCs/>
                <w:sz w:val="24"/>
                <w:szCs w:val="24"/>
              </w:rPr>
              <w:t>5</w:t>
            </w:r>
            <w:r w:rsidR="00C72A13" w:rsidRPr="00B5057D">
              <w:rPr>
                <w:rFonts w:eastAsia="Malgun Gothic" w:cstheme="minorHAnsi"/>
                <w:bCs/>
                <w:sz w:val="24"/>
                <w:szCs w:val="24"/>
              </w:rPr>
              <w:t xml:space="preserve"> </w:t>
            </w:r>
            <w:r w:rsidR="003D5550">
              <w:rPr>
                <w:rFonts w:eastAsia="Malgun Gothic" w:cstheme="minorHAnsi"/>
                <w:bCs/>
                <w:sz w:val="24"/>
                <w:szCs w:val="24"/>
              </w:rPr>
              <w:t>m</w:t>
            </w:r>
            <w:r w:rsidR="00C72A13" w:rsidRPr="00B5057D">
              <w:rPr>
                <w:rFonts w:eastAsia="Malgun Gothic" w:cstheme="minorHAnsi"/>
                <w:bCs/>
                <w:sz w:val="24"/>
                <w:szCs w:val="24"/>
              </w:rPr>
              <w:t>ethods to satisfy this agenda item:</w:t>
            </w:r>
          </w:p>
          <w:p w14:paraId="676AF02B" w14:textId="08440C86" w:rsidR="00983F17" w:rsidRPr="002375D7" w:rsidRDefault="003D5550" w:rsidP="0038510C">
            <w:pPr>
              <w:pStyle w:val="ListParagraph"/>
              <w:numPr>
                <w:ilvl w:val="0"/>
                <w:numId w:val="6"/>
              </w:numPr>
              <w:wordWrap/>
              <w:rPr>
                <w:rFonts w:cstheme="minorHAnsi"/>
                <w:bCs/>
                <w:sz w:val="24"/>
                <w:szCs w:val="24"/>
                <w:lang w:eastAsia="zh-CN"/>
              </w:rPr>
            </w:pPr>
            <w:r>
              <w:rPr>
                <w:rFonts w:cstheme="minorHAnsi" w:hint="eastAsia"/>
                <w:bCs/>
                <w:sz w:val="24"/>
                <w:szCs w:val="24"/>
                <w:lang w:eastAsia="zh-CN"/>
              </w:rPr>
              <w:t>M</w:t>
            </w:r>
            <w:r>
              <w:rPr>
                <w:rFonts w:cstheme="minorHAnsi"/>
                <w:bCs/>
                <w:sz w:val="24"/>
                <w:szCs w:val="24"/>
                <w:lang w:eastAsia="zh-CN"/>
              </w:rPr>
              <w:t xml:space="preserve">ethod A: </w:t>
            </w:r>
            <w:r w:rsidR="002375D7" w:rsidRPr="00B5057D">
              <w:rPr>
                <w:rFonts w:eastAsia="Malgun Gothic" w:cstheme="minorHAnsi"/>
                <w:bCs/>
                <w:sz w:val="24"/>
                <w:szCs w:val="24"/>
              </w:rPr>
              <w:t xml:space="preserve"> No change to the RR</w:t>
            </w:r>
            <w:r w:rsidR="002375D7">
              <w:rPr>
                <w:rFonts w:eastAsia="Malgun Gothic" w:cstheme="minorHAnsi"/>
                <w:bCs/>
                <w:sz w:val="24"/>
                <w:szCs w:val="24"/>
              </w:rPr>
              <w:t xml:space="preserve"> </w:t>
            </w:r>
            <w:r w:rsidR="002375D7" w:rsidRPr="002375D7">
              <w:rPr>
                <w:rFonts w:eastAsia="Malgun Gothic" w:cstheme="minorHAnsi"/>
                <w:bCs/>
                <w:sz w:val="24"/>
                <w:szCs w:val="24"/>
              </w:rPr>
              <w:t xml:space="preserve">except the suppression of Resolution </w:t>
            </w:r>
            <w:r w:rsidR="002375D7" w:rsidRPr="002375D7">
              <w:rPr>
                <w:rFonts w:eastAsia="Malgun Gothic" w:cstheme="minorHAnsi"/>
                <w:b/>
                <w:sz w:val="24"/>
                <w:szCs w:val="24"/>
              </w:rPr>
              <w:t>661 (WRC-19</w:t>
            </w:r>
            <w:proofErr w:type="gramStart"/>
            <w:r w:rsidR="002375D7" w:rsidRPr="002375D7">
              <w:rPr>
                <w:rFonts w:eastAsia="Malgun Gothic" w:cstheme="minorHAnsi"/>
                <w:b/>
                <w:sz w:val="24"/>
                <w:szCs w:val="24"/>
              </w:rPr>
              <w:t>)</w:t>
            </w:r>
            <w:r w:rsidR="002375D7">
              <w:rPr>
                <w:rFonts w:eastAsia="Malgun Gothic" w:cstheme="minorHAnsi"/>
                <w:bCs/>
                <w:sz w:val="24"/>
                <w:szCs w:val="24"/>
              </w:rPr>
              <w:t>;</w:t>
            </w:r>
            <w:proofErr w:type="gramEnd"/>
          </w:p>
          <w:p w14:paraId="7B147E60" w14:textId="1C18BB6B" w:rsidR="002375D7" w:rsidRDefault="002375D7" w:rsidP="0038510C">
            <w:pPr>
              <w:pStyle w:val="ListParagraph"/>
              <w:numPr>
                <w:ilvl w:val="0"/>
                <w:numId w:val="6"/>
              </w:numPr>
              <w:wordWrap/>
              <w:rPr>
                <w:rFonts w:cstheme="minorHAnsi"/>
                <w:bCs/>
                <w:sz w:val="24"/>
                <w:szCs w:val="24"/>
                <w:lang w:eastAsia="zh-CN"/>
              </w:rPr>
            </w:pPr>
            <w:r>
              <w:rPr>
                <w:rFonts w:cstheme="minorHAnsi"/>
                <w:bCs/>
                <w:sz w:val="24"/>
                <w:szCs w:val="24"/>
                <w:lang w:eastAsia="zh-CN"/>
              </w:rPr>
              <w:t xml:space="preserve">Method B: </w:t>
            </w:r>
            <w:r w:rsidR="0001469D">
              <w:rPr>
                <w:rFonts w:cstheme="minorHAnsi"/>
                <w:bCs/>
                <w:sz w:val="24"/>
                <w:szCs w:val="24"/>
                <w:lang w:eastAsia="zh-CN"/>
              </w:rPr>
              <w:t>To upgrade</w:t>
            </w:r>
            <w:r w:rsidR="0001469D">
              <w:t xml:space="preserve"> </w:t>
            </w:r>
            <w:r w:rsidR="0001469D" w:rsidRPr="0001469D">
              <w:rPr>
                <w:rFonts w:cstheme="minorHAnsi"/>
                <w:bCs/>
                <w:sz w:val="24"/>
                <w:szCs w:val="24"/>
                <w:lang w:eastAsia="zh-CN"/>
              </w:rPr>
              <w:t>the space research service (space-to-space)</w:t>
            </w:r>
            <w:r w:rsidR="0001469D">
              <w:rPr>
                <w:rFonts w:cstheme="minorHAnsi"/>
                <w:bCs/>
                <w:sz w:val="24"/>
                <w:szCs w:val="24"/>
                <w:lang w:eastAsia="zh-CN"/>
              </w:rPr>
              <w:t xml:space="preserve"> </w:t>
            </w:r>
            <w:r w:rsidR="0001469D" w:rsidRPr="0001469D">
              <w:rPr>
                <w:rFonts w:cstheme="minorHAnsi"/>
                <w:bCs/>
                <w:sz w:val="24"/>
                <w:szCs w:val="24"/>
                <w:lang w:eastAsia="zh-CN"/>
              </w:rPr>
              <w:t>to primary status</w:t>
            </w:r>
            <w:r w:rsidR="0001469D">
              <w:rPr>
                <w:rFonts w:cstheme="minorHAnsi"/>
                <w:bCs/>
                <w:sz w:val="24"/>
                <w:szCs w:val="24"/>
                <w:lang w:eastAsia="zh-CN"/>
              </w:rPr>
              <w:t xml:space="preserve"> with</w:t>
            </w:r>
            <w:r w:rsidR="0038510C">
              <w:rPr>
                <w:rFonts w:cstheme="minorHAnsi"/>
                <w:bCs/>
                <w:sz w:val="24"/>
                <w:szCs w:val="24"/>
                <w:lang w:eastAsia="zh-CN"/>
              </w:rPr>
              <w:t xml:space="preserve"> the modification of</w:t>
            </w:r>
            <w:r w:rsidR="0001469D">
              <w:rPr>
                <w:rFonts w:cstheme="minorHAnsi"/>
                <w:bCs/>
                <w:sz w:val="24"/>
                <w:szCs w:val="24"/>
                <w:lang w:eastAsia="zh-CN"/>
              </w:rPr>
              <w:t xml:space="preserve"> </w:t>
            </w:r>
            <w:r w:rsidR="0001469D" w:rsidRPr="0001469D">
              <w:rPr>
                <w:rFonts w:cstheme="minorHAnsi"/>
                <w:bCs/>
                <w:sz w:val="24"/>
                <w:szCs w:val="24"/>
                <w:lang w:eastAsia="zh-CN"/>
              </w:rPr>
              <w:t xml:space="preserve">RR Article </w:t>
            </w:r>
            <w:r w:rsidR="0001469D" w:rsidRPr="00143CAB">
              <w:rPr>
                <w:rFonts w:cstheme="minorHAnsi"/>
                <w:bCs/>
                <w:sz w:val="24"/>
                <w:szCs w:val="24"/>
                <w:lang w:eastAsia="zh-CN"/>
              </w:rPr>
              <w:t>5</w:t>
            </w:r>
            <w:r w:rsidR="0038510C">
              <w:rPr>
                <w:rFonts w:cstheme="minorHAnsi"/>
                <w:b/>
                <w:sz w:val="24"/>
                <w:szCs w:val="24"/>
                <w:lang w:eastAsia="zh-CN"/>
              </w:rPr>
              <w:t xml:space="preserve"> </w:t>
            </w:r>
            <w:r w:rsidR="0001469D" w:rsidRPr="0001469D">
              <w:rPr>
                <w:rFonts w:cstheme="minorHAnsi"/>
                <w:bCs/>
                <w:sz w:val="24"/>
                <w:szCs w:val="24"/>
                <w:lang w:eastAsia="zh-CN"/>
              </w:rPr>
              <w:t>Table of Frequency Allocations</w:t>
            </w:r>
            <w:r w:rsidR="0038510C">
              <w:rPr>
                <w:rFonts w:cstheme="minorHAnsi"/>
                <w:bCs/>
                <w:sz w:val="24"/>
                <w:szCs w:val="24"/>
                <w:lang w:eastAsia="zh-CN"/>
              </w:rPr>
              <w:t xml:space="preserve"> and to </w:t>
            </w:r>
            <w:r w:rsidR="0038510C" w:rsidRPr="0038510C">
              <w:rPr>
                <w:rFonts w:cstheme="minorHAnsi"/>
                <w:bCs/>
                <w:sz w:val="24"/>
                <w:szCs w:val="24"/>
                <w:lang w:eastAsia="zh-CN"/>
              </w:rPr>
              <w:t xml:space="preserve">add a row </w:t>
            </w:r>
            <w:r w:rsidR="0072771D">
              <w:rPr>
                <w:rFonts w:cstheme="minorHAnsi"/>
                <w:bCs/>
                <w:sz w:val="24"/>
                <w:szCs w:val="24"/>
                <w:lang w:eastAsia="zh-CN"/>
              </w:rPr>
              <w:t>in</w:t>
            </w:r>
            <w:r w:rsidR="0072771D">
              <w:t xml:space="preserve"> </w:t>
            </w:r>
            <w:r w:rsidR="0072771D" w:rsidRPr="0072771D">
              <w:rPr>
                <w:rFonts w:cstheme="minorHAnsi"/>
                <w:bCs/>
                <w:sz w:val="24"/>
                <w:szCs w:val="24"/>
                <w:lang w:eastAsia="zh-CN"/>
              </w:rPr>
              <w:t>RR Table 21-4</w:t>
            </w:r>
            <w:r w:rsidR="0072771D">
              <w:rPr>
                <w:rFonts w:cstheme="minorHAnsi"/>
                <w:bCs/>
                <w:sz w:val="24"/>
                <w:szCs w:val="24"/>
                <w:lang w:eastAsia="zh-CN"/>
              </w:rPr>
              <w:t xml:space="preserve"> of</w:t>
            </w:r>
            <w:r w:rsidR="0072771D" w:rsidRPr="0072771D">
              <w:rPr>
                <w:rFonts w:cstheme="minorHAnsi"/>
                <w:bCs/>
                <w:sz w:val="24"/>
                <w:szCs w:val="24"/>
                <w:lang w:eastAsia="zh-CN"/>
              </w:rPr>
              <w:t xml:space="preserve"> RR Article 21</w:t>
            </w:r>
            <w:r w:rsidR="0072771D">
              <w:rPr>
                <w:rFonts w:cstheme="minorHAnsi"/>
                <w:bCs/>
                <w:sz w:val="24"/>
                <w:szCs w:val="24"/>
                <w:lang w:eastAsia="zh-CN"/>
              </w:rPr>
              <w:t xml:space="preserve"> </w:t>
            </w:r>
            <w:r w:rsidR="0038510C" w:rsidRPr="0038510C">
              <w:rPr>
                <w:rFonts w:cstheme="minorHAnsi"/>
                <w:bCs/>
                <w:sz w:val="24"/>
                <w:szCs w:val="24"/>
                <w:lang w:eastAsia="zh-CN"/>
              </w:rPr>
              <w:t xml:space="preserve">to specify </w:t>
            </w:r>
            <w:proofErr w:type="spellStart"/>
            <w:r w:rsidR="0038510C" w:rsidRPr="0038510C">
              <w:rPr>
                <w:rFonts w:cstheme="minorHAnsi"/>
                <w:bCs/>
                <w:sz w:val="24"/>
                <w:szCs w:val="24"/>
                <w:lang w:eastAsia="zh-CN"/>
              </w:rPr>
              <w:t>pfd</w:t>
            </w:r>
            <w:proofErr w:type="spellEnd"/>
            <w:r w:rsidR="0038510C" w:rsidRPr="0038510C">
              <w:rPr>
                <w:rFonts w:cstheme="minorHAnsi"/>
                <w:bCs/>
                <w:sz w:val="24"/>
                <w:szCs w:val="24"/>
                <w:lang w:eastAsia="zh-CN"/>
              </w:rPr>
              <w:t xml:space="preserve"> limits for SRS (space-to-space</w:t>
            </w:r>
            <w:proofErr w:type="gramStart"/>
            <w:r w:rsidR="0038510C" w:rsidRPr="0038510C">
              <w:rPr>
                <w:rFonts w:cstheme="minorHAnsi"/>
                <w:bCs/>
                <w:sz w:val="24"/>
                <w:szCs w:val="24"/>
                <w:lang w:eastAsia="zh-CN"/>
              </w:rPr>
              <w:t>)</w:t>
            </w:r>
            <w:r w:rsidR="0038510C">
              <w:rPr>
                <w:rFonts w:cstheme="minorHAnsi"/>
                <w:bCs/>
                <w:sz w:val="24"/>
                <w:szCs w:val="24"/>
                <w:lang w:eastAsia="zh-CN"/>
              </w:rPr>
              <w:t>;</w:t>
            </w:r>
            <w:proofErr w:type="gramEnd"/>
          </w:p>
          <w:p w14:paraId="1D292165" w14:textId="6F13461C" w:rsidR="0038510C" w:rsidRDefault="0038510C" w:rsidP="00FF0891">
            <w:pPr>
              <w:pStyle w:val="ListParagraph"/>
              <w:numPr>
                <w:ilvl w:val="0"/>
                <w:numId w:val="6"/>
              </w:numPr>
              <w:wordWrap/>
              <w:rPr>
                <w:rFonts w:cstheme="minorHAnsi"/>
                <w:bCs/>
                <w:sz w:val="24"/>
                <w:szCs w:val="24"/>
                <w:lang w:eastAsia="zh-CN"/>
              </w:rPr>
            </w:pPr>
            <w:r>
              <w:rPr>
                <w:rFonts w:cstheme="minorHAnsi" w:hint="eastAsia"/>
                <w:bCs/>
                <w:sz w:val="24"/>
                <w:szCs w:val="24"/>
                <w:lang w:eastAsia="zh-CN"/>
              </w:rPr>
              <w:t>M</w:t>
            </w:r>
            <w:r>
              <w:rPr>
                <w:rFonts w:cstheme="minorHAnsi"/>
                <w:bCs/>
                <w:sz w:val="24"/>
                <w:szCs w:val="24"/>
                <w:lang w:eastAsia="zh-CN"/>
              </w:rPr>
              <w:t xml:space="preserve">ethod C: </w:t>
            </w:r>
            <w:r w:rsidR="0060442D">
              <w:rPr>
                <w:rFonts w:cstheme="minorHAnsi"/>
                <w:bCs/>
                <w:sz w:val="24"/>
                <w:szCs w:val="24"/>
                <w:lang w:eastAsia="zh-CN"/>
              </w:rPr>
              <w:t>To upgrade the</w:t>
            </w:r>
            <w:r w:rsidR="0060442D">
              <w:t xml:space="preserve"> </w:t>
            </w:r>
            <w:r w:rsidR="0060442D" w:rsidRPr="0060442D">
              <w:rPr>
                <w:rFonts w:cstheme="minorHAnsi"/>
                <w:bCs/>
                <w:sz w:val="24"/>
                <w:szCs w:val="24"/>
                <w:lang w:eastAsia="zh-CN"/>
              </w:rPr>
              <w:t>secondary SRS allocation</w:t>
            </w:r>
            <w:r w:rsidR="0060442D">
              <w:rPr>
                <w:rFonts w:cstheme="minorHAnsi"/>
                <w:bCs/>
                <w:sz w:val="24"/>
                <w:szCs w:val="24"/>
                <w:lang w:eastAsia="zh-CN"/>
              </w:rPr>
              <w:t xml:space="preserve"> </w:t>
            </w:r>
            <w:r w:rsidR="0060442D" w:rsidRPr="0060442D">
              <w:rPr>
                <w:rFonts w:cstheme="minorHAnsi"/>
                <w:bCs/>
                <w:sz w:val="24"/>
                <w:szCs w:val="24"/>
                <w:lang w:eastAsia="zh-CN"/>
              </w:rPr>
              <w:t>except SRS</w:t>
            </w:r>
            <w:r w:rsidR="00143CAB">
              <w:rPr>
                <w:rFonts w:cstheme="minorHAnsi"/>
                <w:bCs/>
                <w:sz w:val="24"/>
                <w:szCs w:val="24"/>
                <w:lang w:eastAsia="zh-CN"/>
              </w:rPr>
              <w:t xml:space="preserve"> </w:t>
            </w:r>
            <w:r w:rsidR="0060442D" w:rsidRPr="0060442D">
              <w:rPr>
                <w:rFonts w:cstheme="minorHAnsi"/>
                <w:bCs/>
                <w:sz w:val="24"/>
                <w:szCs w:val="24"/>
                <w:lang w:eastAsia="zh-CN"/>
              </w:rPr>
              <w:t>active and SRS passive applications</w:t>
            </w:r>
            <w:r w:rsidR="0060442D">
              <w:rPr>
                <w:rFonts w:cstheme="minorHAnsi"/>
                <w:bCs/>
                <w:sz w:val="24"/>
                <w:szCs w:val="24"/>
                <w:lang w:eastAsia="zh-CN"/>
              </w:rPr>
              <w:t xml:space="preserve">. Tables of </w:t>
            </w:r>
            <w:r w:rsidR="0060442D" w:rsidRPr="0060442D">
              <w:rPr>
                <w:rFonts w:cstheme="minorHAnsi"/>
                <w:bCs/>
                <w:sz w:val="24"/>
                <w:szCs w:val="24"/>
                <w:lang w:eastAsia="zh-CN"/>
              </w:rPr>
              <w:t>RR Article 21</w:t>
            </w:r>
            <w:r w:rsidR="0060442D">
              <w:rPr>
                <w:rFonts w:cstheme="minorHAnsi"/>
                <w:bCs/>
                <w:sz w:val="24"/>
                <w:szCs w:val="24"/>
                <w:lang w:eastAsia="zh-CN"/>
              </w:rPr>
              <w:t>,</w:t>
            </w:r>
            <w:r w:rsidR="0060442D">
              <w:t xml:space="preserve"> </w:t>
            </w:r>
            <w:r w:rsidR="0060442D" w:rsidRPr="0060442D">
              <w:rPr>
                <w:rFonts w:cstheme="minorHAnsi"/>
                <w:bCs/>
                <w:sz w:val="24"/>
                <w:szCs w:val="24"/>
                <w:lang w:eastAsia="zh-CN"/>
              </w:rPr>
              <w:t>Appendix 4</w:t>
            </w:r>
            <w:r w:rsidR="0060442D">
              <w:rPr>
                <w:rFonts w:cstheme="minorHAnsi"/>
                <w:bCs/>
                <w:sz w:val="24"/>
                <w:szCs w:val="24"/>
                <w:lang w:eastAsia="zh-CN"/>
              </w:rPr>
              <w:t xml:space="preserve"> and</w:t>
            </w:r>
            <w:r w:rsidR="0060442D">
              <w:t xml:space="preserve"> </w:t>
            </w:r>
            <w:r w:rsidR="0060442D" w:rsidRPr="0060442D">
              <w:rPr>
                <w:rFonts w:cstheme="minorHAnsi"/>
                <w:bCs/>
                <w:sz w:val="24"/>
                <w:szCs w:val="24"/>
                <w:lang w:eastAsia="zh-CN"/>
              </w:rPr>
              <w:t>Appendix 7</w:t>
            </w:r>
            <w:r w:rsidR="0060442D">
              <w:rPr>
                <w:rFonts w:cstheme="minorHAnsi"/>
                <w:bCs/>
                <w:sz w:val="24"/>
                <w:szCs w:val="24"/>
                <w:lang w:eastAsia="zh-CN"/>
              </w:rPr>
              <w:t xml:space="preserve"> are modified to</w:t>
            </w:r>
            <w:r w:rsidR="0060442D">
              <w:t xml:space="preserve"> </w:t>
            </w:r>
            <w:r w:rsidR="0060442D" w:rsidRPr="0060442D">
              <w:rPr>
                <w:rFonts w:cstheme="minorHAnsi"/>
                <w:bCs/>
                <w:sz w:val="24"/>
                <w:szCs w:val="24"/>
                <w:lang w:eastAsia="zh-CN"/>
              </w:rPr>
              <w:t xml:space="preserve">specify </w:t>
            </w:r>
            <w:proofErr w:type="spellStart"/>
            <w:r w:rsidR="0060442D" w:rsidRPr="0060442D">
              <w:rPr>
                <w:rFonts w:cstheme="minorHAnsi"/>
                <w:bCs/>
                <w:sz w:val="24"/>
                <w:szCs w:val="24"/>
                <w:lang w:eastAsia="zh-CN"/>
              </w:rPr>
              <w:t>pfd</w:t>
            </w:r>
            <w:proofErr w:type="spellEnd"/>
            <w:r w:rsidR="0060442D" w:rsidRPr="0060442D">
              <w:rPr>
                <w:rFonts w:cstheme="minorHAnsi"/>
                <w:bCs/>
                <w:sz w:val="24"/>
                <w:szCs w:val="24"/>
                <w:lang w:eastAsia="zh-CN"/>
              </w:rPr>
              <w:t xml:space="preserve"> limits for SRS (space-to-Earth) and (space-to-space)</w:t>
            </w:r>
            <w:r w:rsidR="0060442D">
              <w:rPr>
                <w:rFonts w:cstheme="minorHAnsi"/>
                <w:bCs/>
                <w:sz w:val="24"/>
                <w:szCs w:val="24"/>
                <w:lang w:eastAsia="zh-CN"/>
              </w:rPr>
              <w:t>,</w:t>
            </w:r>
            <w:r w:rsidR="0060442D">
              <w:t xml:space="preserve"> </w:t>
            </w:r>
            <w:r w:rsidR="0060442D" w:rsidRPr="0060442D">
              <w:rPr>
                <w:rFonts w:cstheme="minorHAnsi"/>
                <w:bCs/>
                <w:sz w:val="24"/>
                <w:szCs w:val="24"/>
                <w:lang w:eastAsia="zh-CN"/>
              </w:rPr>
              <w:t>to protect the radio astronomy service</w:t>
            </w:r>
            <w:r w:rsidR="0060442D">
              <w:rPr>
                <w:rFonts w:cstheme="minorHAnsi"/>
                <w:bCs/>
                <w:sz w:val="24"/>
                <w:szCs w:val="24"/>
                <w:lang w:eastAsia="zh-CN"/>
              </w:rPr>
              <w:t xml:space="preserve"> and to determine the coordination distances around SRS earth stations.</w:t>
            </w:r>
            <w:r w:rsidR="00FF0891" w:rsidRPr="00B5057D">
              <w:rPr>
                <w:rFonts w:eastAsia="Malgun Gothic" w:cstheme="minorHAnsi"/>
                <w:bCs/>
                <w:sz w:val="24"/>
                <w:szCs w:val="24"/>
              </w:rPr>
              <w:t xml:space="preserve"> </w:t>
            </w:r>
            <w:r w:rsidR="00FF0891">
              <w:rPr>
                <w:rFonts w:eastAsia="Malgun Gothic" w:cstheme="minorHAnsi"/>
                <w:bCs/>
                <w:sz w:val="24"/>
                <w:szCs w:val="24"/>
              </w:rPr>
              <w:t>A</w:t>
            </w:r>
            <w:r w:rsidR="00FF0891" w:rsidRPr="00B5057D">
              <w:rPr>
                <w:rFonts w:eastAsia="Malgun Gothic" w:cstheme="minorHAnsi"/>
                <w:bCs/>
                <w:sz w:val="24"/>
                <w:szCs w:val="24"/>
              </w:rPr>
              <w:t xml:space="preserve"> new Resolution</w:t>
            </w:r>
            <w:r w:rsidR="00FF0891">
              <w:rPr>
                <w:rFonts w:eastAsia="Malgun Gothic" w:cstheme="minorHAnsi"/>
                <w:bCs/>
                <w:sz w:val="24"/>
                <w:szCs w:val="24"/>
              </w:rPr>
              <w:t xml:space="preserve"> </w:t>
            </w:r>
            <w:r w:rsidR="00FF0891" w:rsidRPr="00FF0891">
              <w:rPr>
                <w:rFonts w:cstheme="minorHAnsi"/>
                <w:bCs/>
                <w:sz w:val="24"/>
                <w:szCs w:val="24"/>
                <w:lang w:eastAsia="zh-CN"/>
              </w:rPr>
              <w:t>are proposed to upgrade the status of the existing assignments recorded in the MIFR with the original date of receipt, subject to conformity with the new conditions of the allocation of the frequency band 14.8-15.35 GHz to the space research service.</w:t>
            </w:r>
          </w:p>
          <w:p w14:paraId="16E14294" w14:textId="628F4DAC" w:rsidR="00E32ABD" w:rsidRDefault="00E32ABD" w:rsidP="00FF0891">
            <w:pPr>
              <w:pStyle w:val="ListParagraph"/>
              <w:numPr>
                <w:ilvl w:val="0"/>
                <w:numId w:val="6"/>
              </w:numPr>
              <w:wordWrap/>
              <w:rPr>
                <w:rFonts w:cstheme="minorHAnsi"/>
                <w:bCs/>
                <w:sz w:val="24"/>
                <w:szCs w:val="24"/>
                <w:lang w:eastAsia="zh-CN"/>
              </w:rPr>
            </w:pPr>
            <w:r>
              <w:rPr>
                <w:rFonts w:cstheme="minorHAnsi" w:hint="eastAsia"/>
                <w:bCs/>
                <w:sz w:val="24"/>
                <w:szCs w:val="24"/>
                <w:lang w:eastAsia="zh-CN"/>
              </w:rPr>
              <w:t>M</w:t>
            </w:r>
            <w:r>
              <w:rPr>
                <w:rFonts w:cstheme="minorHAnsi"/>
                <w:bCs/>
                <w:sz w:val="24"/>
                <w:szCs w:val="24"/>
                <w:lang w:eastAsia="zh-CN"/>
              </w:rPr>
              <w:t xml:space="preserve">ethod D: </w:t>
            </w:r>
            <w:r w:rsidR="0072771D">
              <w:rPr>
                <w:rFonts w:cstheme="minorHAnsi"/>
                <w:bCs/>
                <w:sz w:val="24"/>
                <w:szCs w:val="24"/>
                <w:lang w:eastAsia="zh-CN"/>
              </w:rPr>
              <w:t xml:space="preserve">The upgrade is limited to the </w:t>
            </w:r>
            <w:r w:rsidR="0072771D" w:rsidRPr="0072771D">
              <w:rPr>
                <w:rFonts w:cstheme="minorHAnsi"/>
                <w:bCs/>
                <w:sz w:val="24"/>
                <w:szCs w:val="24"/>
                <w:lang w:eastAsia="zh-CN"/>
              </w:rPr>
              <w:t>usage of the SRS for near-Earth missions avoiding the upgrade of all other subsets of the SRS</w:t>
            </w:r>
            <w:r w:rsidR="0072771D">
              <w:rPr>
                <w:rFonts w:cstheme="minorHAnsi"/>
                <w:bCs/>
                <w:sz w:val="24"/>
                <w:szCs w:val="24"/>
                <w:lang w:eastAsia="zh-CN"/>
              </w:rPr>
              <w:t xml:space="preserve"> and to modify</w:t>
            </w:r>
            <w:r w:rsidR="0072771D">
              <w:t xml:space="preserve"> </w:t>
            </w:r>
            <w:r w:rsidR="0072771D" w:rsidRPr="0072771D">
              <w:rPr>
                <w:rFonts w:cstheme="minorHAnsi"/>
                <w:bCs/>
                <w:sz w:val="24"/>
                <w:szCs w:val="24"/>
                <w:lang w:eastAsia="zh-CN"/>
              </w:rPr>
              <w:t>RR Table 21-4</w:t>
            </w:r>
            <w:r w:rsidR="0072771D">
              <w:rPr>
                <w:rFonts w:cstheme="minorHAnsi"/>
                <w:bCs/>
                <w:sz w:val="24"/>
                <w:szCs w:val="24"/>
                <w:lang w:eastAsia="zh-CN"/>
              </w:rPr>
              <w:t xml:space="preserve"> of</w:t>
            </w:r>
            <w:r w:rsidR="0072771D" w:rsidRPr="0072771D">
              <w:rPr>
                <w:rFonts w:cstheme="minorHAnsi"/>
                <w:bCs/>
                <w:sz w:val="24"/>
                <w:szCs w:val="24"/>
                <w:lang w:eastAsia="zh-CN"/>
              </w:rPr>
              <w:t xml:space="preserve"> RR Article 21</w:t>
            </w:r>
            <w:r w:rsidR="0072771D">
              <w:rPr>
                <w:rFonts w:cstheme="minorHAnsi"/>
                <w:bCs/>
                <w:sz w:val="24"/>
                <w:szCs w:val="24"/>
                <w:lang w:eastAsia="zh-CN"/>
              </w:rPr>
              <w:t xml:space="preserve"> </w:t>
            </w:r>
            <w:r w:rsidR="0072771D" w:rsidRPr="0038510C">
              <w:rPr>
                <w:rFonts w:cstheme="minorHAnsi"/>
                <w:bCs/>
                <w:sz w:val="24"/>
                <w:szCs w:val="24"/>
                <w:lang w:eastAsia="zh-CN"/>
              </w:rPr>
              <w:t xml:space="preserve">to specify </w:t>
            </w:r>
            <w:proofErr w:type="spellStart"/>
            <w:r w:rsidR="0072771D" w:rsidRPr="0038510C">
              <w:rPr>
                <w:rFonts w:cstheme="minorHAnsi"/>
                <w:bCs/>
                <w:sz w:val="24"/>
                <w:szCs w:val="24"/>
                <w:lang w:eastAsia="zh-CN"/>
              </w:rPr>
              <w:t>pfd</w:t>
            </w:r>
            <w:proofErr w:type="spellEnd"/>
            <w:r w:rsidR="0072771D" w:rsidRPr="0038510C">
              <w:rPr>
                <w:rFonts w:cstheme="minorHAnsi"/>
                <w:bCs/>
                <w:sz w:val="24"/>
                <w:szCs w:val="24"/>
                <w:lang w:eastAsia="zh-CN"/>
              </w:rPr>
              <w:t xml:space="preserve"> limits for SRS (space-to-space)</w:t>
            </w:r>
            <w:r w:rsidR="0072771D" w:rsidRPr="0072771D">
              <w:rPr>
                <w:rFonts w:cstheme="minorHAnsi"/>
                <w:bCs/>
                <w:sz w:val="24"/>
                <w:szCs w:val="24"/>
                <w:lang w:eastAsia="zh-CN"/>
              </w:rPr>
              <w:t xml:space="preserve"> and (space-to-space)</w:t>
            </w:r>
            <w:r w:rsidR="0072771D">
              <w:rPr>
                <w:rFonts w:cstheme="minorHAnsi"/>
                <w:bCs/>
                <w:sz w:val="24"/>
                <w:szCs w:val="24"/>
                <w:lang w:eastAsia="zh-CN"/>
              </w:rPr>
              <w:t>.</w:t>
            </w:r>
            <w:r w:rsidR="0072771D">
              <w:t xml:space="preserve"> </w:t>
            </w:r>
            <w:r w:rsidR="0072771D" w:rsidRPr="0072771D">
              <w:rPr>
                <w:rFonts w:cstheme="minorHAnsi"/>
                <w:bCs/>
                <w:sz w:val="24"/>
                <w:szCs w:val="24"/>
                <w:lang w:eastAsia="zh-CN"/>
              </w:rPr>
              <w:t xml:space="preserve">It is also proposed to have a </w:t>
            </w:r>
            <w:proofErr w:type="spellStart"/>
            <w:r w:rsidR="0072771D" w:rsidRPr="0072771D">
              <w:rPr>
                <w:rFonts w:cstheme="minorHAnsi"/>
                <w:bCs/>
                <w:sz w:val="24"/>
                <w:szCs w:val="24"/>
                <w:lang w:eastAsia="zh-CN"/>
              </w:rPr>
              <w:t>pfd</w:t>
            </w:r>
            <w:proofErr w:type="spellEnd"/>
            <w:r w:rsidR="0072771D" w:rsidRPr="0072771D">
              <w:rPr>
                <w:rFonts w:cstheme="minorHAnsi"/>
                <w:bCs/>
                <w:sz w:val="24"/>
                <w:szCs w:val="24"/>
                <w:lang w:eastAsia="zh-CN"/>
              </w:rPr>
              <w:t xml:space="preserve"> limit in order to protect the AMS, HTTS and RAS operated in neighboring countries.</w:t>
            </w:r>
          </w:p>
          <w:p w14:paraId="039AA262" w14:textId="6D2B5BDE" w:rsidR="00B5057D" w:rsidRPr="00143CAB" w:rsidRDefault="0072771D" w:rsidP="00B5057D">
            <w:pPr>
              <w:pStyle w:val="ListParagraph"/>
              <w:numPr>
                <w:ilvl w:val="0"/>
                <w:numId w:val="6"/>
              </w:numPr>
              <w:wordWrap/>
              <w:rPr>
                <w:rFonts w:cstheme="minorHAnsi"/>
                <w:bCs/>
                <w:sz w:val="24"/>
                <w:szCs w:val="24"/>
                <w:lang w:eastAsia="zh-CN"/>
              </w:rPr>
            </w:pPr>
            <w:r>
              <w:rPr>
                <w:rFonts w:cstheme="minorHAnsi" w:hint="eastAsia"/>
                <w:bCs/>
                <w:sz w:val="24"/>
                <w:szCs w:val="24"/>
                <w:lang w:eastAsia="zh-CN"/>
              </w:rPr>
              <w:t>M</w:t>
            </w:r>
            <w:r>
              <w:rPr>
                <w:rFonts w:cstheme="minorHAnsi"/>
                <w:bCs/>
                <w:sz w:val="24"/>
                <w:szCs w:val="24"/>
                <w:lang w:eastAsia="zh-CN"/>
              </w:rPr>
              <w:t>ethod E:</w:t>
            </w:r>
            <w:r w:rsidR="00822A34" w:rsidRPr="00822A34">
              <w:rPr>
                <w:rFonts w:cstheme="minorHAnsi"/>
                <w:bCs/>
                <w:sz w:val="24"/>
                <w:szCs w:val="24"/>
                <w:lang w:eastAsia="zh-CN"/>
              </w:rPr>
              <w:t xml:space="preserve"> Provisions to both protect and avoid constraints on primary services for the FS and MS in the frequency band 14.8-15.35 GHz, as well as radio astronomy service in the adjacent frequency band 15.35-15.4 GHz</w:t>
            </w:r>
            <w:r w:rsidR="00822A34">
              <w:rPr>
                <w:rFonts w:cstheme="minorHAnsi"/>
                <w:bCs/>
                <w:sz w:val="24"/>
                <w:szCs w:val="24"/>
                <w:lang w:eastAsia="zh-CN"/>
              </w:rPr>
              <w:t xml:space="preserve"> are provided in this method, which are reflected in three sub-Methods.</w:t>
            </w:r>
          </w:p>
        </w:tc>
      </w:tr>
      <w:tr w:rsidR="007E7577" w:rsidRPr="00D93A66" w14:paraId="1F32501E" w14:textId="77777777" w:rsidTr="00B466C9">
        <w:tc>
          <w:tcPr>
            <w:tcW w:w="11052" w:type="dxa"/>
            <w:gridSpan w:val="15"/>
          </w:tcPr>
          <w:p w14:paraId="5DC9BBB1" w14:textId="77777777" w:rsidR="007E7577" w:rsidRPr="0077095D" w:rsidRDefault="007E7577" w:rsidP="00D93A66">
            <w:pPr>
              <w:jc w:val="center"/>
              <w:rPr>
                <w:rFonts w:cstheme="minorHAnsi"/>
                <w:bCs/>
                <w:sz w:val="24"/>
                <w:szCs w:val="24"/>
              </w:rPr>
            </w:pPr>
          </w:p>
        </w:tc>
      </w:tr>
      <w:tr w:rsidR="007E7577" w:rsidRPr="00D93A66" w14:paraId="5231A4B8" w14:textId="77777777" w:rsidTr="00B466C9">
        <w:tc>
          <w:tcPr>
            <w:tcW w:w="11052" w:type="dxa"/>
            <w:gridSpan w:val="15"/>
          </w:tcPr>
          <w:p w14:paraId="68384811" w14:textId="77777777" w:rsidR="007E7577" w:rsidRPr="007E7577" w:rsidRDefault="007E7577" w:rsidP="006C7438">
            <w:pPr>
              <w:pStyle w:val="ListParagraph"/>
              <w:numPr>
                <w:ilvl w:val="0"/>
                <w:numId w:val="4"/>
              </w:numPr>
              <w:jc w:val="left"/>
              <w:rPr>
                <w:rFonts w:cstheme="minorHAnsi"/>
                <w:bCs/>
                <w:sz w:val="24"/>
                <w:szCs w:val="24"/>
              </w:rPr>
            </w:pPr>
            <w:r w:rsidRPr="007E7577">
              <w:rPr>
                <w:rFonts w:cstheme="minorHAnsi"/>
                <w:b/>
                <w:sz w:val="28"/>
                <w:szCs w:val="28"/>
              </w:rPr>
              <w:t xml:space="preserve">Issue(s) which require </w:t>
            </w:r>
            <w:r w:rsidR="006C7438" w:rsidRPr="007E7577">
              <w:rPr>
                <w:rFonts w:cstheme="minorHAnsi"/>
                <w:b/>
                <w:sz w:val="28"/>
                <w:szCs w:val="28"/>
              </w:rPr>
              <w:t>discussion and</w:t>
            </w:r>
            <w:r w:rsidR="006C7438">
              <w:rPr>
                <w:rFonts w:cstheme="minorHAnsi"/>
                <w:b/>
                <w:sz w:val="28"/>
                <w:szCs w:val="28"/>
              </w:rPr>
              <w:t xml:space="preserve"> </w:t>
            </w:r>
            <w:r w:rsidR="006C7438" w:rsidRPr="007E7577">
              <w:rPr>
                <w:rFonts w:cstheme="minorHAnsi"/>
                <w:b/>
                <w:sz w:val="28"/>
                <w:szCs w:val="28"/>
              </w:rPr>
              <w:t xml:space="preserve">further guidance </w:t>
            </w:r>
            <w:r w:rsidRPr="007E7577">
              <w:rPr>
                <w:rFonts w:cstheme="minorHAnsi"/>
                <w:b/>
                <w:sz w:val="28"/>
                <w:szCs w:val="28"/>
              </w:rPr>
              <w:t xml:space="preserve">at APG Coordination meeting </w:t>
            </w:r>
          </w:p>
        </w:tc>
      </w:tr>
      <w:tr w:rsidR="007E7577" w:rsidRPr="00D93A66" w14:paraId="02E956E4" w14:textId="77777777" w:rsidTr="00B466C9">
        <w:tc>
          <w:tcPr>
            <w:tcW w:w="11052" w:type="dxa"/>
            <w:gridSpan w:val="15"/>
          </w:tcPr>
          <w:p w14:paraId="5588F9F0" w14:textId="70ACF76F" w:rsidR="007E7577" w:rsidRPr="0077095D" w:rsidRDefault="00AC1669" w:rsidP="00C61C3A">
            <w:pPr>
              <w:jc w:val="center"/>
              <w:rPr>
                <w:rFonts w:cstheme="minorHAnsi"/>
                <w:bCs/>
                <w:sz w:val="24"/>
                <w:szCs w:val="24"/>
              </w:rPr>
            </w:pPr>
            <w:r>
              <w:rPr>
                <w:rFonts w:cstheme="minorHAnsi"/>
                <w:bCs/>
                <w:sz w:val="24"/>
                <w:szCs w:val="24"/>
              </w:rPr>
              <w:t>None.</w:t>
            </w:r>
          </w:p>
        </w:tc>
      </w:tr>
    </w:tbl>
    <w:p w14:paraId="4CB70F1E" w14:textId="77777777" w:rsidR="009977D0" w:rsidRDefault="009977D0"/>
    <w:p w14:paraId="25CBC4C6" w14:textId="77777777" w:rsidR="00D93A66" w:rsidRDefault="00D93A66"/>
    <w:p w14:paraId="1548A65D" w14:textId="77777777" w:rsidR="00D93A66" w:rsidRDefault="00D93A66"/>
    <w:sectPr w:rsidR="00D93A66" w:rsidSect="00B466C9">
      <w:headerReference w:type="default" r:id="rId21"/>
      <w:pgSz w:w="11906" w:h="16838"/>
      <w:pgMar w:top="720" w:right="510" w:bottom="72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4FD0" w14:textId="77777777" w:rsidR="002B05E5" w:rsidRDefault="002B05E5" w:rsidP="00D93A66">
      <w:pPr>
        <w:spacing w:after="0" w:line="240" w:lineRule="auto"/>
      </w:pPr>
      <w:r>
        <w:separator/>
      </w:r>
    </w:p>
  </w:endnote>
  <w:endnote w:type="continuationSeparator" w:id="0">
    <w:p w14:paraId="5A76BAA8" w14:textId="77777777" w:rsidR="002B05E5" w:rsidRDefault="002B05E5" w:rsidP="00D9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4D7D" w14:textId="77777777" w:rsidR="002B05E5" w:rsidRDefault="002B05E5" w:rsidP="00D93A66">
      <w:pPr>
        <w:spacing w:after="0" w:line="240" w:lineRule="auto"/>
      </w:pPr>
      <w:r>
        <w:separator/>
      </w:r>
    </w:p>
  </w:footnote>
  <w:footnote w:type="continuationSeparator" w:id="0">
    <w:p w14:paraId="0E70E0DD" w14:textId="77777777" w:rsidR="002B05E5" w:rsidRDefault="002B05E5" w:rsidP="00D93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D686" w14:textId="77777777" w:rsidR="00D93A66" w:rsidRDefault="00D93A66" w:rsidP="00D93A66">
    <w:pPr>
      <w:pStyle w:val="Header"/>
      <w:tabs>
        <w:tab w:val="clear" w:pos="4513"/>
        <w:tab w:val="clear" w:pos="9026"/>
        <w:tab w:val="left" w:pos="3594"/>
      </w:tabs>
      <w:jc w:val="center"/>
      <w:rPr>
        <w:b/>
        <w:bCs/>
        <w:sz w:val="28"/>
        <w:szCs w:val="28"/>
      </w:rPr>
    </w:pPr>
    <w:r w:rsidRPr="002C600C">
      <w:rPr>
        <w:b/>
        <w:bCs/>
        <w:sz w:val="28"/>
        <w:szCs w:val="28"/>
      </w:rPr>
      <w:t xml:space="preserve">Report of the </w:t>
    </w:r>
    <w:r w:rsidR="005462D5">
      <w:rPr>
        <w:b/>
        <w:bCs/>
        <w:sz w:val="28"/>
        <w:szCs w:val="28"/>
      </w:rPr>
      <w:t xml:space="preserve">APT </w:t>
    </w:r>
    <w:r w:rsidRPr="002C600C">
      <w:rPr>
        <w:b/>
        <w:bCs/>
        <w:sz w:val="28"/>
        <w:szCs w:val="28"/>
      </w:rPr>
      <w:t>Agenda Item Coordinator</w:t>
    </w:r>
  </w:p>
  <w:p w14:paraId="221B997D" w14:textId="77777777" w:rsidR="00E00EC9" w:rsidRPr="002C600C" w:rsidRDefault="00E00EC9" w:rsidP="00D93A66">
    <w:pPr>
      <w:pStyle w:val="Header"/>
      <w:tabs>
        <w:tab w:val="clear" w:pos="4513"/>
        <w:tab w:val="clear" w:pos="9026"/>
        <w:tab w:val="left" w:pos="3594"/>
      </w:tabs>
      <w:jc w:val="center"/>
      <w:rPr>
        <w:b/>
        <w:bCs/>
        <w:sz w:val="28"/>
        <w:szCs w:val="28"/>
      </w:rPr>
    </w:pPr>
    <w:r>
      <w:rPr>
        <w:b/>
        <w:bCs/>
        <w:sz w:val="28"/>
        <w:szCs w:val="28"/>
      </w:rPr>
      <w:t>CPM23-2</w:t>
    </w:r>
  </w:p>
  <w:p w14:paraId="17DC1CD7" w14:textId="77777777" w:rsidR="00D93A66" w:rsidRDefault="00D93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5544B"/>
    <w:multiLevelType w:val="hybridMultilevel"/>
    <w:tmpl w:val="BF3617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4B21B0"/>
    <w:multiLevelType w:val="hybridMultilevel"/>
    <w:tmpl w:val="BF361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5A51139"/>
    <w:multiLevelType w:val="hybridMultilevel"/>
    <w:tmpl w:val="D15687D2"/>
    <w:lvl w:ilvl="0" w:tplc="4AD2BB4C">
      <w:start w:val="3"/>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47140AC4"/>
    <w:multiLevelType w:val="hybridMultilevel"/>
    <w:tmpl w:val="DF74FD86"/>
    <w:lvl w:ilvl="0" w:tplc="80DCD9B0">
      <w:start w:val="3"/>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619B4C5A"/>
    <w:multiLevelType w:val="hybridMultilevel"/>
    <w:tmpl w:val="E82807FC"/>
    <w:lvl w:ilvl="0" w:tplc="CD92DC88">
      <w:start w:val="5"/>
      <w:numFmt w:val="decimal"/>
      <w:lvlText w:val="%1."/>
      <w:lvlJc w:val="left"/>
      <w:pPr>
        <w:ind w:left="360" w:hanging="360"/>
      </w:pPr>
      <w:rPr>
        <w:rFonts w:hint="default"/>
        <w:b/>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1EC6584"/>
    <w:multiLevelType w:val="hybridMultilevel"/>
    <w:tmpl w:val="9A7E5440"/>
    <w:lvl w:ilvl="0" w:tplc="9E56D3E6">
      <w:start w:val="1"/>
      <w:numFmt w:val="decimal"/>
      <w:lvlText w:val="%1."/>
      <w:lvlJc w:val="left"/>
      <w:pPr>
        <w:ind w:left="36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58715592">
    <w:abstractNumId w:val="0"/>
  </w:num>
  <w:num w:numId="2" w16cid:durableId="278344930">
    <w:abstractNumId w:val="1"/>
  </w:num>
  <w:num w:numId="3" w16cid:durableId="671831323">
    <w:abstractNumId w:val="4"/>
  </w:num>
  <w:num w:numId="4" w16cid:durableId="534081018">
    <w:abstractNumId w:val="5"/>
  </w:num>
  <w:num w:numId="5" w16cid:durableId="1268737876">
    <w:abstractNumId w:val="3"/>
  </w:num>
  <w:num w:numId="6" w16cid:durableId="102847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66"/>
    <w:rsid w:val="00006A01"/>
    <w:rsid w:val="0001469D"/>
    <w:rsid w:val="00021CDB"/>
    <w:rsid w:val="00032CA4"/>
    <w:rsid w:val="00037FAC"/>
    <w:rsid w:val="00057D04"/>
    <w:rsid w:val="000811DB"/>
    <w:rsid w:val="000E0BFB"/>
    <w:rsid w:val="00136A80"/>
    <w:rsid w:val="00143CAB"/>
    <w:rsid w:val="00154856"/>
    <w:rsid w:val="00195F6D"/>
    <w:rsid w:val="001E2D4F"/>
    <w:rsid w:val="002375D7"/>
    <w:rsid w:val="002409EA"/>
    <w:rsid w:val="0029461B"/>
    <w:rsid w:val="002B05E5"/>
    <w:rsid w:val="002C5399"/>
    <w:rsid w:val="002E379A"/>
    <w:rsid w:val="00326745"/>
    <w:rsid w:val="0034507A"/>
    <w:rsid w:val="0038510C"/>
    <w:rsid w:val="003D5550"/>
    <w:rsid w:val="00404268"/>
    <w:rsid w:val="004218C6"/>
    <w:rsid w:val="00486502"/>
    <w:rsid w:val="004C36E2"/>
    <w:rsid w:val="00532F3D"/>
    <w:rsid w:val="005462D5"/>
    <w:rsid w:val="00580AA6"/>
    <w:rsid w:val="005811C7"/>
    <w:rsid w:val="00591823"/>
    <w:rsid w:val="005E5CFA"/>
    <w:rsid w:val="0060442D"/>
    <w:rsid w:val="006464B2"/>
    <w:rsid w:val="00654773"/>
    <w:rsid w:val="00655504"/>
    <w:rsid w:val="006C7438"/>
    <w:rsid w:val="006E12FC"/>
    <w:rsid w:val="00725CB3"/>
    <w:rsid w:val="0072771D"/>
    <w:rsid w:val="00743520"/>
    <w:rsid w:val="00752CC8"/>
    <w:rsid w:val="0077095D"/>
    <w:rsid w:val="007E7577"/>
    <w:rsid w:val="00801CF3"/>
    <w:rsid w:val="00822A34"/>
    <w:rsid w:val="008415C6"/>
    <w:rsid w:val="00856ADE"/>
    <w:rsid w:val="0089472E"/>
    <w:rsid w:val="00911E1F"/>
    <w:rsid w:val="009123FC"/>
    <w:rsid w:val="00952584"/>
    <w:rsid w:val="00983F17"/>
    <w:rsid w:val="00991303"/>
    <w:rsid w:val="009977D0"/>
    <w:rsid w:val="009C11B0"/>
    <w:rsid w:val="00A03195"/>
    <w:rsid w:val="00AC1669"/>
    <w:rsid w:val="00AC28AF"/>
    <w:rsid w:val="00AE6BFE"/>
    <w:rsid w:val="00AF2366"/>
    <w:rsid w:val="00B16274"/>
    <w:rsid w:val="00B23555"/>
    <w:rsid w:val="00B2573C"/>
    <w:rsid w:val="00B466C9"/>
    <w:rsid w:val="00B5057D"/>
    <w:rsid w:val="00B6780E"/>
    <w:rsid w:val="00B67FDF"/>
    <w:rsid w:val="00B747D6"/>
    <w:rsid w:val="00B908A8"/>
    <w:rsid w:val="00B96226"/>
    <w:rsid w:val="00BE4186"/>
    <w:rsid w:val="00BE4B0C"/>
    <w:rsid w:val="00C61C3A"/>
    <w:rsid w:val="00C63D90"/>
    <w:rsid w:val="00C72A13"/>
    <w:rsid w:val="00C91AAA"/>
    <w:rsid w:val="00C97964"/>
    <w:rsid w:val="00CE474B"/>
    <w:rsid w:val="00D73A7D"/>
    <w:rsid w:val="00D834DA"/>
    <w:rsid w:val="00D93A66"/>
    <w:rsid w:val="00DF1977"/>
    <w:rsid w:val="00E00EC9"/>
    <w:rsid w:val="00E06782"/>
    <w:rsid w:val="00E3256E"/>
    <w:rsid w:val="00E32ABD"/>
    <w:rsid w:val="00E55BB2"/>
    <w:rsid w:val="00E81305"/>
    <w:rsid w:val="00F10D2B"/>
    <w:rsid w:val="00F1297B"/>
    <w:rsid w:val="00F33BB9"/>
    <w:rsid w:val="00F3741F"/>
    <w:rsid w:val="00FE6D23"/>
    <w:rsid w:val="00FF089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DCC69"/>
  <w15:chartTrackingRefBased/>
  <w15:docId w15:val="{EEF2309C-B166-4800-9295-83E19BC7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A66"/>
    <w:pPr>
      <w:widowControl w:val="0"/>
      <w:wordWrap w:val="0"/>
      <w:autoSpaceDE w:val="0"/>
      <w:autoSpaceDN w:val="0"/>
      <w:jc w:val="both"/>
    </w:pPr>
    <w:rPr>
      <w:kern w:val="2"/>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66"/>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HeaderChar">
    <w:name w:val="Header Char"/>
    <w:basedOn w:val="DefaultParagraphFont"/>
    <w:link w:val="Header"/>
    <w:uiPriority w:val="99"/>
    <w:rsid w:val="00D93A66"/>
  </w:style>
  <w:style w:type="paragraph" w:styleId="Footer">
    <w:name w:val="footer"/>
    <w:basedOn w:val="Normal"/>
    <w:link w:val="FooterChar"/>
    <w:uiPriority w:val="99"/>
    <w:unhideWhenUsed/>
    <w:rsid w:val="00D93A66"/>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FooterChar">
    <w:name w:val="Footer Char"/>
    <w:basedOn w:val="DefaultParagraphFont"/>
    <w:link w:val="Footer"/>
    <w:uiPriority w:val="99"/>
    <w:rsid w:val="00D93A66"/>
  </w:style>
  <w:style w:type="table" w:styleId="TableGrid">
    <w:name w:val="Table Grid"/>
    <w:basedOn w:val="TableNormal"/>
    <w:uiPriority w:val="39"/>
    <w:rsid w:val="00D93A66"/>
    <w:pPr>
      <w:spacing w:after="0" w:line="240" w:lineRule="auto"/>
      <w:jc w:val="both"/>
    </w:pPr>
    <w:rPr>
      <w:kern w:val="2"/>
      <w:sz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095D"/>
    <w:pPr>
      <w:ind w:left="720"/>
      <w:contextualSpacing/>
    </w:pPr>
  </w:style>
  <w:style w:type="character" w:styleId="Hyperlink">
    <w:name w:val="Hyperlink"/>
    <w:basedOn w:val="DefaultParagraphFont"/>
    <w:uiPriority w:val="99"/>
    <w:unhideWhenUsed/>
    <w:rsid w:val="00154856"/>
    <w:rPr>
      <w:color w:val="0563C1" w:themeColor="hyperlink"/>
      <w:u w:val="single"/>
    </w:rPr>
  </w:style>
  <w:style w:type="character" w:styleId="UnresolvedMention">
    <w:name w:val="Unresolved Mention"/>
    <w:basedOn w:val="DefaultParagraphFont"/>
    <w:uiPriority w:val="99"/>
    <w:semiHidden/>
    <w:unhideWhenUsed/>
    <w:rsid w:val="00F33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CPM23.2-C-0001/en" TargetMode="External"/><Relationship Id="rId13" Type="http://schemas.openxmlformats.org/officeDocument/2006/relationships/hyperlink" Target="https://www.itu.int/md/R19-CPM23.2-C-0085/en" TargetMode="External"/><Relationship Id="rId18" Type="http://schemas.openxmlformats.org/officeDocument/2006/relationships/hyperlink" Target="https://www.itu.int/md/R19-CPM23.2-C-0174/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apt.int/sites/default/files/2023/03/APG23-5-OUT-21_PV_AI1.13_ed.docx" TargetMode="External"/><Relationship Id="rId12" Type="http://schemas.openxmlformats.org/officeDocument/2006/relationships/hyperlink" Target="https://www.itu.int/md/R19-CPM23.2-C-0061/en" TargetMode="External"/><Relationship Id="rId17" Type="http://schemas.openxmlformats.org/officeDocument/2006/relationships/hyperlink" Target="https://www.itu.int/md/R19-CPM23.2-C-0170/en" TargetMode="External"/><Relationship Id="rId2" Type="http://schemas.openxmlformats.org/officeDocument/2006/relationships/styles" Target="styles.xml"/><Relationship Id="rId16" Type="http://schemas.openxmlformats.org/officeDocument/2006/relationships/hyperlink" Target="https://www.itu.int/md/R19-CPM23.2-C-0168/en" TargetMode="External"/><Relationship Id="rId20" Type="http://schemas.openxmlformats.org/officeDocument/2006/relationships/hyperlink" Target="https://www.itu.int/md/R19-CPM23.2-C-0211/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9-CPM23.2-C-0047/en" TargetMode="External"/><Relationship Id="rId5" Type="http://schemas.openxmlformats.org/officeDocument/2006/relationships/footnotes" Target="footnotes.xml"/><Relationship Id="rId15" Type="http://schemas.openxmlformats.org/officeDocument/2006/relationships/hyperlink" Target="https://www.itu.int/md/R19-CPM23.2-C-0135/en" TargetMode="External"/><Relationship Id="rId23" Type="http://schemas.openxmlformats.org/officeDocument/2006/relationships/theme" Target="theme/theme1.xml"/><Relationship Id="rId10" Type="http://schemas.openxmlformats.org/officeDocument/2006/relationships/hyperlink" Target="https://www.itu.int/md/R19-CPM23.2-C-0016/en" TargetMode="External"/><Relationship Id="rId19" Type="http://schemas.openxmlformats.org/officeDocument/2006/relationships/hyperlink" Target="https://www.itu.int/md/R19-CPM23.2-C-0209/en" TargetMode="External"/><Relationship Id="rId4" Type="http://schemas.openxmlformats.org/officeDocument/2006/relationships/webSettings" Target="webSettings.xml"/><Relationship Id="rId9" Type="http://schemas.openxmlformats.org/officeDocument/2006/relationships/hyperlink" Target="https://www.itu.int/md/R19-CPM23.02-C-0005/en" TargetMode="External"/><Relationship Id="rId14" Type="http://schemas.openxmlformats.org/officeDocument/2006/relationships/hyperlink" Target="https://www.itu.int/md/R19-CPM23.2-C-0116/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Hose</dc:creator>
  <cp:keywords/>
  <dc:description/>
  <cp:lastModifiedBy>Han Henry</cp:lastModifiedBy>
  <cp:revision>70</cp:revision>
  <dcterms:created xsi:type="dcterms:W3CDTF">2023-04-02T11:45:00Z</dcterms:created>
  <dcterms:modified xsi:type="dcterms:W3CDTF">2023-04-02T20:01:00Z</dcterms:modified>
</cp:coreProperties>
</file>