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80" w:rightFromText="180" w:vertAnchor="page" w:horzAnchor="margin" w:tblpY="1756"/>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77095D" w:rsidRPr="00D93A66" w:rsidTr="00B466C9">
        <w:trPr>
          <w:trHeight w:val="283"/>
        </w:trPr>
        <w:tc>
          <w:tcPr>
            <w:tcW w:w="11052" w:type="dxa"/>
            <w:gridSpan w:val="15"/>
            <w:vAlign w:val="center"/>
          </w:tcPr>
          <w:p w:rsidR="0077095D" w:rsidRPr="006C7438" w:rsidRDefault="0077095D" w:rsidP="006C7438">
            <w:pPr>
              <w:pStyle w:val="a6"/>
              <w:numPr>
                <w:ilvl w:val="0"/>
                <w:numId w:val="4"/>
              </w:numPr>
              <w:jc w:val="left"/>
              <w:rPr>
                <w:rFonts w:cstheme="minorHAnsi"/>
                <w:b/>
                <w:sz w:val="28"/>
                <w:szCs w:val="28"/>
              </w:rPr>
            </w:pPr>
            <w:r w:rsidRPr="006C7438">
              <w:rPr>
                <w:rFonts w:cstheme="minorHAnsi"/>
                <w:b/>
                <w:sz w:val="28"/>
                <w:szCs w:val="28"/>
              </w:rPr>
              <w:t xml:space="preserve">Agenda item </w:t>
            </w:r>
          </w:p>
        </w:tc>
      </w:tr>
      <w:tr w:rsidR="007E7577" w:rsidRPr="00D93A66" w:rsidTr="004D6318">
        <w:trPr>
          <w:trHeight w:val="694"/>
        </w:trPr>
        <w:tc>
          <w:tcPr>
            <w:tcW w:w="2122" w:type="dxa"/>
            <w:gridSpan w:val="3"/>
            <w:vMerge w:val="restart"/>
            <w:vAlign w:val="center"/>
          </w:tcPr>
          <w:p w:rsidR="007E7577" w:rsidRDefault="007E7577" w:rsidP="00D93A66">
            <w:pPr>
              <w:jc w:val="center"/>
              <w:rPr>
                <w:rFonts w:cstheme="minorHAnsi"/>
                <w:b/>
                <w:sz w:val="28"/>
                <w:szCs w:val="28"/>
              </w:rPr>
            </w:pPr>
            <w:r w:rsidRPr="00D93A66">
              <w:rPr>
                <w:rFonts w:cstheme="minorHAnsi"/>
                <w:b/>
                <w:sz w:val="28"/>
                <w:szCs w:val="28"/>
              </w:rPr>
              <w:t>Agenda Item</w:t>
            </w:r>
          </w:p>
          <w:p w:rsidR="007E7577" w:rsidRPr="005E5CFA" w:rsidRDefault="003E43CD" w:rsidP="003E43CD">
            <w:pPr>
              <w:jc w:val="center"/>
              <w:rPr>
                <w:rFonts w:cstheme="minorHAnsi"/>
                <w:bCs/>
                <w:sz w:val="28"/>
                <w:szCs w:val="28"/>
              </w:rPr>
            </w:pPr>
            <w:r>
              <w:rPr>
                <w:rFonts w:cstheme="minorHAnsi"/>
                <w:bCs/>
                <w:sz w:val="28"/>
                <w:szCs w:val="28"/>
              </w:rPr>
              <w:t>9.1.topic  b</w:t>
            </w:r>
          </w:p>
        </w:tc>
        <w:tc>
          <w:tcPr>
            <w:tcW w:w="8930" w:type="dxa"/>
            <w:gridSpan w:val="12"/>
            <w:vAlign w:val="center"/>
          </w:tcPr>
          <w:p w:rsidR="002D09BD" w:rsidRPr="00C63D90" w:rsidRDefault="00A16B26" w:rsidP="004D6318">
            <w:pPr>
              <w:jc w:val="center"/>
              <w:rPr>
                <w:rFonts w:cstheme="minorHAnsi"/>
                <w:bCs/>
                <w:sz w:val="24"/>
                <w:szCs w:val="24"/>
              </w:rPr>
            </w:pPr>
            <w:r>
              <w:rPr>
                <w:rFonts w:cstheme="minorHAnsi"/>
                <w:bCs/>
                <w:sz w:val="24"/>
                <w:szCs w:val="24"/>
              </w:rPr>
              <w:t>Protection of the RNSS(s-E) from Amateur(satellite) service in 1 240 1 300 MHz</w:t>
            </w:r>
          </w:p>
        </w:tc>
      </w:tr>
      <w:tr w:rsidR="007E7577" w:rsidRPr="00D93A66" w:rsidTr="00C63D90">
        <w:trPr>
          <w:trHeight w:val="283"/>
        </w:trPr>
        <w:tc>
          <w:tcPr>
            <w:tcW w:w="2122" w:type="dxa"/>
            <w:gridSpan w:val="3"/>
            <w:vMerge/>
          </w:tcPr>
          <w:p w:rsidR="00D93A66" w:rsidRPr="00D93A66" w:rsidRDefault="00D93A66" w:rsidP="00D93A66">
            <w:pPr>
              <w:jc w:val="center"/>
              <w:rPr>
                <w:rFonts w:cstheme="minorHAnsi"/>
                <w:b/>
                <w:sz w:val="28"/>
                <w:szCs w:val="28"/>
              </w:rPr>
            </w:pPr>
          </w:p>
        </w:tc>
        <w:tc>
          <w:tcPr>
            <w:tcW w:w="1842" w:type="dxa"/>
            <w:gridSpan w:val="4"/>
          </w:tcPr>
          <w:p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268" w:type="dxa"/>
            <w:gridSpan w:val="3"/>
          </w:tcPr>
          <w:p w:rsidR="00D93A66" w:rsidRPr="006C7438" w:rsidRDefault="003E43CD" w:rsidP="003E43CD">
            <w:pPr>
              <w:rPr>
                <w:rFonts w:cstheme="minorHAnsi" w:hint="eastAsia"/>
                <w:bCs/>
                <w:sz w:val="24"/>
                <w:szCs w:val="24"/>
              </w:rPr>
            </w:pPr>
            <w:r>
              <w:rPr>
                <w:rFonts w:cstheme="minorHAnsi" w:hint="eastAsia"/>
                <w:bCs/>
                <w:sz w:val="24"/>
                <w:szCs w:val="24"/>
              </w:rPr>
              <w:t>W</w:t>
            </w:r>
            <w:r w:rsidR="00683B41">
              <w:rPr>
                <w:rFonts w:cstheme="minorHAnsi"/>
                <w:bCs/>
                <w:sz w:val="24"/>
                <w:szCs w:val="24"/>
              </w:rPr>
              <w:t>G</w:t>
            </w:r>
            <w:r>
              <w:rPr>
                <w:rFonts w:cstheme="minorHAnsi"/>
                <w:bCs/>
                <w:sz w:val="24"/>
                <w:szCs w:val="24"/>
              </w:rPr>
              <w:t xml:space="preserve">5 </w:t>
            </w:r>
          </w:p>
        </w:tc>
        <w:tc>
          <w:tcPr>
            <w:tcW w:w="2268" w:type="dxa"/>
            <w:gridSpan w:val="3"/>
          </w:tcPr>
          <w:p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552" w:type="dxa"/>
            <w:gridSpan w:val="2"/>
          </w:tcPr>
          <w:p w:rsidR="00D93A66" w:rsidRPr="006C7438" w:rsidRDefault="003E43CD" w:rsidP="00D93A66">
            <w:pPr>
              <w:jc w:val="center"/>
              <w:rPr>
                <w:rFonts w:cstheme="minorHAnsi"/>
                <w:bCs/>
                <w:sz w:val="24"/>
                <w:szCs w:val="24"/>
              </w:rPr>
            </w:pPr>
            <w:r>
              <w:rPr>
                <w:rFonts w:cstheme="minorHAnsi" w:hint="eastAsia"/>
                <w:bCs/>
                <w:sz w:val="24"/>
                <w:szCs w:val="24"/>
              </w:rPr>
              <w:t>S</w:t>
            </w:r>
            <w:r>
              <w:rPr>
                <w:rFonts w:cstheme="minorHAnsi"/>
                <w:bCs/>
                <w:sz w:val="24"/>
                <w:szCs w:val="24"/>
              </w:rPr>
              <w:t>WG 5B</w:t>
            </w:r>
          </w:p>
        </w:tc>
      </w:tr>
      <w:tr w:rsidR="007E7577" w:rsidRPr="00D93A66" w:rsidTr="00B466C9">
        <w:tc>
          <w:tcPr>
            <w:tcW w:w="1555" w:type="dxa"/>
          </w:tcPr>
          <w:p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969" w:type="dxa"/>
            <w:gridSpan w:val="7"/>
          </w:tcPr>
          <w:p w:rsidR="00D93A66" w:rsidRPr="00D93A66" w:rsidRDefault="003E43CD" w:rsidP="003E43CD">
            <w:pPr>
              <w:jc w:val="center"/>
              <w:rPr>
                <w:rFonts w:cstheme="minorHAnsi"/>
                <w:bCs/>
                <w:sz w:val="24"/>
                <w:szCs w:val="24"/>
              </w:rPr>
            </w:pPr>
            <w:r>
              <w:rPr>
                <w:rFonts w:cstheme="minorHAnsi"/>
                <w:bCs/>
                <w:sz w:val="24"/>
                <w:szCs w:val="24"/>
              </w:rPr>
              <w:t>Ms. Jaekyung Park</w:t>
            </w:r>
          </w:p>
        </w:tc>
        <w:tc>
          <w:tcPr>
            <w:tcW w:w="850" w:type="dxa"/>
            <w:gridSpan w:val="3"/>
          </w:tcPr>
          <w:p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4678" w:type="dxa"/>
            <w:gridSpan w:val="4"/>
          </w:tcPr>
          <w:p w:rsidR="00D93A66" w:rsidRPr="00D93A66" w:rsidRDefault="00703F40" w:rsidP="00703F40">
            <w:pPr>
              <w:jc w:val="center"/>
              <w:rPr>
                <w:rFonts w:cstheme="minorHAnsi"/>
                <w:bCs/>
                <w:sz w:val="24"/>
                <w:szCs w:val="24"/>
              </w:rPr>
            </w:pPr>
            <w:r>
              <w:rPr>
                <w:rFonts w:cstheme="minorHAnsi"/>
                <w:bCs/>
                <w:sz w:val="24"/>
                <w:szCs w:val="24"/>
              </w:rPr>
              <w:t>j</w:t>
            </w:r>
            <w:r w:rsidR="003E43CD">
              <w:rPr>
                <w:rFonts w:cstheme="minorHAnsi"/>
                <w:bCs/>
                <w:sz w:val="24"/>
                <w:szCs w:val="24"/>
              </w:rPr>
              <w:t>ay.park@kca.kr</w:t>
            </w:r>
          </w:p>
        </w:tc>
      </w:tr>
      <w:tr w:rsidR="007E7577" w:rsidRPr="00D93A66" w:rsidTr="00B466C9">
        <w:tc>
          <w:tcPr>
            <w:tcW w:w="1555" w:type="dxa"/>
          </w:tcPr>
          <w:p w:rsidR="00E00EC9" w:rsidRPr="00D93A66" w:rsidRDefault="00E00EC9" w:rsidP="00D93A66">
            <w:pPr>
              <w:jc w:val="center"/>
              <w:rPr>
                <w:rFonts w:cstheme="minorHAnsi"/>
                <w:b/>
                <w:sz w:val="24"/>
                <w:szCs w:val="24"/>
              </w:rPr>
            </w:pPr>
            <w:r>
              <w:rPr>
                <w:rFonts w:cstheme="minorHAnsi"/>
                <w:b/>
                <w:sz w:val="24"/>
                <w:szCs w:val="24"/>
              </w:rPr>
              <w:t>WP Chair</w:t>
            </w:r>
          </w:p>
        </w:tc>
        <w:tc>
          <w:tcPr>
            <w:tcW w:w="3969" w:type="dxa"/>
            <w:gridSpan w:val="7"/>
          </w:tcPr>
          <w:p w:rsidR="00E00EC9" w:rsidRPr="00D93A66" w:rsidRDefault="003E43CD" w:rsidP="003E43CD">
            <w:pPr>
              <w:jc w:val="center"/>
              <w:rPr>
                <w:rFonts w:cstheme="minorHAnsi"/>
                <w:bCs/>
                <w:sz w:val="24"/>
                <w:szCs w:val="24"/>
              </w:rPr>
            </w:pPr>
            <w:hyperlink r:id="rId7" w:history="1">
              <w:r w:rsidRPr="003E43CD">
                <w:rPr>
                  <w:rFonts w:cstheme="minorHAnsi"/>
                  <w:bCs/>
                  <w:sz w:val="24"/>
                  <w:szCs w:val="24"/>
                </w:rPr>
                <w:t>Dr. Tasghi Shafiee</w:t>
              </w:r>
            </w:hyperlink>
            <w:r w:rsidRPr="003E43CD">
              <w:rPr>
                <w:rFonts w:cstheme="minorHAnsi"/>
                <w:bCs/>
                <w:sz w:val="24"/>
                <w:szCs w:val="24"/>
              </w:rPr>
              <w:t> </w:t>
            </w:r>
            <w:r w:rsidRPr="00D93A66">
              <w:rPr>
                <w:rFonts w:cstheme="minorHAnsi"/>
                <w:bCs/>
                <w:sz w:val="24"/>
                <w:szCs w:val="24"/>
              </w:rPr>
              <w:t xml:space="preserve"> </w:t>
            </w:r>
          </w:p>
        </w:tc>
        <w:tc>
          <w:tcPr>
            <w:tcW w:w="850" w:type="dxa"/>
            <w:gridSpan w:val="3"/>
          </w:tcPr>
          <w:p w:rsidR="00E00EC9" w:rsidRPr="00D93A66" w:rsidRDefault="00E00EC9" w:rsidP="00D93A66">
            <w:pPr>
              <w:jc w:val="center"/>
              <w:rPr>
                <w:rFonts w:cstheme="minorHAnsi"/>
                <w:b/>
                <w:sz w:val="24"/>
                <w:szCs w:val="24"/>
              </w:rPr>
            </w:pPr>
            <w:r>
              <w:rPr>
                <w:rFonts w:cstheme="minorHAnsi"/>
                <w:b/>
                <w:sz w:val="24"/>
                <w:szCs w:val="24"/>
              </w:rPr>
              <w:t>Email</w:t>
            </w:r>
          </w:p>
        </w:tc>
        <w:tc>
          <w:tcPr>
            <w:tcW w:w="4678" w:type="dxa"/>
            <w:gridSpan w:val="4"/>
          </w:tcPr>
          <w:p w:rsidR="00E00EC9" w:rsidRPr="00D93A66" w:rsidRDefault="003E43CD" w:rsidP="003E43CD">
            <w:pPr>
              <w:jc w:val="center"/>
              <w:rPr>
                <w:rFonts w:cstheme="minorHAnsi"/>
                <w:bCs/>
                <w:sz w:val="24"/>
                <w:szCs w:val="24"/>
              </w:rPr>
            </w:pPr>
            <w:r>
              <w:rPr>
                <w:rFonts w:cstheme="minorHAnsi"/>
                <w:bCs/>
                <w:sz w:val="24"/>
                <w:szCs w:val="24"/>
              </w:rPr>
              <w:t>shafiee@cra.ir</w:t>
            </w:r>
          </w:p>
        </w:tc>
      </w:tr>
      <w:tr w:rsidR="00057D04" w:rsidRPr="00D93A66" w:rsidTr="00B466C9">
        <w:tc>
          <w:tcPr>
            <w:tcW w:w="1555" w:type="dxa"/>
          </w:tcPr>
          <w:p w:rsidR="00057D04" w:rsidRDefault="00057D04" w:rsidP="00057D04">
            <w:pPr>
              <w:jc w:val="left"/>
              <w:rPr>
                <w:rFonts w:cstheme="minorHAnsi"/>
                <w:b/>
                <w:sz w:val="24"/>
                <w:szCs w:val="24"/>
              </w:rPr>
            </w:pPr>
            <w:r w:rsidRPr="00D93A66">
              <w:rPr>
                <w:rFonts w:cstheme="minorHAnsi"/>
                <w:b/>
                <w:sz w:val="24"/>
                <w:szCs w:val="24"/>
              </w:rPr>
              <w:t>Report Date</w:t>
            </w:r>
          </w:p>
        </w:tc>
        <w:tc>
          <w:tcPr>
            <w:tcW w:w="9497" w:type="dxa"/>
            <w:gridSpan w:val="14"/>
          </w:tcPr>
          <w:p w:rsidR="00057D04" w:rsidRDefault="004D6318" w:rsidP="00057D04">
            <w:pPr>
              <w:jc w:val="left"/>
              <w:rPr>
                <w:rFonts w:cstheme="minorHAnsi"/>
                <w:b/>
                <w:sz w:val="24"/>
                <w:szCs w:val="24"/>
              </w:rPr>
            </w:pPr>
            <w:r>
              <w:rPr>
                <w:rFonts w:cstheme="minorHAnsi"/>
                <w:b/>
                <w:sz w:val="24"/>
                <w:szCs w:val="24"/>
              </w:rPr>
              <w:t>1</w:t>
            </w:r>
            <w:r w:rsidR="003E43CD">
              <w:rPr>
                <w:rFonts w:cstheme="minorHAnsi"/>
                <w:b/>
                <w:sz w:val="24"/>
                <w:szCs w:val="24"/>
              </w:rPr>
              <w:t xml:space="preserve"> April 2023</w:t>
            </w:r>
          </w:p>
        </w:tc>
      </w:tr>
      <w:tr w:rsidR="00E00EC9" w:rsidRPr="00D93A66" w:rsidTr="00B466C9">
        <w:tc>
          <w:tcPr>
            <w:tcW w:w="11052" w:type="dxa"/>
            <w:gridSpan w:val="15"/>
          </w:tcPr>
          <w:p w:rsidR="00E00EC9" w:rsidRDefault="00E00EC9" w:rsidP="00D93A66">
            <w:pPr>
              <w:jc w:val="center"/>
              <w:rPr>
                <w:rFonts w:cstheme="minorHAnsi"/>
                <w:b/>
                <w:sz w:val="24"/>
                <w:szCs w:val="24"/>
              </w:rPr>
            </w:pPr>
          </w:p>
        </w:tc>
      </w:tr>
      <w:tr w:rsidR="0077095D" w:rsidRPr="00D93A66" w:rsidTr="00B466C9">
        <w:tc>
          <w:tcPr>
            <w:tcW w:w="11052" w:type="dxa"/>
            <w:gridSpan w:val="15"/>
          </w:tcPr>
          <w:p w:rsidR="0077095D" w:rsidRPr="007E7577" w:rsidRDefault="0077095D" w:rsidP="006C7438">
            <w:pPr>
              <w:pStyle w:val="a6"/>
              <w:numPr>
                <w:ilvl w:val="0"/>
                <w:numId w:val="4"/>
              </w:numPr>
              <w:jc w:val="left"/>
              <w:rPr>
                <w:rFonts w:cstheme="minorHAnsi"/>
                <w:b/>
                <w:sz w:val="28"/>
                <w:szCs w:val="28"/>
              </w:rPr>
            </w:pPr>
            <w:r w:rsidRPr="007E7577">
              <w:rPr>
                <w:rFonts w:cstheme="minorHAnsi"/>
                <w:b/>
                <w:sz w:val="28"/>
                <w:szCs w:val="28"/>
              </w:rPr>
              <w:t>APT</w:t>
            </w:r>
          </w:p>
        </w:tc>
      </w:tr>
      <w:tr w:rsidR="0077095D" w:rsidRPr="00D93A66" w:rsidTr="00B466C9">
        <w:trPr>
          <w:trHeight w:val="596"/>
        </w:trPr>
        <w:tc>
          <w:tcPr>
            <w:tcW w:w="2917" w:type="dxa"/>
            <w:gridSpan w:val="4"/>
          </w:tcPr>
          <w:p w:rsidR="0077095D" w:rsidRPr="00D93A66" w:rsidRDefault="0077095D" w:rsidP="00D93A66">
            <w:pPr>
              <w:jc w:val="center"/>
              <w:rPr>
                <w:rFonts w:cstheme="minorHAnsi"/>
                <w:b/>
                <w:sz w:val="24"/>
                <w:szCs w:val="24"/>
              </w:rPr>
            </w:pPr>
            <w:r>
              <w:rPr>
                <w:rFonts w:cstheme="minorHAnsi"/>
                <w:b/>
                <w:sz w:val="24"/>
                <w:szCs w:val="24"/>
              </w:rPr>
              <w:t>APT Preliminary Views</w:t>
            </w:r>
          </w:p>
          <w:p w:rsidR="00DE585E" w:rsidRDefault="00DE585E" w:rsidP="00B63CF7">
            <w:pPr>
              <w:jc w:val="center"/>
              <w:rPr>
                <w:rFonts w:cstheme="minorHAnsi"/>
                <w:bCs/>
                <w:sz w:val="24"/>
                <w:szCs w:val="24"/>
              </w:rPr>
            </w:pPr>
            <w:r w:rsidRPr="00DE585E">
              <w:rPr>
                <w:rFonts w:cstheme="minorHAnsi" w:hint="eastAsia"/>
                <w:bCs/>
                <w:sz w:val="24"/>
                <w:szCs w:val="24"/>
              </w:rPr>
              <w:t>APG23-5/OUT-3</w:t>
            </w:r>
          </w:p>
          <w:p w:rsidR="00C27301" w:rsidRDefault="00C27301" w:rsidP="00B63CF7">
            <w:pPr>
              <w:jc w:val="center"/>
              <w:rPr>
                <w:rFonts w:cstheme="minorHAnsi"/>
                <w:bCs/>
                <w:sz w:val="24"/>
                <w:szCs w:val="24"/>
              </w:rPr>
            </w:pPr>
          </w:p>
          <w:p w:rsidR="00C27301" w:rsidRPr="00C27301" w:rsidRDefault="00C27301" w:rsidP="00B63CF7">
            <w:pPr>
              <w:jc w:val="center"/>
              <w:rPr>
                <w:rFonts w:cstheme="minorHAnsi"/>
                <w:i/>
                <w:sz w:val="24"/>
                <w:szCs w:val="24"/>
              </w:rPr>
            </w:pPr>
            <w:r w:rsidRPr="00C27301">
              <w:rPr>
                <w:rFonts w:cstheme="minorHAnsi"/>
                <w:bCs/>
                <w:i/>
                <w:sz w:val="22"/>
                <w:szCs w:val="24"/>
              </w:rPr>
              <w:t>*APT PV was not submitted as a input contribution</w:t>
            </w:r>
            <w:r w:rsidRPr="00C27301">
              <w:rPr>
                <w:rFonts w:cstheme="minorHAnsi"/>
                <w:bCs/>
                <w:i/>
                <w:sz w:val="24"/>
                <w:szCs w:val="24"/>
              </w:rPr>
              <w:t>.</w:t>
            </w:r>
          </w:p>
        </w:tc>
        <w:tc>
          <w:tcPr>
            <w:tcW w:w="8135" w:type="dxa"/>
            <w:gridSpan w:val="11"/>
          </w:tcPr>
          <w:p w:rsidR="00DE585E" w:rsidRPr="00E00EC9" w:rsidRDefault="00DE585E" w:rsidP="00DE585E">
            <w:pPr>
              <w:rPr>
                <w:rFonts w:cstheme="minorHAnsi"/>
                <w:bCs/>
                <w:sz w:val="24"/>
                <w:szCs w:val="24"/>
              </w:rPr>
            </w:pPr>
            <w:r w:rsidRPr="00DE585E">
              <w:rPr>
                <w:rFonts w:cstheme="minorHAnsi" w:hint="eastAsia"/>
                <w:bCs/>
                <w:sz w:val="24"/>
                <w:szCs w:val="24"/>
              </w:rPr>
              <w:t>APT Members support ITU-R studies undertaken to date in accordance with Resolution 774 (WRC-19), and development of new ITU-R recommendations providing guidelines to protect RNSS (space-to-Earth) receivers from the amateur and amateur-satellite services in the frequency band 1 240-1 300 MHz based on Report ITU-R M.2513 without considering the removal of the amateur and amateur-satellite service allocations. APT Members support no changes to the Radio Regulations under Agenda Item 9.1 Topic B. APT Members recognize that the provisions of RR Nos. 5.28 to 5.30 shall continue to apply despite the new Recommendation under development.</w:t>
            </w:r>
          </w:p>
        </w:tc>
      </w:tr>
      <w:tr w:rsidR="0077095D" w:rsidRPr="00D93A66" w:rsidTr="00B466C9">
        <w:trPr>
          <w:trHeight w:val="889"/>
        </w:trPr>
        <w:tc>
          <w:tcPr>
            <w:tcW w:w="2917" w:type="dxa"/>
            <w:gridSpan w:val="4"/>
          </w:tcPr>
          <w:p w:rsidR="0077095D" w:rsidRPr="00D93A66" w:rsidRDefault="0077095D" w:rsidP="00D93A66">
            <w:pPr>
              <w:jc w:val="center"/>
              <w:rPr>
                <w:rFonts w:cstheme="minorHAnsi"/>
                <w:b/>
                <w:sz w:val="24"/>
                <w:szCs w:val="24"/>
              </w:rPr>
            </w:pPr>
            <w:r>
              <w:rPr>
                <w:rFonts w:cstheme="minorHAnsi"/>
                <w:b/>
                <w:sz w:val="24"/>
                <w:szCs w:val="24"/>
              </w:rPr>
              <w:t>APT Views for modification of CPM Report</w:t>
            </w:r>
          </w:p>
          <w:p w:rsidR="0077095D" w:rsidRPr="00D93A66" w:rsidRDefault="0077095D" w:rsidP="00447DE1">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8135" w:type="dxa"/>
            <w:gridSpan w:val="11"/>
          </w:tcPr>
          <w:p w:rsidR="0077095D" w:rsidRPr="00E00EC9" w:rsidRDefault="00C27301" w:rsidP="00C27301">
            <w:pPr>
              <w:jc w:val="center"/>
              <w:rPr>
                <w:rFonts w:cstheme="minorHAnsi"/>
                <w:bCs/>
                <w:sz w:val="24"/>
                <w:szCs w:val="24"/>
              </w:rPr>
            </w:pPr>
            <w:r>
              <w:rPr>
                <w:rFonts w:cstheme="minorHAnsi"/>
                <w:bCs/>
                <w:sz w:val="24"/>
                <w:szCs w:val="24"/>
              </w:rPr>
              <w:t>-</w:t>
            </w:r>
          </w:p>
        </w:tc>
      </w:tr>
      <w:tr w:rsidR="0077095D" w:rsidRPr="00D93A66" w:rsidTr="00B466C9">
        <w:tc>
          <w:tcPr>
            <w:tcW w:w="2917" w:type="dxa"/>
            <w:gridSpan w:val="4"/>
          </w:tcPr>
          <w:p w:rsidR="006C7438" w:rsidRDefault="0077095D" w:rsidP="0077095D">
            <w:pPr>
              <w:jc w:val="center"/>
              <w:rPr>
                <w:rFonts w:cstheme="minorHAnsi"/>
                <w:b/>
                <w:sz w:val="24"/>
                <w:szCs w:val="24"/>
              </w:rPr>
            </w:pPr>
            <w:r>
              <w:rPr>
                <w:rFonts w:cstheme="minorHAnsi"/>
                <w:b/>
                <w:sz w:val="24"/>
                <w:szCs w:val="24"/>
              </w:rPr>
              <w:t xml:space="preserve">Outcome from earlier </w:t>
            </w:r>
          </w:p>
          <w:p w:rsidR="0077095D" w:rsidRPr="0077095D" w:rsidRDefault="0077095D" w:rsidP="0077095D">
            <w:pPr>
              <w:jc w:val="center"/>
              <w:rPr>
                <w:rFonts w:cstheme="minorHAnsi"/>
                <w:bCs/>
                <w:sz w:val="24"/>
                <w:szCs w:val="24"/>
              </w:rPr>
            </w:pPr>
            <w:r>
              <w:rPr>
                <w:rFonts w:cstheme="minorHAnsi"/>
                <w:b/>
                <w:sz w:val="24"/>
                <w:szCs w:val="24"/>
              </w:rPr>
              <w:t>APT Coord meeting</w:t>
            </w:r>
          </w:p>
        </w:tc>
        <w:tc>
          <w:tcPr>
            <w:tcW w:w="8135" w:type="dxa"/>
            <w:gridSpan w:val="11"/>
          </w:tcPr>
          <w:p w:rsidR="0077095D" w:rsidRPr="00D93A66" w:rsidRDefault="00C27301" w:rsidP="00C27301">
            <w:pPr>
              <w:jc w:val="center"/>
              <w:rPr>
                <w:rFonts w:cstheme="minorHAnsi"/>
                <w:b/>
                <w:sz w:val="24"/>
                <w:szCs w:val="24"/>
              </w:rPr>
            </w:pPr>
            <w:r>
              <w:rPr>
                <w:rFonts w:cstheme="minorHAnsi"/>
                <w:bCs/>
                <w:sz w:val="24"/>
                <w:szCs w:val="24"/>
              </w:rPr>
              <w:t>None</w:t>
            </w:r>
          </w:p>
        </w:tc>
      </w:tr>
      <w:tr w:rsidR="0077095D" w:rsidRPr="00D93A66" w:rsidTr="00B466C9">
        <w:tc>
          <w:tcPr>
            <w:tcW w:w="11052" w:type="dxa"/>
            <w:gridSpan w:val="15"/>
          </w:tcPr>
          <w:p w:rsidR="0077095D" w:rsidRDefault="0077095D" w:rsidP="0077095D">
            <w:pPr>
              <w:jc w:val="left"/>
              <w:rPr>
                <w:rFonts w:cstheme="minorHAnsi"/>
                <w:b/>
                <w:sz w:val="24"/>
                <w:szCs w:val="24"/>
              </w:rPr>
            </w:pPr>
          </w:p>
        </w:tc>
      </w:tr>
      <w:tr w:rsidR="0077095D" w:rsidRPr="00D93A66" w:rsidTr="00B466C9">
        <w:tc>
          <w:tcPr>
            <w:tcW w:w="11052" w:type="dxa"/>
            <w:gridSpan w:val="15"/>
          </w:tcPr>
          <w:p w:rsidR="0077095D" w:rsidRPr="007E7577" w:rsidRDefault="0077095D" w:rsidP="006C7438">
            <w:pPr>
              <w:pStyle w:val="a6"/>
              <w:numPr>
                <w:ilvl w:val="0"/>
                <w:numId w:val="4"/>
              </w:numPr>
              <w:jc w:val="left"/>
              <w:rPr>
                <w:rFonts w:cstheme="minorHAnsi"/>
                <w:b/>
                <w:sz w:val="28"/>
                <w:szCs w:val="28"/>
              </w:rPr>
            </w:pPr>
            <w:r w:rsidRPr="007E7577">
              <w:rPr>
                <w:rFonts w:cstheme="minorHAnsi"/>
                <w:b/>
                <w:sz w:val="28"/>
                <w:szCs w:val="28"/>
              </w:rPr>
              <w:t>Other regional groups</w:t>
            </w:r>
            <w:r w:rsidR="00C27301">
              <w:rPr>
                <w:rFonts w:cstheme="minorHAnsi"/>
                <w:b/>
                <w:sz w:val="28"/>
                <w:szCs w:val="28"/>
              </w:rPr>
              <w:t xml:space="preserve">: </w:t>
            </w:r>
            <w:r w:rsidR="00C27301" w:rsidRPr="00C27301">
              <w:rPr>
                <w:rFonts w:cstheme="minorHAnsi" w:hint="eastAsia"/>
                <w:bCs/>
                <w:sz w:val="24"/>
                <w:szCs w:val="24"/>
              </w:rPr>
              <w:t xml:space="preserve"> </w:t>
            </w:r>
            <w:r w:rsidR="00C27301" w:rsidRPr="00CD583E">
              <w:rPr>
                <w:rFonts w:cstheme="minorHAnsi" w:hint="eastAsia"/>
                <w:bCs/>
                <w:i/>
                <w:sz w:val="22"/>
                <w:szCs w:val="24"/>
              </w:rPr>
              <w:t>T</w:t>
            </w:r>
            <w:r w:rsidR="00C27301" w:rsidRPr="00CD583E">
              <w:rPr>
                <w:rFonts w:cstheme="minorHAnsi"/>
                <w:bCs/>
                <w:i/>
                <w:sz w:val="22"/>
                <w:szCs w:val="24"/>
              </w:rPr>
              <w:t xml:space="preserve">here was no contribution from regional </w:t>
            </w:r>
            <w:r w:rsidR="00C27301" w:rsidRPr="00CD583E">
              <w:rPr>
                <w:rFonts w:cstheme="minorHAnsi"/>
                <w:bCs/>
                <w:i/>
                <w:sz w:val="22"/>
              </w:rPr>
              <w:t>groups</w:t>
            </w:r>
            <w:r w:rsidR="00C27301" w:rsidRPr="00CD583E">
              <w:rPr>
                <w:rFonts w:cstheme="minorHAnsi"/>
                <w:bCs/>
                <w:i/>
                <w:sz w:val="22"/>
              </w:rPr>
              <w:t>.</w:t>
            </w:r>
          </w:p>
        </w:tc>
      </w:tr>
      <w:tr w:rsidR="007E7577" w:rsidRPr="00D93A66" w:rsidTr="00B466C9">
        <w:tc>
          <w:tcPr>
            <w:tcW w:w="1853" w:type="dxa"/>
            <w:gridSpan w:val="2"/>
          </w:tcPr>
          <w:p w:rsidR="007E7577" w:rsidRDefault="007E7577" w:rsidP="00D93A66">
            <w:pPr>
              <w:jc w:val="center"/>
              <w:rPr>
                <w:rFonts w:cstheme="minorHAnsi"/>
                <w:b/>
                <w:sz w:val="24"/>
                <w:szCs w:val="24"/>
              </w:rPr>
            </w:pPr>
          </w:p>
        </w:tc>
        <w:tc>
          <w:tcPr>
            <w:tcW w:w="1839" w:type="dxa"/>
            <w:gridSpan w:val="4"/>
          </w:tcPr>
          <w:p w:rsidR="007E7577" w:rsidRDefault="007E7577" w:rsidP="00A809B7">
            <w:pPr>
              <w:jc w:val="center"/>
              <w:rPr>
                <w:rFonts w:cstheme="minorHAnsi"/>
                <w:b/>
                <w:sz w:val="24"/>
                <w:szCs w:val="24"/>
              </w:rPr>
            </w:pPr>
            <w:r>
              <w:rPr>
                <w:rFonts w:cstheme="minorHAnsi"/>
                <w:b/>
                <w:sz w:val="24"/>
                <w:szCs w:val="24"/>
              </w:rPr>
              <w:t>ATU</w:t>
            </w:r>
            <w:r>
              <w:rPr>
                <w:rFonts w:cstheme="minorHAnsi"/>
                <w:bCs/>
                <w:sz w:val="24"/>
                <w:szCs w:val="24"/>
              </w:rPr>
              <w:t xml:space="preserve"> </w:t>
            </w:r>
          </w:p>
        </w:tc>
        <w:tc>
          <w:tcPr>
            <w:tcW w:w="1840" w:type="dxa"/>
            <w:gridSpan w:val="3"/>
          </w:tcPr>
          <w:p w:rsidR="007E7577" w:rsidRDefault="007E7577" w:rsidP="00D93A66">
            <w:pPr>
              <w:jc w:val="center"/>
              <w:rPr>
                <w:rFonts w:cstheme="minorHAnsi"/>
                <w:b/>
                <w:sz w:val="24"/>
                <w:szCs w:val="24"/>
              </w:rPr>
            </w:pPr>
            <w:r>
              <w:rPr>
                <w:rFonts w:cstheme="minorHAnsi"/>
                <w:b/>
                <w:sz w:val="24"/>
                <w:szCs w:val="24"/>
              </w:rPr>
              <w:t>ASMG</w:t>
            </w:r>
          </w:p>
        </w:tc>
        <w:tc>
          <w:tcPr>
            <w:tcW w:w="1840" w:type="dxa"/>
            <w:gridSpan w:val="3"/>
          </w:tcPr>
          <w:p w:rsidR="007E7577" w:rsidRDefault="007E7577" w:rsidP="00D93A66">
            <w:pPr>
              <w:jc w:val="center"/>
              <w:rPr>
                <w:rFonts w:cstheme="minorHAnsi"/>
                <w:b/>
                <w:sz w:val="24"/>
                <w:szCs w:val="24"/>
              </w:rPr>
            </w:pPr>
            <w:r>
              <w:rPr>
                <w:rFonts w:cstheme="minorHAnsi"/>
                <w:b/>
                <w:sz w:val="24"/>
                <w:szCs w:val="24"/>
              </w:rPr>
              <w:t>CEPT</w:t>
            </w:r>
          </w:p>
        </w:tc>
        <w:tc>
          <w:tcPr>
            <w:tcW w:w="1840" w:type="dxa"/>
            <w:gridSpan w:val="2"/>
          </w:tcPr>
          <w:p w:rsidR="007E7577" w:rsidRDefault="007E7577" w:rsidP="00D93A66">
            <w:pPr>
              <w:jc w:val="center"/>
              <w:rPr>
                <w:rFonts w:cstheme="minorHAnsi"/>
                <w:b/>
                <w:sz w:val="24"/>
                <w:szCs w:val="24"/>
              </w:rPr>
            </w:pPr>
            <w:r>
              <w:rPr>
                <w:rFonts w:cstheme="minorHAnsi"/>
                <w:b/>
                <w:sz w:val="24"/>
                <w:szCs w:val="24"/>
              </w:rPr>
              <w:t>CITEL</w:t>
            </w:r>
          </w:p>
        </w:tc>
        <w:tc>
          <w:tcPr>
            <w:tcW w:w="1840" w:type="dxa"/>
          </w:tcPr>
          <w:p w:rsidR="007E7577" w:rsidRDefault="007E7577" w:rsidP="00D93A66">
            <w:pPr>
              <w:jc w:val="center"/>
              <w:rPr>
                <w:rFonts w:cstheme="minorHAnsi"/>
                <w:b/>
                <w:sz w:val="24"/>
                <w:szCs w:val="24"/>
              </w:rPr>
            </w:pPr>
            <w:r>
              <w:rPr>
                <w:rFonts w:cstheme="minorHAnsi"/>
                <w:b/>
                <w:sz w:val="24"/>
                <w:szCs w:val="24"/>
              </w:rPr>
              <w:t>RCC</w:t>
            </w:r>
          </w:p>
        </w:tc>
      </w:tr>
      <w:tr w:rsidR="007E7577" w:rsidRPr="00D93A66" w:rsidTr="00B466C9">
        <w:tc>
          <w:tcPr>
            <w:tcW w:w="1853" w:type="dxa"/>
            <w:gridSpan w:val="2"/>
          </w:tcPr>
          <w:p w:rsidR="007E7577" w:rsidRDefault="007E7577" w:rsidP="00D93A66">
            <w:pPr>
              <w:jc w:val="center"/>
              <w:rPr>
                <w:rFonts w:cstheme="minorHAnsi"/>
                <w:b/>
                <w:sz w:val="24"/>
                <w:szCs w:val="24"/>
              </w:rPr>
            </w:pPr>
            <w:r>
              <w:rPr>
                <w:rFonts w:cstheme="minorHAnsi"/>
                <w:b/>
                <w:sz w:val="24"/>
                <w:szCs w:val="24"/>
              </w:rPr>
              <w:t>Input(s)</w:t>
            </w:r>
          </w:p>
        </w:tc>
        <w:tc>
          <w:tcPr>
            <w:tcW w:w="1839" w:type="dxa"/>
            <w:gridSpan w:val="4"/>
          </w:tcPr>
          <w:p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gridSpan w:val="3"/>
          </w:tcPr>
          <w:p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gridSpan w:val="3"/>
          </w:tcPr>
          <w:p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gridSpan w:val="2"/>
          </w:tcPr>
          <w:p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tcPr>
          <w:p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r>
      <w:tr w:rsidR="007E7577" w:rsidRPr="00D93A66" w:rsidTr="00B466C9">
        <w:tc>
          <w:tcPr>
            <w:tcW w:w="1853" w:type="dxa"/>
            <w:gridSpan w:val="2"/>
          </w:tcPr>
          <w:p w:rsidR="007E7577" w:rsidRDefault="007E7577" w:rsidP="00D93A66">
            <w:pPr>
              <w:jc w:val="center"/>
              <w:rPr>
                <w:rFonts w:cstheme="minorHAnsi"/>
                <w:b/>
                <w:sz w:val="24"/>
                <w:szCs w:val="24"/>
              </w:rPr>
            </w:pPr>
            <w:r>
              <w:rPr>
                <w:rFonts w:cstheme="minorHAnsi"/>
                <w:b/>
                <w:sz w:val="24"/>
                <w:szCs w:val="24"/>
              </w:rPr>
              <w:t>Summary of views/proposals</w:t>
            </w:r>
          </w:p>
        </w:tc>
        <w:tc>
          <w:tcPr>
            <w:tcW w:w="1839" w:type="dxa"/>
            <w:gridSpan w:val="4"/>
          </w:tcPr>
          <w:p w:rsidR="007E7577" w:rsidRDefault="007E7577" w:rsidP="00D93A66">
            <w:pPr>
              <w:jc w:val="center"/>
              <w:rPr>
                <w:rFonts w:cstheme="minorHAnsi"/>
                <w:b/>
                <w:sz w:val="24"/>
                <w:szCs w:val="24"/>
              </w:rPr>
            </w:pPr>
          </w:p>
        </w:tc>
        <w:tc>
          <w:tcPr>
            <w:tcW w:w="1840" w:type="dxa"/>
            <w:gridSpan w:val="3"/>
          </w:tcPr>
          <w:p w:rsidR="007E7577" w:rsidRDefault="007E7577" w:rsidP="00D93A66">
            <w:pPr>
              <w:jc w:val="center"/>
              <w:rPr>
                <w:rFonts w:cstheme="minorHAnsi"/>
                <w:b/>
                <w:sz w:val="24"/>
                <w:szCs w:val="24"/>
              </w:rPr>
            </w:pPr>
          </w:p>
        </w:tc>
        <w:tc>
          <w:tcPr>
            <w:tcW w:w="1840" w:type="dxa"/>
            <w:gridSpan w:val="3"/>
          </w:tcPr>
          <w:p w:rsidR="007E7577" w:rsidRDefault="007E7577" w:rsidP="00D93A66">
            <w:pPr>
              <w:jc w:val="center"/>
              <w:rPr>
                <w:rFonts w:cstheme="minorHAnsi"/>
                <w:b/>
                <w:sz w:val="24"/>
                <w:szCs w:val="24"/>
              </w:rPr>
            </w:pPr>
          </w:p>
        </w:tc>
        <w:tc>
          <w:tcPr>
            <w:tcW w:w="1840" w:type="dxa"/>
            <w:gridSpan w:val="2"/>
          </w:tcPr>
          <w:p w:rsidR="007E7577" w:rsidRDefault="007E7577" w:rsidP="00D93A66">
            <w:pPr>
              <w:jc w:val="center"/>
              <w:rPr>
                <w:rFonts w:cstheme="minorHAnsi"/>
                <w:b/>
                <w:sz w:val="24"/>
                <w:szCs w:val="24"/>
              </w:rPr>
            </w:pPr>
          </w:p>
        </w:tc>
        <w:tc>
          <w:tcPr>
            <w:tcW w:w="1840" w:type="dxa"/>
          </w:tcPr>
          <w:p w:rsidR="007E7577" w:rsidRDefault="007E7577" w:rsidP="00D93A66">
            <w:pPr>
              <w:jc w:val="center"/>
              <w:rPr>
                <w:rFonts w:cstheme="minorHAnsi"/>
                <w:b/>
                <w:sz w:val="24"/>
                <w:szCs w:val="24"/>
              </w:rPr>
            </w:pPr>
          </w:p>
        </w:tc>
      </w:tr>
      <w:tr w:rsidR="006C7438" w:rsidRPr="00D93A66" w:rsidTr="00B466C9">
        <w:tc>
          <w:tcPr>
            <w:tcW w:w="11052" w:type="dxa"/>
            <w:gridSpan w:val="15"/>
          </w:tcPr>
          <w:p w:rsidR="006C7438" w:rsidRPr="006C7438" w:rsidRDefault="006C7438" w:rsidP="00C27301">
            <w:pPr>
              <w:rPr>
                <w:rFonts w:cstheme="minorHAnsi"/>
                <w:b/>
                <w:sz w:val="24"/>
                <w:szCs w:val="24"/>
              </w:rPr>
            </w:pPr>
          </w:p>
        </w:tc>
      </w:tr>
      <w:tr w:rsidR="0077095D" w:rsidRPr="00D93A66" w:rsidTr="00B466C9">
        <w:tc>
          <w:tcPr>
            <w:tcW w:w="11052" w:type="dxa"/>
            <w:gridSpan w:val="15"/>
          </w:tcPr>
          <w:p w:rsidR="0077095D" w:rsidRPr="007E7577" w:rsidRDefault="007E7577" w:rsidP="006C7438">
            <w:pPr>
              <w:pStyle w:val="a6"/>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rsidTr="00B466C9">
        <w:tc>
          <w:tcPr>
            <w:tcW w:w="3397" w:type="dxa"/>
            <w:gridSpan w:val="5"/>
          </w:tcPr>
          <w:p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w:t>
            </w:r>
            <w:proofErr w:type="spellStart"/>
            <w:r>
              <w:rPr>
                <w:rFonts w:cstheme="minorHAnsi"/>
                <w:b/>
                <w:sz w:val="24"/>
                <w:szCs w:val="24"/>
              </w:rPr>
              <w:t>etc</w:t>
            </w:r>
            <w:proofErr w:type="spellEnd"/>
          </w:p>
        </w:tc>
        <w:tc>
          <w:tcPr>
            <w:tcW w:w="7655" w:type="dxa"/>
            <w:gridSpan w:val="10"/>
          </w:tcPr>
          <w:p w:rsidR="006C7438" w:rsidRPr="0077095D" w:rsidRDefault="00302617" w:rsidP="00302617">
            <w:pPr>
              <w:jc w:val="left"/>
              <w:rPr>
                <w:rFonts w:cstheme="minorHAnsi"/>
                <w:bCs/>
                <w:sz w:val="24"/>
                <w:szCs w:val="24"/>
              </w:rPr>
            </w:pPr>
            <w:hyperlink r:id="rId8" w:history="1">
              <w:r w:rsidRPr="00302617">
                <w:rPr>
                  <w:rStyle w:val="a7"/>
                  <w:rFonts w:ascii="Verdana" w:hAnsi="Verdana"/>
                  <w:b/>
                </w:rPr>
                <w:t>CPM23-2/253-E</w:t>
              </w:r>
              <w:r w:rsidRPr="00302617">
                <w:rPr>
                  <w:rStyle w:val="a7"/>
                </w:rPr>
                <w:t xml:space="preserve"> </w:t>
              </w:r>
            </w:hyperlink>
          </w:p>
        </w:tc>
      </w:tr>
      <w:tr w:rsidR="006C7438" w:rsidRPr="00D93A66" w:rsidTr="00B466C9">
        <w:tc>
          <w:tcPr>
            <w:tcW w:w="11052" w:type="dxa"/>
            <w:gridSpan w:val="15"/>
          </w:tcPr>
          <w:p w:rsidR="0053362C" w:rsidRDefault="00F53C2C" w:rsidP="00F53C2C">
            <w:pPr>
              <w:rPr>
                <w:rFonts w:cstheme="minorHAnsi"/>
                <w:bCs/>
                <w:sz w:val="24"/>
                <w:szCs w:val="24"/>
              </w:rPr>
            </w:pPr>
            <w:r>
              <w:rPr>
                <w:rFonts w:cstheme="minorHAnsi"/>
                <w:bCs/>
                <w:sz w:val="24"/>
                <w:szCs w:val="24"/>
              </w:rPr>
              <w:t xml:space="preserve">The </w:t>
            </w:r>
            <w:r w:rsidR="00703F40">
              <w:rPr>
                <w:rFonts w:cstheme="minorHAnsi"/>
                <w:bCs/>
                <w:sz w:val="24"/>
                <w:szCs w:val="24"/>
              </w:rPr>
              <w:t>CPM te</w:t>
            </w:r>
            <w:r w:rsidR="0038715F">
              <w:rPr>
                <w:rFonts w:cstheme="minorHAnsi"/>
                <w:bCs/>
                <w:sz w:val="24"/>
                <w:szCs w:val="24"/>
              </w:rPr>
              <w:t>x</w:t>
            </w:r>
            <w:r w:rsidR="00703F40">
              <w:rPr>
                <w:rFonts w:cstheme="minorHAnsi"/>
                <w:bCs/>
                <w:sz w:val="24"/>
                <w:szCs w:val="24"/>
              </w:rPr>
              <w:t xml:space="preserve">t has been revised with more </w:t>
            </w:r>
            <w:r w:rsidR="0038715F">
              <w:rPr>
                <w:rFonts w:cstheme="minorHAnsi"/>
                <w:bCs/>
                <w:sz w:val="24"/>
                <w:szCs w:val="24"/>
              </w:rPr>
              <w:t xml:space="preserve">details regarding ITU-R study results such as new ITU-R Report M.2513, revision of </w:t>
            </w:r>
            <w:r>
              <w:rPr>
                <w:rFonts w:cstheme="minorHAnsi"/>
                <w:bCs/>
                <w:sz w:val="24"/>
                <w:szCs w:val="24"/>
              </w:rPr>
              <w:t xml:space="preserve">Recommendation M.1902 and </w:t>
            </w:r>
            <w:r w:rsidR="005E21A8">
              <w:rPr>
                <w:rFonts w:cstheme="minorHAnsi"/>
                <w:bCs/>
                <w:sz w:val="24"/>
                <w:szCs w:val="24"/>
              </w:rPr>
              <w:t xml:space="preserve">WD PDN </w:t>
            </w:r>
            <w:r w:rsidR="0038715F">
              <w:rPr>
                <w:rFonts w:cstheme="minorHAnsi"/>
                <w:bCs/>
                <w:sz w:val="24"/>
                <w:szCs w:val="24"/>
              </w:rPr>
              <w:t>Recom</w:t>
            </w:r>
            <w:r>
              <w:rPr>
                <w:rFonts w:cstheme="minorHAnsi"/>
                <w:bCs/>
                <w:sz w:val="24"/>
                <w:szCs w:val="24"/>
              </w:rPr>
              <w:t>mendation M.[</w:t>
            </w:r>
            <w:proofErr w:type="gramStart"/>
            <w:r>
              <w:rPr>
                <w:rFonts w:cstheme="minorHAnsi"/>
                <w:bCs/>
                <w:sz w:val="24"/>
                <w:szCs w:val="24"/>
              </w:rPr>
              <w:t>AS.GUIDANCE</w:t>
            </w:r>
            <w:proofErr w:type="gramEnd"/>
            <w:r>
              <w:rPr>
                <w:rFonts w:cstheme="minorHAnsi"/>
                <w:bCs/>
                <w:sz w:val="24"/>
                <w:szCs w:val="24"/>
              </w:rPr>
              <w:t xml:space="preserve">]. </w:t>
            </w:r>
          </w:p>
          <w:p w:rsidR="00091824" w:rsidRPr="00091824" w:rsidRDefault="00D30FC1" w:rsidP="00091824">
            <w:pPr>
              <w:rPr>
                <w:rFonts w:cstheme="minorHAnsi"/>
                <w:bCs/>
                <w:sz w:val="24"/>
                <w:szCs w:val="24"/>
              </w:rPr>
            </w:pPr>
            <w:r>
              <w:rPr>
                <w:rFonts w:cstheme="minorHAnsi"/>
                <w:bCs/>
                <w:sz w:val="24"/>
                <w:szCs w:val="24"/>
              </w:rPr>
              <w:t xml:space="preserve">The </w:t>
            </w:r>
            <w:r w:rsidR="0053362C">
              <w:rPr>
                <w:rFonts w:cstheme="minorHAnsi" w:hint="eastAsia"/>
                <w:bCs/>
                <w:sz w:val="24"/>
                <w:szCs w:val="24"/>
              </w:rPr>
              <w:t>R</w:t>
            </w:r>
            <w:r w:rsidR="0053362C">
              <w:rPr>
                <w:rFonts w:cstheme="minorHAnsi"/>
                <w:bCs/>
                <w:sz w:val="24"/>
                <w:szCs w:val="24"/>
              </w:rPr>
              <w:t>ussian Federation proposed to modify Resolution 774(WRC-19) for additional studies</w:t>
            </w:r>
            <w:r w:rsidR="0053362C" w:rsidRPr="00A56F72">
              <w:rPr>
                <w:rFonts w:cstheme="minorHAnsi"/>
                <w:bCs/>
                <w:sz w:val="24"/>
                <w:szCs w:val="24"/>
              </w:rPr>
              <w:t xml:space="preserve"> to </w:t>
            </w:r>
            <w:r w:rsidR="00280255">
              <w:rPr>
                <w:rFonts w:cstheme="minorHAnsi"/>
                <w:bCs/>
                <w:sz w:val="24"/>
                <w:szCs w:val="24"/>
              </w:rPr>
              <w:t xml:space="preserve">ensure </w:t>
            </w:r>
            <w:r w:rsidR="0053362C" w:rsidRPr="00A56F72">
              <w:rPr>
                <w:rFonts w:cstheme="minorHAnsi"/>
                <w:bCs/>
                <w:sz w:val="24"/>
                <w:szCs w:val="24"/>
              </w:rPr>
              <w:t>protection for RNSS (space-to-space) and EESS (active) space receivers</w:t>
            </w:r>
            <w:r w:rsidR="00C27301">
              <w:rPr>
                <w:rFonts w:cstheme="minorHAnsi"/>
                <w:bCs/>
                <w:sz w:val="24"/>
                <w:szCs w:val="24"/>
              </w:rPr>
              <w:t>,</w:t>
            </w:r>
            <w:r w:rsidR="00277A3B">
              <w:rPr>
                <w:rFonts w:cstheme="minorHAnsi"/>
                <w:bCs/>
                <w:sz w:val="24"/>
                <w:szCs w:val="24"/>
              </w:rPr>
              <w:t xml:space="preserve"> and </w:t>
            </w:r>
            <w:r w:rsidR="00280255">
              <w:rPr>
                <w:rFonts w:cstheme="minorHAnsi"/>
                <w:bCs/>
                <w:sz w:val="24"/>
                <w:szCs w:val="24"/>
              </w:rPr>
              <w:t>extend</w:t>
            </w:r>
            <w:r w:rsidR="00277A3B">
              <w:rPr>
                <w:rFonts w:cstheme="minorHAnsi"/>
                <w:bCs/>
                <w:sz w:val="24"/>
                <w:szCs w:val="24"/>
              </w:rPr>
              <w:t xml:space="preserve"> the study cycle </w:t>
            </w:r>
            <w:r w:rsidR="00280255">
              <w:rPr>
                <w:rFonts w:cstheme="minorHAnsi"/>
                <w:bCs/>
                <w:sz w:val="24"/>
                <w:szCs w:val="24"/>
              </w:rPr>
              <w:t>to</w:t>
            </w:r>
            <w:r w:rsidR="00277A3B">
              <w:rPr>
                <w:rFonts w:cstheme="minorHAnsi"/>
                <w:bCs/>
                <w:sz w:val="24"/>
                <w:szCs w:val="24"/>
              </w:rPr>
              <w:t xml:space="preserve"> WRC-27.</w:t>
            </w:r>
            <w:r w:rsidR="00013A5E">
              <w:rPr>
                <w:rFonts w:cstheme="minorHAnsi"/>
                <w:bCs/>
                <w:sz w:val="24"/>
                <w:szCs w:val="24"/>
              </w:rPr>
              <w:t xml:space="preserve"> </w:t>
            </w:r>
            <w:r w:rsidR="00277A3B">
              <w:rPr>
                <w:rFonts w:cstheme="minorHAnsi"/>
                <w:bCs/>
                <w:sz w:val="24"/>
                <w:szCs w:val="24"/>
              </w:rPr>
              <w:t>M</w:t>
            </w:r>
            <w:r w:rsidR="00D65C03">
              <w:rPr>
                <w:rFonts w:cstheme="minorHAnsi"/>
                <w:bCs/>
                <w:sz w:val="24"/>
                <w:szCs w:val="24"/>
              </w:rPr>
              <w:t>ost M</w:t>
            </w:r>
            <w:r w:rsidR="00013A5E">
              <w:rPr>
                <w:rFonts w:cstheme="minorHAnsi"/>
                <w:bCs/>
                <w:sz w:val="24"/>
                <w:szCs w:val="24"/>
              </w:rPr>
              <w:t xml:space="preserve">ember </w:t>
            </w:r>
            <w:r w:rsidR="00D65C03">
              <w:rPr>
                <w:rFonts w:cstheme="minorHAnsi"/>
                <w:bCs/>
                <w:sz w:val="24"/>
                <w:szCs w:val="24"/>
              </w:rPr>
              <w:t>S</w:t>
            </w:r>
            <w:r w:rsidR="00013A5E">
              <w:rPr>
                <w:rFonts w:cstheme="minorHAnsi"/>
                <w:bCs/>
                <w:sz w:val="24"/>
                <w:szCs w:val="24"/>
              </w:rPr>
              <w:t xml:space="preserve">tates disagreed </w:t>
            </w:r>
            <w:r w:rsidR="00280255">
              <w:rPr>
                <w:rFonts w:cstheme="minorHAnsi"/>
                <w:bCs/>
                <w:sz w:val="24"/>
                <w:szCs w:val="24"/>
              </w:rPr>
              <w:t>on this, but</w:t>
            </w:r>
            <w:r w:rsidR="00013A5E">
              <w:rPr>
                <w:rFonts w:cstheme="minorHAnsi"/>
                <w:bCs/>
                <w:sz w:val="24"/>
                <w:szCs w:val="24"/>
              </w:rPr>
              <w:t xml:space="preserve"> the meeting could not </w:t>
            </w:r>
            <w:r w:rsidR="00277A3B">
              <w:rPr>
                <w:rFonts w:cstheme="minorHAnsi"/>
                <w:bCs/>
                <w:sz w:val="24"/>
                <w:szCs w:val="24"/>
              </w:rPr>
              <w:t xml:space="preserve">make progress without compromise. </w:t>
            </w:r>
            <w:proofErr w:type="gramStart"/>
            <w:r w:rsidR="00280255">
              <w:rPr>
                <w:rFonts w:cstheme="minorHAnsi"/>
                <w:bCs/>
                <w:sz w:val="24"/>
                <w:szCs w:val="24"/>
              </w:rPr>
              <w:t>Therefor</w:t>
            </w:r>
            <w:r w:rsidR="00D65C03">
              <w:rPr>
                <w:rFonts w:cstheme="minorHAnsi"/>
                <w:bCs/>
                <w:sz w:val="24"/>
                <w:szCs w:val="24"/>
              </w:rPr>
              <w:t>e</w:t>
            </w:r>
            <w:proofErr w:type="gramEnd"/>
            <w:r w:rsidR="00280255">
              <w:rPr>
                <w:rFonts w:cstheme="minorHAnsi"/>
                <w:bCs/>
                <w:sz w:val="24"/>
                <w:szCs w:val="24"/>
              </w:rPr>
              <w:t xml:space="preserve"> the </w:t>
            </w:r>
            <w:r w:rsidR="00277A3B">
              <w:rPr>
                <w:rFonts w:cstheme="minorHAnsi"/>
                <w:bCs/>
                <w:sz w:val="24"/>
                <w:szCs w:val="24"/>
              </w:rPr>
              <w:t xml:space="preserve">meeting agreed to add ‘Views’ to the CPM text </w:t>
            </w:r>
            <w:r w:rsidR="00091824">
              <w:rPr>
                <w:rFonts w:cstheme="minorHAnsi"/>
                <w:bCs/>
                <w:sz w:val="24"/>
                <w:szCs w:val="24"/>
              </w:rPr>
              <w:t xml:space="preserve">to </w:t>
            </w:r>
            <w:r w:rsidR="00280255">
              <w:rPr>
                <w:rFonts w:cstheme="minorHAnsi"/>
                <w:bCs/>
                <w:sz w:val="24"/>
                <w:szCs w:val="24"/>
              </w:rPr>
              <w:t>reconcile</w:t>
            </w:r>
            <w:r w:rsidR="00091824">
              <w:rPr>
                <w:rFonts w:cstheme="minorHAnsi"/>
                <w:bCs/>
                <w:sz w:val="24"/>
                <w:szCs w:val="24"/>
              </w:rPr>
              <w:t xml:space="preserve"> this issue</w:t>
            </w:r>
            <w:r w:rsidR="00280255">
              <w:rPr>
                <w:rFonts w:cstheme="minorHAnsi"/>
                <w:bCs/>
                <w:sz w:val="24"/>
                <w:szCs w:val="24"/>
              </w:rPr>
              <w:t>,</w:t>
            </w:r>
            <w:r w:rsidR="00091824">
              <w:rPr>
                <w:rFonts w:cstheme="minorHAnsi"/>
                <w:bCs/>
                <w:sz w:val="24"/>
                <w:szCs w:val="24"/>
              </w:rPr>
              <w:t xml:space="preserve"> </w:t>
            </w:r>
            <w:r w:rsidR="00277A3B">
              <w:rPr>
                <w:rFonts w:cstheme="minorHAnsi"/>
                <w:bCs/>
                <w:sz w:val="24"/>
                <w:szCs w:val="24"/>
              </w:rPr>
              <w:t xml:space="preserve">and three </w:t>
            </w:r>
            <w:r w:rsidR="00280255">
              <w:rPr>
                <w:rFonts w:cstheme="minorHAnsi"/>
                <w:bCs/>
                <w:sz w:val="24"/>
                <w:szCs w:val="24"/>
              </w:rPr>
              <w:t>V</w:t>
            </w:r>
            <w:r w:rsidR="00277A3B">
              <w:rPr>
                <w:rFonts w:cstheme="minorHAnsi"/>
                <w:bCs/>
                <w:sz w:val="24"/>
                <w:szCs w:val="24"/>
              </w:rPr>
              <w:t>iews</w:t>
            </w:r>
            <w:r w:rsidR="00280255">
              <w:rPr>
                <w:rFonts w:cstheme="minorHAnsi"/>
                <w:bCs/>
                <w:sz w:val="24"/>
                <w:szCs w:val="24"/>
              </w:rPr>
              <w:t xml:space="preserve"> were included</w:t>
            </w:r>
            <w:r w:rsidR="00091824">
              <w:rPr>
                <w:rFonts w:cstheme="minorHAnsi"/>
                <w:bCs/>
                <w:sz w:val="24"/>
                <w:szCs w:val="24"/>
              </w:rPr>
              <w:t>: View 1(Russia), View 2(Korea &amp; US &amp; France) and View 3(Canada)</w:t>
            </w:r>
            <w:r w:rsidR="00277A3B">
              <w:rPr>
                <w:rFonts w:cstheme="minorHAnsi"/>
                <w:bCs/>
                <w:sz w:val="24"/>
                <w:szCs w:val="24"/>
              </w:rPr>
              <w:t xml:space="preserve">.  </w:t>
            </w:r>
          </w:p>
          <w:p w:rsidR="004D6318" w:rsidRPr="004D6318" w:rsidRDefault="00091824" w:rsidP="00280255">
            <w:pPr>
              <w:rPr>
                <w:rFonts w:cs="굴림"/>
                <w:szCs w:val="20"/>
              </w:rPr>
            </w:pPr>
            <w:r w:rsidRPr="00091824">
              <w:rPr>
                <w:rFonts w:cstheme="minorHAnsi"/>
                <w:bCs/>
                <w:sz w:val="24"/>
                <w:szCs w:val="24"/>
              </w:rPr>
              <w:t xml:space="preserve">The SWG 5B </w:t>
            </w:r>
            <w:r w:rsidR="00D65C03">
              <w:rPr>
                <w:rFonts w:cstheme="minorHAnsi"/>
                <w:bCs/>
                <w:sz w:val="24"/>
                <w:szCs w:val="24"/>
              </w:rPr>
              <w:t xml:space="preserve">has </w:t>
            </w:r>
            <w:r w:rsidRPr="00091824">
              <w:rPr>
                <w:rFonts w:cstheme="minorHAnsi"/>
                <w:bCs/>
                <w:sz w:val="24"/>
                <w:szCs w:val="24"/>
              </w:rPr>
              <w:t>submitted this revis</w:t>
            </w:r>
            <w:r w:rsidR="00280255">
              <w:rPr>
                <w:rFonts w:cstheme="minorHAnsi"/>
                <w:bCs/>
                <w:sz w:val="24"/>
                <w:szCs w:val="24"/>
              </w:rPr>
              <w:t>ed</w:t>
            </w:r>
            <w:r w:rsidRPr="00091824">
              <w:rPr>
                <w:rFonts w:cstheme="minorHAnsi"/>
                <w:bCs/>
                <w:sz w:val="24"/>
                <w:szCs w:val="24"/>
              </w:rPr>
              <w:t xml:space="preserve"> document</w:t>
            </w:r>
            <w:r w:rsidR="00280255">
              <w:rPr>
                <w:rFonts w:cstheme="minorHAnsi"/>
                <w:bCs/>
                <w:sz w:val="24"/>
                <w:szCs w:val="24"/>
              </w:rPr>
              <w:t xml:space="preserve"> </w:t>
            </w:r>
            <w:r w:rsidR="00280255" w:rsidRPr="00091824">
              <w:rPr>
                <w:rFonts w:cstheme="minorHAnsi"/>
                <w:bCs/>
                <w:sz w:val="24"/>
                <w:szCs w:val="24"/>
              </w:rPr>
              <w:t xml:space="preserve">to </w:t>
            </w:r>
            <w:r w:rsidR="00280255">
              <w:rPr>
                <w:rFonts w:cstheme="minorHAnsi"/>
                <w:bCs/>
                <w:sz w:val="24"/>
                <w:szCs w:val="24"/>
              </w:rPr>
              <w:t xml:space="preserve">the </w:t>
            </w:r>
            <w:r w:rsidR="00280255" w:rsidRPr="00091824">
              <w:rPr>
                <w:rFonts w:cstheme="minorHAnsi"/>
                <w:bCs/>
                <w:sz w:val="24"/>
                <w:szCs w:val="24"/>
              </w:rPr>
              <w:t>Plenary</w:t>
            </w:r>
            <w:r w:rsidRPr="00091824">
              <w:rPr>
                <w:rFonts w:cstheme="minorHAnsi"/>
                <w:bCs/>
                <w:sz w:val="24"/>
                <w:szCs w:val="24"/>
              </w:rPr>
              <w:t xml:space="preserve"> for approval and it has been approved.</w:t>
            </w:r>
          </w:p>
        </w:tc>
      </w:tr>
      <w:tr w:rsidR="007E7577" w:rsidRPr="00D93A66" w:rsidTr="00B466C9">
        <w:tc>
          <w:tcPr>
            <w:tcW w:w="11052" w:type="dxa"/>
            <w:gridSpan w:val="15"/>
          </w:tcPr>
          <w:p w:rsidR="007E7577" w:rsidRPr="00280255" w:rsidRDefault="007E7577" w:rsidP="00D93A66">
            <w:pPr>
              <w:jc w:val="center"/>
              <w:rPr>
                <w:rFonts w:cstheme="minorHAnsi"/>
                <w:bCs/>
                <w:sz w:val="24"/>
                <w:szCs w:val="24"/>
              </w:rPr>
            </w:pPr>
          </w:p>
        </w:tc>
      </w:tr>
      <w:tr w:rsidR="007E7577" w:rsidRPr="00D93A66" w:rsidTr="00B466C9">
        <w:tc>
          <w:tcPr>
            <w:tcW w:w="11052" w:type="dxa"/>
            <w:gridSpan w:val="15"/>
          </w:tcPr>
          <w:p w:rsidR="007E7577" w:rsidRPr="007E7577" w:rsidRDefault="007E7577" w:rsidP="006C7438">
            <w:pPr>
              <w:pStyle w:val="a6"/>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6C7438">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D93A66" w:rsidTr="00B466C9">
        <w:tc>
          <w:tcPr>
            <w:tcW w:w="11052" w:type="dxa"/>
            <w:gridSpan w:val="15"/>
          </w:tcPr>
          <w:p w:rsidR="007E7577" w:rsidRPr="0077095D" w:rsidRDefault="00DE585E" w:rsidP="00DE585E">
            <w:pPr>
              <w:jc w:val="center"/>
              <w:rPr>
                <w:rFonts w:cstheme="minorHAnsi"/>
                <w:bCs/>
                <w:sz w:val="24"/>
                <w:szCs w:val="24"/>
              </w:rPr>
            </w:pPr>
            <w:r>
              <w:rPr>
                <w:rFonts w:cstheme="minorHAnsi"/>
                <w:bCs/>
                <w:sz w:val="24"/>
                <w:szCs w:val="24"/>
              </w:rPr>
              <w:t>None</w:t>
            </w:r>
          </w:p>
        </w:tc>
      </w:tr>
    </w:tbl>
    <w:p w:rsidR="009977D0" w:rsidRDefault="009977D0" w:rsidP="00091824">
      <w:bookmarkStart w:id="0" w:name="_GoBack"/>
      <w:bookmarkEnd w:id="0"/>
    </w:p>
    <w:sectPr w:rsidR="009977D0" w:rsidSect="00B466C9">
      <w:headerReference w:type="even" r:id="rId9"/>
      <w:headerReference w:type="default" r:id="rId10"/>
      <w:footerReference w:type="even" r:id="rId11"/>
      <w:footerReference w:type="default" r:id="rId12"/>
      <w:headerReference w:type="first" r:id="rId13"/>
      <w:footerReference w:type="first" r:id="rId14"/>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A20" w:rsidRDefault="00CB2A20" w:rsidP="00D93A66">
      <w:pPr>
        <w:spacing w:after="0" w:line="240" w:lineRule="auto"/>
      </w:pPr>
      <w:r>
        <w:separator/>
      </w:r>
    </w:p>
  </w:endnote>
  <w:endnote w:type="continuationSeparator" w:id="0">
    <w:p w:rsidR="00CB2A20" w:rsidRDefault="00CB2A20"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D5" w:rsidRDefault="005462D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D5" w:rsidRDefault="005462D5">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D5" w:rsidRDefault="005462D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A20" w:rsidRDefault="00CB2A20" w:rsidP="00D93A66">
      <w:pPr>
        <w:spacing w:after="0" w:line="240" w:lineRule="auto"/>
      </w:pPr>
      <w:r>
        <w:separator/>
      </w:r>
    </w:p>
  </w:footnote>
  <w:footnote w:type="continuationSeparator" w:id="0">
    <w:p w:rsidR="00CB2A20" w:rsidRDefault="00CB2A20"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D5" w:rsidRDefault="005462D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66" w:rsidRDefault="00D93A66" w:rsidP="00D93A66">
    <w:pPr>
      <w:pStyle w:val="a3"/>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rsidR="00E00EC9" w:rsidRPr="002C600C" w:rsidRDefault="00E00EC9" w:rsidP="00D93A66">
    <w:pPr>
      <w:pStyle w:val="a3"/>
      <w:tabs>
        <w:tab w:val="clear" w:pos="4513"/>
        <w:tab w:val="clear" w:pos="9026"/>
        <w:tab w:val="left" w:pos="3594"/>
      </w:tabs>
      <w:jc w:val="center"/>
      <w:rPr>
        <w:b/>
        <w:bCs/>
        <w:sz w:val="28"/>
        <w:szCs w:val="28"/>
      </w:rPr>
    </w:pPr>
    <w:r>
      <w:rPr>
        <w:b/>
        <w:bCs/>
        <w:sz w:val="28"/>
        <w:szCs w:val="28"/>
      </w:rPr>
      <w:t>CPM23-2</w:t>
    </w:r>
  </w:p>
  <w:p w:rsidR="00D93A66" w:rsidRDefault="00D93A6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D5" w:rsidRDefault="005462D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2F19"/>
    <w:multiLevelType w:val="multilevel"/>
    <w:tmpl w:val="358811D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630E9E"/>
    <w:multiLevelType w:val="hybridMultilevel"/>
    <w:tmpl w:val="F7148420"/>
    <w:lvl w:ilvl="0" w:tplc="333C0FB2">
      <w:start w:val="1"/>
      <w:numFmt w:val="bullet"/>
      <w:suff w:val="space"/>
      <w:lvlText w:val="-"/>
      <w:lvlJc w:val="left"/>
      <w:pPr>
        <w:ind w:left="0" w:firstLine="0"/>
      </w:pPr>
      <w:rPr>
        <w:rFonts w:ascii="Wingdings" w:hAnsi="Wingdings" w:hint="default"/>
      </w:rPr>
    </w:lvl>
    <w:lvl w:ilvl="1" w:tplc="77D6D0F4">
      <w:start w:val="1"/>
      <w:numFmt w:val="decimal"/>
      <w:lvlText w:val="%2."/>
      <w:lvlJc w:val="left"/>
      <w:pPr>
        <w:tabs>
          <w:tab w:val="num" w:pos="1440"/>
        </w:tabs>
        <w:ind w:left="1440" w:hanging="360"/>
      </w:pPr>
    </w:lvl>
    <w:lvl w:ilvl="2" w:tplc="A68840EE">
      <w:start w:val="1"/>
      <w:numFmt w:val="decimal"/>
      <w:lvlText w:val="%3."/>
      <w:lvlJc w:val="left"/>
      <w:pPr>
        <w:tabs>
          <w:tab w:val="num" w:pos="2160"/>
        </w:tabs>
        <w:ind w:left="2160" w:hanging="360"/>
      </w:pPr>
    </w:lvl>
    <w:lvl w:ilvl="3" w:tplc="6AACC944">
      <w:start w:val="1"/>
      <w:numFmt w:val="decimal"/>
      <w:lvlText w:val="%4."/>
      <w:lvlJc w:val="left"/>
      <w:pPr>
        <w:tabs>
          <w:tab w:val="num" w:pos="2880"/>
        </w:tabs>
        <w:ind w:left="2880" w:hanging="360"/>
      </w:pPr>
    </w:lvl>
    <w:lvl w:ilvl="4" w:tplc="B02C3D7A">
      <w:start w:val="1"/>
      <w:numFmt w:val="decimal"/>
      <w:lvlText w:val="%5."/>
      <w:lvlJc w:val="left"/>
      <w:pPr>
        <w:tabs>
          <w:tab w:val="num" w:pos="3600"/>
        </w:tabs>
        <w:ind w:left="3600" w:hanging="360"/>
      </w:pPr>
    </w:lvl>
    <w:lvl w:ilvl="5" w:tplc="F8E404FA">
      <w:start w:val="1"/>
      <w:numFmt w:val="decimal"/>
      <w:lvlText w:val="%6."/>
      <w:lvlJc w:val="left"/>
      <w:pPr>
        <w:tabs>
          <w:tab w:val="num" w:pos="4320"/>
        </w:tabs>
        <w:ind w:left="4320" w:hanging="360"/>
      </w:pPr>
    </w:lvl>
    <w:lvl w:ilvl="6" w:tplc="237A47B4">
      <w:start w:val="1"/>
      <w:numFmt w:val="decimal"/>
      <w:lvlText w:val="%7."/>
      <w:lvlJc w:val="left"/>
      <w:pPr>
        <w:tabs>
          <w:tab w:val="num" w:pos="5040"/>
        </w:tabs>
        <w:ind w:left="5040" w:hanging="360"/>
      </w:pPr>
    </w:lvl>
    <w:lvl w:ilvl="7" w:tplc="37F2CAA4">
      <w:start w:val="1"/>
      <w:numFmt w:val="decimal"/>
      <w:lvlText w:val="%8."/>
      <w:lvlJc w:val="left"/>
      <w:pPr>
        <w:tabs>
          <w:tab w:val="num" w:pos="5760"/>
        </w:tabs>
        <w:ind w:left="5760" w:hanging="360"/>
      </w:pPr>
    </w:lvl>
    <w:lvl w:ilvl="8" w:tplc="95BCC22E">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66"/>
    <w:rsid w:val="00013A5E"/>
    <w:rsid w:val="00057D04"/>
    <w:rsid w:val="00091824"/>
    <w:rsid w:val="00277A3B"/>
    <w:rsid w:val="00280255"/>
    <w:rsid w:val="0029461B"/>
    <w:rsid w:val="002D09BD"/>
    <w:rsid w:val="00302617"/>
    <w:rsid w:val="0038715F"/>
    <w:rsid w:val="003E43CD"/>
    <w:rsid w:val="004D6318"/>
    <w:rsid w:val="0053362C"/>
    <w:rsid w:val="005462D5"/>
    <w:rsid w:val="00580AA6"/>
    <w:rsid w:val="005E21A8"/>
    <w:rsid w:val="005E5CFA"/>
    <w:rsid w:val="00683B41"/>
    <w:rsid w:val="006A01E6"/>
    <w:rsid w:val="006C7438"/>
    <w:rsid w:val="00703F40"/>
    <w:rsid w:val="0077095D"/>
    <w:rsid w:val="007A394C"/>
    <w:rsid w:val="007E7577"/>
    <w:rsid w:val="00911E1F"/>
    <w:rsid w:val="00952584"/>
    <w:rsid w:val="009977D0"/>
    <w:rsid w:val="00A16B26"/>
    <w:rsid w:val="00A56F72"/>
    <w:rsid w:val="00B16274"/>
    <w:rsid w:val="00B466C9"/>
    <w:rsid w:val="00C27301"/>
    <w:rsid w:val="00C61C3A"/>
    <w:rsid w:val="00C63D90"/>
    <w:rsid w:val="00C91AAA"/>
    <w:rsid w:val="00CB2A20"/>
    <w:rsid w:val="00CD583E"/>
    <w:rsid w:val="00D30FC1"/>
    <w:rsid w:val="00D65C03"/>
    <w:rsid w:val="00D93A66"/>
    <w:rsid w:val="00DE585E"/>
    <w:rsid w:val="00E00EC9"/>
    <w:rsid w:val="00F53C2C"/>
    <w:rsid w:val="00FE6D2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CB5F"/>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A66"/>
    <w:pPr>
      <w:widowControl w:val="0"/>
      <w:wordWrap w:val="0"/>
      <w:autoSpaceDE w:val="0"/>
      <w:autoSpaceDN w:val="0"/>
      <w:jc w:val="both"/>
    </w:pPr>
    <w:rPr>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Char">
    <w:name w:val="머리글 Char"/>
    <w:basedOn w:val="a0"/>
    <w:link w:val="a3"/>
    <w:uiPriority w:val="99"/>
    <w:rsid w:val="00D93A66"/>
  </w:style>
  <w:style w:type="paragraph" w:styleId="a4">
    <w:name w:val="footer"/>
    <w:basedOn w:val="a"/>
    <w:link w:val="Char0"/>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Char0">
    <w:name w:val="바닥글 Char"/>
    <w:basedOn w:val="a0"/>
    <w:link w:val="a4"/>
    <w:uiPriority w:val="99"/>
    <w:rsid w:val="00D93A66"/>
  </w:style>
  <w:style w:type="table" w:styleId="a5">
    <w:name w:val="Table Grid"/>
    <w:basedOn w:val="a1"/>
    <w:uiPriority w:val="39"/>
    <w:rsid w:val="00D93A66"/>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7095D"/>
    <w:pPr>
      <w:ind w:left="720"/>
      <w:contextualSpacing/>
    </w:pPr>
  </w:style>
  <w:style w:type="character" w:styleId="a7">
    <w:name w:val="Hyperlink"/>
    <w:basedOn w:val="a0"/>
    <w:uiPriority w:val="99"/>
    <w:unhideWhenUsed/>
    <w:rsid w:val="003E43CD"/>
    <w:rPr>
      <w:color w:val="0000FF"/>
      <w:u w:val="single"/>
    </w:rPr>
  </w:style>
  <w:style w:type="character" w:styleId="a8">
    <w:name w:val="Strong"/>
    <w:basedOn w:val="a0"/>
    <w:uiPriority w:val="22"/>
    <w:qFormat/>
    <w:rsid w:val="003E43CD"/>
    <w:rPr>
      <w:b/>
      <w:bCs/>
    </w:rPr>
  </w:style>
  <w:style w:type="character" w:styleId="a9">
    <w:name w:val="Emphasis"/>
    <w:basedOn w:val="a0"/>
    <w:uiPriority w:val="20"/>
    <w:qFormat/>
    <w:rsid w:val="002D09BD"/>
    <w:rPr>
      <w:i/>
      <w:iCs/>
    </w:rPr>
  </w:style>
  <w:style w:type="paragraph" w:customStyle="1" w:styleId="aa">
    <w:name w:val="바탕글"/>
    <w:basedOn w:val="a"/>
    <w:rsid w:val="004D6318"/>
    <w:pPr>
      <w:spacing w:after="0" w:line="384" w:lineRule="auto"/>
      <w:textAlignment w:val="baseline"/>
    </w:pPr>
    <w:rPr>
      <w:rFonts w:ascii="함초롬바탕" w:eastAsia="굴림" w:hAnsi="굴림" w:cs="굴림"/>
      <w:color w:val="000000"/>
      <w:kern w:val="0"/>
      <w:szCs w:val="20"/>
    </w:rPr>
  </w:style>
  <w:style w:type="paragraph" w:styleId="ab">
    <w:name w:val="Balloon Text"/>
    <w:basedOn w:val="a"/>
    <w:link w:val="Char1"/>
    <w:uiPriority w:val="99"/>
    <w:semiHidden/>
    <w:unhideWhenUsed/>
    <w:rsid w:val="00A56F7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b"/>
    <w:uiPriority w:val="99"/>
    <w:semiHidden/>
    <w:rsid w:val="00A56F72"/>
    <w:rPr>
      <w:rFonts w:asciiTheme="majorHAnsi" w:eastAsiaTheme="majorEastAsia" w:hAnsiTheme="majorHAnsi" w:cstheme="majorBid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96804">
      <w:bodyDiv w:val="1"/>
      <w:marLeft w:val="0"/>
      <w:marRight w:val="0"/>
      <w:marTop w:val="0"/>
      <w:marBottom w:val="0"/>
      <w:divBdr>
        <w:top w:val="none" w:sz="0" w:space="0" w:color="auto"/>
        <w:left w:val="none" w:sz="0" w:space="0" w:color="auto"/>
        <w:bottom w:val="none" w:sz="0" w:space="0" w:color="auto"/>
        <w:right w:val="none" w:sz="0" w:space="0" w:color="auto"/>
      </w:divBdr>
    </w:div>
    <w:div w:id="18526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CPM23.2-C-0253/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hafiee@cra.i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1</Pages>
  <Words>358</Words>
  <Characters>2044</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Australian Communications and Media Authority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Jaekyung Park</cp:lastModifiedBy>
  <cp:revision>13</cp:revision>
  <dcterms:created xsi:type="dcterms:W3CDTF">2023-03-17T03:10:00Z</dcterms:created>
  <dcterms:modified xsi:type="dcterms:W3CDTF">2023-04-02T06:56:00Z</dcterms:modified>
</cp:coreProperties>
</file>