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94753A">
        <w:rPr>
          <w:snapToGrid w:val="0"/>
        </w:rPr>
        <w:t xml:space="preserve"> </w:t>
      </w:r>
      <w:r w:rsidR="00F5621F">
        <w:rPr>
          <w:snapToGrid w:val="0"/>
        </w:rPr>
        <w:t>9</w:t>
      </w:r>
      <w:r w:rsidR="003A7BCA">
        <w:rPr>
          <w:snapToGrid w:val="0"/>
        </w:rPr>
        <w:t xml:space="preserve"> February</w:t>
      </w:r>
      <w:r w:rsidR="00B17531">
        <w:rPr>
          <w:snapToGrid w:val="0"/>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21310F">
        <w:tc>
          <w:tcPr>
            <w:tcW w:w="9242" w:type="dxa"/>
          </w:tcPr>
          <w:p w:rsidR="00A749D2" w:rsidRPr="00AE27E9" w:rsidRDefault="00A749D2" w:rsidP="0021310F">
            <w:r w:rsidRPr="00AE27E9">
              <w:rPr>
                <w:b/>
                <w:bCs/>
              </w:rPr>
              <w:t>Agenda Item</w:t>
            </w:r>
            <w:r>
              <w:rPr>
                <w:b/>
                <w:bCs/>
              </w:rPr>
              <w:t xml:space="preserve"> No.</w:t>
            </w:r>
            <w:r w:rsidRPr="00AE27E9">
              <w:t>:</w:t>
            </w:r>
            <w:r w:rsidR="001C679B">
              <w:t xml:space="preserve">   1.23</w:t>
            </w:r>
          </w:p>
          <w:p w:rsidR="00A749D2" w:rsidRDefault="00A749D2" w:rsidP="0021310F">
            <w:pPr>
              <w:rPr>
                <w:b/>
                <w:bCs/>
                <w:sz w:val="28"/>
              </w:rPr>
            </w:pPr>
          </w:p>
        </w:tc>
      </w:tr>
      <w:tr w:rsidR="00A749D2" w:rsidTr="0021310F">
        <w:tc>
          <w:tcPr>
            <w:tcW w:w="9242" w:type="dxa"/>
          </w:tcPr>
          <w:p w:rsidR="00A749D2" w:rsidRDefault="00A749D2" w:rsidP="0021310F">
            <w:r w:rsidRPr="00AE27E9">
              <w:rPr>
                <w:b/>
                <w:bCs/>
              </w:rPr>
              <w:t>Name of the Coordinator</w:t>
            </w:r>
            <w:r>
              <w:rPr>
                <w:b/>
                <w:bCs/>
              </w:rPr>
              <w:t xml:space="preserve"> ( with Email)</w:t>
            </w:r>
            <w:r>
              <w:t>:</w:t>
            </w:r>
            <w:r w:rsidR="00DB0955">
              <w:t xml:space="preserve"> </w:t>
            </w:r>
            <w:r w:rsidR="001C679B">
              <w:t>Dale Hughes</w:t>
            </w:r>
            <w:r w:rsidR="0029449F">
              <w:t>, Box 2359</w:t>
            </w:r>
          </w:p>
          <w:p w:rsidR="00A749D2" w:rsidRDefault="00F31DE1" w:rsidP="001C679B">
            <w:pPr>
              <w:rPr>
                <w:rStyle w:val="Hyperlink"/>
              </w:rPr>
            </w:pPr>
            <w:r>
              <w:t xml:space="preserve">                                                                    </w:t>
            </w:r>
            <w:hyperlink r:id="rId10" w:history="1">
              <w:r w:rsidR="001C679B">
                <w:rPr>
                  <w:rStyle w:val="Hyperlink"/>
                </w:rPr>
                <w:t>daleedwin.hughes@ties.itu.int</w:t>
              </w:r>
            </w:hyperlink>
          </w:p>
          <w:p w:rsidR="0029449F" w:rsidRPr="00AE27E9" w:rsidRDefault="0029449F" w:rsidP="001C679B"/>
        </w:tc>
      </w:tr>
      <w:tr w:rsidR="00A749D2" w:rsidTr="0021310F">
        <w:tc>
          <w:tcPr>
            <w:tcW w:w="9242" w:type="dxa"/>
          </w:tcPr>
          <w:p w:rsidR="00DD5690" w:rsidRDefault="0029449F" w:rsidP="0021310F">
            <w:pPr>
              <w:rPr>
                <w:b/>
                <w:bCs/>
              </w:rPr>
            </w:pPr>
            <w:r>
              <w:rPr>
                <w:b/>
                <w:bCs/>
              </w:rPr>
              <w:t>Issue:</w:t>
            </w:r>
          </w:p>
          <w:p w:rsidR="0029449F" w:rsidRPr="007E1BB2" w:rsidRDefault="0029449F" w:rsidP="0021310F">
            <w:pPr>
              <w:rPr>
                <w:b/>
                <w:bCs/>
              </w:rPr>
            </w:pPr>
          </w:p>
          <w:p w:rsidR="007E1BB2" w:rsidRPr="00F624A8" w:rsidRDefault="007E1BB2" w:rsidP="007E1BB2">
            <w:pPr>
              <w:rPr>
                <w:color w:val="000000"/>
              </w:rPr>
            </w:pPr>
            <w:r w:rsidRPr="00F624A8">
              <w:rPr>
                <w:color w:val="000000"/>
              </w:rPr>
              <w:t>1.23</w:t>
            </w:r>
            <w:r w:rsidRPr="00F624A8">
              <w:rPr>
                <w:color w:val="000000"/>
              </w:rPr>
              <w:tab/>
            </w:r>
            <w:r w:rsidRPr="00F624A8">
              <w:t>to consider an allocation of about 15 kHz in parts of the band 415-526.5 kHz to the amateur service on a secondary basis, taking into account the ne</w:t>
            </w:r>
            <w:r w:rsidR="0029449F">
              <w:t>ed to protect existing services.</w:t>
            </w:r>
          </w:p>
          <w:p w:rsidR="00A749D2" w:rsidRPr="001C679B" w:rsidRDefault="00A749D2" w:rsidP="0021310F">
            <w:pPr>
              <w:rPr>
                <w:highlight w:val="yellow"/>
              </w:rPr>
            </w:pPr>
          </w:p>
        </w:tc>
      </w:tr>
      <w:tr w:rsidR="00A749D2" w:rsidTr="0021310F">
        <w:tc>
          <w:tcPr>
            <w:tcW w:w="9242" w:type="dxa"/>
          </w:tcPr>
          <w:p w:rsidR="00A749D2" w:rsidRPr="007E1BB2" w:rsidRDefault="00A749D2" w:rsidP="0021310F">
            <w:r w:rsidRPr="007E1BB2">
              <w:rPr>
                <w:b/>
                <w:bCs/>
              </w:rPr>
              <w:t>APT Proposals</w:t>
            </w:r>
            <w:r w:rsidRPr="007E1BB2">
              <w:t>:</w:t>
            </w:r>
            <w:r w:rsidR="007E1BB2" w:rsidRPr="007E1BB2">
              <w:t xml:space="preserve"> Document 26 Addendum 23</w:t>
            </w:r>
          </w:p>
          <w:p w:rsidR="00222D66" w:rsidRPr="001C679B" w:rsidRDefault="00222D66" w:rsidP="0021310F">
            <w:pPr>
              <w:rPr>
                <w:highlight w:val="yellow"/>
              </w:rPr>
            </w:pPr>
          </w:p>
          <w:p w:rsidR="007E1BB2" w:rsidRPr="00752BF3" w:rsidRDefault="007E1BB2" w:rsidP="007E1BB2">
            <w:pPr>
              <w:rPr>
                <w:b/>
              </w:rPr>
            </w:pPr>
            <w:r w:rsidRPr="00752BF3">
              <w:t xml:space="preserve">At the </w:t>
            </w:r>
            <w:r>
              <w:t>fifth</w:t>
            </w:r>
            <w:r w:rsidRPr="00752BF3">
              <w:t xml:space="preserve"> meeting of the APT </w:t>
            </w:r>
            <w:r>
              <w:t>prepara</w:t>
            </w:r>
            <w:r w:rsidRPr="00752BF3">
              <w:t>tory group for WRC-12</w:t>
            </w:r>
            <w:r>
              <w:t>,</w:t>
            </w:r>
            <w:r w:rsidRPr="00752BF3">
              <w:t xml:space="preserve"> </w:t>
            </w:r>
            <w:r>
              <w:t>APT M</w:t>
            </w:r>
            <w:r w:rsidRPr="00752BF3">
              <w:t>embers, when considering Agenda item 1.23,</w:t>
            </w:r>
            <w:r>
              <w:t xml:space="preserve"> supported an allocation </w:t>
            </w:r>
            <w:r w:rsidRPr="000B6C70">
              <w:t>of about</w:t>
            </w:r>
            <w:r>
              <w:t xml:space="preserve"> 15 kHz in parts of the band 415-</w:t>
            </w:r>
            <w:r w:rsidRPr="000B6C70">
              <w:t>526.5 kHz</w:t>
            </w:r>
            <w:r>
              <w:t xml:space="preserve"> to the amateur service on a secondary basis, </w:t>
            </w:r>
            <w:r w:rsidRPr="006E409E">
              <w:t>taking into account the need to protect existing services</w:t>
            </w:r>
            <w:r>
              <w:t xml:space="preserve">. In particular </w:t>
            </w:r>
            <w:r>
              <w:rPr>
                <w:color w:val="000000"/>
              </w:rPr>
              <w:t xml:space="preserve">Method A </w:t>
            </w:r>
            <w:r>
              <w:t>(472-487</w:t>
            </w:r>
            <w:r w:rsidRPr="003F37A6">
              <w:t xml:space="preserve"> kHz)</w:t>
            </w:r>
            <w:r>
              <w:t xml:space="preserve"> of the CPM Report is supported provided that appropriate protection and regulatory provisions are in place. </w:t>
            </w:r>
          </w:p>
          <w:p w:rsidR="00A749D2" w:rsidRPr="001C679B" w:rsidRDefault="00A749D2" w:rsidP="0021310F">
            <w:pPr>
              <w:rPr>
                <w:highlight w:val="yellow"/>
              </w:rPr>
            </w:pPr>
          </w:p>
        </w:tc>
      </w:tr>
      <w:tr w:rsidR="00A749D2" w:rsidTr="0021310F">
        <w:tc>
          <w:tcPr>
            <w:tcW w:w="9242" w:type="dxa"/>
          </w:tcPr>
          <w:p w:rsidR="005F751E" w:rsidRDefault="00A749D2" w:rsidP="0021310F">
            <w:pPr>
              <w:rPr>
                <w:b/>
                <w:bCs/>
              </w:rPr>
            </w:pPr>
            <w:r w:rsidRPr="007E1BB2">
              <w:rPr>
                <w:b/>
                <w:bCs/>
              </w:rPr>
              <w:t>Status of the APT Proposals:</w:t>
            </w:r>
          </w:p>
          <w:p w:rsidR="0029449F" w:rsidRPr="007E1BB2" w:rsidRDefault="0029449F" w:rsidP="0021310F">
            <w:pPr>
              <w:rPr>
                <w:b/>
                <w:bCs/>
              </w:rPr>
            </w:pPr>
          </w:p>
          <w:p w:rsidR="008E1D6A" w:rsidRDefault="0027445A" w:rsidP="003A7BCA">
            <w:pPr>
              <w:rPr>
                <w:bCs/>
              </w:rPr>
            </w:pPr>
            <w:r w:rsidRPr="007E1BB2">
              <w:rPr>
                <w:bCs/>
              </w:rPr>
              <w:t>The APT comm</w:t>
            </w:r>
            <w:r w:rsidR="007E1BB2" w:rsidRPr="007E1BB2">
              <w:rPr>
                <w:bCs/>
              </w:rPr>
              <w:t>on proposal was presented</w:t>
            </w:r>
            <w:r w:rsidRPr="007E1BB2">
              <w:rPr>
                <w:bCs/>
              </w:rPr>
              <w:t xml:space="preserve"> to the first </w:t>
            </w:r>
            <w:r w:rsidR="00D800D1">
              <w:rPr>
                <w:bCs/>
              </w:rPr>
              <w:t>4C3</w:t>
            </w:r>
            <w:r w:rsidR="003E247E">
              <w:rPr>
                <w:bCs/>
              </w:rPr>
              <w:t xml:space="preserve"> 1.23 </w:t>
            </w:r>
            <w:r w:rsidR="00D800D1">
              <w:rPr>
                <w:bCs/>
              </w:rPr>
              <w:t>sub w</w:t>
            </w:r>
            <w:r w:rsidRPr="007E1BB2">
              <w:rPr>
                <w:bCs/>
              </w:rPr>
              <w:t xml:space="preserve">orking </w:t>
            </w:r>
            <w:r w:rsidR="00D800D1">
              <w:rPr>
                <w:bCs/>
              </w:rPr>
              <w:t>g</w:t>
            </w:r>
            <w:r w:rsidRPr="007E1BB2">
              <w:rPr>
                <w:bCs/>
              </w:rPr>
              <w:t>roup session held on 24 January</w:t>
            </w:r>
            <w:r w:rsidR="007E1BB2" w:rsidRPr="007E1BB2">
              <w:rPr>
                <w:bCs/>
              </w:rPr>
              <w:t>.</w:t>
            </w:r>
            <w:r w:rsidRPr="007E1BB2">
              <w:rPr>
                <w:bCs/>
              </w:rPr>
              <w:t xml:space="preserve"> </w:t>
            </w:r>
            <w:r w:rsidR="0094753A">
              <w:rPr>
                <w:bCs/>
              </w:rPr>
              <w:t xml:space="preserve"> </w:t>
            </w:r>
          </w:p>
          <w:p w:rsidR="008E1D6A" w:rsidRDefault="008E1D6A" w:rsidP="003A7BCA">
            <w:pPr>
              <w:rPr>
                <w:bCs/>
              </w:rPr>
            </w:pPr>
          </w:p>
          <w:p w:rsidR="00C10D40" w:rsidRPr="007E1BB2" w:rsidRDefault="0097772E" w:rsidP="003A7BCA">
            <w:pPr>
              <w:rPr>
                <w:bCs/>
              </w:rPr>
            </w:pPr>
            <w:r>
              <w:rPr>
                <w:bCs/>
              </w:rPr>
              <w:t xml:space="preserve">The </w:t>
            </w:r>
            <w:r w:rsidR="00F5621F">
              <w:rPr>
                <w:bCs/>
              </w:rPr>
              <w:t>consensus</w:t>
            </w:r>
            <w:r>
              <w:rPr>
                <w:bCs/>
              </w:rPr>
              <w:t xml:space="preserve"> position is </w:t>
            </w:r>
            <w:r w:rsidR="00F5621F">
              <w:rPr>
                <w:bCs/>
              </w:rPr>
              <w:t xml:space="preserve">that the MF amateur allocation will be </w:t>
            </w:r>
            <w:r w:rsidR="003D1FB3">
              <w:rPr>
                <w:bCs/>
              </w:rPr>
              <w:t xml:space="preserve">the frequency band </w:t>
            </w:r>
            <w:r w:rsidR="008E1D6A">
              <w:rPr>
                <w:bCs/>
              </w:rPr>
              <w:t xml:space="preserve">472 - </w:t>
            </w:r>
            <w:r w:rsidR="00C10D40">
              <w:rPr>
                <w:bCs/>
              </w:rPr>
              <w:t xml:space="preserve">479 kHz and </w:t>
            </w:r>
            <w:r w:rsidR="00F5621F">
              <w:rPr>
                <w:bCs/>
              </w:rPr>
              <w:t>there will be</w:t>
            </w:r>
            <w:r w:rsidR="00C10D40">
              <w:rPr>
                <w:bCs/>
              </w:rPr>
              <w:t xml:space="preserve"> power and geographic limitations as protection measures for incumbent services</w:t>
            </w:r>
            <w:r w:rsidR="00F5621F">
              <w:rPr>
                <w:bCs/>
              </w:rPr>
              <w:t xml:space="preserve">. Further protection of the aeronautical </w:t>
            </w:r>
            <w:proofErr w:type="spellStart"/>
            <w:r w:rsidR="00F5621F">
              <w:rPr>
                <w:bCs/>
              </w:rPr>
              <w:t>radio</w:t>
            </w:r>
            <w:r w:rsidR="00C10D40">
              <w:rPr>
                <w:bCs/>
              </w:rPr>
              <w:t>navigation</w:t>
            </w:r>
            <w:proofErr w:type="spellEnd"/>
            <w:r w:rsidR="00C10D40">
              <w:rPr>
                <w:bCs/>
              </w:rPr>
              <w:t xml:space="preserve"> service</w:t>
            </w:r>
            <w:r w:rsidR="002B1A35">
              <w:rPr>
                <w:bCs/>
              </w:rPr>
              <w:t xml:space="preserve"> is</w:t>
            </w:r>
            <w:r w:rsidR="00C10D40">
              <w:rPr>
                <w:bCs/>
              </w:rPr>
              <w:t xml:space="preserve"> </w:t>
            </w:r>
            <w:r w:rsidR="00F5621F">
              <w:rPr>
                <w:bCs/>
              </w:rPr>
              <w:t>provided</w:t>
            </w:r>
            <w:r w:rsidR="00C10D40">
              <w:rPr>
                <w:bCs/>
              </w:rPr>
              <w:t xml:space="preserve"> by its elevation to primary status in some countries. An ‘opt-out’</w:t>
            </w:r>
            <w:r w:rsidR="008E1D6A">
              <w:rPr>
                <w:bCs/>
              </w:rPr>
              <w:t xml:space="preserve"> footnote</w:t>
            </w:r>
            <w:r w:rsidR="00C10D40">
              <w:rPr>
                <w:bCs/>
              </w:rPr>
              <w:t xml:space="preserve"> has been provided for administrations who do not want an amateur allocation in the frequency band 472 -</w:t>
            </w:r>
            <w:r w:rsidR="007E7868">
              <w:rPr>
                <w:bCs/>
              </w:rPr>
              <w:t xml:space="preserve"> 479 k</w:t>
            </w:r>
            <w:r w:rsidR="002B1A35">
              <w:rPr>
                <w:bCs/>
              </w:rPr>
              <w:t>Hz in their country.</w:t>
            </w:r>
          </w:p>
          <w:p w:rsidR="00002E6D" w:rsidRDefault="00002E6D" w:rsidP="007E1BB2">
            <w:pPr>
              <w:rPr>
                <w:bCs/>
              </w:rPr>
            </w:pPr>
          </w:p>
          <w:p w:rsidR="003A7BCA" w:rsidRDefault="00C10D40" w:rsidP="007E1BB2">
            <w:pPr>
              <w:rPr>
                <w:bCs/>
              </w:rPr>
            </w:pPr>
            <w:r>
              <w:rPr>
                <w:bCs/>
              </w:rPr>
              <w:t>T</w:t>
            </w:r>
            <w:r w:rsidR="002B1A35">
              <w:rPr>
                <w:bCs/>
              </w:rPr>
              <w:t xml:space="preserve">he output document </w:t>
            </w:r>
            <w:r w:rsidR="00D800D1">
              <w:rPr>
                <w:bCs/>
              </w:rPr>
              <w:t xml:space="preserve">from the 4C3 1.23 sub </w:t>
            </w:r>
            <w:r>
              <w:rPr>
                <w:bCs/>
              </w:rPr>
              <w:t xml:space="preserve">working group </w:t>
            </w:r>
            <w:r w:rsidR="00F5621F">
              <w:rPr>
                <w:bCs/>
              </w:rPr>
              <w:t xml:space="preserve">was approved by the COM4 committee and the NOC option was removed. The final document was on the agenda for discussion during the Plenary meeting of February 8, however other agenda items took up the available time and AI 1.23 </w:t>
            </w:r>
            <w:r w:rsidR="00275D50">
              <w:rPr>
                <w:bCs/>
              </w:rPr>
              <w:t xml:space="preserve">document </w:t>
            </w:r>
            <w:r w:rsidR="00F5621F">
              <w:rPr>
                <w:bCs/>
              </w:rPr>
              <w:t>wi</w:t>
            </w:r>
            <w:bookmarkStart w:id="0" w:name="_GoBack"/>
            <w:bookmarkEnd w:id="0"/>
            <w:r w:rsidR="00F5621F">
              <w:rPr>
                <w:bCs/>
              </w:rPr>
              <w:t>ll get its first reading at the Plenary of February 10.</w:t>
            </w:r>
            <w:r>
              <w:rPr>
                <w:bCs/>
              </w:rPr>
              <w:t xml:space="preserve"> </w:t>
            </w:r>
          </w:p>
          <w:p w:rsidR="007E1BB2" w:rsidRPr="007E1BB2" w:rsidRDefault="007E1BB2" w:rsidP="003A7BCA"/>
        </w:tc>
      </w:tr>
      <w:tr w:rsidR="00A749D2" w:rsidTr="0021310F">
        <w:tc>
          <w:tcPr>
            <w:tcW w:w="9242" w:type="dxa"/>
          </w:tcPr>
          <w:p w:rsidR="007E1BB2" w:rsidRPr="007E1BB2" w:rsidRDefault="00A749D2" w:rsidP="0021310F">
            <w:pPr>
              <w:rPr>
                <w:b/>
                <w:bCs/>
              </w:rPr>
            </w:pPr>
            <w:r w:rsidRPr="007E1BB2">
              <w:rPr>
                <w:b/>
                <w:bCs/>
              </w:rPr>
              <w:t>Issues to be discussed at the Coordination Meeting:</w:t>
            </w:r>
          </w:p>
          <w:p w:rsidR="007E1BB2" w:rsidRPr="007E1BB2" w:rsidRDefault="007E1BB2" w:rsidP="0021310F">
            <w:pPr>
              <w:rPr>
                <w:b/>
                <w:bCs/>
              </w:rPr>
            </w:pPr>
          </w:p>
          <w:p w:rsidR="00A749D2" w:rsidRPr="0029449F" w:rsidRDefault="00F5621F" w:rsidP="0021310F">
            <w:pPr>
              <w:rPr>
                <w:bCs/>
              </w:rPr>
            </w:pPr>
            <w:r>
              <w:rPr>
                <w:bCs/>
              </w:rPr>
              <w:t>None at this time</w:t>
            </w:r>
          </w:p>
          <w:p w:rsidR="000C0C2B" w:rsidRPr="007E1BB2" w:rsidRDefault="000C0C2B" w:rsidP="0021310F">
            <w:pPr>
              <w:rPr>
                <w:b/>
                <w:bCs/>
              </w:rPr>
            </w:pPr>
          </w:p>
        </w:tc>
      </w:tr>
      <w:tr w:rsidR="00A749D2" w:rsidTr="0021310F">
        <w:tc>
          <w:tcPr>
            <w:tcW w:w="9242" w:type="dxa"/>
          </w:tcPr>
          <w:p w:rsidR="00A749D2" w:rsidRPr="0029449F" w:rsidRDefault="00A749D2" w:rsidP="0021310F">
            <w:r w:rsidRPr="0029449F">
              <w:rPr>
                <w:b/>
                <w:bCs/>
              </w:rPr>
              <w:lastRenderedPageBreak/>
              <w:t>Comments/Remarks by the Coordinator</w:t>
            </w:r>
            <w:r w:rsidRPr="0029449F">
              <w:t>:</w:t>
            </w:r>
          </w:p>
          <w:p w:rsidR="0029449F" w:rsidRPr="0029449F" w:rsidRDefault="0029449F" w:rsidP="0021310F"/>
          <w:p w:rsidR="0029449F" w:rsidRDefault="00F5621F" w:rsidP="00F22632">
            <w:pPr>
              <w:spacing w:after="200" w:line="276" w:lineRule="auto"/>
            </w:pPr>
            <w:r>
              <w:t>None at this time.</w:t>
            </w:r>
          </w:p>
          <w:p w:rsidR="003D1FB3" w:rsidRDefault="003D1FB3" w:rsidP="003D1FB3">
            <w:pPr>
              <w:spacing w:after="200" w:line="276" w:lineRule="auto"/>
            </w:pPr>
            <w:r>
              <w:t>Dale Hughes (AUS)</w:t>
            </w:r>
          </w:p>
          <w:p w:rsidR="003D1FB3" w:rsidRPr="003D1FB3" w:rsidRDefault="003D1FB3" w:rsidP="003D1FB3">
            <w:pPr>
              <w:spacing w:after="200" w:line="276" w:lineRule="auto"/>
            </w:pPr>
            <w:r>
              <w:t>APT AI 1.23 coordinator</w:t>
            </w:r>
          </w:p>
        </w:tc>
      </w:tr>
    </w:tbl>
    <w:p w:rsidR="00A749D2" w:rsidRPr="00AE27E9" w:rsidRDefault="00A749D2" w:rsidP="00EE1E2C">
      <w:pPr>
        <w:rPr>
          <w:b/>
          <w:bCs/>
          <w:sz w:val="28"/>
        </w:rPr>
      </w:pPr>
    </w:p>
    <w:sectPr w:rsidR="00A749D2" w:rsidRPr="00AE27E9"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28" w:rsidRDefault="006B5B28">
      <w:r>
        <w:separator/>
      </w:r>
    </w:p>
  </w:endnote>
  <w:endnote w:type="continuationSeparator" w:id="0">
    <w:p w:rsidR="006B5B28" w:rsidRDefault="006B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BatangChe">
    <w:altName w:val="Arial Unicode MS"/>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9449F" w:rsidP="002C7EA9">
    <w:pPr>
      <w:pStyle w:val="Footer"/>
      <w:ind w:right="360"/>
      <w:jc w:val="right"/>
    </w:pPr>
    <w:r>
      <w:rPr>
        <w:rStyle w:val="PageNumber"/>
      </w:rPr>
      <w:t>P</w:t>
    </w:r>
    <w:r w:rsidR="002C7EA9" w:rsidRPr="002C7EA9">
      <w:rPr>
        <w:rStyle w:val="PageNumber"/>
      </w:rPr>
      <w:t xml:space="preserve">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7E7868">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7E7868">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7E1BB2" w:rsidRDefault="0097693B" w:rsidP="007E1BB2">
          <w:pPr>
            <w:rPr>
              <w:b/>
              <w:bCs/>
            </w:rPr>
          </w:pPr>
          <w:r>
            <w:rPr>
              <w:b/>
              <w:bCs/>
            </w:rPr>
            <w:t>Contact:</w:t>
          </w:r>
          <w:r w:rsidR="00DD5690">
            <w:rPr>
              <w:b/>
              <w:bCs/>
            </w:rPr>
            <w:t xml:space="preserve"> </w:t>
          </w:r>
        </w:p>
        <w:p w:rsidR="0097693B" w:rsidRDefault="007E1BB2" w:rsidP="007E1BB2">
          <w:pPr>
            <w:rPr>
              <w:b/>
              <w:bCs/>
            </w:rPr>
          </w:pPr>
          <w:r>
            <w:rPr>
              <w:b/>
              <w:bCs/>
            </w:rPr>
            <w:t>Dale Hughes</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hyperlink r:id="rId1" w:history="1">
            <w:r w:rsidR="007E1BB2">
              <w:rPr>
                <w:rStyle w:val="Hyperlink"/>
              </w:rPr>
              <w:t>daleedwin.hughes@ties.itu.int</w:t>
            </w:r>
          </w:hyperlink>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28" w:rsidRDefault="006B5B28">
      <w:r>
        <w:separator/>
      </w:r>
    </w:p>
  </w:footnote>
  <w:footnote w:type="continuationSeparator" w:id="0">
    <w:p w:rsidR="006B5B28" w:rsidRDefault="006B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02E6D"/>
    <w:rsid w:val="000323E9"/>
    <w:rsid w:val="0003595B"/>
    <w:rsid w:val="000713CF"/>
    <w:rsid w:val="0009175E"/>
    <w:rsid w:val="000A0654"/>
    <w:rsid w:val="000A5418"/>
    <w:rsid w:val="000A7791"/>
    <w:rsid w:val="000C0C2B"/>
    <w:rsid w:val="000C2F6E"/>
    <w:rsid w:val="000F517C"/>
    <w:rsid w:val="000F5540"/>
    <w:rsid w:val="0010601F"/>
    <w:rsid w:val="00137BE3"/>
    <w:rsid w:val="001539DD"/>
    <w:rsid w:val="0015661F"/>
    <w:rsid w:val="0018046B"/>
    <w:rsid w:val="00196568"/>
    <w:rsid w:val="001A2F16"/>
    <w:rsid w:val="001A66F4"/>
    <w:rsid w:val="001B18C2"/>
    <w:rsid w:val="001C679B"/>
    <w:rsid w:val="001D5D7E"/>
    <w:rsid w:val="001E48AB"/>
    <w:rsid w:val="0021310F"/>
    <w:rsid w:val="00222D66"/>
    <w:rsid w:val="00231AB1"/>
    <w:rsid w:val="00243F10"/>
    <w:rsid w:val="00244791"/>
    <w:rsid w:val="00254A1B"/>
    <w:rsid w:val="00261869"/>
    <w:rsid w:val="0027445A"/>
    <w:rsid w:val="00275D50"/>
    <w:rsid w:val="0028454D"/>
    <w:rsid w:val="00291C9E"/>
    <w:rsid w:val="002926D4"/>
    <w:rsid w:val="0029449F"/>
    <w:rsid w:val="002945C9"/>
    <w:rsid w:val="00297034"/>
    <w:rsid w:val="002B1A35"/>
    <w:rsid w:val="002B670F"/>
    <w:rsid w:val="002C07DA"/>
    <w:rsid w:val="002C7EA9"/>
    <w:rsid w:val="002E4D53"/>
    <w:rsid w:val="0030452E"/>
    <w:rsid w:val="00342F20"/>
    <w:rsid w:val="003574EB"/>
    <w:rsid w:val="00374E6B"/>
    <w:rsid w:val="003809C7"/>
    <w:rsid w:val="00382D6D"/>
    <w:rsid w:val="00397701"/>
    <w:rsid w:val="003A4250"/>
    <w:rsid w:val="003A7BCA"/>
    <w:rsid w:val="003B6263"/>
    <w:rsid w:val="003C64A7"/>
    <w:rsid w:val="003D1FB3"/>
    <w:rsid w:val="003D3FDA"/>
    <w:rsid w:val="003E247E"/>
    <w:rsid w:val="003F2C43"/>
    <w:rsid w:val="00402AE5"/>
    <w:rsid w:val="00404DA3"/>
    <w:rsid w:val="00420822"/>
    <w:rsid w:val="00422124"/>
    <w:rsid w:val="004422DF"/>
    <w:rsid w:val="0045458F"/>
    <w:rsid w:val="004633B4"/>
    <w:rsid w:val="004646FB"/>
    <w:rsid w:val="004658D3"/>
    <w:rsid w:val="004A6B30"/>
    <w:rsid w:val="004B279A"/>
    <w:rsid w:val="004B3553"/>
    <w:rsid w:val="004C4A45"/>
    <w:rsid w:val="004C52B1"/>
    <w:rsid w:val="004D3635"/>
    <w:rsid w:val="004E441E"/>
    <w:rsid w:val="004F3B0C"/>
    <w:rsid w:val="005050DA"/>
    <w:rsid w:val="00530E8C"/>
    <w:rsid w:val="00545933"/>
    <w:rsid w:val="00557544"/>
    <w:rsid w:val="00584012"/>
    <w:rsid w:val="00587875"/>
    <w:rsid w:val="005C2C13"/>
    <w:rsid w:val="005F751E"/>
    <w:rsid w:val="00607E2B"/>
    <w:rsid w:val="00623CE1"/>
    <w:rsid w:val="00626923"/>
    <w:rsid w:val="0063062B"/>
    <w:rsid w:val="00634E57"/>
    <w:rsid w:val="00652829"/>
    <w:rsid w:val="00667229"/>
    <w:rsid w:val="00682BE5"/>
    <w:rsid w:val="00687DFE"/>
    <w:rsid w:val="00690FED"/>
    <w:rsid w:val="006939A5"/>
    <w:rsid w:val="006A3691"/>
    <w:rsid w:val="006B5B28"/>
    <w:rsid w:val="006F5792"/>
    <w:rsid w:val="00712451"/>
    <w:rsid w:val="00732F08"/>
    <w:rsid w:val="0074190C"/>
    <w:rsid w:val="0074726E"/>
    <w:rsid w:val="00762576"/>
    <w:rsid w:val="00791060"/>
    <w:rsid w:val="007B5626"/>
    <w:rsid w:val="007C7205"/>
    <w:rsid w:val="007E1BB2"/>
    <w:rsid w:val="007E4AD4"/>
    <w:rsid w:val="007E7868"/>
    <w:rsid w:val="0080461B"/>
    <w:rsid w:val="0080570B"/>
    <w:rsid w:val="008148E1"/>
    <w:rsid w:val="008174F3"/>
    <w:rsid w:val="008319BF"/>
    <w:rsid w:val="00860180"/>
    <w:rsid w:val="00864918"/>
    <w:rsid w:val="0087451E"/>
    <w:rsid w:val="00876DE9"/>
    <w:rsid w:val="00883A25"/>
    <w:rsid w:val="00883A99"/>
    <w:rsid w:val="008C7F63"/>
    <w:rsid w:val="008D0E09"/>
    <w:rsid w:val="008E0B2B"/>
    <w:rsid w:val="008E1D6A"/>
    <w:rsid w:val="00941BD9"/>
    <w:rsid w:val="0094753A"/>
    <w:rsid w:val="0097693B"/>
    <w:rsid w:val="0097772E"/>
    <w:rsid w:val="009904F9"/>
    <w:rsid w:val="00993355"/>
    <w:rsid w:val="009A4A6D"/>
    <w:rsid w:val="009A7739"/>
    <w:rsid w:val="00A13265"/>
    <w:rsid w:val="00A136C8"/>
    <w:rsid w:val="00A35C8B"/>
    <w:rsid w:val="00A71136"/>
    <w:rsid w:val="00A72B25"/>
    <w:rsid w:val="00A749D2"/>
    <w:rsid w:val="00A97FB5"/>
    <w:rsid w:val="00AA474C"/>
    <w:rsid w:val="00AA669C"/>
    <w:rsid w:val="00AB6878"/>
    <w:rsid w:val="00AD7E5F"/>
    <w:rsid w:val="00AE1DA7"/>
    <w:rsid w:val="00B01AA1"/>
    <w:rsid w:val="00B06A83"/>
    <w:rsid w:val="00B17531"/>
    <w:rsid w:val="00B30C81"/>
    <w:rsid w:val="00B46C91"/>
    <w:rsid w:val="00B4793B"/>
    <w:rsid w:val="00B62EB8"/>
    <w:rsid w:val="00B80243"/>
    <w:rsid w:val="00BC727F"/>
    <w:rsid w:val="00BD7E80"/>
    <w:rsid w:val="00BE13C5"/>
    <w:rsid w:val="00BE3A2C"/>
    <w:rsid w:val="00C018D2"/>
    <w:rsid w:val="00C06091"/>
    <w:rsid w:val="00C10D40"/>
    <w:rsid w:val="00C15633"/>
    <w:rsid w:val="00C15799"/>
    <w:rsid w:val="00C27A1C"/>
    <w:rsid w:val="00C357AD"/>
    <w:rsid w:val="00C3598A"/>
    <w:rsid w:val="00C6069C"/>
    <w:rsid w:val="00C64EBE"/>
    <w:rsid w:val="00CD1E58"/>
    <w:rsid w:val="00CD3F5D"/>
    <w:rsid w:val="00CD5431"/>
    <w:rsid w:val="00CD681A"/>
    <w:rsid w:val="00CD7AAF"/>
    <w:rsid w:val="00CF2491"/>
    <w:rsid w:val="00D03131"/>
    <w:rsid w:val="00D06238"/>
    <w:rsid w:val="00D077D0"/>
    <w:rsid w:val="00D1252E"/>
    <w:rsid w:val="00D25227"/>
    <w:rsid w:val="00D57772"/>
    <w:rsid w:val="00D73FAE"/>
    <w:rsid w:val="00D75A4D"/>
    <w:rsid w:val="00D800D1"/>
    <w:rsid w:val="00D80450"/>
    <w:rsid w:val="00D8478B"/>
    <w:rsid w:val="00D86151"/>
    <w:rsid w:val="00D95002"/>
    <w:rsid w:val="00DA7435"/>
    <w:rsid w:val="00DA7595"/>
    <w:rsid w:val="00DB0955"/>
    <w:rsid w:val="00DB0A68"/>
    <w:rsid w:val="00DC43A3"/>
    <w:rsid w:val="00DD5690"/>
    <w:rsid w:val="00DD7C09"/>
    <w:rsid w:val="00E00C4B"/>
    <w:rsid w:val="00E0124F"/>
    <w:rsid w:val="00E05ED8"/>
    <w:rsid w:val="00E673CF"/>
    <w:rsid w:val="00E674D3"/>
    <w:rsid w:val="00E70FD0"/>
    <w:rsid w:val="00E82ED0"/>
    <w:rsid w:val="00E8791E"/>
    <w:rsid w:val="00EC5B2E"/>
    <w:rsid w:val="00EE017D"/>
    <w:rsid w:val="00EE1E2C"/>
    <w:rsid w:val="00EF226E"/>
    <w:rsid w:val="00F14084"/>
    <w:rsid w:val="00F176E8"/>
    <w:rsid w:val="00F22632"/>
    <w:rsid w:val="00F31DE1"/>
    <w:rsid w:val="00F36E67"/>
    <w:rsid w:val="00F5621F"/>
    <w:rsid w:val="00F65FB4"/>
    <w:rsid w:val="00F84067"/>
    <w:rsid w:val="00F915AC"/>
    <w:rsid w:val="00FA460B"/>
    <w:rsid w:val="00FC556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open_compose_win('popup=1&amp;to=daleedwin.hughes%40ties.itu.int&amp;cc=&amp;bcc=&amp;msg=&amp;subject=&amp;thismailbox=INBO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javascript:open_compose_win('popup=1&amp;to=daleedwin.hughes%40ties.itu.int&amp;cc=&amp;bcc=&amp;msg=&amp;subject=&amp;thismailbox=INBO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A344-9EC6-4EE3-83F3-D9C5FDA5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dale</cp:lastModifiedBy>
  <cp:revision>3</cp:revision>
  <cp:lastPrinted>2004-07-28T02:14:00Z</cp:lastPrinted>
  <dcterms:created xsi:type="dcterms:W3CDTF">2012-02-09T09:03:00Z</dcterms:created>
  <dcterms:modified xsi:type="dcterms:W3CDTF">2012-02-09T09:04:00Z</dcterms:modified>
</cp:coreProperties>
</file>