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55A43" w:rsidRDefault="00A749D2" w:rsidP="00A749D2">
      <w:pPr>
        <w:rPr>
          <w:rFonts w:eastAsiaTheme="minorEastAsia" w:hint="eastAsia"/>
          <w:snapToGrid w:val="0"/>
          <w:lang w:eastAsia="ko-KR"/>
        </w:rPr>
      </w:pPr>
      <w:r>
        <w:rPr>
          <w:snapToGrid w:val="0"/>
        </w:rPr>
        <w:t>Date:</w:t>
      </w:r>
      <w:r w:rsidR="00055A43">
        <w:rPr>
          <w:rFonts w:eastAsiaTheme="minorEastAsia" w:hint="eastAsia"/>
          <w:snapToGrid w:val="0"/>
          <w:lang w:eastAsia="ko-KR"/>
        </w:rPr>
        <w:t xml:space="preserve"> 25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E044D6" w:rsidRDefault="00A749D2" w:rsidP="00BA0398">
            <w:pPr>
              <w:rPr>
                <w:rFonts w:eastAsiaTheme="minorEastAsia" w:hint="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</w:t>
            </w:r>
            <w:r w:rsidR="00E044D6">
              <w:rPr>
                <w:rFonts w:eastAsiaTheme="minorEastAsia" w:hint="eastAsia"/>
                <w:lang w:eastAsia="ko-KR"/>
              </w:rPr>
              <w:t>1.14</w:t>
            </w:r>
          </w:p>
          <w:p w:rsidR="00A749D2" w:rsidRDefault="00E044D6" w:rsidP="00E044D6">
            <w:pPr>
              <w:rPr>
                <w:b/>
                <w:bCs/>
                <w:sz w:val="28"/>
              </w:rPr>
            </w:pPr>
            <w:r w:rsidRPr="00676B2C">
              <w:t>to consider requirements for new applications in the radiolocation service and review allocations or regulatory provisions for implementation of the radiolocation service in the range 30</w:t>
            </w:r>
            <w:r w:rsidRPr="00676B2C">
              <w:noBreakHyphen/>
              <w:t xml:space="preserve">300 MHz, in accordance with </w:t>
            </w:r>
            <w:r w:rsidRPr="00676B2C">
              <w:rPr>
                <w:bCs/>
              </w:rPr>
              <w:t>Resolution </w:t>
            </w:r>
            <w:r w:rsidRPr="00676B2C">
              <w:rPr>
                <w:b/>
              </w:rPr>
              <w:t>611 (WRC</w:t>
            </w:r>
            <w:r w:rsidRPr="00676B2C">
              <w:rPr>
                <w:b/>
              </w:rPr>
              <w:noBreakHyphen/>
              <w:t>07)</w:t>
            </w:r>
            <w:r w:rsidRPr="00676B2C"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E044D6">
            <w:r w:rsidRPr="00AE27E9">
              <w:rPr>
                <w:b/>
                <w:bCs/>
              </w:rPr>
              <w:t>Name of the Coordinator</w:t>
            </w:r>
            <w:r w:rsidR="002A521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Jinu UM (umjinu@kca.kr)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Default="00723F48" w:rsidP="00723F48">
            <w:pPr>
              <w:pStyle w:val="a8"/>
              <w:numPr>
                <w:ilvl w:val="0"/>
                <w:numId w:val="21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 allocate RLS to the band 154-156MHz</w:t>
            </w:r>
          </w:p>
          <w:p w:rsidR="00A749D2" w:rsidRPr="00AE27E9" w:rsidRDefault="008F44A6" w:rsidP="00D84B8E">
            <w:pPr>
              <w:pStyle w:val="a8"/>
              <w:numPr>
                <w:ilvl w:val="0"/>
                <w:numId w:val="21"/>
              </w:numPr>
            </w:pPr>
            <w:r w:rsidRPr="00D84B8E">
              <w:rPr>
                <w:rFonts w:eastAsiaTheme="minorEastAsia" w:hint="eastAsia"/>
                <w:lang w:eastAsia="ko-KR"/>
              </w:rPr>
              <w:t>Protection Criteria</w:t>
            </w:r>
            <w:r w:rsidR="00D84B8E" w:rsidRPr="00D84B8E">
              <w:rPr>
                <w:rFonts w:eastAsiaTheme="minorEastAsia" w:hint="eastAsia"/>
                <w:lang w:eastAsia="ko-KR"/>
              </w:rPr>
              <w:t xml:space="preserve"> for Region 3 countries.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lang w:eastAsia="ko-KR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055A43" w:rsidRDefault="00055A43" w:rsidP="00055A43">
            <w:pPr>
              <w:pStyle w:val="a8"/>
              <w:numPr>
                <w:ilvl w:val="0"/>
                <w:numId w:val="18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ASP/26A14/1 : No change to the current Radio Regulation (Method D)</w:t>
            </w:r>
          </w:p>
          <w:p w:rsidR="00A749D2" w:rsidRPr="00AE27E9" w:rsidRDefault="00055A43" w:rsidP="00E044D6">
            <w:pPr>
              <w:pStyle w:val="a8"/>
              <w:numPr>
                <w:ilvl w:val="0"/>
                <w:numId w:val="18"/>
              </w:numPr>
            </w:pPr>
            <w:r w:rsidRPr="00E044D6">
              <w:rPr>
                <w:rFonts w:eastAsiaTheme="minorEastAsia" w:hint="eastAsia"/>
                <w:lang w:eastAsia="ko-KR"/>
              </w:rPr>
              <w:t xml:space="preserve">ASP/26A14/2 : Suppress Resolution </w:t>
            </w:r>
            <w:r w:rsidRPr="00E044D6">
              <w:rPr>
                <w:rFonts w:eastAsiaTheme="minorEastAsia" w:hint="eastAsia"/>
                <w:b/>
                <w:lang w:eastAsia="ko-KR"/>
              </w:rPr>
              <w:t>611 (WRC-07)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E044D6" w:rsidP="00055A43">
            <w:pPr>
              <w:pStyle w:val="a8"/>
              <w:numPr>
                <w:ilvl w:val="0"/>
                <w:numId w:val="17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Presented at </w:t>
            </w:r>
            <w:r w:rsidR="006F7EF4">
              <w:rPr>
                <w:rFonts w:eastAsiaTheme="minorEastAsia" w:hint="eastAsia"/>
                <w:lang w:eastAsia="ko-KR"/>
              </w:rPr>
              <w:t xml:space="preserve">the first plenary of </w:t>
            </w:r>
            <w:r>
              <w:rPr>
                <w:rFonts w:eastAsiaTheme="minorEastAsia" w:hint="eastAsia"/>
                <w:lang w:eastAsia="ko-KR"/>
              </w:rPr>
              <w:t>WG</w:t>
            </w:r>
            <w:r w:rsidR="006F7EF4">
              <w:rPr>
                <w:rFonts w:eastAsiaTheme="minorEastAsia" w:hint="eastAsia"/>
                <w:lang w:eastAsia="ko-KR"/>
              </w:rPr>
              <w:t>4A</w:t>
            </w:r>
            <w:r w:rsidR="00223A73">
              <w:rPr>
                <w:rFonts w:eastAsiaTheme="minorEastAsia" w:hint="eastAsia"/>
                <w:lang w:eastAsia="ko-KR"/>
              </w:rPr>
              <w:t xml:space="preserve"> (Method D : No change to the RR)</w:t>
            </w:r>
          </w:p>
          <w:p w:rsidR="005578E1" w:rsidRPr="005578E1" w:rsidRDefault="00E46487" w:rsidP="00E46487">
            <w:pPr>
              <w:pStyle w:val="a8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eastAsiaTheme="minorEastAsia" w:hint="eastAsia"/>
                <w:lang w:eastAsia="ko-KR"/>
              </w:rPr>
              <w:t xml:space="preserve">As a compromise by the chairman of SWG4A1, </w:t>
            </w:r>
            <w:r w:rsidR="002A5215">
              <w:rPr>
                <w:rFonts w:eastAsiaTheme="minorEastAsia" w:hint="eastAsia"/>
                <w:lang w:eastAsia="ko-KR"/>
              </w:rPr>
              <w:t xml:space="preserve">Method C which calls for a primary allocation </w:t>
            </w:r>
            <w:r w:rsidR="00D84B8E">
              <w:rPr>
                <w:rFonts w:eastAsiaTheme="minorEastAsia" w:hint="eastAsia"/>
                <w:lang w:eastAsia="ko-KR"/>
              </w:rPr>
              <w:t xml:space="preserve">to the RLS </w:t>
            </w:r>
            <w:r w:rsidR="00723F48">
              <w:rPr>
                <w:rFonts w:eastAsiaTheme="minorEastAsia" w:hint="eastAsia"/>
                <w:lang w:eastAsia="ko-KR"/>
              </w:rPr>
              <w:t xml:space="preserve">through a footnote </w:t>
            </w:r>
            <w:r w:rsidR="002A5215">
              <w:rPr>
                <w:rFonts w:eastAsiaTheme="minorEastAsia" w:hint="eastAsia"/>
                <w:lang w:eastAsia="ko-KR"/>
              </w:rPr>
              <w:t>with a list of countries in the frequency band 154-156 MHz is under consideration.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474D8E" w:rsidRDefault="005578E1" w:rsidP="00E044D6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 xml:space="preserve">Method C has option 1 and option 2. </w:t>
            </w:r>
          </w:p>
          <w:p w:rsidR="00474D8E" w:rsidRDefault="00474D8E" w:rsidP="00E044D6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 w:rsidRPr="00474D8E">
              <w:rPr>
                <w:rFonts w:eastAsiaTheme="minorEastAsia"/>
                <w:bCs/>
                <w:lang w:eastAsia="ko-KR"/>
              </w:rPr>
              <w:t>Option 2 of Method C was proposed by APT at the CPM-11 mee</w:t>
            </w:r>
            <w:r>
              <w:rPr>
                <w:rFonts w:eastAsiaTheme="minorEastAsia"/>
                <w:bCs/>
                <w:lang w:eastAsia="ko-KR"/>
              </w:rPr>
              <w:t>ting.</w:t>
            </w:r>
          </w:p>
          <w:p w:rsidR="005578E1" w:rsidRDefault="005578E1" w:rsidP="00E044D6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/>
                <w:bCs/>
                <w:lang w:eastAsia="ko-KR"/>
              </w:rPr>
              <w:t>Protection criteria in option 1 are</w:t>
            </w:r>
            <w:r>
              <w:rPr>
                <w:rFonts w:eastAsiaTheme="minorEastAsia" w:hint="eastAsia"/>
                <w:bCs/>
                <w:lang w:eastAsia="ko-KR"/>
              </w:rPr>
              <w:t xml:space="preserve"> based on </w:t>
            </w:r>
            <w:r w:rsidRPr="00474D8E">
              <w:rPr>
                <w:rFonts w:eastAsiaTheme="minorEastAsia"/>
                <w:b/>
                <w:bCs/>
                <w:lang w:eastAsia="ko-KR"/>
              </w:rPr>
              <w:t>CEPT Recommendation T/R 25-08</w:t>
            </w:r>
            <w:r w:rsidR="00474D8E">
              <w:rPr>
                <w:rFonts w:eastAsiaTheme="minorEastAsia" w:hint="eastAsia"/>
                <w:bCs/>
                <w:lang w:eastAsia="ko-KR"/>
              </w:rPr>
              <w:t xml:space="preserve"> </w:t>
            </w:r>
            <w:r w:rsidR="0020477F">
              <w:rPr>
                <w:rFonts w:eastAsiaTheme="minorEastAsia" w:hint="eastAsia"/>
                <w:bCs/>
                <w:lang w:eastAsia="ko-KR"/>
              </w:rPr>
              <w:t xml:space="preserve">electric </w:t>
            </w:r>
            <w:r>
              <w:rPr>
                <w:rFonts w:eastAsiaTheme="minorEastAsia" w:hint="eastAsia"/>
                <w:bCs/>
                <w:lang w:eastAsia="ko-KR"/>
              </w:rPr>
              <w:t xml:space="preserve">field strength which is used in many countries in region 1. </w:t>
            </w:r>
            <w:r w:rsidR="00474D8E">
              <w:rPr>
                <w:rFonts w:eastAsiaTheme="minorEastAsia" w:hint="eastAsia"/>
                <w:bCs/>
                <w:lang w:eastAsia="ko-KR"/>
              </w:rPr>
              <w:t>(</w:t>
            </w:r>
            <w:r w:rsidR="00474D8E" w:rsidRPr="00474D8E">
              <w:rPr>
                <w:rFonts w:eastAsiaTheme="minorEastAsia"/>
                <w:bCs/>
                <w:lang w:eastAsia="ko-KR"/>
              </w:rPr>
              <w:t>12 dB(µV/m)</w:t>
            </w:r>
            <w:r w:rsidR="00474D8E">
              <w:rPr>
                <w:rFonts w:eastAsiaTheme="minorEastAsia" w:hint="eastAsia"/>
                <w:bCs/>
                <w:lang w:eastAsia="ko-KR"/>
              </w:rPr>
              <w:t>)</w:t>
            </w:r>
          </w:p>
          <w:p w:rsidR="005578E1" w:rsidRDefault="00474D8E" w:rsidP="00E044D6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 xml:space="preserve">Protection </w:t>
            </w:r>
            <w:r w:rsidR="0031169A">
              <w:rPr>
                <w:rFonts w:eastAsiaTheme="minorEastAsia" w:hint="eastAsia"/>
                <w:bCs/>
                <w:lang w:eastAsia="ko-KR"/>
              </w:rPr>
              <w:t>c</w:t>
            </w:r>
            <w:r>
              <w:rPr>
                <w:rFonts w:eastAsiaTheme="minorEastAsia" w:hint="eastAsia"/>
                <w:bCs/>
                <w:lang w:eastAsia="ko-KR"/>
              </w:rPr>
              <w:t xml:space="preserve">riteria in option 2 are based on </w:t>
            </w:r>
            <w:r w:rsidR="0020477F">
              <w:rPr>
                <w:rFonts w:eastAsiaTheme="minorEastAsia"/>
                <w:b/>
                <w:bCs/>
                <w:lang w:eastAsia="ko-KR"/>
              </w:rPr>
              <w:t>Recommendation ITU</w:t>
            </w:r>
            <w:r w:rsidR="0020477F">
              <w:rPr>
                <w:rFonts w:eastAsiaTheme="minorEastAsia" w:hint="eastAsia"/>
                <w:b/>
                <w:bCs/>
                <w:lang w:eastAsia="ko-KR"/>
              </w:rPr>
              <w:t>-</w:t>
            </w:r>
            <w:r w:rsidRPr="00474D8E">
              <w:rPr>
                <w:rFonts w:eastAsiaTheme="minorEastAsia"/>
                <w:b/>
                <w:bCs/>
                <w:lang w:eastAsia="ko-KR"/>
              </w:rPr>
              <w:t>R M.1808</w:t>
            </w:r>
            <w:r>
              <w:rPr>
                <w:rFonts w:eastAsiaTheme="minorEastAsia" w:hint="eastAsia"/>
                <w:bCs/>
                <w:lang w:eastAsia="ko-KR"/>
              </w:rPr>
              <w:t xml:space="preserve"> </w:t>
            </w:r>
            <w:r w:rsidRPr="00474D8E">
              <w:rPr>
                <w:rFonts w:eastAsiaTheme="minorEastAsia"/>
                <w:bCs/>
                <w:lang w:eastAsia="ko-KR"/>
              </w:rPr>
              <w:t>interference-to-noise ratio (I/N) of −6 dB</w:t>
            </w:r>
            <w:r>
              <w:rPr>
                <w:rFonts w:eastAsiaTheme="minorEastAsia" w:hint="eastAsia"/>
                <w:bCs/>
                <w:lang w:eastAsia="ko-KR"/>
              </w:rPr>
              <w:t>. (-19.</w:t>
            </w:r>
            <w:r w:rsidRPr="00474D8E">
              <w:rPr>
                <w:rFonts w:eastAsiaTheme="minorEastAsia"/>
                <w:bCs/>
                <w:lang w:eastAsia="ko-KR"/>
              </w:rPr>
              <w:t>2 dB(µV/m)</w:t>
            </w:r>
          </w:p>
          <w:p w:rsidR="0031169A" w:rsidRPr="0031169A" w:rsidRDefault="00474D8E" w:rsidP="00E46487">
            <w:pPr>
              <w:pStyle w:val="a8"/>
              <w:numPr>
                <w:ilvl w:val="0"/>
                <w:numId w:val="19"/>
              </w:numPr>
              <w:rPr>
                <w:rFonts w:eastAsiaTheme="minorEastAsia"/>
                <w:bCs/>
                <w:lang w:eastAsia="ko-KR"/>
              </w:rPr>
            </w:pPr>
            <w:r w:rsidRPr="00474D8E">
              <w:rPr>
                <w:rFonts w:eastAsiaTheme="minorEastAsia"/>
                <w:bCs/>
                <w:lang w:eastAsia="ko-KR"/>
              </w:rPr>
              <w:t>The</w:t>
            </w:r>
            <w:r w:rsidR="0031169A">
              <w:rPr>
                <w:rFonts w:eastAsiaTheme="minorEastAsia" w:hint="eastAsia"/>
                <w:bCs/>
                <w:lang w:eastAsia="ko-KR"/>
              </w:rPr>
              <w:t xml:space="preserve">re is </w:t>
            </w:r>
            <w:r w:rsidRPr="00474D8E">
              <w:rPr>
                <w:rFonts w:eastAsiaTheme="minorEastAsia"/>
                <w:bCs/>
                <w:lang w:eastAsia="ko-KR"/>
              </w:rPr>
              <w:t xml:space="preserve">large difference, more than 20 dB, between electric field strength of 12 dB (μV/m) and converted one from I/N in protection criteria depending on land mobile systems. </w:t>
            </w:r>
          </w:p>
          <w:p w:rsidR="00E46487" w:rsidRDefault="00474D8E" w:rsidP="00474D8E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 w:rsidRPr="00474D8E">
              <w:rPr>
                <w:rFonts w:eastAsiaTheme="minorEastAsia"/>
                <w:bCs/>
                <w:lang w:eastAsia="ko-KR"/>
              </w:rPr>
              <w:t xml:space="preserve">The protection criteria of 12 dB (μV/m) does not seem to provide adequate protection for existing and future mobile systems in Region 3. </w:t>
            </w:r>
          </w:p>
          <w:p w:rsidR="00474D8E" w:rsidRDefault="00E46487" w:rsidP="00474D8E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 xml:space="preserve">Option 2 should be applied </w:t>
            </w:r>
            <w:r w:rsidR="00474D8E" w:rsidRPr="00474D8E">
              <w:rPr>
                <w:rFonts w:eastAsiaTheme="minorEastAsia"/>
                <w:bCs/>
                <w:lang w:eastAsia="ko-KR"/>
              </w:rPr>
              <w:t>for identification of potentially affected administrations in Region 3</w:t>
            </w:r>
          </w:p>
          <w:p w:rsidR="00A749D2" w:rsidRPr="00474D8E" w:rsidRDefault="0031169A" w:rsidP="0031169A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From Region 3 countries, </w:t>
            </w:r>
            <w:r w:rsidRPr="00034839">
              <w:rPr>
                <w:rFonts w:eastAsiaTheme="minorEastAsia" w:hint="eastAsia"/>
                <w:b/>
                <w:lang w:eastAsia="ko-KR"/>
              </w:rPr>
              <w:t>China</w:t>
            </w:r>
            <w:r w:rsidRPr="005578E1">
              <w:rPr>
                <w:rFonts w:eastAsiaTheme="minorEastAsia" w:hint="eastAsia"/>
                <w:lang w:eastAsia="ko-KR"/>
              </w:rPr>
              <w:t xml:space="preserve"> and </w:t>
            </w:r>
            <w:r w:rsidRPr="00034839">
              <w:rPr>
                <w:rFonts w:eastAsiaTheme="minorEastAsia" w:hint="eastAsia"/>
                <w:b/>
                <w:lang w:eastAsia="ko-KR"/>
              </w:rPr>
              <w:t>Iran</w:t>
            </w:r>
            <w:r>
              <w:rPr>
                <w:rFonts w:eastAsiaTheme="minorEastAsia" w:hint="eastAsia"/>
                <w:lang w:eastAsia="ko-KR"/>
              </w:rPr>
              <w:t xml:space="preserve"> proposed to be put in the list in the footnote.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41AAB" w:rsidRDefault="00223A73" w:rsidP="00641AAB">
            <w:pPr>
              <w:pStyle w:val="a8"/>
              <w:numPr>
                <w:ilvl w:val="0"/>
                <w:numId w:val="20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Need to confirm APT position on </w:t>
            </w:r>
            <w:r w:rsidR="00967151">
              <w:rPr>
                <w:rFonts w:eastAsiaTheme="minorEastAsia" w:hint="eastAsia"/>
                <w:lang w:eastAsia="ko-KR"/>
              </w:rPr>
              <w:t>Method C option 2</w:t>
            </w:r>
            <w:r>
              <w:rPr>
                <w:rFonts w:eastAsiaTheme="minorEastAsia" w:hint="eastAsia"/>
                <w:lang w:eastAsia="ko-KR"/>
              </w:rPr>
              <w:t>.</w:t>
            </w:r>
          </w:p>
          <w:p w:rsidR="00A749D2" w:rsidRPr="00AE27E9" w:rsidRDefault="00D84B8E" w:rsidP="00223A73">
            <w:pPr>
              <w:pStyle w:val="a8"/>
              <w:numPr>
                <w:ilvl w:val="0"/>
                <w:numId w:val="20"/>
              </w:numPr>
            </w:pPr>
            <w:r>
              <w:rPr>
                <w:rFonts w:eastAsiaTheme="minorEastAsia" w:hint="eastAsia"/>
                <w:lang w:eastAsia="ko-KR"/>
              </w:rPr>
              <w:t xml:space="preserve">Need to confirm APT position on </w:t>
            </w:r>
            <w:r w:rsidR="00967151" w:rsidRPr="00034839">
              <w:rPr>
                <w:rFonts w:eastAsiaTheme="minorEastAsia" w:hint="eastAsia"/>
                <w:b/>
                <w:lang w:eastAsia="ko-KR"/>
              </w:rPr>
              <w:t>China</w:t>
            </w:r>
            <w:r w:rsidR="00967151" w:rsidRPr="008F44A6">
              <w:rPr>
                <w:rFonts w:eastAsiaTheme="minorEastAsia" w:hint="eastAsia"/>
                <w:lang w:eastAsia="ko-KR"/>
              </w:rPr>
              <w:t xml:space="preserve"> and </w:t>
            </w:r>
            <w:r w:rsidR="00967151" w:rsidRPr="00034839">
              <w:rPr>
                <w:rFonts w:eastAsiaTheme="minorEastAsia" w:hint="eastAsia"/>
                <w:b/>
                <w:lang w:eastAsia="ko-KR"/>
              </w:rPr>
              <w:t>Iran</w:t>
            </w:r>
            <w:r w:rsidR="00967151" w:rsidRPr="008F44A6">
              <w:rPr>
                <w:rFonts w:eastAsiaTheme="minorEastAsia" w:hint="eastAsia"/>
                <w:lang w:eastAsia="ko-KR"/>
              </w:rPr>
              <w:t xml:space="preserve"> going into the </w:t>
            </w:r>
            <w:r>
              <w:rPr>
                <w:rFonts w:eastAsiaTheme="minorEastAsia" w:hint="eastAsia"/>
                <w:lang w:eastAsia="ko-KR"/>
              </w:rPr>
              <w:t>list of countries in the footnote for primary allocation to RLS</w:t>
            </w:r>
            <w:r w:rsidR="00223A73">
              <w:rPr>
                <w:rFonts w:eastAsiaTheme="minorEastAsia" w:hint="eastAsia"/>
                <w:lang w:eastAsia="ko-KR"/>
              </w:rPr>
              <w:t>.</w:t>
            </w: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3A" w:rsidRDefault="00F9463A">
      <w:r>
        <w:separator/>
      </w:r>
    </w:p>
  </w:endnote>
  <w:endnote w:type="continuationSeparator" w:id="0">
    <w:p w:rsidR="00F9463A" w:rsidRDefault="00F9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1745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91745B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91745B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91745B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91745B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91745B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91745B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E12406" w:rsidRDefault="0097693B" w:rsidP="00E12406">
          <w:pPr>
            <w:rPr>
              <w:rFonts w:eastAsiaTheme="minorEastAsia" w:hint="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E12406">
            <w:rPr>
              <w:rFonts w:eastAsiaTheme="minorEastAsia" w:hint="eastAsia"/>
              <w:b/>
              <w:bCs/>
              <w:lang w:eastAsia="ko-KR"/>
            </w:rPr>
            <w:t xml:space="preserve"> Mr.</w:t>
          </w:r>
        </w:p>
        <w:p w:rsidR="0097693B" w:rsidRPr="00E12406" w:rsidRDefault="00E12406" w:rsidP="00E12406">
          <w:pPr>
            <w:rPr>
              <w:rFonts w:eastAsiaTheme="minorEastAsia" w:hint="eastAsia"/>
              <w:b/>
              <w:bCs/>
              <w:lang w:eastAsia="ko-KR"/>
            </w:rPr>
          </w:pPr>
          <w:r>
            <w:rPr>
              <w:rFonts w:eastAsiaTheme="minorEastAsia" w:hint="eastAsia"/>
              <w:b/>
              <w:bCs/>
              <w:lang w:eastAsia="ko-KR"/>
            </w:rPr>
            <w:t xml:space="preserve">Jinu UM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E12406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 w:hint="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12406" w:rsidRDefault="0097693B" w:rsidP="00634E57">
          <w:pPr>
            <w:rPr>
              <w:rFonts w:eastAsiaTheme="minorEastAsia"/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12406">
            <w:rPr>
              <w:rFonts w:eastAsiaTheme="minorEastAsia" w:hint="eastAsia"/>
              <w:lang w:eastAsia="ko-KR"/>
            </w:rPr>
            <w:t>umjinu@kca.kr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3A" w:rsidRDefault="00F9463A">
      <w:r>
        <w:separator/>
      </w:r>
    </w:p>
  </w:footnote>
  <w:footnote w:type="continuationSeparator" w:id="0">
    <w:p w:rsidR="00F9463A" w:rsidRDefault="00F9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C"/>
    <w:multiLevelType w:val="hybridMultilevel"/>
    <w:tmpl w:val="5F52596C"/>
    <w:lvl w:ilvl="0" w:tplc="2D26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12572E6"/>
    <w:multiLevelType w:val="hybridMultilevel"/>
    <w:tmpl w:val="EBDE62D2"/>
    <w:lvl w:ilvl="0" w:tplc="B170A024">
      <w:start w:val="1"/>
      <w:numFmt w:val="decimal"/>
      <w:lvlText w:val="%1."/>
      <w:lvlJc w:val="left"/>
      <w:pPr>
        <w:ind w:left="760" w:hanging="360"/>
      </w:pPr>
      <w:rPr>
        <w:rFonts w:eastAsia="바탕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3B6972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48F4A73"/>
    <w:multiLevelType w:val="hybridMultilevel"/>
    <w:tmpl w:val="72EEA460"/>
    <w:lvl w:ilvl="0" w:tplc="81AC0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460FD"/>
    <w:multiLevelType w:val="hybridMultilevel"/>
    <w:tmpl w:val="1112441E"/>
    <w:lvl w:ilvl="0" w:tplc="DC10F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2"/>
  </w:num>
  <w:num w:numId="18">
    <w:abstractNumId w:val="0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4839"/>
    <w:rsid w:val="0003595B"/>
    <w:rsid w:val="00055A43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4A3E"/>
    <w:rsid w:val="001D5D7E"/>
    <w:rsid w:val="0020477F"/>
    <w:rsid w:val="00223A73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215"/>
    <w:rsid w:val="002B670F"/>
    <w:rsid w:val="002C07DA"/>
    <w:rsid w:val="002C7EA9"/>
    <w:rsid w:val="002E4D53"/>
    <w:rsid w:val="0030452E"/>
    <w:rsid w:val="0031169A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56D8A"/>
    <w:rsid w:val="004633B4"/>
    <w:rsid w:val="00474D8E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578E1"/>
    <w:rsid w:val="00587875"/>
    <w:rsid w:val="005C2C13"/>
    <w:rsid w:val="00607E2B"/>
    <w:rsid w:val="00623CE1"/>
    <w:rsid w:val="00625C67"/>
    <w:rsid w:val="00626923"/>
    <w:rsid w:val="0063062B"/>
    <w:rsid w:val="00634E57"/>
    <w:rsid w:val="00641AAB"/>
    <w:rsid w:val="00667229"/>
    <w:rsid w:val="00682BE5"/>
    <w:rsid w:val="00690FED"/>
    <w:rsid w:val="006939A5"/>
    <w:rsid w:val="006A3691"/>
    <w:rsid w:val="006F5792"/>
    <w:rsid w:val="006F7EF4"/>
    <w:rsid w:val="00712451"/>
    <w:rsid w:val="00723F48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F44A6"/>
    <w:rsid w:val="0091745B"/>
    <w:rsid w:val="00941BD9"/>
    <w:rsid w:val="00967151"/>
    <w:rsid w:val="0097693B"/>
    <w:rsid w:val="009926C3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5F83"/>
    <w:rsid w:val="00CD7AAF"/>
    <w:rsid w:val="00CF2491"/>
    <w:rsid w:val="00D06238"/>
    <w:rsid w:val="00D11BBE"/>
    <w:rsid w:val="00D1252E"/>
    <w:rsid w:val="00D57772"/>
    <w:rsid w:val="00D73FAE"/>
    <w:rsid w:val="00D75A4D"/>
    <w:rsid w:val="00D8478B"/>
    <w:rsid w:val="00D84B8E"/>
    <w:rsid w:val="00D86151"/>
    <w:rsid w:val="00D95002"/>
    <w:rsid w:val="00DA7595"/>
    <w:rsid w:val="00DB0A68"/>
    <w:rsid w:val="00DC43A3"/>
    <w:rsid w:val="00DD7C09"/>
    <w:rsid w:val="00E00C4B"/>
    <w:rsid w:val="00E0124F"/>
    <w:rsid w:val="00E044D6"/>
    <w:rsid w:val="00E05ED8"/>
    <w:rsid w:val="00E12406"/>
    <w:rsid w:val="00E46487"/>
    <w:rsid w:val="00E674D3"/>
    <w:rsid w:val="00E70FD0"/>
    <w:rsid w:val="00E82ED0"/>
    <w:rsid w:val="00E8791E"/>
    <w:rsid w:val="00F65FB4"/>
    <w:rsid w:val="00F82396"/>
    <w:rsid w:val="00F84067"/>
    <w:rsid w:val="00F9463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62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625C6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A757-C4ED-41C1-9DAB-A6FEF5E7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엄진우</cp:lastModifiedBy>
  <cp:revision>2</cp:revision>
  <cp:lastPrinted>2004-07-28T02:14:00Z</cp:lastPrinted>
  <dcterms:created xsi:type="dcterms:W3CDTF">2012-01-26T05:49:00Z</dcterms:created>
  <dcterms:modified xsi:type="dcterms:W3CDTF">2012-01-26T05:49:00Z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