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B1" w:rsidRDefault="00111BB1" w:rsidP="00111BB1">
      <w:pPr>
        <w:jc w:val="center"/>
        <w:rPr>
          <w:b/>
          <w:sz w:val="28"/>
          <w:szCs w:val="28"/>
        </w:rPr>
      </w:pPr>
      <w:r>
        <w:rPr>
          <w:b/>
          <w:bCs/>
          <w:noProof/>
          <w:lang w:bidi="th-TH"/>
        </w:rPr>
        <w:drawing>
          <wp:inline distT="0" distB="0" distL="0" distR="0">
            <wp:extent cx="847725" cy="733425"/>
            <wp:effectExtent l="19050" t="0" r="9525" b="0"/>
            <wp:docPr id="2"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9"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r>
        <w:rPr>
          <w:b/>
          <w:sz w:val="28"/>
          <w:szCs w:val="28"/>
          <w:lang w:eastAsia="ko-KR"/>
        </w:rPr>
        <w:t xml:space="preserve">APT REPORT </w:t>
      </w:r>
    </w:p>
    <w:p w:rsidR="00111BB1" w:rsidRDefault="00111BB1" w:rsidP="00111BB1">
      <w:pPr>
        <w:jc w:val="center"/>
        <w:rPr>
          <w:b/>
          <w:sz w:val="28"/>
          <w:szCs w:val="28"/>
          <w:lang w:eastAsia="ko-KR"/>
        </w:rPr>
      </w:pPr>
    </w:p>
    <w:p w:rsidR="00111BB1" w:rsidRDefault="00111BB1" w:rsidP="00111BB1">
      <w:pPr>
        <w:jc w:val="center"/>
        <w:rPr>
          <w:b/>
          <w:sz w:val="28"/>
          <w:szCs w:val="28"/>
          <w:lang w:eastAsia="ko-KR"/>
        </w:rPr>
      </w:pPr>
      <w:proofErr w:type="gramStart"/>
      <w:r>
        <w:rPr>
          <w:b/>
          <w:sz w:val="28"/>
          <w:szCs w:val="28"/>
          <w:lang w:eastAsia="ko-KR"/>
        </w:rPr>
        <w:t>on</w:t>
      </w:r>
      <w:proofErr w:type="gramEnd"/>
    </w:p>
    <w:p w:rsidR="00111BB1" w:rsidRDefault="00111BB1" w:rsidP="00111BB1">
      <w:pPr>
        <w:jc w:val="center"/>
        <w:rPr>
          <w:b/>
          <w:bCs/>
          <w:caps/>
          <w:sz w:val="28"/>
          <w:szCs w:val="28"/>
        </w:rPr>
      </w:pPr>
      <w:bookmarkStart w:id="0" w:name="dtitle4"/>
    </w:p>
    <w:bookmarkEnd w:id="0"/>
    <w:p w:rsidR="00111BB1" w:rsidRPr="00631E19" w:rsidRDefault="00111BB1" w:rsidP="00111BB1">
      <w:pPr>
        <w:jc w:val="center"/>
        <w:rPr>
          <w:b/>
          <w:sz w:val="28"/>
          <w:lang w:val="en-GB"/>
        </w:rPr>
      </w:pPr>
      <w:r w:rsidRPr="00631E19">
        <w:rPr>
          <w:b/>
          <w:sz w:val="28"/>
          <w:lang w:val="en-GB"/>
        </w:rPr>
        <w:t>STUDIES IN ADDRESSING THE INEFFICIENCY</w:t>
      </w:r>
    </w:p>
    <w:p w:rsidR="00111BB1" w:rsidRPr="00631E19" w:rsidRDefault="00111BB1" w:rsidP="00111BB1">
      <w:pPr>
        <w:jc w:val="center"/>
        <w:rPr>
          <w:b/>
          <w:sz w:val="28"/>
          <w:lang w:val="en-GB"/>
        </w:rPr>
      </w:pPr>
      <w:r w:rsidRPr="00631E19">
        <w:rPr>
          <w:b/>
          <w:sz w:val="28"/>
          <w:lang w:val="en-GB"/>
        </w:rPr>
        <w:t xml:space="preserve">ASSOCIATED WITH THE ASYMMETRY OF EXISTING UNPLANNED FSS UPLINK/DOWNLINK SPECTRUM </w:t>
      </w:r>
    </w:p>
    <w:p w:rsidR="00111BB1" w:rsidRPr="00631E19" w:rsidRDefault="00111BB1" w:rsidP="00111BB1">
      <w:pPr>
        <w:jc w:val="center"/>
        <w:rPr>
          <w:lang w:val="en-GB" w:eastAsia="ko-KR"/>
        </w:rPr>
      </w:pPr>
      <w:r w:rsidRPr="00631E19">
        <w:rPr>
          <w:b/>
          <w:sz w:val="28"/>
          <w:lang w:val="en-GB"/>
        </w:rPr>
        <w:t>IN THE 10-15 GHZ BAND</w:t>
      </w:r>
    </w:p>
    <w:p w:rsidR="00111BB1" w:rsidRDefault="00111BB1" w:rsidP="00111BB1">
      <w:pPr>
        <w:jc w:val="center"/>
        <w:rPr>
          <w:bCs/>
          <w:sz w:val="28"/>
          <w:szCs w:val="28"/>
        </w:rPr>
      </w:pPr>
    </w:p>
    <w:p w:rsidR="00111BB1" w:rsidRDefault="00111BB1" w:rsidP="00111BB1">
      <w:pPr>
        <w:jc w:val="center"/>
        <w:rPr>
          <w:bCs/>
          <w:sz w:val="28"/>
          <w:szCs w:val="28"/>
        </w:rPr>
      </w:pPr>
      <w:r>
        <w:rPr>
          <w:b/>
          <w:sz w:val="28"/>
          <w:szCs w:val="28"/>
        </w:rPr>
        <w:t>No. APT/AWG/REP-45</w:t>
      </w:r>
      <w:r>
        <w:rPr>
          <w:b/>
          <w:bCs/>
          <w:sz w:val="28"/>
          <w:szCs w:val="28"/>
        </w:rPr>
        <w:br/>
      </w:r>
      <w:r>
        <w:rPr>
          <w:bCs/>
          <w:sz w:val="28"/>
          <w:szCs w:val="28"/>
        </w:rPr>
        <w:t>Edition: March 2014</w:t>
      </w: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p>
    <w:p w:rsidR="00111BB1" w:rsidRDefault="00111BB1" w:rsidP="00111BB1">
      <w:pPr>
        <w:jc w:val="center"/>
        <w:rPr>
          <w:b/>
          <w:sz w:val="28"/>
          <w:szCs w:val="28"/>
        </w:rPr>
      </w:pPr>
      <w:r>
        <w:rPr>
          <w:b/>
          <w:sz w:val="28"/>
          <w:szCs w:val="28"/>
        </w:rPr>
        <w:t>Adopted by</w:t>
      </w:r>
    </w:p>
    <w:p w:rsidR="00111BB1" w:rsidRDefault="00111BB1" w:rsidP="00111BB1">
      <w:pPr>
        <w:jc w:val="center"/>
        <w:rPr>
          <w:b/>
          <w:sz w:val="28"/>
          <w:szCs w:val="28"/>
        </w:rPr>
      </w:pPr>
    </w:p>
    <w:p w:rsidR="00111BB1" w:rsidRDefault="00111BB1" w:rsidP="00111BB1">
      <w:pPr>
        <w:jc w:val="center"/>
        <w:rPr>
          <w:b/>
          <w:sz w:val="28"/>
          <w:szCs w:val="28"/>
        </w:rPr>
      </w:pPr>
      <w:r>
        <w:rPr>
          <w:b/>
          <w:sz w:val="28"/>
          <w:szCs w:val="28"/>
        </w:rPr>
        <w:t>16</w:t>
      </w:r>
      <w:r>
        <w:rPr>
          <w:b/>
          <w:sz w:val="28"/>
          <w:szCs w:val="28"/>
          <w:vertAlign w:val="superscript"/>
        </w:rPr>
        <w:t>th</w:t>
      </w:r>
      <w:r>
        <w:rPr>
          <w:b/>
          <w:sz w:val="28"/>
          <w:szCs w:val="28"/>
        </w:rPr>
        <w:t xml:space="preserve"> Meeting of APT Wireless Group</w:t>
      </w:r>
    </w:p>
    <w:p w:rsidR="00111BB1" w:rsidRDefault="00111BB1" w:rsidP="00111BB1">
      <w:pPr>
        <w:jc w:val="center"/>
        <w:rPr>
          <w:b/>
          <w:i/>
          <w:iCs/>
          <w:lang w:val="en-GB" w:eastAsia="ko-KR"/>
        </w:rPr>
      </w:pPr>
      <w:r>
        <w:rPr>
          <w:b/>
          <w:sz w:val="28"/>
          <w:szCs w:val="28"/>
          <w:lang w:val="en-GB" w:eastAsia="ko-KR"/>
        </w:rPr>
        <w:t>18 – 21 March 2014</w:t>
      </w:r>
      <w:r>
        <w:rPr>
          <w:b/>
          <w:sz w:val="28"/>
          <w:szCs w:val="28"/>
          <w:lang w:val="en-GB" w:eastAsia="ko-KR"/>
        </w:rPr>
        <w:br/>
        <w:t>Pattaya, Thailand</w:t>
      </w:r>
      <w:r>
        <w:rPr>
          <w:b/>
          <w:sz w:val="28"/>
          <w:szCs w:val="28"/>
          <w:lang w:val="en-GB" w:eastAsia="ko-KR"/>
        </w:rPr>
        <w:br/>
      </w:r>
    </w:p>
    <w:p w:rsidR="00111BB1" w:rsidRDefault="00111BB1" w:rsidP="00111BB1">
      <w:pPr>
        <w:jc w:val="center"/>
        <w:rPr>
          <w:b/>
          <w:i/>
          <w:iCs/>
          <w:sz w:val="28"/>
          <w:szCs w:val="28"/>
          <w:lang w:val="en-GB" w:eastAsia="ko-KR"/>
        </w:rPr>
      </w:pPr>
      <w:r w:rsidRPr="001C1A4C">
        <w:rPr>
          <w:b/>
          <w:i/>
          <w:iCs/>
          <w:lang w:val="en-GB" w:eastAsia="ko-KR"/>
        </w:rPr>
        <w:t>(Source: AWG-16/OUT-</w:t>
      </w:r>
      <w:r>
        <w:rPr>
          <w:b/>
          <w:i/>
          <w:iCs/>
          <w:lang w:val="en-GB" w:eastAsia="ko-KR"/>
        </w:rPr>
        <w:t>05</w:t>
      </w:r>
      <w:r w:rsidRPr="001C1A4C">
        <w:rPr>
          <w:b/>
          <w:i/>
          <w:iCs/>
          <w:lang w:val="en-GB" w:eastAsia="ko-KR"/>
        </w:rPr>
        <w:t>)</w:t>
      </w:r>
    </w:p>
    <w:p w:rsidR="0045733F" w:rsidRPr="00631E19" w:rsidRDefault="0045733F" w:rsidP="00DA7595">
      <w:pPr>
        <w:jc w:val="center"/>
        <w:rPr>
          <w:b/>
          <w:sz w:val="28"/>
          <w:szCs w:val="28"/>
          <w:lang w:val="en-GB" w:eastAsia="ko-KR"/>
        </w:rPr>
      </w:pPr>
    </w:p>
    <w:p w:rsidR="00111BB1" w:rsidRDefault="00111BB1">
      <w:pPr>
        <w:rPr>
          <w:b/>
          <w:sz w:val="28"/>
          <w:lang w:val="en-GB"/>
        </w:rPr>
      </w:pPr>
      <w:r>
        <w:rPr>
          <w:b/>
          <w:sz w:val="28"/>
          <w:lang w:val="en-GB"/>
        </w:rPr>
        <w:br w:type="page"/>
      </w:r>
    </w:p>
    <w:p w:rsidR="001331B1" w:rsidRPr="00631E19" w:rsidRDefault="006E1A74" w:rsidP="001331B1">
      <w:pPr>
        <w:jc w:val="center"/>
        <w:rPr>
          <w:b/>
          <w:sz w:val="28"/>
          <w:lang w:val="en-GB"/>
        </w:rPr>
      </w:pPr>
      <w:r>
        <w:rPr>
          <w:b/>
          <w:sz w:val="28"/>
          <w:lang w:val="en-GB"/>
        </w:rPr>
        <w:lastRenderedPageBreak/>
        <w:t xml:space="preserve">APT </w:t>
      </w:r>
      <w:r w:rsidR="001331B1" w:rsidRPr="00631E19">
        <w:rPr>
          <w:b/>
          <w:sz w:val="28"/>
          <w:lang w:val="en-GB"/>
        </w:rPr>
        <w:t xml:space="preserve">REPORT </w:t>
      </w:r>
      <w:r w:rsidR="00111BB1">
        <w:rPr>
          <w:b/>
          <w:sz w:val="28"/>
          <w:lang w:val="en-GB"/>
        </w:rPr>
        <w:t>ON</w:t>
      </w:r>
    </w:p>
    <w:p w:rsidR="001331B1" w:rsidRPr="00631E19" w:rsidRDefault="001331B1" w:rsidP="001331B1">
      <w:pPr>
        <w:jc w:val="center"/>
        <w:rPr>
          <w:b/>
          <w:sz w:val="28"/>
          <w:lang w:val="en-GB"/>
        </w:rPr>
      </w:pPr>
      <w:r w:rsidRPr="00631E19">
        <w:rPr>
          <w:b/>
          <w:sz w:val="28"/>
          <w:lang w:val="en-GB"/>
        </w:rPr>
        <w:t>STUDIES IN ADDRESSING THE INEFFICIENCY</w:t>
      </w:r>
    </w:p>
    <w:p w:rsidR="001331B1" w:rsidRPr="00631E19" w:rsidRDefault="001331B1" w:rsidP="001331B1">
      <w:pPr>
        <w:jc w:val="center"/>
        <w:rPr>
          <w:b/>
          <w:sz w:val="28"/>
          <w:lang w:val="en-GB"/>
        </w:rPr>
      </w:pPr>
      <w:r w:rsidRPr="00631E19">
        <w:rPr>
          <w:b/>
          <w:sz w:val="28"/>
          <w:lang w:val="en-GB"/>
        </w:rPr>
        <w:t xml:space="preserve">ASSOCIATED WITH THE ASYMMETRY OF EXISTING UNPLANNED FSS UPLINK/DOWNLINK SPECTRUM </w:t>
      </w:r>
    </w:p>
    <w:p w:rsidR="0094207C" w:rsidRPr="00631E19" w:rsidRDefault="001331B1" w:rsidP="001331B1">
      <w:pPr>
        <w:jc w:val="center"/>
        <w:rPr>
          <w:lang w:val="en-GB" w:eastAsia="ko-KR"/>
        </w:rPr>
      </w:pPr>
      <w:r w:rsidRPr="00631E19">
        <w:rPr>
          <w:b/>
          <w:sz w:val="28"/>
          <w:lang w:val="en-GB"/>
        </w:rPr>
        <w:t>IN THE 10-15 GHZ BAND</w:t>
      </w:r>
    </w:p>
    <w:p w:rsidR="001331B1" w:rsidRPr="00631E19" w:rsidRDefault="001331B1" w:rsidP="0094207C">
      <w:pPr>
        <w:jc w:val="center"/>
        <w:rPr>
          <w:lang w:val="en-GB" w:eastAsia="ko-KR"/>
        </w:rPr>
      </w:pPr>
    </w:p>
    <w:p w:rsidR="0094207C" w:rsidRPr="00631E19" w:rsidRDefault="0094207C" w:rsidP="0094207C">
      <w:pPr>
        <w:rPr>
          <w:lang w:val="en-GB"/>
        </w:rPr>
      </w:pPr>
    </w:p>
    <w:p w:rsidR="0094207C" w:rsidRPr="00631E19" w:rsidRDefault="0094207C" w:rsidP="0094207C">
      <w:pPr>
        <w:numPr>
          <w:ilvl w:val="0"/>
          <w:numId w:val="14"/>
        </w:numPr>
        <w:ind w:left="426" w:hanging="426"/>
        <w:rPr>
          <w:b/>
          <w:lang w:val="en-GB"/>
        </w:rPr>
      </w:pPr>
      <w:r w:rsidRPr="00631E19">
        <w:rPr>
          <w:b/>
          <w:lang w:val="en-GB"/>
        </w:rPr>
        <w:t xml:space="preserve">Background </w:t>
      </w:r>
    </w:p>
    <w:p w:rsidR="0094207C" w:rsidRPr="00631E19" w:rsidRDefault="0094207C" w:rsidP="0094207C">
      <w:pPr>
        <w:rPr>
          <w:b/>
          <w:u w:val="single"/>
          <w:lang w:val="en-GB"/>
        </w:rPr>
      </w:pPr>
    </w:p>
    <w:p w:rsidR="0094207C" w:rsidRPr="00631E19" w:rsidRDefault="0094207C" w:rsidP="0094207C">
      <w:pPr>
        <w:rPr>
          <w:lang w:val="en-GB"/>
        </w:rPr>
      </w:pPr>
      <w:r w:rsidRPr="00631E19">
        <w:rPr>
          <w:lang w:val="en-GB"/>
        </w:rPr>
        <w:t>In ITU Region 3 (Asia Pacific Region), there is only 750 MHz in the 10-15 GHz band for use by unplanned Fixed-Satellite Services (FSS) in the uplink (Earth-to-space</w:t>
      </w:r>
      <w:r w:rsidR="00C83562" w:rsidRPr="00631E19">
        <w:rPr>
          <w:lang w:val="en-GB"/>
        </w:rPr>
        <w:t>)</w:t>
      </w:r>
      <w:r w:rsidRPr="00631E19">
        <w:rPr>
          <w:lang w:val="en-GB"/>
        </w:rPr>
        <w:t xml:space="preserve"> direction, while the downlink (space-to-Earth</w:t>
      </w:r>
      <w:r w:rsidR="00C83562" w:rsidRPr="00631E19">
        <w:rPr>
          <w:lang w:val="en-GB"/>
        </w:rPr>
        <w:t>)</w:t>
      </w:r>
      <w:r w:rsidRPr="00631E19">
        <w:rPr>
          <w:lang w:val="en-GB"/>
        </w:rPr>
        <w:t xml:space="preserve"> direction enjoys 1.05 GHz of spectrum. Table 1 describes the asymmetry of existing unplanned FSS uplink/downlink spectrum in the 10-15 GHz band and indicates a spectrum shortfall in the uplink of 300 MHz in </w:t>
      </w:r>
      <w:r w:rsidR="00C83562" w:rsidRPr="00631E19">
        <w:rPr>
          <w:lang w:val="en-GB"/>
        </w:rPr>
        <w:t xml:space="preserve">ITU </w:t>
      </w:r>
      <w:r w:rsidRPr="00631E19">
        <w:rPr>
          <w:lang w:val="en-GB"/>
        </w:rPr>
        <w:t>Region 3.</w:t>
      </w:r>
    </w:p>
    <w:p w:rsidR="0094207C" w:rsidRPr="00631E19" w:rsidRDefault="0094207C" w:rsidP="0094207C">
      <w:pPr>
        <w:rPr>
          <w:lang w:val="en-GB"/>
        </w:rPr>
      </w:pPr>
    </w:p>
    <w:p w:rsidR="0094207C" w:rsidRPr="00631E19" w:rsidRDefault="0094207C" w:rsidP="0094207C">
      <w:pPr>
        <w:jc w:val="center"/>
        <w:rPr>
          <w:b/>
          <w:bCs/>
          <w:lang w:val="en-GB"/>
        </w:rPr>
      </w:pPr>
      <w:r w:rsidRPr="00631E19">
        <w:rPr>
          <w:b/>
          <w:bCs/>
          <w:lang w:val="en-GB"/>
        </w:rPr>
        <w:t>Table 1: The unplanned FSS bands in ITU Region 3 in the 10-15 GHz range</w:t>
      </w: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2271"/>
      </w:tblGrid>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head"/>
              <w:rPr>
                <w:sz w:val="24"/>
                <w:szCs w:val="24"/>
              </w:rPr>
            </w:pPr>
            <w:r w:rsidRPr="00631E19">
              <w:rPr>
                <w:sz w:val="24"/>
                <w:szCs w:val="24"/>
              </w:rPr>
              <w:t>Frequency bands (GHz)</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head"/>
              <w:rPr>
                <w:sz w:val="24"/>
                <w:szCs w:val="24"/>
              </w:rPr>
            </w:pPr>
            <w:r w:rsidRPr="00631E19">
              <w:rPr>
                <w:sz w:val="24"/>
                <w:szCs w:val="24"/>
              </w:rPr>
              <w:t>Bandwidth (MHz)</w:t>
            </w:r>
          </w:p>
        </w:tc>
      </w:tr>
      <w:tr w:rsidR="0094207C" w:rsidRPr="00631E19" w:rsidTr="00CD7469">
        <w:trPr>
          <w:jc w:val="center"/>
        </w:trPr>
        <w:tc>
          <w:tcPr>
            <w:tcW w:w="6269" w:type="dxa"/>
            <w:gridSpan w:val="2"/>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b/>
                <w:sz w:val="24"/>
                <w:szCs w:val="24"/>
              </w:rPr>
            </w:pPr>
            <w:r w:rsidRPr="00631E19">
              <w:rPr>
                <w:b/>
                <w:sz w:val="24"/>
                <w:szCs w:val="24"/>
              </w:rPr>
              <w:t>Earth-to-space Direction (Uplink)</w:t>
            </w:r>
          </w:p>
        </w:tc>
      </w:tr>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sz w:val="24"/>
                <w:szCs w:val="24"/>
              </w:rPr>
            </w:pPr>
            <w:r w:rsidRPr="00631E19">
              <w:rPr>
                <w:sz w:val="24"/>
                <w:szCs w:val="24"/>
              </w:rPr>
              <w:t>13.75-14.5</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jc w:val="center"/>
              <w:rPr>
                <w:sz w:val="24"/>
                <w:szCs w:val="24"/>
              </w:rPr>
            </w:pPr>
            <w:r w:rsidRPr="00631E19">
              <w:rPr>
                <w:sz w:val="24"/>
                <w:szCs w:val="24"/>
              </w:rPr>
              <w:t>750</w:t>
            </w:r>
          </w:p>
        </w:tc>
      </w:tr>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b/>
                <w:bCs/>
                <w:sz w:val="24"/>
                <w:szCs w:val="24"/>
              </w:rPr>
            </w:pPr>
            <w:r w:rsidRPr="00631E19">
              <w:rPr>
                <w:b/>
                <w:bCs/>
                <w:sz w:val="24"/>
                <w:szCs w:val="24"/>
              </w:rPr>
              <w:t>Total spectrum in the uplink</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jc w:val="center"/>
              <w:rPr>
                <w:b/>
                <w:bCs/>
                <w:sz w:val="24"/>
                <w:szCs w:val="24"/>
              </w:rPr>
            </w:pPr>
            <w:r w:rsidRPr="00631E19">
              <w:rPr>
                <w:b/>
                <w:bCs/>
                <w:sz w:val="24"/>
                <w:szCs w:val="24"/>
              </w:rPr>
              <w:t>750</w:t>
            </w:r>
          </w:p>
        </w:tc>
      </w:tr>
      <w:tr w:rsidR="0094207C" w:rsidRPr="00631E19" w:rsidTr="00CD7469">
        <w:trPr>
          <w:jc w:val="center"/>
        </w:trPr>
        <w:tc>
          <w:tcPr>
            <w:tcW w:w="6269" w:type="dxa"/>
            <w:gridSpan w:val="2"/>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b/>
                <w:sz w:val="24"/>
                <w:szCs w:val="24"/>
              </w:rPr>
            </w:pPr>
            <w:r w:rsidRPr="00631E19">
              <w:rPr>
                <w:b/>
                <w:sz w:val="24"/>
                <w:szCs w:val="24"/>
              </w:rPr>
              <w:t>space-to-Earth Direction (Downlink)</w:t>
            </w:r>
          </w:p>
        </w:tc>
      </w:tr>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sz w:val="24"/>
                <w:szCs w:val="24"/>
              </w:rPr>
            </w:pPr>
            <w:r w:rsidRPr="00631E19">
              <w:rPr>
                <w:sz w:val="24"/>
                <w:szCs w:val="24"/>
              </w:rPr>
              <w:t>10.95-11.2</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jc w:val="center"/>
              <w:rPr>
                <w:sz w:val="24"/>
                <w:szCs w:val="24"/>
              </w:rPr>
            </w:pPr>
            <w:r w:rsidRPr="00631E19">
              <w:rPr>
                <w:sz w:val="24"/>
                <w:szCs w:val="24"/>
              </w:rPr>
              <w:t>250</w:t>
            </w:r>
          </w:p>
        </w:tc>
      </w:tr>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sz w:val="24"/>
                <w:szCs w:val="24"/>
              </w:rPr>
            </w:pPr>
            <w:r w:rsidRPr="00631E19">
              <w:rPr>
                <w:sz w:val="24"/>
                <w:szCs w:val="24"/>
              </w:rPr>
              <w:t>11.45-11.7</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jc w:val="center"/>
              <w:rPr>
                <w:sz w:val="24"/>
                <w:szCs w:val="24"/>
              </w:rPr>
            </w:pPr>
            <w:r w:rsidRPr="00631E19">
              <w:rPr>
                <w:sz w:val="24"/>
                <w:szCs w:val="24"/>
              </w:rPr>
              <w:t>250</w:t>
            </w:r>
          </w:p>
        </w:tc>
      </w:tr>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sz w:val="24"/>
                <w:szCs w:val="24"/>
              </w:rPr>
            </w:pPr>
            <w:r w:rsidRPr="00631E19">
              <w:rPr>
                <w:sz w:val="24"/>
                <w:szCs w:val="24"/>
              </w:rPr>
              <w:t>12.2-12.75</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jc w:val="center"/>
              <w:rPr>
                <w:sz w:val="24"/>
                <w:szCs w:val="24"/>
              </w:rPr>
            </w:pPr>
            <w:r w:rsidRPr="00631E19">
              <w:rPr>
                <w:sz w:val="24"/>
                <w:szCs w:val="24"/>
              </w:rPr>
              <w:t>550</w:t>
            </w:r>
          </w:p>
        </w:tc>
      </w:tr>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b/>
                <w:bCs/>
                <w:sz w:val="24"/>
                <w:szCs w:val="24"/>
              </w:rPr>
            </w:pPr>
            <w:r w:rsidRPr="00631E19">
              <w:rPr>
                <w:b/>
                <w:bCs/>
                <w:sz w:val="24"/>
                <w:szCs w:val="24"/>
              </w:rPr>
              <w:t>Total spectrum in the downlink</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jc w:val="center"/>
              <w:rPr>
                <w:b/>
                <w:bCs/>
                <w:sz w:val="24"/>
                <w:szCs w:val="24"/>
              </w:rPr>
            </w:pPr>
            <w:r w:rsidRPr="00631E19">
              <w:rPr>
                <w:b/>
                <w:bCs/>
                <w:sz w:val="24"/>
                <w:szCs w:val="24"/>
              </w:rPr>
              <w:t>1050</w:t>
            </w:r>
          </w:p>
        </w:tc>
      </w:tr>
      <w:tr w:rsidR="0094207C" w:rsidRPr="00631E19" w:rsidTr="00CD7469">
        <w:trPr>
          <w:jc w:val="center"/>
        </w:trPr>
        <w:tc>
          <w:tcPr>
            <w:tcW w:w="399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rPr>
                <w:b/>
                <w:bCs/>
                <w:sz w:val="24"/>
                <w:szCs w:val="24"/>
              </w:rPr>
            </w:pPr>
            <w:r w:rsidRPr="00631E19">
              <w:rPr>
                <w:b/>
                <w:bCs/>
                <w:sz w:val="24"/>
                <w:szCs w:val="24"/>
              </w:rPr>
              <w:t xml:space="preserve">Uplink and downlink spectrum difference </w:t>
            </w:r>
          </w:p>
        </w:tc>
        <w:tc>
          <w:tcPr>
            <w:tcW w:w="2271"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pStyle w:val="Tabletext"/>
              <w:jc w:val="center"/>
              <w:rPr>
                <w:b/>
                <w:bCs/>
                <w:sz w:val="24"/>
                <w:szCs w:val="24"/>
              </w:rPr>
            </w:pPr>
            <w:r w:rsidRPr="00631E19">
              <w:rPr>
                <w:b/>
                <w:bCs/>
                <w:sz w:val="24"/>
                <w:szCs w:val="24"/>
              </w:rPr>
              <w:t>300</w:t>
            </w:r>
          </w:p>
        </w:tc>
      </w:tr>
    </w:tbl>
    <w:p w:rsidR="0094207C" w:rsidRPr="00631E19" w:rsidRDefault="0094207C" w:rsidP="0094207C">
      <w:pPr>
        <w:rPr>
          <w:lang w:val="en-GB"/>
        </w:rPr>
      </w:pPr>
    </w:p>
    <w:p w:rsidR="0094207C" w:rsidRPr="00631E19" w:rsidRDefault="0094207C" w:rsidP="0094207C">
      <w:pPr>
        <w:rPr>
          <w:lang w:val="en-GB"/>
        </w:rPr>
      </w:pPr>
      <w:r w:rsidRPr="00631E19">
        <w:rPr>
          <w:lang w:val="en-GB"/>
        </w:rPr>
        <w:t xml:space="preserve">The existing unplanned FSS bands in the 10-15 GHz range are extensively used for a myriad of applications. Very small aperture terminal (VSAT) services, video distribution, broadband networks, internet services, satellite news gathering, and backhaul links have triggered the rapid rise in the demand curve for this frequency range. The industry norm is for satellites to employ frequency re-use by means of beam and/or polarization isolation, to optimally use the limited available spectrum and to reduce costs to end users.  However, as indicated in Table 1, there is spectrum shortfall in the uplink of 300 MHz in </w:t>
      </w:r>
      <w:r w:rsidR="00C83562" w:rsidRPr="00631E19">
        <w:rPr>
          <w:lang w:val="en-GB"/>
        </w:rPr>
        <w:t xml:space="preserve">ITU </w:t>
      </w:r>
      <w:r w:rsidRPr="00631E19">
        <w:rPr>
          <w:lang w:val="en-GB"/>
        </w:rPr>
        <w:t xml:space="preserve">Region 3. This would translate to approximately 14 transponders, considering a transponder bandwidth of 36 MHz in both polarizations.  Therefore, satellite manufacturers would have to design complicated payload configurations to compensate for the bandwidth limitation in the uplink, which in turn have cost implications to end users. Addressing the spectrum insufficiency issue would enable the satellite payload to be simplified, for example, through the reduction and simplification of satellite hardware, etc. which in turn would lead to reduction of satellite cost and launch weight that will enable the full frequency allocation to be implemented effectively and efficiently at each orbital location. </w:t>
      </w:r>
    </w:p>
    <w:p w:rsidR="0094207C" w:rsidRPr="00631E19" w:rsidRDefault="0094207C" w:rsidP="0094207C">
      <w:pPr>
        <w:rPr>
          <w:lang w:val="en-GB"/>
        </w:rPr>
      </w:pPr>
    </w:p>
    <w:p w:rsidR="0094207C" w:rsidRPr="00631E19" w:rsidRDefault="0094207C" w:rsidP="0094207C">
      <w:pPr>
        <w:rPr>
          <w:lang w:val="en-GB"/>
        </w:rPr>
      </w:pPr>
      <w:r w:rsidRPr="00631E19">
        <w:rPr>
          <w:lang w:val="en-GB"/>
        </w:rPr>
        <w:t xml:space="preserve">Moreover, the shortage in the uplink capacity hinders the rational, efficient and economical use of the limited frequency resource. Faced with the current congestion and insufficient use of spectrum, it is difficult for satellite operators to effectively expand their communication services to meet the growing market demands. Consequently, the digital divide is further widened as </w:t>
      </w:r>
      <w:r w:rsidRPr="00631E19">
        <w:rPr>
          <w:lang w:val="en-GB"/>
        </w:rPr>
        <w:lastRenderedPageBreak/>
        <w:t xml:space="preserve">essential communication services are not attainable by rural areas and developing countries. Hence, to facilitate efficient spectrum utilization and accessibility to satellite services, it is necessary to resolve this spectrum insufficiency issue. </w:t>
      </w:r>
    </w:p>
    <w:p w:rsidR="0094207C" w:rsidRPr="00631E19" w:rsidRDefault="0094207C" w:rsidP="0094207C">
      <w:pPr>
        <w:rPr>
          <w:lang w:val="en-GB"/>
        </w:rPr>
      </w:pPr>
    </w:p>
    <w:p w:rsidR="0094207C" w:rsidRPr="00631E19" w:rsidRDefault="0094207C" w:rsidP="0094207C">
      <w:pPr>
        <w:rPr>
          <w:lang w:val="en-GB"/>
        </w:rPr>
      </w:pPr>
      <w:r w:rsidRPr="00631E19">
        <w:rPr>
          <w:lang w:val="en-GB"/>
        </w:rPr>
        <w:t xml:space="preserve">In order to provide a cost effective path for existing users to expand their services and to facilitate more widespread availability of services, additional uplink spectrum of 300 MHz in </w:t>
      </w:r>
      <w:r w:rsidR="00C83562" w:rsidRPr="00631E19">
        <w:rPr>
          <w:lang w:val="en-GB"/>
        </w:rPr>
        <w:t xml:space="preserve">ITU </w:t>
      </w:r>
      <w:r w:rsidRPr="00631E19">
        <w:rPr>
          <w:lang w:val="en-GB"/>
        </w:rPr>
        <w:t>Region 3 that is contiguous (or near contiguous) to the existing allocations is ideally required. This will minimise the necessity to invest in new ground terminals/equipment and reduce the cost of implementation on the satellite. Both of these measures will reduce the marginal cost for the end user to expand services.</w:t>
      </w:r>
    </w:p>
    <w:p w:rsidR="0094207C" w:rsidRPr="00631E19" w:rsidRDefault="0094207C" w:rsidP="0094207C">
      <w:pPr>
        <w:rPr>
          <w:lang w:val="en-GB"/>
        </w:rPr>
      </w:pPr>
    </w:p>
    <w:p w:rsidR="0094207C" w:rsidRPr="00631E19" w:rsidRDefault="0094207C" w:rsidP="0094207C">
      <w:pPr>
        <w:rPr>
          <w:lang w:val="en-GB"/>
        </w:rPr>
      </w:pPr>
    </w:p>
    <w:p w:rsidR="0094207C" w:rsidRPr="00631E19" w:rsidRDefault="0094207C" w:rsidP="0094207C">
      <w:pPr>
        <w:numPr>
          <w:ilvl w:val="0"/>
          <w:numId w:val="14"/>
        </w:numPr>
        <w:ind w:left="426" w:hanging="426"/>
        <w:rPr>
          <w:b/>
          <w:lang w:val="en-GB"/>
        </w:rPr>
      </w:pPr>
      <w:r w:rsidRPr="00631E19">
        <w:rPr>
          <w:b/>
          <w:lang w:val="en-GB"/>
        </w:rPr>
        <w:t>List of abbreviations</w:t>
      </w:r>
    </w:p>
    <w:p w:rsidR="0094207C" w:rsidRPr="00631E19" w:rsidRDefault="0094207C" w:rsidP="0094207C">
      <w:pPr>
        <w:rPr>
          <w:b/>
          <w:u w:val="single"/>
          <w:lang w:val="en-GB"/>
        </w:rPr>
      </w:pPr>
    </w:p>
    <w:p w:rsidR="0094207C" w:rsidRPr="00631E19" w:rsidRDefault="0094207C" w:rsidP="0094207C">
      <w:pPr>
        <w:rPr>
          <w:lang w:val="en-GB"/>
        </w:rPr>
      </w:pPr>
      <w:r w:rsidRPr="00631E19">
        <w:rPr>
          <w:lang w:val="en-GB"/>
        </w:rPr>
        <w:t>WRC</w:t>
      </w:r>
      <w:r w:rsidRPr="00631E19">
        <w:rPr>
          <w:lang w:val="en-GB"/>
        </w:rPr>
        <w:tab/>
      </w:r>
      <w:r w:rsidRPr="00631E19">
        <w:rPr>
          <w:lang w:val="en-GB"/>
        </w:rPr>
        <w:tab/>
        <w:t>World Radiocommunication Conference</w:t>
      </w:r>
    </w:p>
    <w:p w:rsidR="0094207C" w:rsidRPr="00631E19" w:rsidRDefault="0094207C" w:rsidP="0094207C">
      <w:pPr>
        <w:rPr>
          <w:lang w:val="en-GB"/>
        </w:rPr>
      </w:pPr>
      <w:r w:rsidRPr="00631E19">
        <w:rPr>
          <w:lang w:val="en-GB"/>
        </w:rPr>
        <w:t>ITU-R</w:t>
      </w:r>
      <w:r w:rsidRPr="00631E19">
        <w:rPr>
          <w:lang w:val="en-GB"/>
        </w:rPr>
        <w:tab/>
      </w:r>
      <w:r w:rsidRPr="00631E19">
        <w:rPr>
          <w:lang w:val="en-GB"/>
        </w:rPr>
        <w:tab/>
        <w:t>International Telecommunication Union, Radiocommunication Sector</w:t>
      </w:r>
    </w:p>
    <w:p w:rsidR="0094207C" w:rsidRPr="00631E19" w:rsidRDefault="0094207C" w:rsidP="0094207C">
      <w:pPr>
        <w:rPr>
          <w:lang w:val="en-GB"/>
        </w:rPr>
      </w:pPr>
      <w:r w:rsidRPr="00631E19">
        <w:rPr>
          <w:lang w:val="en-GB"/>
        </w:rPr>
        <w:t>RR</w:t>
      </w:r>
      <w:r w:rsidRPr="00631E19">
        <w:rPr>
          <w:lang w:val="en-GB"/>
        </w:rPr>
        <w:tab/>
      </w:r>
      <w:r w:rsidRPr="00631E19">
        <w:rPr>
          <w:lang w:val="en-GB"/>
        </w:rPr>
        <w:tab/>
        <w:t>ITU Radio Regulations</w:t>
      </w:r>
    </w:p>
    <w:p w:rsidR="0094207C" w:rsidRPr="00631E19" w:rsidRDefault="0094207C" w:rsidP="0094207C">
      <w:pPr>
        <w:rPr>
          <w:lang w:val="en-GB"/>
        </w:rPr>
      </w:pPr>
      <w:r w:rsidRPr="00631E19">
        <w:rPr>
          <w:lang w:val="en-GB"/>
        </w:rPr>
        <w:t>FSS</w:t>
      </w:r>
      <w:r w:rsidRPr="00631E19">
        <w:rPr>
          <w:lang w:val="en-GB"/>
        </w:rPr>
        <w:tab/>
      </w:r>
      <w:r w:rsidRPr="00631E19">
        <w:rPr>
          <w:lang w:val="en-GB"/>
        </w:rPr>
        <w:tab/>
        <w:t>Fixed-satellite service</w:t>
      </w:r>
    </w:p>
    <w:p w:rsidR="0094207C" w:rsidRPr="00631E19" w:rsidRDefault="0094207C" w:rsidP="0094207C">
      <w:pPr>
        <w:rPr>
          <w:lang w:val="en-GB"/>
        </w:rPr>
      </w:pPr>
      <w:r w:rsidRPr="00631E19">
        <w:rPr>
          <w:lang w:val="en-GB"/>
        </w:rPr>
        <w:t>BSS</w:t>
      </w:r>
      <w:r w:rsidRPr="00631E19">
        <w:rPr>
          <w:lang w:val="en-GB"/>
        </w:rPr>
        <w:tab/>
      </w:r>
      <w:r w:rsidRPr="00631E19">
        <w:rPr>
          <w:lang w:val="en-GB"/>
        </w:rPr>
        <w:tab/>
        <w:t>Broadcasting-satellite service</w:t>
      </w:r>
    </w:p>
    <w:p w:rsidR="0094207C" w:rsidRPr="00631E19" w:rsidRDefault="0094207C" w:rsidP="0094207C">
      <w:pPr>
        <w:rPr>
          <w:lang w:val="en-GB"/>
        </w:rPr>
      </w:pPr>
      <w:r w:rsidRPr="00631E19">
        <w:rPr>
          <w:lang w:val="en-GB"/>
        </w:rPr>
        <w:t>MSS</w:t>
      </w:r>
      <w:r w:rsidRPr="00631E19">
        <w:rPr>
          <w:lang w:val="en-GB"/>
        </w:rPr>
        <w:tab/>
      </w:r>
      <w:r w:rsidRPr="00631E19">
        <w:rPr>
          <w:lang w:val="en-GB"/>
        </w:rPr>
        <w:tab/>
        <w:t>Mobile-satellite service</w:t>
      </w:r>
    </w:p>
    <w:p w:rsidR="0094207C" w:rsidRPr="00631E19" w:rsidRDefault="0094207C" w:rsidP="0094207C">
      <w:pPr>
        <w:rPr>
          <w:lang w:val="en-GB"/>
        </w:rPr>
      </w:pPr>
      <w:r w:rsidRPr="00631E19">
        <w:rPr>
          <w:lang w:val="en-GB"/>
        </w:rPr>
        <w:t>FS</w:t>
      </w:r>
      <w:r w:rsidRPr="00631E19">
        <w:rPr>
          <w:lang w:val="en-GB"/>
        </w:rPr>
        <w:tab/>
      </w:r>
      <w:r w:rsidRPr="00631E19">
        <w:rPr>
          <w:lang w:val="en-GB"/>
        </w:rPr>
        <w:tab/>
        <w:t>Fixed service</w:t>
      </w:r>
    </w:p>
    <w:p w:rsidR="0094207C" w:rsidRPr="00631E19" w:rsidRDefault="0094207C" w:rsidP="0094207C">
      <w:pPr>
        <w:rPr>
          <w:lang w:val="en-GB"/>
        </w:rPr>
      </w:pPr>
      <w:r w:rsidRPr="00631E19">
        <w:rPr>
          <w:lang w:val="en-GB"/>
        </w:rPr>
        <w:t>MS</w:t>
      </w:r>
      <w:r w:rsidRPr="00631E19">
        <w:rPr>
          <w:lang w:val="en-GB"/>
        </w:rPr>
        <w:tab/>
      </w:r>
      <w:r w:rsidRPr="00631E19">
        <w:rPr>
          <w:lang w:val="en-GB"/>
        </w:rPr>
        <w:tab/>
        <w:t>Mobile service</w:t>
      </w:r>
    </w:p>
    <w:p w:rsidR="007E0B51" w:rsidRPr="00631E19" w:rsidRDefault="007E0B51" w:rsidP="0094207C">
      <w:pPr>
        <w:rPr>
          <w:lang w:val="en-GB"/>
        </w:rPr>
      </w:pPr>
      <w:r w:rsidRPr="00631E19">
        <w:rPr>
          <w:lang w:val="en-GB"/>
        </w:rPr>
        <w:t>ALS</w:t>
      </w:r>
      <w:r w:rsidRPr="00631E19">
        <w:rPr>
          <w:lang w:val="en-GB"/>
        </w:rPr>
        <w:tab/>
      </w:r>
      <w:r w:rsidRPr="00631E19">
        <w:rPr>
          <w:lang w:val="en-GB"/>
        </w:rPr>
        <w:tab/>
        <w:t>Aircraft landing systems</w:t>
      </w:r>
    </w:p>
    <w:p w:rsidR="007E0B51" w:rsidRPr="00631E19" w:rsidRDefault="007E0B51" w:rsidP="0094207C">
      <w:pPr>
        <w:rPr>
          <w:lang w:val="en-GB"/>
        </w:rPr>
      </w:pPr>
      <w:r w:rsidRPr="00631E19">
        <w:rPr>
          <w:lang w:val="en-GB"/>
        </w:rPr>
        <w:t>ARNS</w:t>
      </w:r>
      <w:r w:rsidRPr="00631E19">
        <w:rPr>
          <w:lang w:val="en-GB"/>
        </w:rPr>
        <w:tab/>
      </w:r>
      <w:r w:rsidRPr="00631E19">
        <w:rPr>
          <w:lang w:val="en-GB"/>
        </w:rPr>
        <w:tab/>
        <w:t xml:space="preserve">Aeronautical </w:t>
      </w:r>
      <w:proofErr w:type="spellStart"/>
      <w:r w:rsidRPr="00631E19">
        <w:rPr>
          <w:lang w:val="en-GB"/>
        </w:rPr>
        <w:t>radionavigation</w:t>
      </w:r>
      <w:proofErr w:type="spellEnd"/>
      <w:r w:rsidRPr="00631E19">
        <w:rPr>
          <w:lang w:val="en-GB"/>
        </w:rPr>
        <w:t xml:space="preserve"> service</w:t>
      </w:r>
    </w:p>
    <w:p w:rsidR="0094207C" w:rsidRPr="00631E19" w:rsidRDefault="0094207C" w:rsidP="0094207C">
      <w:pPr>
        <w:rPr>
          <w:lang w:val="en-GB"/>
        </w:rPr>
      </w:pPr>
      <w:r w:rsidRPr="00631E19">
        <w:rPr>
          <w:lang w:val="en-GB"/>
        </w:rPr>
        <w:t>EESS</w:t>
      </w:r>
      <w:r w:rsidRPr="00631E19">
        <w:rPr>
          <w:lang w:val="en-GB"/>
        </w:rPr>
        <w:tab/>
      </w:r>
      <w:r w:rsidRPr="00631E19">
        <w:rPr>
          <w:lang w:val="en-GB"/>
        </w:rPr>
        <w:tab/>
        <w:t>Earth exploration-satellite service</w:t>
      </w:r>
    </w:p>
    <w:p w:rsidR="007E0B51" w:rsidRPr="00631E19" w:rsidRDefault="007E0B51" w:rsidP="0094207C">
      <w:pPr>
        <w:rPr>
          <w:lang w:val="en-GB"/>
        </w:rPr>
      </w:pPr>
      <w:r w:rsidRPr="00631E19">
        <w:rPr>
          <w:lang w:val="en-GB"/>
        </w:rPr>
        <w:t>SRS</w:t>
      </w:r>
      <w:r w:rsidRPr="00631E19">
        <w:rPr>
          <w:lang w:val="en-GB"/>
        </w:rPr>
        <w:tab/>
      </w:r>
      <w:r w:rsidRPr="00631E19">
        <w:rPr>
          <w:lang w:val="en-GB"/>
        </w:rPr>
        <w:tab/>
        <w:t>Space research service</w:t>
      </w:r>
    </w:p>
    <w:p w:rsidR="0094207C" w:rsidRPr="00631E19" w:rsidRDefault="0094207C" w:rsidP="0094207C">
      <w:pPr>
        <w:rPr>
          <w:lang w:val="en-GB"/>
        </w:rPr>
      </w:pPr>
      <w:r w:rsidRPr="00631E19">
        <w:rPr>
          <w:lang w:val="en-GB"/>
        </w:rPr>
        <w:t>VSAT</w:t>
      </w:r>
      <w:r w:rsidRPr="00631E19">
        <w:rPr>
          <w:lang w:val="en-GB"/>
        </w:rPr>
        <w:tab/>
      </w:r>
      <w:r w:rsidRPr="00631E19">
        <w:rPr>
          <w:lang w:val="en-GB"/>
        </w:rPr>
        <w:tab/>
        <w:t>Very small aperture terminal</w:t>
      </w:r>
    </w:p>
    <w:p w:rsidR="0094207C" w:rsidRPr="00631E19" w:rsidRDefault="0094207C" w:rsidP="0094207C">
      <w:pPr>
        <w:rPr>
          <w:lang w:val="en-GB"/>
        </w:rPr>
      </w:pPr>
      <w:proofErr w:type="spellStart"/>
      <w:proofErr w:type="gramStart"/>
      <w:r w:rsidRPr="00631E19">
        <w:rPr>
          <w:lang w:val="en-GB"/>
        </w:rPr>
        <w:t>e.i.r.p</w:t>
      </w:r>
      <w:proofErr w:type="spellEnd"/>
      <w:r w:rsidRPr="00631E19">
        <w:rPr>
          <w:lang w:val="en-GB"/>
        </w:rPr>
        <w:t>.</w:t>
      </w:r>
      <w:proofErr w:type="gramEnd"/>
      <w:r w:rsidRPr="00631E19">
        <w:rPr>
          <w:lang w:val="en-GB"/>
        </w:rPr>
        <w:tab/>
      </w:r>
      <w:r w:rsidRPr="00631E19">
        <w:rPr>
          <w:lang w:val="en-GB"/>
        </w:rPr>
        <w:tab/>
        <w:t>Equivalent isotropic radiated power</w:t>
      </w:r>
    </w:p>
    <w:p w:rsidR="00490966" w:rsidRPr="00631E19" w:rsidRDefault="00494FF6" w:rsidP="0094207C">
      <w:pPr>
        <w:rPr>
          <w:lang w:val="en-GB"/>
        </w:rPr>
      </w:pPr>
      <w:proofErr w:type="gramStart"/>
      <w:r w:rsidRPr="00631E19">
        <w:rPr>
          <w:lang w:val="en-GB"/>
        </w:rPr>
        <w:t>pfd</w:t>
      </w:r>
      <w:proofErr w:type="gramEnd"/>
      <w:r w:rsidRPr="00631E19">
        <w:rPr>
          <w:lang w:val="en-GB"/>
        </w:rPr>
        <w:tab/>
      </w:r>
      <w:r w:rsidRPr="00631E19">
        <w:rPr>
          <w:lang w:val="en-GB"/>
        </w:rPr>
        <w:tab/>
        <w:t xml:space="preserve">Power </w:t>
      </w:r>
      <w:r w:rsidR="00490966" w:rsidRPr="00631E19">
        <w:rPr>
          <w:lang w:val="en-GB"/>
        </w:rPr>
        <w:t>flux</w:t>
      </w:r>
      <w:r w:rsidRPr="00631E19">
        <w:rPr>
          <w:lang w:val="en-GB"/>
        </w:rPr>
        <w:t>-</w:t>
      </w:r>
      <w:r w:rsidR="00490966" w:rsidRPr="00631E19">
        <w:rPr>
          <w:lang w:val="en-GB"/>
        </w:rPr>
        <w:t>density</w:t>
      </w:r>
    </w:p>
    <w:p w:rsidR="0094207C" w:rsidRPr="00631E19" w:rsidRDefault="0094207C" w:rsidP="0094207C">
      <w:pPr>
        <w:rPr>
          <w:lang w:val="en-GB"/>
        </w:rPr>
      </w:pPr>
      <w:r w:rsidRPr="00631E19">
        <w:rPr>
          <w:lang w:val="en-GB"/>
        </w:rPr>
        <w:t>TRMM</w:t>
      </w:r>
      <w:r w:rsidRPr="00631E19">
        <w:rPr>
          <w:lang w:val="en-GB"/>
        </w:rPr>
        <w:tab/>
        <w:t>Tropical rainfall measuring mission</w:t>
      </w:r>
    </w:p>
    <w:p w:rsidR="0094207C" w:rsidRPr="00631E19" w:rsidRDefault="0094207C" w:rsidP="0094207C">
      <w:pPr>
        <w:rPr>
          <w:lang w:val="en-GB"/>
        </w:rPr>
      </w:pPr>
      <w:r w:rsidRPr="00631E19">
        <w:rPr>
          <w:lang w:val="en-GB"/>
        </w:rPr>
        <w:t>GPM</w:t>
      </w:r>
      <w:r w:rsidRPr="00631E19">
        <w:rPr>
          <w:lang w:val="en-GB"/>
        </w:rPr>
        <w:tab/>
      </w:r>
      <w:r w:rsidRPr="00631E19">
        <w:rPr>
          <w:lang w:val="en-GB"/>
        </w:rPr>
        <w:tab/>
        <w:t>Global Precipitation Measurement</w:t>
      </w:r>
    </w:p>
    <w:p w:rsidR="0094207C" w:rsidRPr="00631E19" w:rsidRDefault="0094207C" w:rsidP="0094207C">
      <w:pPr>
        <w:rPr>
          <w:lang w:val="en-GB"/>
        </w:rPr>
      </w:pPr>
      <w:r w:rsidRPr="00631E19">
        <w:rPr>
          <w:lang w:val="en-GB"/>
        </w:rPr>
        <w:t>DPR</w:t>
      </w:r>
      <w:r w:rsidRPr="00631E19">
        <w:rPr>
          <w:lang w:val="en-GB"/>
        </w:rPr>
        <w:tab/>
      </w:r>
      <w:r w:rsidRPr="00631E19">
        <w:rPr>
          <w:lang w:val="en-GB"/>
        </w:rPr>
        <w:tab/>
        <w:t>Dual-frequency precipitation radar</w:t>
      </w:r>
    </w:p>
    <w:p w:rsidR="0094207C" w:rsidRPr="00631E19" w:rsidRDefault="0094207C" w:rsidP="0094207C">
      <w:pPr>
        <w:rPr>
          <w:b/>
          <w:u w:val="single"/>
          <w:lang w:val="en-GB"/>
        </w:rPr>
      </w:pPr>
    </w:p>
    <w:p w:rsidR="0094207C" w:rsidRPr="00631E19" w:rsidRDefault="0094207C" w:rsidP="0094207C">
      <w:pPr>
        <w:rPr>
          <w:b/>
          <w:u w:val="single"/>
          <w:lang w:val="en-GB"/>
        </w:rPr>
      </w:pPr>
    </w:p>
    <w:p w:rsidR="0094207C" w:rsidRPr="00631E19" w:rsidRDefault="0094207C" w:rsidP="0094207C">
      <w:pPr>
        <w:numPr>
          <w:ilvl w:val="0"/>
          <w:numId w:val="14"/>
        </w:numPr>
        <w:ind w:left="426" w:hanging="426"/>
        <w:rPr>
          <w:b/>
          <w:lang w:val="en-GB"/>
        </w:rPr>
      </w:pPr>
      <w:r w:rsidRPr="00631E19">
        <w:rPr>
          <w:b/>
          <w:lang w:val="en-GB"/>
        </w:rPr>
        <w:t>Frequency bands to be considered in sharing studies</w:t>
      </w:r>
    </w:p>
    <w:p w:rsidR="007F76DE" w:rsidRPr="00631E19" w:rsidRDefault="007F76DE" w:rsidP="0094207C">
      <w:pPr>
        <w:rPr>
          <w:lang w:val="en-GB"/>
        </w:rPr>
      </w:pPr>
    </w:p>
    <w:p w:rsidR="0094207C" w:rsidRPr="00631E19" w:rsidRDefault="0094207C" w:rsidP="0094207C">
      <w:pPr>
        <w:rPr>
          <w:lang w:val="en-GB"/>
        </w:rPr>
      </w:pPr>
      <w:r w:rsidRPr="00631E19">
        <w:rPr>
          <w:lang w:val="en-GB"/>
        </w:rPr>
        <w:t>Some frequency bands, which could potentially improve the inefficiency associated with the asymmetry of existing unplanned FSS uplink/downlink spectrum in the 10-15 GHz band, are summarized in Table 2. To adequately take into account the compatibility with existing services, it is important to conduct sharing studies in the band 13-17 GHz</w:t>
      </w:r>
      <w:r w:rsidR="008B12F1" w:rsidRPr="00631E19">
        <w:rPr>
          <w:lang w:val="en-GB"/>
        </w:rPr>
        <w:t xml:space="preserve"> </w:t>
      </w:r>
      <w:r w:rsidRPr="00631E19">
        <w:rPr>
          <w:lang w:val="en-GB"/>
        </w:rPr>
        <w:t xml:space="preserve">either by considering potential new allocation for FSS (Earth-to-space) or by studying the possibility of removing or modifying regulatory restrictions on allocations to the FSS (Earth-to-space) in these bands. </w:t>
      </w:r>
    </w:p>
    <w:p w:rsidR="004E2820" w:rsidRPr="00631E19" w:rsidRDefault="004E2820" w:rsidP="0094207C">
      <w:pPr>
        <w:rPr>
          <w:lang w:val="en-GB"/>
        </w:rPr>
      </w:pPr>
    </w:p>
    <w:p w:rsidR="0094207C" w:rsidRPr="00631E19" w:rsidRDefault="0094207C" w:rsidP="0094207C">
      <w:pPr>
        <w:numPr>
          <w:ilvl w:val="0"/>
          <w:numId w:val="9"/>
        </w:numPr>
        <w:tabs>
          <w:tab w:val="clear" w:pos="360"/>
          <w:tab w:val="num" w:pos="426"/>
        </w:tabs>
        <w:ind w:left="426" w:hanging="426"/>
        <w:jc w:val="both"/>
        <w:rPr>
          <w:bCs/>
          <w:lang w:val="en-GB"/>
        </w:rPr>
      </w:pPr>
      <w:r w:rsidRPr="00631E19">
        <w:rPr>
          <w:bCs/>
          <w:lang w:val="en-GB"/>
        </w:rPr>
        <w:t xml:space="preserve">Frequency bands with no FSS allocation </w:t>
      </w:r>
    </w:p>
    <w:p w:rsidR="0094207C" w:rsidRPr="00631E19" w:rsidRDefault="0094207C" w:rsidP="0094207C">
      <w:pPr>
        <w:jc w:val="both"/>
        <w:rPr>
          <w:lang w:val="en-GB"/>
        </w:rPr>
      </w:pPr>
    </w:p>
    <w:p w:rsidR="0094207C" w:rsidRPr="00631E19" w:rsidRDefault="0094207C" w:rsidP="0094207C">
      <w:pPr>
        <w:ind w:left="426"/>
        <w:jc w:val="both"/>
        <w:rPr>
          <w:lang w:val="en-GB"/>
        </w:rPr>
      </w:pPr>
      <w:r w:rsidRPr="00631E19">
        <w:rPr>
          <w:lang w:val="en-GB"/>
        </w:rPr>
        <w:t xml:space="preserve">The possibility of additional allocations for unplanned FSS </w:t>
      </w:r>
      <w:r w:rsidR="00C83562" w:rsidRPr="00631E19">
        <w:rPr>
          <w:lang w:val="en-GB"/>
        </w:rPr>
        <w:t>(Earth-to-space)</w:t>
      </w:r>
      <w:r w:rsidRPr="00631E19">
        <w:rPr>
          <w:lang w:val="en-GB"/>
        </w:rPr>
        <w:t xml:space="preserve"> in the bands of 13.25 – 13.4 GHz, 13.4 – 13.75 GHz, 14.8 – 15.35 GHz, 15.4 – 15.43 GHz, 15.63 – 15.7 GHz and 15.7 – 16.6 GHz should be examined. </w:t>
      </w:r>
    </w:p>
    <w:p w:rsidR="0094207C" w:rsidRPr="00631E19" w:rsidRDefault="0094207C" w:rsidP="0094207C">
      <w:pPr>
        <w:jc w:val="both"/>
        <w:rPr>
          <w:lang w:val="en-GB"/>
        </w:rPr>
      </w:pPr>
    </w:p>
    <w:p w:rsidR="0094207C" w:rsidRPr="00631E19" w:rsidRDefault="0094207C" w:rsidP="0094207C">
      <w:pPr>
        <w:numPr>
          <w:ilvl w:val="0"/>
          <w:numId w:val="9"/>
        </w:numPr>
        <w:tabs>
          <w:tab w:val="clear" w:pos="360"/>
        </w:tabs>
        <w:ind w:left="426" w:hanging="426"/>
        <w:jc w:val="both"/>
        <w:rPr>
          <w:bCs/>
          <w:lang w:val="en-GB"/>
        </w:rPr>
      </w:pPr>
      <w:r w:rsidRPr="00631E19">
        <w:rPr>
          <w:bCs/>
          <w:lang w:val="en-GB"/>
        </w:rPr>
        <w:t xml:space="preserve">Frequency bands with FSS allocation </w:t>
      </w:r>
    </w:p>
    <w:p w:rsidR="0094207C" w:rsidRPr="00631E19" w:rsidRDefault="0094207C" w:rsidP="0094207C">
      <w:pPr>
        <w:rPr>
          <w:lang w:val="en-GB"/>
        </w:rPr>
      </w:pPr>
    </w:p>
    <w:p w:rsidR="0094207C" w:rsidRPr="00631E19" w:rsidRDefault="0094207C" w:rsidP="0094207C">
      <w:pPr>
        <w:ind w:left="426"/>
        <w:rPr>
          <w:lang w:val="en-GB"/>
        </w:rPr>
      </w:pPr>
      <w:r w:rsidRPr="00631E19">
        <w:rPr>
          <w:lang w:val="en-GB"/>
        </w:rPr>
        <w:lastRenderedPageBreak/>
        <w:t xml:space="preserve">The possibility of removing the current limitations in the bands of 14.5 – 14.8 GHz and 15.43 – 15.63 GHz, to facilitate its use for unplanned FSS </w:t>
      </w:r>
      <w:r w:rsidRPr="00631E19">
        <w:rPr>
          <w:rFonts w:eastAsia="PMingLiU"/>
          <w:color w:val="000000"/>
          <w:lang w:val="en-GB"/>
        </w:rPr>
        <w:t>(Earth-to-space</w:t>
      </w:r>
      <w:r w:rsidR="00C83562" w:rsidRPr="00631E19">
        <w:rPr>
          <w:rFonts w:eastAsia="PMingLiU"/>
          <w:color w:val="000000"/>
          <w:lang w:val="en-GB"/>
        </w:rPr>
        <w:t>)</w:t>
      </w:r>
      <w:r w:rsidRPr="00631E19">
        <w:rPr>
          <w:rFonts w:eastAsia="PMingLiU"/>
          <w:color w:val="000000"/>
          <w:lang w:val="en-GB"/>
        </w:rPr>
        <w:t xml:space="preserve"> </w:t>
      </w:r>
      <w:r w:rsidRPr="00631E19">
        <w:rPr>
          <w:lang w:val="en-GB"/>
        </w:rPr>
        <w:t>should be examined.</w:t>
      </w:r>
    </w:p>
    <w:p w:rsidR="0094207C" w:rsidRPr="00631E19" w:rsidRDefault="0094207C" w:rsidP="0094207C">
      <w:pPr>
        <w:rPr>
          <w:lang w:val="en-GB"/>
        </w:rPr>
      </w:pPr>
    </w:p>
    <w:p w:rsidR="0094207C" w:rsidRPr="00631E19" w:rsidRDefault="0094207C" w:rsidP="00127DAE">
      <w:pPr>
        <w:jc w:val="center"/>
        <w:rPr>
          <w:b/>
          <w:bCs/>
          <w:lang w:val="en-GB"/>
        </w:rPr>
      </w:pPr>
      <w:r w:rsidRPr="00631E19">
        <w:rPr>
          <w:b/>
          <w:bCs/>
          <w:lang w:val="en-GB"/>
        </w:rPr>
        <w:t>Table 2: Summary of frequency bands for consideration of additional unplanned FSS uplink bands</w:t>
      </w:r>
    </w:p>
    <w:p w:rsidR="00640DC4" w:rsidRPr="00631E19" w:rsidRDefault="00640DC4" w:rsidP="0094207C">
      <w:pPr>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2308"/>
        <w:gridCol w:w="4048"/>
      </w:tblGrid>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b/>
                <w:bCs/>
                <w:lang w:val="en-GB"/>
              </w:rPr>
            </w:pPr>
            <w:r w:rsidRPr="00631E19">
              <w:rPr>
                <w:b/>
                <w:bCs/>
                <w:lang w:val="en-GB"/>
              </w:rPr>
              <w:t>Frequency bands (GHz)</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b/>
                <w:bCs/>
                <w:lang w:val="en-GB"/>
              </w:rPr>
            </w:pPr>
            <w:r w:rsidRPr="00631E19">
              <w:rPr>
                <w:b/>
                <w:bCs/>
                <w:lang w:val="en-GB"/>
              </w:rPr>
              <w:t>Bandwidth (MHz)</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E829F3" w:rsidP="00E829F3">
            <w:pPr>
              <w:rPr>
                <w:b/>
                <w:bCs/>
                <w:lang w:val="en-GB"/>
              </w:rPr>
            </w:pPr>
            <w:r w:rsidRPr="00631E19">
              <w:rPr>
                <w:b/>
                <w:bCs/>
                <w:lang w:val="en-GB" w:eastAsia="ko-KR"/>
              </w:rPr>
              <w:t>Current a</w:t>
            </w:r>
            <w:r w:rsidR="0094207C" w:rsidRPr="00631E19">
              <w:rPr>
                <w:b/>
                <w:bCs/>
                <w:lang w:val="en-GB"/>
              </w:rPr>
              <w:t xml:space="preserve">llocation to FSS </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13.25-13.4</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150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No</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13.4-13.75</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350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No</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jc w:val="both"/>
              <w:rPr>
                <w:lang w:val="en-GB"/>
              </w:rPr>
            </w:pPr>
            <w:r w:rsidRPr="00631E19">
              <w:rPr>
                <w:lang w:val="en-GB"/>
              </w:rPr>
              <w:t>14.5-14.8</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jc w:val="both"/>
              <w:rPr>
                <w:lang w:val="en-GB"/>
              </w:rPr>
            </w:pPr>
            <w:r w:rsidRPr="00631E19">
              <w:rPr>
                <w:lang w:val="en-GB"/>
              </w:rPr>
              <w:t>300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0C28D4">
            <w:pPr>
              <w:jc w:val="both"/>
              <w:rPr>
                <w:lang w:val="en-GB"/>
              </w:rPr>
            </w:pPr>
            <w:r w:rsidRPr="00631E19">
              <w:rPr>
                <w:lang w:val="en-GB"/>
              </w:rPr>
              <w:t>Yes, but limited to feeder links for BSS, and for use outside of Europe (RR No. 5.510)</w:t>
            </w:r>
            <w:r w:rsidR="00E829F3" w:rsidRPr="00631E19">
              <w:rPr>
                <w:lang w:val="en-GB" w:eastAsia="ko-KR"/>
              </w:rPr>
              <w:t xml:space="preserve"> </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14.8-15.35</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550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No</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15.4-15.43</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30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No*</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15.43-15.63</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200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 xml:space="preserve">Yes, but limited to feeder links of non-geostationary systems in the mobile-satellite service (RR No. 5.511A). </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15.63-15.7</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70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No*</w:t>
            </w:r>
          </w:p>
        </w:tc>
      </w:tr>
      <w:tr w:rsidR="0094207C" w:rsidRPr="00631E19" w:rsidTr="00CD7469">
        <w:tc>
          <w:tcPr>
            <w:tcW w:w="3177"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15.7-16.6</w:t>
            </w:r>
          </w:p>
        </w:tc>
        <w:tc>
          <w:tcPr>
            <w:tcW w:w="230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900</w:t>
            </w:r>
          </w:p>
        </w:tc>
        <w:tc>
          <w:tcPr>
            <w:tcW w:w="4048" w:type="dxa"/>
            <w:tcBorders>
              <w:top w:val="single" w:sz="4" w:space="0" w:color="auto"/>
              <w:left w:val="single" w:sz="4" w:space="0" w:color="auto"/>
              <w:bottom w:val="single" w:sz="4" w:space="0" w:color="auto"/>
              <w:right w:val="single" w:sz="4" w:space="0" w:color="auto"/>
            </w:tcBorders>
          </w:tcPr>
          <w:p w:rsidR="0094207C" w:rsidRPr="00631E19" w:rsidRDefault="0094207C" w:rsidP="00CD7469">
            <w:pPr>
              <w:rPr>
                <w:lang w:val="en-GB"/>
              </w:rPr>
            </w:pPr>
            <w:r w:rsidRPr="00631E19">
              <w:rPr>
                <w:lang w:val="en-GB"/>
              </w:rPr>
              <w:t>No</w:t>
            </w:r>
          </w:p>
        </w:tc>
      </w:tr>
    </w:tbl>
    <w:p w:rsidR="0094207C" w:rsidRPr="00631E19" w:rsidRDefault="0094207C" w:rsidP="0094207C">
      <w:pPr>
        <w:rPr>
          <w:sz w:val="20"/>
          <w:lang w:val="en-GB"/>
        </w:rPr>
      </w:pPr>
      <w:r w:rsidRPr="00631E19">
        <w:rPr>
          <w:sz w:val="20"/>
          <w:lang w:val="en-GB"/>
        </w:rPr>
        <w:t>*Allocated to FSS for which complete information for advance publication has been received by the BR by 21 November 1997.</w:t>
      </w:r>
    </w:p>
    <w:p w:rsidR="0094207C" w:rsidRPr="00631E19" w:rsidRDefault="0094207C" w:rsidP="0094207C">
      <w:pPr>
        <w:rPr>
          <w:lang w:val="en-GB"/>
        </w:rPr>
      </w:pPr>
    </w:p>
    <w:p w:rsidR="006C7325" w:rsidRPr="00631E19" w:rsidRDefault="006C7325" w:rsidP="00640DC4">
      <w:pPr>
        <w:rPr>
          <w:lang w:val="en-GB"/>
        </w:rPr>
      </w:pPr>
      <w:r w:rsidRPr="00631E19">
        <w:rPr>
          <w:rFonts w:cs="SimSun"/>
          <w:lang w:val="en-GB" w:eastAsia="zh-CN"/>
        </w:rPr>
        <w:t>In addition, following comments are addressed for consideration of additional FSS (uplink) allocation</w:t>
      </w:r>
      <w:r w:rsidR="007F76DE" w:rsidRPr="00631E19">
        <w:rPr>
          <w:rFonts w:cs="SimSun"/>
          <w:lang w:val="en-GB" w:eastAsia="zh-CN"/>
        </w:rPr>
        <w:t>:</w:t>
      </w:r>
    </w:p>
    <w:p w:rsidR="00640DC4" w:rsidRPr="00631E19" w:rsidRDefault="00640DC4" w:rsidP="00640DC4">
      <w:pPr>
        <w:pStyle w:val="enumlev1"/>
        <w:tabs>
          <w:tab w:val="clear" w:pos="1134"/>
          <w:tab w:val="left" w:pos="0"/>
        </w:tabs>
        <w:spacing w:before="0"/>
        <w:ind w:left="2" w:hanging="2"/>
        <w:rPr>
          <w:rFonts w:cs="SimSun"/>
          <w:szCs w:val="24"/>
          <w:lang w:eastAsia="zh-CN"/>
        </w:rPr>
      </w:pPr>
    </w:p>
    <w:p w:rsidR="00E11349" w:rsidRPr="00631E19" w:rsidRDefault="00E11349" w:rsidP="00640DC4">
      <w:pPr>
        <w:pStyle w:val="enumlev1"/>
        <w:tabs>
          <w:tab w:val="clear" w:pos="1134"/>
          <w:tab w:val="left" w:pos="0"/>
        </w:tabs>
        <w:spacing w:before="0"/>
        <w:ind w:left="2" w:hanging="2"/>
        <w:rPr>
          <w:rFonts w:cs="SimSun"/>
          <w:szCs w:val="24"/>
          <w:lang w:eastAsia="zh-CN"/>
        </w:rPr>
      </w:pPr>
      <w:r w:rsidRPr="00631E19">
        <w:rPr>
          <w:rFonts w:cs="SimSun"/>
          <w:szCs w:val="24"/>
          <w:lang w:eastAsia="zh-CN"/>
        </w:rPr>
        <w:t xml:space="preserve">The 13.25-13.75 GHz band has been allocated to the Earth exploration-satellite service (active) (shortened form EESS) on a primary basis. The EESS (active) allocation in this band can be used for three types of active sensor: </w:t>
      </w:r>
      <w:proofErr w:type="spellStart"/>
      <w:r w:rsidRPr="00631E19">
        <w:rPr>
          <w:rFonts w:cs="SimSun"/>
          <w:szCs w:val="24"/>
          <w:lang w:eastAsia="zh-CN"/>
        </w:rPr>
        <w:t>scatterometers</w:t>
      </w:r>
      <w:proofErr w:type="spellEnd"/>
      <w:r w:rsidRPr="00631E19">
        <w:rPr>
          <w:rFonts w:cs="SimSun"/>
          <w:szCs w:val="24"/>
          <w:lang w:eastAsia="zh-CN"/>
        </w:rPr>
        <w:t xml:space="preserve">, altimeters and precipitation radars. </w:t>
      </w:r>
    </w:p>
    <w:p w:rsidR="00640DC4" w:rsidRPr="00631E19" w:rsidRDefault="00640DC4" w:rsidP="00640DC4">
      <w:pPr>
        <w:pStyle w:val="enumlev1"/>
        <w:tabs>
          <w:tab w:val="clear" w:pos="1134"/>
          <w:tab w:val="left" w:pos="-90"/>
        </w:tabs>
        <w:spacing w:before="0"/>
        <w:ind w:left="0" w:firstLine="0"/>
        <w:rPr>
          <w:rFonts w:cs="SimSun"/>
          <w:szCs w:val="24"/>
          <w:lang w:eastAsia="zh-CN"/>
        </w:rPr>
      </w:pPr>
    </w:p>
    <w:p w:rsidR="00E11349" w:rsidRPr="00631E19" w:rsidRDefault="00E11349" w:rsidP="00640DC4">
      <w:pPr>
        <w:pStyle w:val="enumlev1"/>
        <w:tabs>
          <w:tab w:val="clear" w:pos="1134"/>
          <w:tab w:val="left" w:pos="-90"/>
        </w:tabs>
        <w:spacing w:before="0"/>
        <w:ind w:left="0" w:firstLine="0"/>
        <w:rPr>
          <w:rFonts w:cs="SimSun"/>
          <w:lang w:eastAsia="zh-CN"/>
        </w:rPr>
      </w:pPr>
      <w:r w:rsidRPr="00631E19">
        <w:rPr>
          <w:rFonts w:cs="SimSun"/>
          <w:szCs w:val="24"/>
          <w:lang w:eastAsia="zh-CN"/>
        </w:rPr>
        <w:t>Although EESS (active) satellites are currently operated by only a limited number of countries, measurements are performed worldwide and the remote sensing data and related analyses are distributed and used globally. For example, China shares their meteorological data which are explored by Chinese meteorological satellite to all countries of the Asia-Pacific region for weather forecast and climate prediction, prevention of and preparedness for meteorological disasters, and public meteorological service. The EESS (active) systems are crucial for the protection of human life and natural resources. It is necessary to ensure that the EESS (active) systems shall be protected without any undue constraints to their operations in the 13.25-13.75 GHz band.</w:t>
      </w:r>
    </w:p>
    <w:p w:rsidR="00E11349" w:rsidRPr="00631E19" w:rsidRDefault="00E11349" w:rsidP="00640DC4">
      <w:pPr>
        <w:rPr>
          <w:lang w:val="en-GB"/>
        </w:rPr>
      </w:pPr>
    </w:p>
    <w:p w:rsidR="00E11349" w:rsidRPr="00631E19" w:rsidRDefault="00E11349" w:rsidP="00640DC4">
      <w:pPr>
        <w:rPr>
          <w:lang w:val="en-GB"/>
        </w:rPr>
      </w:pPr>
    </w:p>
    <w:p w:rsidR="002C18DD" w:rsidRPr="00631E19" w:rsidRDefault="007516DE" w:rsidP="002C18DD">
      <w:pPr>
        <w:numPr>
          <w:ilvl w:val="0"/>
          <w:numId w:val="14"/>
        </w:numPr>
        <w:ind w:left="426" w:hanging="426"/>
        <w:rPr>
          <w:b/>
          <w:lang w:val="en-GB"/>
        </w:rPr>
      </w:pPr>
      <w:r w:rsidRPr="00631E19">
        <w:rPr>
          <w:b/>
          <w:lang w:val="en-GB"/>
        </w:rPr>
        <w:t>FSS e</w:t>
      </w:r>
      <w:r w:rsidR="002C18DD" w:rsidRPr="00631E19">
        <w:rPr>
          <w:b/>
          <w:lang w:val="en-GB"/>
        </w:rPr>
        <w:t xml:space="preserve">arth stations </w:t>
      </w:r>
      <w:r w:rsidR="00E549C3" w:rsidRPr="00631E19">
        <w:rPr>
          <w:b/>
          <w:lang w:val="en-GB"/>
        </w:rPr>
        <w:t xml:space="preserve">characteristics </w:t>
      </w:r>
      <w:r w:rsidR="002C18DD" w:rsidRPr="00631E19">
        <w:rPr>
          <w:b/>
          <w:lang w:val="en-GB"/>
        </w:rPr>
        <w:t>to be used in study:</w:t>
      </w:r>
    </w:p>
    <w:p w:rsidR="008C65DB" w:rsidRPr="00631E19" w:rsidRDefault="008C65DB" w:rsidP="003C03E9">
      <w:pPr>
        <w:rPr>
          <w:b/>
          <w:u w:val="single"/>
          <w:lang w:val="en-GB"/>
        </w:rPr>
      </w:pPr>
    </w:p>
    <w:p w:rsidR="001727D9" w:rsidRPr="00631E19" w:rsidRDefault="008C65DB" w:rsidP="003C03E9">
      <w:pPr>
        <w:tabs>
          <w:tab w:val="left" w:pos="0"/>
          <w:tab w:val="left" w:pos="1191"/>
          <w:tab w:val="left" w:pos="1588"/>
          <w:tab w:val="left" w:pos="1985"/>
        </w:tabs>
        <w:spacing w:before="240"/>
        <w:rPr>
          <w:iCs/>
          <w:lang w:val="en-GB"/>
        </w:rPr>
      </w:pPr>
      <w:r w:rsidRPr="00631E19">
        <w:rPr>
          <w:iCs/>
          <w:lang w:val="en-GB"/>
        </w:rPr>
        <w:t>The FSS charac</w:t>
      </w:r>
      <w:r w:rsidR="001727D9" w:rsidRPr="00631E19">
        <w:rPr>
          <w:iCs/>
          <w:lang w:val="en-GB"/>
        </w:rPr>
        <w:t xml:space="preserve">teristics as provided in Table </w:t>
      </w:r>
      <w:r w:rsidR="006C030A" w:rsidRPr="00631E19">
        <w:rPr>
          <w:iCs/>
          <w:lang w:val="en-GB"/>
        </w:rPr>
        <w:t>3</w:t>
      </w:r>
      <w:r w:rsidRPr="00631E19">
        <w:rPr>
          <w:iCs/>
          <w:lang w:val="en-GB"/>
        </w:rPr>
        <w:t>-</w:t>
      </w:r>
      <w:proofErr w:type="gramStart"/>
      <w:r w:rsidRPr="00631E19">
        <w:rPr>
          <w:iCs/>
          <w:lang w:val="en-GB"/>
        </w:rPr>
        <w:t>1,</w:t>
      </w:r>
      <w:proofErr w:type="gramEnd"/>
      <w:r w:rsidRPr="00631E19">
        <w:rPr>
          <w:iCs/>
          <w:lang w:val="en-GB"/>
        </w:rPr>
        <w:t xml:space="preserve"> should be used to generate results based on the potential interference from one FSS Earth station while the FSS characteristics as provided in Table </w:t>
      </w:r>
      <w:r w:rsidR="00621DB0" w:rsidRPr="00631E19">
        <w:rPr>
          <w:iCs/>
          <w:lang w:val="en-GB"/>
        </w:rPr>
        <w:t>3</w:t>
      </w:r>
      <w:r w:rsidRPr="00631E19">
        <w:rPr>
          <w:iCs/>
          <w:lang w:val="en-GB"/>
        </w:rPr>
        <w:t xml:space="preserve">-2 should be used to generate results based on cumulative interference (static &amp; dynamic analysis) from all FSS Earth stations. </w:t>
      </w:r>
    </w:p>
    <w:p w:rsidR="0098467D" w:rsidRPr="00631E19" w:rsidRDefault="0098467D" w:rsidP="003C03E9">
      <w:pPr>
        <w:tabs>
          <w:tab w:val="left" w:pos="0"/>
          <w:tab w:val="left" w:pos="1191"/>
          <w:tab w:val="left" w:pos="1588"/>
          <w:tab w:val="left" w:pos="1985"/>
        </w:tabs>
        <w:spacing w:before="240"/>
        <w:rPr>
          <w:iCs/>
          <w:lang w:val="en-GB"/>
        </w:rPr>
      </w:pPr>
    </w:p>
    <w:p w:rsidR="0098467D" w:rsidRPr="00631E19" w:rsidRDefault="003932F9" w:rsidP="007100B8">
      <w:pPr>
        <w:rPr>
          <w:lang w:val="en-GB"/>
        </w:rPr>
      </w:pPr>
      <w:r w:rsidRPr="00631E19">
        <w:rPr>
          <w:lang w:val="en-GB"/>
        </w:rPr>
        <w:t>The</w:t>
      </w:r>
      <w:r w:rsidR="005A57BE" w:rsidRPr="00631E19">
        <w:rPr>
          <w:lang w:val="en-GB"/>
        </w:rPr>
        <w:t xml:space="preserve">re are </w:t>
      </w:r>
      <w:r w:rsidR="0098467D" w:rsidRPr="00631E19">
        <w:rPr>
          <w:lang w:val="en-GB"/>
        </w:rPr>
        <w:t xml:space="preserve">three main types of transmissions (VSAT, Wideband, and Point-to-Point) currently active on fixed satellite systems and the relative frequency of use of these transmission types. </w:t>
      </w:r>
      <w:r w:rsidR="0098467D" w:rsidRPr="00631E19">
        <w:rPr>
          <w:lang w:val="en-GB"/>
        </w:rPr>
        <w:lastRenderedPageBreak/>
        <w:t>For each of the transmission types, typical earth station characteristics are outlined. The characteristics in the tables below are taken from a statistical analysis of all</w:t>
      </w:r>
      <w:r w:rsidR="0072045F" w:rsidRPr="00631E19">
        <w:rPr>
          <w:lang w:val="en-GB"/>
        </w:rPr>
        <w:t xml:space="preserve"> </w:t>
      </w:r>
      <w:r w:rsidR="0098467D" w:rsidRPr="00631E19">
        <w:rPr>
          <w:lang w:val="en-GB"/>
        </w:rPr>
        <w:t>the transmissions from 73 active satellites in 14.0-14.5 GHz band. There was an overall total</w:t>
      </w:r>
      <w:r w:rsidR="0072045F" w:rsidRPr="00631E19">
        <w:rPr>
          <w:lang w:val="en-GB"/>
        </w:rPr>
        <w:t xml:space="preserve"> </w:t>
      </w:r>
      <w:r w:rsidR="0098467D" w:rsidRPr="00631E19">
        <w:rPr>
          <w:lang w:val="en-GB"/>
        </w:rPr>
        <w:t>of 25 937 transmissions which gives an average of 355 transmissions per satellite. The use of transmission types serves to provide an accurate description of FSS earth station operations and their transmissions.</w:t>
      </w:r>
    </w:p>
    <w:p w:rsidR="0072045F" w:rsidRPr="00631E19" w:rsidRDefault="0072045F" w:rsidP="007100B8">
      <w:pPr>
        <w:rPr>
          <w:lang w:val="en-GB"/>
        </w:rPr>
      </w:pPr>
    </w:p>
    <w:p w:rsidR="0053323F" w:rsidRPr="00631E19" w:rsidRDefault="0053323F" w:rsidP="007100B8">
      <w:pPr>
        <w:rPr>
          <w:lang w:val="en-GB"/>
        </w:rPr>
      </w:pPr>
      <w:r w:rsidRPr="00631E19">
        <w:rPr>
          <w:lang w:val="en-GB"/>
        </w:rPr>
        <w:t xml:space="preserve">Very small aperture terminals (VSATs) are earth stations with small diameter antennas that commonly transmit carriers with lower </w:t>
      </w:r>
      <w:proofErr w:type="spellStart"/>
      <w:r w:rsidRPr="00631E19">
        <w:rPr>
          <w:lang w:val="en-GB"/>
        </w:rPr>
        <w:t>e.i.r.p</w:t>
      </w:r>
      <w:proofErr w:type="spellEnd"/>
      <w:r w:rsidRPr="00631E19">
        <w:rPr>
          <w:lang w:val="en-GB"/>
        </w:rPr>
        <w:t xml:space="preserve">. densities and smaller bandwidths. Transmissions were considered VSAT transmissions if the transmitting earth station was less than 3 m in diameter and the bandwidth was less than 3 </w:t>
      </w:r>
      <w:proofErr w:type="spellStart"/>
      <w:r w:rsidRPr="00631E19">
        <w:rPr>
          <w:lang w:val="en-GB"/>
        </w:rPr>
        <w:t>MHz.</w:t>
      </w:r>
      <w:proofErr w:type="spellEnd"/>
      <w:r w:rsidRPr="00631E19">
        <w:rPr>
          <w:lang w:val="en-GB"/>
        </w:rPr>
        <w:t xml:space="preserve"> Wideband transmissions are typically data or video carriers from hub stations. These stations transmit wideband carriers have large diameters and the ability to transmit higher </w:t>
      </w:r>
      <w:proofErr w:type="spellStart"/>
      <w:r w:rsidRPr="00631E19">
        <w:rPr>
          <w:lang w:val="en-GB"/>
        </w:rPr>
        <w:t>e.i.r.p</w:t>
      </w:r>
      <w:proofErr w:type="spellEnd"/>
      <w:r w:rsidRPr="00631E19">
        <w:rPr>
          <w:lang w:val="en-GB"/>
        </w:rPr>
        <w:t xml:space="preserve">. densities. Any transmission in the sample with a bandwidth of 18 MHz or larger was classified as a wideband transmission. Point-to-point transmissions include all other transmissions that are not VSAT or wideband transmissions. The earth stations transmitting point-to-point links typically have diameters and </w:t>
      </w:r>
      <w:proofErr w:type="spellStart"/>
      <w:r w:rsidRPr="00631E19">
        <w:rPr>
          <w:lang w:val="en-GB"/>
        </w:rPr>
        <w:t>e.i.r.p</w:t>
      </w:r>
      <w:proofErr w:type="spellEnd"/>
      <w:r w:rsidRPr="00631E19">
        <w:rPr>
          <w:lang w:val="en-GB"/>
        </w:rPr>
        <w:t>. densities larger than VSATs but smaller than hub stations transmitting wideband carriers.</w:t>
      </w:r>
    </w:p>
    <w:p w:rsidR="006C030A" w:rsidRPr="00631E19" w:rsidRDefault="0019053E" w:rsidP="003C03E9">
      <w:pPr>
        <w:tabs>
          <w:tab w:val="left" w:pos="0"/>
          <w:tab w:val="left" w:pos="1191"/>
          <w:tab w:val="left" w:pos="1588"/>
          <w:tab w:val="left" w:pos="1985"/>
        </w:tabs>
        <w:spacing w:before="240"/>
        <w:rPr>
          <w:lang w:val="en-GB"/>
        </w:rPr>
      </w:pPr>
      <w:r w:rsidRPr="00631E19">
        <w:rPr>
          <w:iCs/>
          <w:lang w:val="en-GB"/>
        </w:rPr>
        <w:t xml:space="preserve">  </w:t>
      </w:r>
    </w:p>
    <w:p w:rsidR="001727D9" w:rsidRPr="00631E19" w:rsidRDefault="008C65DB" w:rsidP="002C067A">
      <w:pPr>
        <w:pStyle w:val="ListParagraph"/>
        <w:numPr>
          <w:ilvl w:val="1"/>
          <w:numId w:val="14"/>
        </w:numPr>
        <w:tabs>
          <w:tab w:val="left" w:pos="0"/>
          <w:tab w:val="left" w:pos="426"/>
          <w:tab w:val="left" w:pos="1588"/>
          <w:tab w:val="left" w:pos="1985"/>
        </w:tabs>
        <w:spacing w:before="240"/>
        <w:ind w:leftChars="0" w:hanging="1086"/>
        <w:rPr>
          <w:b/>
          <w:iCs/>
          <w:lang w:val="en-GB"/>
        </w:rPr>
      </w:pPr>
      <w:r w:rsidRPr="00631E19">
        <w:rPr>
          <w:b/>
          <w:bCs/>
          <w:iCs/>
          <w:lang w:val="en-GB"/>
        </w:rPr>
        <w:t>FSS characteristics for single entry analysis</w:t>
      </w:r>
    </w:p>
    <w:p w:rsidR="0098467D" w:rsidRPr="00631E19" w:rsidRDefault="001727D9" w:rsidP="006E306F">
      <w:pPr>
        <w:tabs>
          <w:tab w:val="left" w:pos="0"/>
        </w:tabs>
        <w:spacing w:before="240"/>
        <w:rPr>
          <w:lang w:val="en-GB"/>
        </w:rPr>
      </w:pPr>
      <w:r w:rsidRPr="00631E19">
        <w:rPr>
          <w:lang w:val="en-GB"/>
        </w:rPr>
        <w:t xml:space="preserve">Table </w:t>
      </w:r>
      <w:r w:rsidR="0019053E" w:rsidRPr="00631E19">
        <w:rPr>
          <w:lang w:val="en-GB"/>
        </w:rPr>
        <w:t>3</w:t>
      </w:r>
      <w:r w:rsidR="008C65DB" w:rsidRPr="00631E19">
        <w:rPr>
          <w:lang w:val="en-GB"/>
        </w:rPr>
        <w:t xml:space="preserve">-1 contains some typical maximal characteristics for the FSS in the 10-17 GHz band.  </w:t>
      </w:r>
      <w:r w:rsidR="008C65DB" w:rsidRPr="00631E19">
        <w:rPr>
          <w:iCs/>
          <w:lang w:val="en-GB"/>
        </w:rPr>
        <w:t>The impact of each type of antenna should be evaluated individually.</w:t>
      </w:r>
      <w:r w:rsidR="008C65DB" w:rsidRPr="00631E19" w:rsidDel="00AF24EA">
        <w:rPr>
          <w:lang w:val="en-GB"/>
        </w:rPr>
        <w:t xml:space="preserve"> </w:t>
      </w:r>
      <w:r w:rsidR="008C65DB" w:rsidRPr="00631E19">
        <w:rPr>
          <w:lang w:val="en-GB"/>
        </w:rPr>
        <w:t xml:space="preserve"> It includes a sampling of transmitting earth station antenna patterns and characteristics for use in FSS networks. Recommendations ITU-R S.1855, ITU-R S.728 and ITU-R BO.1213 are used for the off-axis antenna pattern or off-axis </w:t>
      </w:r>
      <w:proofErr w:type="spellStart"/>
      <w:r w:rsidR="008C65DB" w:rsidRPr="00631E19">
        <w:rPr>
          <w:lang w:val="en-GB"/>
        </w:rPr>
        <w:t>e.i.r.p</w:t>
      </w:r>
      <w:proofErr w:type="spellEnd"/>
      <w:r w:rsidR="008C65DB" w:rsidRPr="00631E19">
        <w:rPr>
          <w:lang w:val="en-GB"/>
        </w:rPr>
        <w:t>. density mask as appropriate. Recommendation ITU-R BO.1213 is considered primarily for modelling the main lobe characteristics of an FSS earth station antenna.</w:t>
      </w:r>
    </w:p>
    <w:p w:rsidR="008C65DB" w:rsidRPr="00631E19" w:rsidRDefault="000807CA" w:rsidP="002C067A">
      <w:pPr>
        <w:pStyle w:val="TableNo"/>
        <w:spacing w:before="360"/>
        <w:ind w:left="720"/>
      </w:pPr>
      <w:r w:rsidRPr="00631E19">
        <w:t xml:space="preserve">Table </w:t>
      </w:r>
      <w:r w:rsidR="0019053E" w:rsidRPr="00631E19">
        <w:t>3</w:t>
      </w:r>
      <w:r w:rsidR="008C65DB" w:rsidRPr="00631E19">
        <w:t>-1</w:t>
      </w:r>
    </w:p>
    <w:p w:rsidR="0098467D" w:rsidRPr="00631E19" w:rsidRDefault="0098467D" w:rsidP="0098467D">
      <w:pPr>
        <w:pStyle w:val="Tabletitle"/>
        <w:rPr>
          <w:rFonts w:hint="eastAsia"/>
        </w:rPr>
      </w:pPr>
      <w:r w:rsidRPr="00631E19">
        <w:t xml:space="preserve"> Single-Entry chara</w:t>
      </w:r>
      <w:r w:rsidR="00471B26" w:rsidRPr="00631E19">
        <w:t>cteristics for the FSS in the 13</w:t>
      </w:r>
      <w:r w:rsidRPr="00631E19">
        <w:t>-17 GHz band</w:t>
      </w:r>
    </w:p>
    <w:p w:rsidR="008C65DB" w:rsidRPr="00631E19" w:rsidRDefault="008C65DB" w:rsidP="002C067A">
      <w:pPr>
        <w:pStyle w:val="Tabletitle"/>
        <w:ind w:left="720"/>
        <w:rPr>
          <w:rFonts w:hint="eastAsia"/>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tblPr>
      <w:tblGrid>
        <w:gridCol w:w="3951"/>
        <w:gridCol w:w="626"/>
        <w:gridCol w:w="625"/>
        <w:gridCol w:w="625"/>
        <w:gridCol w:w="631"/>
        <w:gridCol w:w="629"/>
        <w:gridCol w:w="628"/>
        <w:gridCol w:w="625"/>
        <w:gridCol w:w="625"/>
        <w:gridCol w:w="625"/>
      </w:tblGrid>
      <w:tr w:rsidR="0098467D" w:rsidRPr="00631E19" w:rsidTr="0098467D">
        <w:trPr>
          <w:jc w:val="center"/>
        </w:trPr>
        <w:tc>
          <w:tcPr>
            <w:tcW w:w="0" w:type="auto"/>
            <w:gridSpan w:val="10"/>
            <w:shd w:val="clear" w:color="auto" w:fill="auto"/>
            <w:vAlign w:val="center"/>
          </w:tcPr>
          <w:p w:rsidR="0098467D" w:rsidRPr="00631E19" w:rsidRDefault="0098467D" w:rsidP="003932F9">
            <w:pPr>
              <w:pStyle w:val="Tabletext"/>
              <w:spacing w:before="0" w:after="0"/>
              <w:jc w:val="center"/>
              <w:rPr>
                <w:b/>
                <w:bCs/>
                <w:lang w:eastAsia="zh-CN"/>
              </w:rPr>
            </w:pPr>
            <w:r w:rsidRPr="00631E19">
              <w:rPr>
                <w:b/>
                <w:bCs/>
                <w:lang w:eastAsia="zh-CN"/>
              </w:rPr>
              <w:t>Satellite</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Transmissions per satellite</w:t>
            </w:r>
            <w:r w:rsidRPr="00631E19">
              <w:rPr>
                <w:rStyle w:val="FootnoteReference"/>
                <w:sz w:val="20"/>
                <w:lang w:eastAsia="zh-CN"/>
              </w:rPr>
              <w:footnoteReference w:id="1"/>
            </w:r>
          </w:p>
        </w:tc>
        <w:tc>
          <w:tcPr>
            <w:tcW w:w="5639" w:type="dxa"/>
            <w:gridSpan w:val="9"/>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355</w:t>
            </w:r>
          </w:p>
        </w:tc>
      </w:tr>
      <w:tr w:rsidR="0098467D" w:rsidRPr="00631E19" w:rsidTr="0098467D">
        <w:trPr>
          <w:jc w:val="center"/>
        </w:trPr>
        <w:tc>
          <w:tcPr>
            <w:tcW w:w="0" w:type="auto"/>
            <w:gridSpan w:val="10"/>
            <w:shd w:val="clear" w:color="auto" w:fill="auto"/>
            <w:vAlign w:val="center"/>
          </w:tcPr>
          <w:p w:rsidR="0098467D" w:rsidRPr="00631E19" w:rsidRDefault="0098467D" w:rsidP="003932F9">
            <w:pPr>
              <w:pStyle w:val="Tabletext"/>
              <w:spacing w:before="0" w:after="0"/>
              <w:jc w:val="center"/>
              <w:rPr>
                <w:b/>
                <w:bCs/>
              </w:rPr>
            </w:pPr>
            <w:r w:rsidRPr="00631E19">
              <w:rPr>
                <w:b/>
                <w:bCs/>
                <w:lang w:eastAsia="zh-CN"/>
              </w:rPr>
              <w:t>Earth station</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Transmission type</w:t>
            </w:r>
          </w:p>
        </w:tc>
        <w:tc>
          <w:tcPr>
            <w:tcW w:w="1876"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VSAT</w:t>
            </w:r>
          </w:p>
        </w:tc>
        <w:tc>
          <w:tcPr>
            <w:tcW w:w="1888"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Wideband</w:t>
            </w:r>
          </w:p>
        </w:tc>
        <w:tc>
          <w:tcPr>
            <w:tcW w:w="1875"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Point-to-Point</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 xml:space="preserve">Percentage of total satellite transmissions </w:t>
            </w:r>
          </w:p>
        </w:tc>
        <w:tc>
          <w:tcPr>
            <w:tcW w:w="1876" w:type="dxa"/>
            <w:gridSpan w:val="3"/>
            <w:shd w:val="clear" w:color="auto" w:fill="auto"/>
            <w:vAlign w:val="center"/>
          </w:tcPr>
          <w:p w:rsidR="0098467D" w:rsidRPr="00631E19" w:rsidRDefault="0098467D" w:rsidP="003932F9">
            <w:pPr>
              <w:pStyle w:val="Tabletext"/>
              <w:keepLines/>
              <w:tabs>
                <w:tab w:val="left" w:leader="dot" w:pos="7938"/>
                <w:tab w:val="center" w:pos="9526"/>
              </w:tabs>
              <w:spacing w:before="0" w:after="0"/>
              <w:ind w:left="567" w:hanging="567"/>
              <w:jc w:val="center"/>
              <w:rPr>
                <w:lang w:eastAsia="zh-CN"/>
              </w:rPr>
            </w:pPr>
            <w:r w:rsidRPr="00631E19">
              <w:rPr>
                <w:lang w:eastAsia="zh-CN"/>
              </w:rPr>
              <w:t>69.3</w:t>
            </w:r>
          </w:p>
        </w:tc>
        <w:tc>
          <w:tcPr>
            <w:tcW w:w="1888" w:type="dxa"/>
            <w:gridSpan w:val="3"/>
            <w:shd w:val="clear" w:color="auto" w:fill="auto"/>
            <w:vAlign w:val="center"/>
          </w:tcPr>
          <w:p w:rsidR="0098467D" w:rsidRPr="00631E19" w:rsidRDefault="0098467D" w:rsidP="003932F9">
            <w:pPr>
              <w:pStyle w:val="Tabletext"/>
              <w:keepLines/>
              <w:tabs>
                <w:tab w:val="left" w:leader="dot" w:pos="7938"/>
                <w:tab w:val="center" w:pos="9526"/>
              </w:tabs>
              <w:spacing w:before="0" w:after="0"/>
              <w:ind w:left="567" w:hanging="567"/>
              <w:jc w:val="center"/>
              <w:rPr>
                <w:lang w:eastAsia="zh-CN"/>
              </w:rPr>
            </w:pPr>
            <w:r w:rsidRPr="00631E19">
              <w:rPr>
                <w:lang w:eastAsia="zh-CN"/>
              </w:rPr>
              <w:t>4.9</w:t>
            </w:r>
          </w:p>
        </w:tc>
        <w:tc>
          <w:tcPr>
            <w:tcW w:w="1875" w:type="dxa"/>
            <w:gridSpan w:val="3"/>
            <w:shd w:val="clear" w:color="auto" w:fill="auto"/>
            <w:vAlign w:val="center"/>
          </w:tcPr>
          <w:p w:rsidR="0098467D" w:rsidRPr="00631E19" w:rsidRDefault="0098467D" w:rsidP="003932F9">
            <w:pPr>
              <w:pStyle w:val="Tabletext"/>
              <w:keepLines/>
              <w:tabs>
                <w:tab w:val="left" w:leader="dot" w:pos="7938"/>
                <w:tab w:val="center" w:pos="9526"/>
              </w:tabs>
              <w:spacing w:before="0" w:after="0"/>
              <w:ind w:left="567" w:hanging="567"/>
              <w:jc w:val="center"/>
              <w:rPr>
                <w:lang w:eastAsia="zh-CN"/>
              </w:rPr>
            </w:pPr>
            <w:r w:rsidRPr="00631E19">
              <w:rPr>
                <w:lang w:eastAsia="zh-CN"/>
              </w:rPr>
              <w:t>25.8</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pPr>
            <w:r w:rsidRPr="00631E19">
              <w:t>Range of peak antenna gains</w:t>
            </w:r>
            <w:r w:rsidRPr="00631E19">
              <w:rPr>
                <w:rStyle w:val="FootnoteReference"/>
                <w:sz w:val="20"/>
              </w:rPr>
              <w:footnoteReference w:id="2"/>
            </w:r>
            <w:r w:rsidRPr="00631E19">
              <w:t xml:space="preserve"> (</w:t>
            </w:r>
            <w:proofErr w:type="spellStart"/>
            <w:r w:rsidRPr="00631E19">
              <w:t>dBi</w:t>
            </w:r>
            <w:proofErr w:type="spellEnd"/>
            <w:r w:rsidRPr="00631E19">
              <w:t>)</w:t>
            </w:r>
          </w:p>
        </w:tc>
        <w:tc>
          <w:tcPr>
            <w:tcW w:w="1876" w:type="dxa"/>
            <w:gridSpan w:val="3"/>
            <w:shd w:val="clear" w:color="auto" w:fill="auto"/>
            <w:vAlign w:val="center"/>
          </w:tcPr>
          <w:p w:rsidR="0098467D" w:rsidRPr="00631E19" w:rsidRDefault="0098467D" w:rsidP="003932F9">
            <w:pPr>
              <w:pStyle w:val="Tabletext"/>
              <w:jc w:val="center"/>
            </w:pPr>
            <w:r w:rsidRPr="00631E19">
              <w:t>37.2-50.5</w:t>
            </w:r>
          </w:p>
        </w:tc>
        <w:tc>
          <w:tcPr>
            <w:tcW w:w="1888" w:type="dxa"/>
            <w:gridSpan w:val="3"/>
            <w:shd w:val="clear" w:color="auto" w:fill="auto"/>
            <w:vAlign w:val="center"/>
          </w:tcPr>
          <w:p w:rsidR="0098467D" w:rsidRPr="00631E19" w:rsidRDefault="0098467D" w:rsidP="003932F9">
            <w:pPr>
              <w:pStyle w:val="Tabletext"/>
              <w:jc w:val="center"/>
            </w:pPr>
            <w:r w:rsidRPr="00631E19">
              <w:t>51.7-60.8</w:t>
            </w:r>
          </w:p>
        </w:tc>
        <w:tc>
          <w:tcPr>
            <w:tcW w:w="1875" w:type="dxa"/>
            <w:gridSpan w:val="3"/>
            <w:shd w:val="clear" w:color="auto" w:fill="auto"/>
            <w:vAlign w:val="center"/>
          </w:tcPr>
          <w:p w:rsidR="0098467D" w:rsidRPr="00631E19" w:rsidRDefault="0098467D" w:rsidP="003932F9">
            <w:pPr>
              <w:pStyle w:val="Tabletext"/>
              <w:jc w:val="center"/>
            </w:pPr>
            <w:r w:rsidRPr="00631E19">
              <w:t>43.9-57.2</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pPr>
            <w:r w:rsidRPr="00631E19">
              <w:t>Range of antenna sizes (m)</w:t>
            </w:r>
          </w:p>
        </w:tc>
        <w:tc>
          <w:tcPr>
            <w:tcW w:w="1876" w:type="dxa"/>
            <w:gridSpan w:val="3"/>
            <w:shd w:val="clear" w:color="auto" w:fill="auto"/>
            <w:vAlign w:val="center"/>
          </w:tcPr>
          <w:p w:rsidR="0098467D" w:rsidRPr="00631E19" w:rsidRDefault="0098467D" w:rsidP="003932F9">
            <w:pPr>
              <w:pStyle w:val="Tabletext"/>
              <w:jc w:val="center"/>
            </w:pPr>
            <w:r w:rsidRPr="00631E19">
              <w:t>0.6-2.8</w:t>
            </w:r>
          </w:p>
        </w:tc>
        <w:tc>
          <w:tcPr>
            <w:tcW w:w="1888" w:type="dxa"/>
            <w:gridSpan w:val="3"/>
            <w:shd w:val="clear" w:color="auto" w:fill="auto"/>
            <w:vAlign w:val="center"/>
          </w:tcPr>
          <w:p w:rsidR="0098467D" w:rsidRPr="00631E19" w:rsidRDefault="0098467D" w:rsidP="003932F9">
            <w:pPr>
              <w:pStyle w:val="Tabletext"/>
              <w:jc w:val="center"/>
            </w:pPr>
            <w:r w:rsidRPr="00631E19">
              <w:t>3.2-9.1</w:t>
            </w:r>
          </w:p>
        </w:tc>
        <w:tc>
          <w:tcPr>
            <w:tcW w:w="1875" w:type="dxa"/>
            <w:gridSpan w:val="3"/>
            <w:shd w:val="clear" w:color="auto" w:fill="auto"/>
            <w:vAlign w:val="center"/>
          </w:tcPr>
          <w:p w:rsidR="0098467D" w:rsidRPr="00631E19" w:rsidRDefault="0098467D" w:rsidP="003932F9">
            <w:pPr>
              <w:pStyle w:val="Tabletext"/>
              <w:jc w:val="center"/>
            </w:pPr>
            <w:r w:rsidRPr="00631E19">
              <w:t>1.3-6.0</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 xml:space="preserve">3 dB </w:t>
            </w:r>
            <w:proofErr w:type="spellStart"/>
            <w:r w:rsidRPr="00631E19">
              <w:rPr>
                <w:lang w:eastAsia="zh-CN"/>
              </w:rPr>
              <w:t>beamwidth</w:t>
            </w:r>
            <w:proofErr w:type="spellEnd"/>
            <w:r w:rsidRPr="00631E19">
              <w:rPr>
                <w:lang w:eastAsia="zh-CN"/>
              </w:rPr>
              <w:t xml:space="preserve"> at 14 GHz</w:t>
            </w:r>
            <w:r w:rsidRPr="00631E19">
              <w:rPr>
                <w:rStyle w:val="FootnoteReference"/>
                <w:sz w:val="20"/>
              </w:rPr>
              <w:footnoteReference w:id="3"/>
            </w:r>
            <w:r w:rsidRPr="00631E19">
              <w:rPr>
                <w:lang w:eastAsia="zh-CN"/>
              </w:rPr>
              <w:t xml:space="preserve"> (°)</w:t>
            </w:r>
          </w:p>
        </w:tc>
        <w:tc>
          <w:tcPr>
            <w:tcW w:w="1876"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1.15</w:t>
            </w:r>
          </w:p>
        </w:tc>
        <w:tc>
          <w:tcPr>
            <w:tcW w:w="1888"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0.85</w:t>
            </w:r>
          </w:p>
        </w:tc>
        <w:tc>
          <w:tcPr>
            <w:tcW w:w="1875"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0.74</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lastRenderedPageBreak/>
              <w:t>Maximum power spectral density at antenna port (</w:t>
            </w:r>
            <w:proofErr w:type="spellStart"/>
            <w:r w:rsidRPr="00631E19">
              <w:rPr>
                <w:lang w:eastAsia="zh-CN"/>
              </w:rPr>
              <w:t>dBW</w:t>
            </w:r>
            <w:proofErr w:type="spellEnd"/>
            <w:r w:rsidRPr="00631E19">
              <w:rPr>
                <w:lang w:eastAsia="zh-CN"/>
              </w:rPr>
              <w:t>/Hz)</w:t>
            </w:r>
          </w:p>
        </w:tc>
        <w:tc>
          <w:tcPr>
            <w:tcW w:w="1876" w:type="dxa"/>
            <w:gridSpan w:val="3"/>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–42</w:t>
            </w:r>
            <w:r w:rsidRPr="00631E19">
              <w:rPr>
                <w:rStyle w:val="FootnoteReference"/>
                <w:sz w:val="20"/>
                <w:lang w:eastAsia="zh-CN"/>
              </w:rPr>
              <w:footnoteReference w:id="4"/>
            </w:r>
          </w:p>
        </w:tc>
        <w:tc>
          <w:tcPr>
            <w:tcW w:w="1888" w:type="dxa"/>
            <w:gridSpan w:val="3"/>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–49</w:t>
            </w:r>
          </w:p>
        </w:tc>
        <w:tc>
          <w:tcPr>
            <w:tcW w:w="1875" w:type="dxa"/>
            <w:gridSpan w:val="3"/>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–50</w:t>
            </w:r>
            <w:r w:rsidRPr="00631E19">
              <w:rPr>
                <w:rStyle w:val="FootnoteReference"/>
                <w:sz w:val="20"/>
                <w:lang w:eastAsia="zh-CN"/>
              </w:rPr>
              <w:footnoteReference w:id="5"/>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Alternative maximum power spectral density at antenna port (</w:t>
            </w:r>
            <w:proofErr w:type="spellStart"/>
            <w:r w:rsidRPr="00631E19">
              <w:rPr>
                <w:lang w:eastAsia="zh-CN"/>
              </w:rPr>
              <w:t>dBW</w:t>
            </w:r>
            <w:proofErr w:type="spellEnd"/>
            <w:r w:rsidRPr="00631E19">
              <w:rPr>
                <w:lang w:eastAsia="zh-CN"/>
              </w:rPr>
              <w:t>/Hz)</w:t>
            </w:r>
            <w:r w:rsidRPr="00631E19">
              <w:rPr>
                <w:rStyle w:val="FootnoteReference"/>
                <w:sz w:val="20"/>
                <w:lang w:eastAsia="zh-CN"/>
              </w:rPr>
              <w:t xml:space="preserve"> </w:t>
            </w:r>
            <w:r w:rsidRPr="00631E19">
              <w:rPr>
                <w:rStyle w:val="FootnoteReference"/>
                <w:sz w:val="20"/>
                <w:lang w:eastAsia="zh-CN"/>
              </w:rPr>
              <w:footnoteReference w:id="6"/>
            </w:r>
          </w:p>
        </w:tc>
        <w:tc>
          <w:tcPr>
            <w:tcW w:w="626"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–59</w:t>
            </w:r>
          </w:p>
        </w:tc>
        <w:tc>
          <w:tcPr>
            <w:tcW w:w="625"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–55</w:t>
            </w:r>
          </w:p>
        </w:tc>
        <w:tc>
          <w:tcPr>
            <w:tcW w:w="625"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–50</w:t>
            </w:r>
          </w:p>
        </w:tc>
        <w:tc>
          <w:tcPr>
            <w:tcW w:w="631"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–60</w:t>
            </w:r>
          </w:p>
        </w:tc>
        <w:tc>
          <w:tcPr>
            <w:tcW w:w="629"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–57</w:t>
            </w:r>
          </w:p>
        </w:tc>
        <w:tc>
          <w:tcPr>
            <w:tcW w:w="628"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–53</w:t>
            </w:r>
          </w:p>
        </w:tc>
        <w:tc>
          <w:tcPr>
            <w:tcW w:w="625"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–60</w:t>
            </w:r>
          </w:p>
        </w:tc>
        <w:tc>
          <w:tcPr>
            <w:tcW w:w="625"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–57</w:t>
            </w:r>
          </w:p>
        </w:tc>
        <w:tc>
          <w:tcPr>
            <w:tcW w:w="625" w:type="dxa"/>
            <w:shd w:val="clear" w:color="auto" w:fill="auto"/>
            <w:tcMar>
              <w:left w:w="28" w:type="dxa"/>
              <w:right w:w="28" w:type="dxa"/>
            </w:tcMar>
            <w:vAlign w:val="center"/>
          </w:tcPr>
          <w:p w:rsidR="0098467D" w:rsidRPr="00631E19" w:rsidRDefault="0098467D" w:rsidP="003932F9">
            <w:pPr>
              <w:pStyle w:val="Tabletext"/>
              <w:spacing w:before="0" w:after="0"/>
              <w:jc w:val="center"/>
              <w:rPr>
                <w:lang w:eastAsia="zh-CN"/>
              </w:rPr>
            </w:pPr>
            <w:r w:rsidRPr="00631E19">
              <w:rPr>
                <w:lang w:eastAsia="zh-CN"/>
              </w:rPr>
              <w:t>–53</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 xml:space="preserve">Maximum </w:t>
            </w:r>
            <w:proofErr w:type="spellStart"/>
            <w:r w:rsidRPr="00631E19">
              <w:rPr>
                <w:lang w:eastAsia="zh-CN"/>
              </w:rPr>
              <w:t>e.i.r.p</w:t>
            </w:r>
            <w:proofErr w:type="spellEnd"/>
            <w:r w:rsidRPr="00631E19">
              <w:rPr>
                <w:lang w:eastAsia="zh-CN"/>
              </w:rPr>
              <w:t>. density at the transmit antenna port (</w:t>
            </w:r>
            <w:proofErr w:type="spellStart"/>
            <w:r w:rsidRPr="00631E19">
              <w:rPr>
                <w:lang w:eastAsia="zh-CN"/>
              </w:rPr>
              <w:t>dBW</w:t>
            </w:r>
            <w:proofErr w:type="spellEnd"/>
            <w:r w:rsidRPr="00631E19">
              <w:rPr>
                <w:lang w:eastAsia="zh-CN"/>
              </w:rPr>
              <w:t>/Hz)</w:t>
            </w:r>
            <w:r w:rsidRPr="00631E19">
              <w:rPr>
                <w:rStyle w:val="FootnoteReference"/>
                <w:sz w:val="20"/>
                <w:lang w:eastAsia="zh-CN"/>
              </w:rPr>
              <w:footnoteReference w:id="7"/>
            </w:r>
          </w:p>
        </w:tc>
        <w:tc>
          <w:tcPr>
            <w:tcW w:w="1876" w:type="dxa"/>
            <w:gridSpan w:val="3"/>
            <w:shd w:val="clear" w:color="auto" w:fill="auto"/>
            <w:vAlign w:val="center"/>
          </w:tcPr>
          <w:p w:rsidR="0098467D" w:rsidRPr="00631E19" w:rsidRDefault="0098467D" w:rsidP="003932F9">
            <w:pPr>
              <w:pStyle w:val="Tabletext"/>
              <w:keepLines/>
              <w:tabs>
                <w:tab w:val="left" w:leader="dot" w:pos="7938"/>
                <w:tab w:val="center" w:pos="9526"/>
              </w:tabs>
              <w:spacing w:before="0" w:after="0"/>
              <w:ind w:left="567" w:hanging="567"/>
              <w:jc w:val="center"/>
              <w:rPr>
                <w:lang w:eastAsia="zh-CN"/>
              </w:rPr>
            </w:pPr>
            <w:r w:rsidRPr="00631E19">
              <w:rPr>
                <w:lang w:eastAsia="zh-CN"/>
              </w:rPr>
              <w:t>1.5</w:t>
            </w:r>
          </w:p>
        </w:tc>
        <w:tc>
          <w:tcPr>
            <w:tcW w:w="1888" w:type="dxa"/>
            <w:gridSpan w:val="3"/>
            <w:shd w:val="clear" w:color="auto" w:fill="auto"/>
            <w:vAlign w:val="center"/>
          </w:tcPr>
          <w:p w:rsidR="0098467D" w:rsidRPr="00631E19" w:rsidRDefault="0098467D" w:rsidP="003932F9">
            <w:pPr>
              <w:pStyle w:val="Tabletext"/>
              <w:keepLines/>
              <w:tabs>
                <w:tab w:val="left" w:leader="dot" w:pos="7938"/>
                <w:tab w:val="center" w:pos="9526"/>
              </w:tabs>
              <w:spacing w:before="0" w:after="0"/>
              <w:ind w:left="567" w:hanging="567"/>
              <w:jc w:val="center"/>
              <w:rPr>
                <w:lang w:eastAsia="zh-CN"/>
              </w:rPr>
            </w:pPr>
            <w:r w:rsidRPr="00631E19">
              <w:rPr>
                <w:lang w:eastAsia="zh-CN"/>
              </w:rPr>
              <w:t>3.0</w:t>
            </w:r>
          </w:p>
        </w:tc>
        <w:tc>
          <w:tcPr>
            <w:tcW w:w="1875" w:type="dxa"/>
            <w:gridSpan w:val="3"/>
            <w:shd w:val="clear" w:color="auto" w:fill="auto"/>
            <w:vAlign w:val="center"/>
          </w:tcPr>
          <w:p w:rsidR="0098467D" w:rsidRPr="00631E19" w:rsidRDefault="0098467D" w:rsidP="003932F9">
            <w:pPr>
              <w:pStyle w:val="Tabletext"/>
              <w:keepLines/>
              <w:tabs>
                <w:tab w:val="left" w:leader="dot" w:pos="7938"/>
                <w:tab w:val="center" w:pos="9526"/>
              </w:tabs>
              <w:spacing w:before="0" w:after="0"/>
              <w:ind w:left="567" w:hanging="567"/>
              <w:jc w:val="center"/>
              <w:rPr>
                <w:lang w:eastAsia="zh-CN"/>
              </w:rPr>
            </w:pPr>
            <w:r w:rsidRPr="00631E19">
              <w:rPr>
                <w:lang w:eastAsia="zh-CN"/>
              </w:rPr>
              <w:t>3.5</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Minimum elevation angle</w:t>
            </w:r>
          </w:p>
        </w:tc>
        <w:tc>
          <w:tcPr>
            <w:tcW w:w="5639" w:type="dxa"/>
            <w:gridSpan w:val="9"/>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10°</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Off-axis radiation pattern</w:t>
            </w:r>
          </w:p>
        </w:tc>
        <w:tc>
          <w:tcPr>
            <w:tcW w:w="1876"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S.1855</w:t>
            </w:r>
          </w:p>
        </w:tc>
        <w:tc>
          <w:tcPr>
            <w:tcW w:w="1888"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S.580</w:t>
            </w:r>
          </w:p>
        </w:tc>
        <w:tc>
          <w:tcPr>
            <w:tcW w:w="1875" w:type="dxa"/>
            <w:gridSpan w:val="3"/>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S.580</w:t>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Off-axis power limits</w:t>
            </w:r>
          </w:p>
        </w:tc>
        <w:tc>
          <w:tcPr>
            <w:tcW w:w="5639" w:type="dxa"/>
            <w:gridSpan w:val="9"/>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Rec. ITU-R S.728</w:t>
            </w:r>
            <w:r w:rsidRPr="00631E19">
              <w:rPr>
                <w:rStyle w:val="FootnoteReference"/>
                <w:sz w:val="20"/>
                <w:lang w:eastAsia="zh-CN"/>
              </w:rPr>
              <w:footnoteReference w:id="8"/>
            </w:r>
          </w:p>
        </w:tc>
      </w:tr>
      <w:tr w:rsidR="0098467D" w:rsidRPr="00631E19" w:rsidTr="0098467D">
        <w:trPr>
          <w:jc w:val="center"/>
        </w:trPr>
        <w:tc>
          <w:tcPr>
            <w:tcW w:w="3951" w:type="dxa"/>
            <w:shd w:val="clear" w:color="auto" w:fill="auto"/>
            <w:vAlign w:val="center"/>
          </w:tcPr>
          <w:p w:rsidR="0098467D" w:rsidRPr="00631E19" w:rsidRDefault="0098467D" w:rsidP="003932F9">
            <w:pPr>
              <w:pStyle w:val="Tabletext"/>
              <w:spacing w:before="0" w:after="0"/>
              <w:rPr>
                <w:lang w:eastAsia="zh-CN"/>
              </w:rPr>
            </w:pPr>
            <w:r w:rsidRPr="00631E19">
              <w:rPr>
                <w:lang w:eastAsia="zh-CN"/>
              </w:rPr>
              <w:t>Main lobe characteristics</w:t>
            </w:r>
          </w:p>
        </w:tc>
        <w:tc>
          <w:tcPr>
            <w:tcW w:w="5639" w:type="dxa"/>
            <w:gridSpan w:val="9"/>
            <w:shd w:val="clear" w:color="auto" w:fill="auto"/>
            <w:vAlign w:val="center"/>
          </w:tcPr>
          <w:p w:rsidR="0098467D" w:rsidRPr="00631E19" w:rsidRDefault="0098467D" w:rsidP="003932F9">
            <w:pPr>
              <w:pStyle w:val="Tabletext"/>
              <w:spacing w:before="0" w:after="0"/>
              <w:jc w:val="center"/>
              <w:rPr>
                <w:lang w:eastAsia="zh-CN"/>
              </w:rPr>
            </w:pPr>
            <w:r w:rsidRPr="00631E19">
              <w:rPr>
                <w:lang w:eastAsia="zh-CN"/>
              </w:rPr>
              <w:t>Rec. ITU-R BO.1213</w:t>
            </w:r>
          </w:p>
        </w:tc>
      </w:tr>
    </w:tbl>
    <w:p w:rsidR="00AF3171" w:rsidRPr="00631E19" w:rsidRDefault="00AF3171" w:rsidP="002C067A">
      <w:pPr>
        <w:tabs>
          <w:tab w:val="left" w:pos="0"/>
          <w:tab w:val="left" w:pos="1191"/>
          <w:tab w:val="left" w:pos="1588"/>
          <w:tab w:val="left" w:pos="1985"/>
        </w:tabs>
        <w:spacing w:before="240"/>
        <w:rPr>
          <w:lang w:val="en-GB"/>
        </w:rPr>
      </w:pPr>
    </w:p>
    <w:p w:rsidR="00AF3171" w:rsidRPr="00631E19" w:rsidRDefault="008C65DB" w:rsidP="002C067A">
      <w:pPr>
        <w:pStyle w:val="ListParagraph"/>
        <w:numPr>
          <w:ilvl w:val="1"/>
          <w:numId w:val="14"/>
        </w:numPr>
        <w:tabs>
          <w:tab w:val="left" w:pos="0"/>
          <w:tab w:val="left" w:pos="426"/>
          <w:tab w:val="left" w:pos="1588"/>
          <w:tab w:val="left" w:pos="1985"/>
        </w:tabs>
        <w:spacing w:before="240"/>
        <w:ind w:leftChars="0" w:hanging="1086"/>
        <w:rPr>
          <w:lang w:val="en-GB"/>
        </w:rPr>
      </w:pPr>
      <w:r w:rsidRPr="00631E19">
        <w:rPr>
          <w:b/>
          <w:lang w:val="en-GB"/>
        </w:rPr>
        <w:t>FSS (Earth-to-space) characteristics for cumulative analysis</w:t>
      </w:r>
    </w:p>
    <w:p w:rsidR="0072045F" w:rsidRPr="00631E19" w:rsidRDefault="00AF3171" w:rsidP="002C067A">
      <w:pPr>
        <w:tabs>
          <w:tab w:val="left" w:pos="0"/>
        </w:tabs>
        <w:spacing w:before="240"/>
        <w:rPr>
          <w:lang w:val="en-GB"/>
        </w:rPr>
      </w:pPr>
      <w:r w:rsidRPr="00631E19">
        <w:rPr>
          <w:lang w:val="en-GB"/>
        </w:rPr>
        <w:t xml:space="preserve">Table </w:t>
      </w:r>
      <w:r w:rsidR="0019053E" w:rsidRPr="00631E19">
        <w:rPr>
          <w:lang w:val="en-GB"/>
        </w:rPr>
        <w:t>3</w:t>
      </w:r>
      <w:r w:rsidR="008C65DB" w:rsidRPr="00631E19">
        <w:rPr>
          <w:lang w:val="en-GB"/>
        </w:rPr>
        <w:t xml:space="preserve">-2 provides the antenna diameter sizes to be considered as well as the average bandwidths, the percentages of the total transponder bandwidth consumed by the global deployment, and average power density of the particular ES diameter. The total transponder bandwidth of the system operator was examined to determine how much of the total bandwidth was used by a certain size of Earth station.  These numbers were provided by two FSS providers as being representative for their global networks. These numbers are subject to further review. </w:t>
      </w:r>
    </w:p>
    <w:p w:rsidR="008C65DB" w:rsidRPr="00631E19" w:rsidRDefault="00AF3171" w:rsidP="002C067A">
      <w:pPr>
        <w:pStyle w:val="TableNo"/>
        <w:spacing w:before="360"/>
      </w:pPr>
      <w:r w:rsidRPr="00631E19">
        <w:t xml:space="preserve">Table </w:t>
      </w:r>
      <w:r w:rsidR="0019053E" w:rsidRPr="00631E19">
        <w:t>3</w:t>
      </w:r>
      <w:r w:rsidR="008C65DB" w:rsidRPr="00631E19">
        <w:t>-2</w:t>
      </w:r>
    </w:p>
    <w:p w:rsidR="008C65DB" w:rsidRPr="00631E19" w:rsidRDefault="008C65DB" w:rsidP="002C067A">
      <w:pPr>
        <w:pStyle w:val="Tabletitle"/>
        <w:ind w:left="720"/>
        <w:rPr>
          <w:rFonts w:hint="eastAsia"/>
        </w:rPr>
      </w:pPr>
      <w:r w:rsidRPr="00631E19">
        <w:t xml:space="preserve">Typical characteristics for the FSS (Earth-to-space) in the </w:t>
      </w:r>
      <w:r w:rsidR="00471B26" w:rsidRPr="00631E19">
        <w:t>13</w:t>
      </w:r>
      <w:r w:rsidRPr="00631E19">
        <w:t>-17 GHz band</w:t>
      </w:r>
    </w:p>
    <w:tbl>
      <w:tblPr>
        <w:tblW w:w="9464" w:type="dxa"/>
        <w:tblLook w:val="04A0"/>
      </w:tblPr>
      <w:tblGrid>
        <w:gridCol w:w="1902"/>
        <w:gridCol w:w="1901"/>
        <w:gridCol w:w="1692"/>
        <w:gridCol w:w="1984"/>
        <w:gridCol w:w="1985"/>
      </w:tblGrid>
      <w:tr w:rsidR="003E3543" w:rsidRPr="00631E19" w:rsidTr="007100B8">
        <w:trPr>
          <w:cantSplit/>
        </w:trPr>
        <w:tc>
          <w:tcPr>
            <w:tcW w:w="3803" w:type="dxa"/>
            <w:gridSpan w:val="2"/>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b/>
                <w:lang w:eastAsia="zh-CN"/>
              </w:rPr>
            </w:pPr>
            <w:r w:rsidRPr="00631E19">
              <w:rPr>
                <w:b/>
                <w:lang w:eastAsia="zh-CN"/>
              </w:rPr>
              <w:t>Transmission type</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b/>
                <w:lang w:eastAsia="zh-CN"/>
              </w:rPr>
            </w:pPr>
            <w:r w:rsidRPr="00631E19">
              <w:rPr>
                <w:b/>
                <w:lang w:eastAsia="zh-CN"/>
              </w:rPr>
              <w:t>VSAT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b/>
                <w:lang w:eastAsia="zh-CN"/>
              </w:rPr>
            </w:pPr>
            <w:r w:rsidRPr="00631E19">
              <w:rPr>
                <w:b/>
                <w:lang w:eastAsia="zh-CN"/>
              </w:rPr>
              <w:t>Wideband</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b/>
                <w:lang w:eastAsia="zh-CN"/>
              </w:rPr>
            </w:pPr>
            <w:r w:rsidRPr="00631E19">
              <w:rPr>
                <w:b/>
                <w:lang w:eastAsia="zh-CN"/>
              </w:rPr>
              <w:t>Point-to-Point</w:t>
            </w:r>
          </w:p>
        </w:tc>
      </w:tr>
      <w:tr w:rsidR="003E3543" w:rsidRPr="00631E19" w:rsidTr="007100B8">
        <w:trPr>
          <w:cantSplit/>
        </w:trPr>
        <w:tc>
          <w:tcPr>
            <w:tcW w:w="3803" w:type="dxa"/>
            <w:gridSpan w:val="2"/>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Number of transmissions in the FSS model</w:t>
            </w:r>
            <w:r w:rsidRPr="00631E19">
              <w:rPr>
                <w:rStyle w:val="FootnoteReference"/>
              </w:rPr>
              <w:footnoteReference w:id="9"/>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17 982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1 258</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6 697</w:t>
            </w:r>
          </w:p>
        </w:tc>
      </w:tr>
      <w:tr w:rsidR="003E3543" w:rsidRPr="00631E19" w:rsidTr="007100B8">
        <w:trPr>
          <w:cantSplit/>
        </w:trPr>
        <w:tc>
          <w:tcPr>
            <w:tcW w:w="3803" w:type="dxa"/>
            <w:gridSpan w:val="2"/>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Average bandwidth of transmission (MHz)</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0.58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30.84</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2.94</w:t>
            </w:r>
          </w:p>
        </w:tc>
      </w:tr>
      <w:tr w:rsidR="003E3543" w:rsidRPr="00631E19" w:rsidTr="007100B8">
        <w:trPr>
          <w:cantSplit/>
        </w:trPr>
        <w:tc>
          <w:tcPr>
            <w:tcW w:w="3803" w:type="dxa"/>
            <w:gridSpan w:val="2"/>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rPr>
                <w:lang w:eastAsia="zh-CN"/>
              </w:rPr>
            </w:pPr>
            <w:r w:rsidRPr="00631E19">
              <w:rPr>
                <w:lang w:eastAsia="zh-CN"/>
              </w:rPr>
              <w:lastRenderedPageBreak/>
              <w:t xml:space="preserve">Total </w:t>
            </w:r>
            <w:r w:rsidRPr="00631E19">
              <w:rPr>
                <w:b/>
                <w:lang w:eastAsia="zh-CN"/>
              </w:rPr>
              <w:t>s</w:t>
            </w:r>
            <w:r w:rsidRPr="00631E19">
              <w:rPr>
                <w:lang w:eastAsia="zh-CN"/>
              </w:rPr>
              <w:t xml:space="preserve">pectrum </w:t>
            </w:r>
            <w:r w:rsidRPr="00631E19">
              <w:rPr>
                <w:bCs/>
                <w:lang w:eastAsia="zh-CN"/>
              </w:rPr>
              <w:t>u</w:t>
            </w:r>
            <w:r w:rsidRPr="00631E19">
              <w:rPr>
                <w:lang w:eastAsia="zh-CN"/>
              </w:rPr>
              <w:t>sage</w:t>
            </w:r>
            <w:r w:rsidRPr="00631E19">
              <w:rPr>
                <w:b/>
                <w:lang w:eastAsia="zh-CN"/>
              </w:rPr>
              <w:t xml:space="preserve"> </w:t>
            </w:r>
            <w:r w:rsidRPr="00631E19">
              <w:rPr>
                <w:bCs/>
                <w:lang w:eastAsia="zh-CN"/>
              </w:rPr>
              <w:t>(MHz)</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10 440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38 801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19 072</w:t>
            </w:r>
          </w:p>
        </w:tc>
      </w:tr>
      <w:tr w:rsidR="003E3543" w:rsidRPr="00631E19" w:rsidTr="007100B8">
        <w:trPr>
          <w:cantSplit/>
        </w:trPr>
        <w:tc>
          <w:tcPr>
            <w:tcW w:w="3803" w:type="dxa"/>
            <w:gridSpan w:val="2"/>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rPr>
                <w:lang w:eastAsia="zh-CN"/>
              </w:rPr>
            </w:pPr>
            <w:r w:rsidRPr="00631E19">
              <w:rPr>
                <w:lang w:eastAsia="zh-CN"/>
              </w:rPr>
              <w:t>Percentage of spectrum usage (%)</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15.28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56.80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27.92</w:t>
            </w:r>
          </w:p>
        </w:tc>
      </w:tr>
      <w:tr w:rsidR="003E3543" w:rsidRPr="00631E19" w:rsidTr="007100B8">
        <w:trPr>
          <w:cantSplit/>
        </w:trPr>
        <w:tc>
          <w:tcPr>
            <w:tcW w:w="190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PSD@ antenna port (</w:t>
            </w:r>
            <w:proofErr w:type="spellStart"/>
            <w:r w:rsidRPr="00631E19">
              <w:rPr>
                <w:lang w:eastAsia="zh-CN"/>
              </w:rPr>
              <w:t>dBW</w:t>
            </w:r>
            <w:proofErr w:type="spellEnd"/>
            <w:r w:rsidRPr="00631E19">
              <w:rPr>
                <w:lang w:eastAsia="zh-CN"/>
              </w:rPr>
              <w:t>/Hz)</w:t>
            </w:r>
          </w:p>
        </w:tc>
        <w:tc>
          <w:tcPr>
            <w:tcW w:w="1901"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head"/>
              <w:rPr>
                <w:lang w:eastAsia="zh-CN"/>
              </w:rPr>
            </w:pPr>
            <w:r w:rsidRPr="00631E19">
              <w:rPr>
                <w:b w:val="0"/>
                <w:lang w:eastAsia="zh-CN"/>
              </w:rPr>
              <w:t xml:space="preserve">Mean of peak envelope power density </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–54.19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–56.43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–57.52</w:t>
            </w:r>
          </w:p>
        </w:tc>
      </w:tr>
      <w:tr w:rsidR="003E3543" w:rsidRPr="00631E19" w:rsidTr="007100B8">
        <w:trPr>
          <w:cantSplit/>
        </w:trPr>
        <w:tc>
          <w:tcPr>
            <w:tcW w:w="190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proofErr w:type="spellStart"/>
            <w:r w:rsidRPr="00631E19">
              <w:rPr>
                <w:lang w:eastAsia="zh-CN"/>
              </w:rPr>
              <w:t>e.i.r.p</w:t>
            </w:r>
            <w:proofErr w:type="spellEnd"/>
            <w:r w:rsidRPr="00631E19">
              <w:rPr>
                <w:lang w:eastAsia="zh-CN"/>
              </w:rPr>
              <w:t>. density (</w:t>
            </w:r>
            <w:proofErr w:type="spellStart"/>
            <w:r w:rsidRPr="00631E19">
              <w:rPr>
                <w:lang w:eastAsia="zh-CN"/>
              </w:rPr>
              <w:t>dBW</w:t>
            </w:r>
            <w:proofErr w:type="spellEnd"/>
            <w:r w:rsidRPr="00631E19">
              <w:rPr>
                <w:lang w:eastAsia="zh-CN"/>
              </w:rPr>
              <w:t>/Hz)</w:t>
            </w:r>
          </w:p>
        </w:tc>
        <w:tc>
          <w:tcPr>
            <w:tcW w:w="1901"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 xml:space="preserve">Mean of peak envelope power density </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-9.23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-3.40</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-5.62</w:t>
            </w:r>
          </w:p>
        </w:tc>
      </w:tr>
      <w:tr w:rsidR="003E3543" w:rsidRPr="00631E19" w:rsidTr="007100B8">
        <w:trPr>
          <w:cantSplit/>
        </w:trPr>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Bandwidth (MHz)</w:t>
            </w:r>
          </w:p>
        </w:tc>
        <w:tc>
          <w:tcPr>
            <w:tcW w:w="1901"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 xml:space="preserve">Average </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0.6</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30.8</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2.9</w:t>
            </w:r>
          </w:p>
        </w:tc>
      </w:tr>
      <w:tr w:rsidR="003E3543" w:rsidRPr="00631E19" w:rsidTr="007100B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rPr>
                <w:sz w:val="20"/>
                <w:lang w:val="en-GB" w:eastAsia="zh-CN"/>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Standard deviation</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0.8</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6.5</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3.5</w:t>
            </w:r>
          </w:p>
        </w:tc>
      </w:tr>
      <w:tr w:rsidR="003E3543" w:rsidRPr="00631E19" w:rsidTr="007100B8">
        <w:trPr>
          <w:cantSplit/>
        </w:trPr>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Antenna size (m)</w:t>
            </w:r>
          </w:p>
        </w:tc>
        <w:tc>
          <w:tcPr>
            <w:tcW w:w="1901"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 xml:space="preserve">Average </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1.73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6.13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3.62</w:t>
            </w:r>
          </w:p>
        </w:tc>
      </w:tr>
      <w:tr w:rsidR="003E3543" w:rsidRPr="00631E19" w:rsidTr="007100B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rPr>
                <w:sz w:val="20"/>
                <w:lang w:val="en-GB" w:eastAsia="zh-CN"/>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Standard deviation</w:t>
            </w:r>
          </w:p>
        </w:tc>
        <w:tc>
          <w:tcPr>
            <w:tcW w:w="1692"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0.37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0.98</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543" w:rsidRPr="00631E19" w:rsidRDefault="003E3543" w:rsidP="00B57E03">
            <w:pPr>
              <w:pStyle w:val="Tabletext"/>
              <w:jc w:val="center"/>
              <w:rPr>
                <w:lang w:eastAsia="zh-CN"/>
              </w:rPr>
            </w:pPr>
            <w:r w:rsidRPr="00631E19">
              <w:rPr>
                <w:lang w:eastAsia="zh-CN"/>
              </w:rPr>
              <w:t>0.79</w:t>
            </w:r>
          </w:p>
        </w:tc>
      </w:tr>
    </w:tbl>
    <w:p w:rsidR="003E3543" w:rsidRPr="00631E19" w:rsidRDefault="003E3543" w:rsidP="007100B8">
      <w:pPr>
        <w:pStyle w:val="Tabletext"/>
      </w:pPr>
    </w:p>
    <w:p w:rsidR="00AF3171" w:rsidRPr="00631E19" w:rsidRDefault="008C65DB" w:rsidP="002C067A">
      <w:pPr>
        <w:pStyle w:val="ListParagraph"/>
        <w:numPr>
          <w:ilvl w:val="1"/>
          <w:numId w:val="14"/>
        </w:numPr>
        <w:tabs>
          <w:tab w:val="left" w:pos="0"/>
          <w:tab w:val="left" w:pos="426"/>
          <w:tab w:val="left" w:pos="1588"/>
          <w:tab w:val="left" w:pos="1985"/>
        </w:tabs>
        <w:spacing w:before="240"/>
        <w:ind w:leftChars="0" w:hanging="1086"/>
        <w:rPr>
          <w:iCs/>
          <w:lang w:val="en-GB"/>
        </w:rPr>
      </w:pPr>
      <w:r w:rsidRPr="00631E19">
        <w:rPr>
          <w:b/>
          <w:lang w:val="en-GB"/>
        </w:rPr>
        <w:t>GSO FSS satellite locations and distributions</w:t>
      </w:r>
    </w:p>
    <w:p w:rsidR="008C65DB" w:rsidRPr="00631E19" w:rsidRDefault="008C65DB" w:rsidP="002C067A">
      <w:pPr>
        <w:tabs>
          <w:tab w:val="left" w:pos="0"/>
        </w:tabs>
        <w:spacing w:before="240"/>
        <w:rPr>
          <w:lang w:val="en-GB"/>
        </w:rPr>
      </w:pPr>
      <w:r w:rsidRPr="00631E19">
        <w:rPr>
          <w:lang w:val="en-GB"/>
        </w:rPr>
        <w:t>For the purpose of this study, 120 FSS satellites could be assumed at 3° spacing even if in some portions of the orbital arc less than or greater than 3 degree spacing is employed.</w:t>
      </w:r>
    </w:p>
    <w:p w:rsidR="00AF3171" w:rsidRPr="00631E19" w:rsidRDefault="008C65DB" w:rsidP="002C067A">
      <w:pPr>
        <w:pStyle w:val="ListParagraph"/>
        <w:numPr>
          <w:ilvl w:val="1"/>
          <w:numId w:val="14"/>
        </w:numPr>
        <w:tabs>
          <w:tab w:val="left" w:pos="0"/>
          <w:tab w:val="left" w:pos="426"/>
          <w:tab w:val="left" w:pos="1588"/>
          <w:tab w:val="left" w:pos="1985"/>
        </w:tabs>
        <w:spacing w:before="240"/>
        <w:ind w:leftChars="0" w:hanging="1086"/>
        <w:rPr>
          <w:iCs/>
          <w:lang w:val="en-GB"/>
        </w:rPr>
      </w:pPr>
      <w:r w:rsidRPr="00631E19">
        <w:rPr>
          <w:b/>
          <w:lang w:val="en-GB"/>
        </w:rPr>
        <w:t>FSS Earth station density</w:t>
      </w:r>
    </w:p>
    <w:p w:rsidR="008C65DB" w:rsidRPr="00631E19" w:rsidRDefault="008C65DB" w:rsidP="002C067A">
      <w:pPr>
        <w:tabs>
          <w:tab w:val="left" w:pos="0"/>
        </w:tabs>
        <w:spacing w:before="240"/>
        <w:rPr>
          <w:lang w:val="en-GB"/>
        </w:rPr>
      </w:pPr>
      <w:r w:rsidRPr="00631E19">
        <w:rPr>
          <w:lang w:val="en-GB"/>
        </w:rPr>
        <w:t>In addition, if a frequency band is used by an Earth station in a specific beam towards a specific space station, no other Earth stations could use simultaneously this frequency in this specific beam towards this specific space station. Therefore, in order to have 2 Earth stations operating, in the same area, the same frequency simultaneously, we need to have 2 space stations and so on.</w:t>
      </w:r>
    </w:p>
    <w:p w:rsidR="008C65DB" w:rsidRPr="00631E19" w:rsidRDefault="008C65DB" w:rsidP="002C067A">
      <w:pPr>
        <w:tabs>
          <w:tab w:val="left" w:pos="0"/>
        </w:tabs>
        <w:rPr>
          <w:lang w:val="en-GB"/>
        </w:rPr>
      </w:pPr>
      <w:r w:rsidRPr="00631E19">
        <w:rPr>
          <w:lang w:val="en-GB"/>
        </w:rPr>
        <w:t xml:space="preserve">Depending on the parameters of the transmit Earth stations, we could assume to have a space station every 2-4° on the GSO arc with a minimum elevation angle of 10-20°. With such assumptions, </w:t>
      </w:r>
      <w:r w:rsidR="00D96FF5" w:rsidRPr="00631E19">
        <w:rPr>
          <w:lang w:val="en-GB"/>
        </w:rPr>
        <w:t xml:space="preserve">as an example, </w:t>
      </w:r>
      <w:r w:rsidRPr="00631E19">
        <w:rPr>
          <w:lang w:val="en-GB"/>
        </w:rPr>
        <w:t xml:space="preserve">Europe could only be potentially served from around 30 different space stations.   </w:t>
      </w:r>
    </w:p>
    <w:p w:rsidR="008C65DB" w:rsidRPr="00631E19" w:rsidRDefault="008C65DB" w:rsidP="002C067A">
      <w:pPr>
        <w:tabs>
          <w:tab w:val="left" w:pos="0"/>
        </w:tabs>
        <w:rPr>
          <w:lang w:val="en-GB"/>
        </w:rPr>
      </w:pPr>
      <w:r w:rsidRPr="00631E19">
        <w:rPr>
          <w:lang w:val="en-GB"/>
        </w:rPr>
        <w:t>According to current surfaces on the majority of beams from space stations covering Europe, the average beam coverage surface is around 10 000 000 km</w:t>
      </w:r>
      <w:r w:rsidRPr="00631E19">
        <w:rPr>
          <w:vertAlign w:val="superscript"/>
          <w:lang w:val="en-GB"/>
        </w:rPr>
        <w:t>2</w:t>
      </w:r>
      <w:r w:rsidRPr="00631E19">
        <w:rPr>
          <w:lang w:val="en-GB"/>
        </w:rPr>
        <w:t>.</w:t>
      </w:r>
    </w:p>
    <w:p w:rsidR="00062FEA" w:rsidRPr="00631E19" w:rsidRDefault="008C65DB" w:rsidP="00062FEA">
      <w:pPr>
        <w:rPr>
          <w:lang w:val="en-GB"/>
        </w:rPr>
      </w:pPr>
      <w:r w:rsidRPr="00631E19">
        <w:rPr>
          <w:lang w:val="en-GB"/>
        </w:rPr>
        <w:t>Therefore, considering these 30 maximum Earth stations operating simultaneously in Europe on the same frequency and same polarization at the same time on the same beam, the current density over Europe is around 3E-6 transmit (3-degree compliant) Earth stations per km</w:t>
      </w:r>
      <w:r w:rsidRPr="00631E19">
        <w:rPr>
          <w:vertAlign w:val="superscript"/>
          <w:lang w:val="en-GB"/>
        </w:rPr>
        <w:t>2</w:t>
      </w:r>
      <w:r w:rsidRPr="00631E19">
        <w:rPr>
          <w:lang w:val="en-GB"/>
        </w:rPr>
        <w:t xml:space="preserve">. </w:t>
      </w:r>
      <w:r w:rsidR="00062FEA" w:rsidRPr="00631E19">
        <w:rPr>
          <w:lang w:val="en-GB"/>
        </w:rPr>
        <w:t>This number can increase when dual polarization is taken into account and also depends on the victim receiver bandwidth considered.</w:t>
      </w:r>
    </w:p>
    <w:p w:rsidR="008C65DB" w:rsidRPr="00631E19" w:rsidRDefault="008C65DB" w:rsidP="002C067A">
      <w:pPr>
        <w:tabs>
          <w:tab w:val="left" w:pos="0"/>
        </w:tabs>
        <w:rPr>
          <w:lang w:val="en-GB"/>
        </w:rPr>
      </w:pPr>
    </w:p>
    <w:p w:rsidR="008C65DB" w:rsidRPr="00631E19" w:rsidRDefault="008C65DB" w:rsidP="002C067A">
      <w:pPr>
        <w:tabs>
          <w:tab w:val="left" w:pos="0"/>
          <w:tab w:val="left" w:pos="1191"/>
          <w:tab w:val="left" w:pos="1985"/>
        </w:tabs>
        <w:spacing w:before="240"/>
        <w:rPr>
          <w:lang w:val="en-GB"/>
        </w:rPr>
      </w:pPr>
      <w:r w:rsidRPr="00631E19">
        <w:rPr>
          <w:lang w:val="en-GB"/>
        </w:rPr>
        <w:t xml:space="preserve">Subject to further review, this deployment density could be used for the purpose of the sharing studies. </w:t>
      </w:r>
    </w:p>
    <w:p w:rsidR="000A7400" w:rsidRPr="00631E19" w:rsidRDefault="000A7400" w:rsidP="002C067A">
      <w:pPr>
        <w:tabs>
          <w:tab w:val="left" w:pos="0"/>
          <w:tab w:val="left" w:pos="142"/>
        </w:tabs>
        <w:rPr>
          <w:iCs/>
          <w:lang w:val="en-GB"/>
        </w:rPr>
      </w:pPr>
    </w:p>
    <w:p w:rsidR="000A7400" w:rsidRPr="00631E19" w:rsidRDefault="000A7400" w:rsidP="007100B8">
      <w:pPr>
        <w:pStyle w:val="ListParagraph"/>
        <w:numPr>
          <w:ilvl w:val="1"/>
          <w:numId w:val="14"/>
        </w:numPr>
        <w:tabs>
          <w:tab w:val="left" w:pos="0"/>
          <w:tab w:val="left" w:pos="426"/>
          <w:tab w:val="left" w:pos="1588"/>
          <w:tab w:val="left" w:pos="1985"/>
        </w:tabs>
        <w:spacing w:before="240"/>
        <w:ind w:leftChars="0" w:hanging="1086"/>
        <w:rPr>
          <w:lang w:val="en-GB"/>
        </w:rPr>
      </w:pPr>
      <w:r w:rsidRPr="00631E19">
        <w:rPr>
          <w:b/>
          <w:lang w:val="en-GB"/>
        </w:rPr>
        <w:t>Frequency reuse factor</w:t>
      </w:r>
    </w:p>
    <w:p w:rsidR="000A7400" w:rsidRPr="00631E19" w:rsidRDefault="000A7400" w:rsidP="007100B8">
      <w:pPr>
        <w:pStyle w:val="ListParagraph"/>
        <w:tabs>
          <w:tab w:val="left" w:pos="0"/>
          <w:tab w:val="left" w:pos="426"/>
          <w:tab w:val="left" w:pos="1588"/>
          <w:tab w:val="left" w:pos="1985"/>
        </w:tabs>
        <w:spacing w:before="240"/>
        <w:ind w:leftChars="0" w:left="1086"/>
        <w:rPr>
          <w:lang w:val="en-GB"/>
        </w:rPr>
      </w:pPr>
    </w:p>
    <w:p w:rsidR="000A7400" w:rsidRPr="00631E19" w:rsidRDefault="000A7400" w:rsidP="000A7400">
      <w:pPr>
        <w:rPr>
          <w:lang w:val="en-GB"/>
        </w:rPr>
      </w:pPr>
      <w:r w:rsidRPr="00631E19">
        <w:rPr>
          <w:lang w:val="en-GB"/>
        </w:rPr>
        <w:t xml:space="preserve">The use of spot beams on FSS GSO satellites could increase the effective amount of available amount of total global bandwidth at a geostationary orbital location. This effective increase of available spectrum is dependent upon sufficient isolation between beams. For instance, if there is a geographical overlap between two spot beams of the same frequency of one or more satellites in an orbital slot then a earth station to that orbital slot, at that same frequency, </w:t>
      </w:r>
      <w:r w:rsidRPr="00631E19">
        <w:rPr>
          <w:lang w:val="en-GB"/>
        </w:rPr>
        <w:lastRenderedPageBreak/>
        <w:t xml:space="preserve">operating in the area of the geographical overlap would be seen by both spot beams and thereby reduce the amount of overall available bandwidth (for uplink and downlink transmission) by the bandwidth carrier of this earth station operating in that geographical overlap. With sufficient isolation between spot beams originating from a geostationary orbital location, two spot beams would double the available amount of total global bandwidth </w:t>
      </w:r>
      <w:r w:rsidRPr="00631E19">
        <w:rPr>
          <w:rFonts w:eastAsia="Arial Unicode MS"/>
          <w:bdr w:val="none" w:sz="0" w:space="0" w:color="auto" w:frame="1"/>
          <w:lang w:val="en-GB"/>
        </w:rPr>
        <w:t xml:space="preserve">if all spectrum is implemented on-board the aircraft in each beam </w:t>
      </w:r>
      <w:r w:rsidRPr="00631E19">
        <w:rPr>
          <w:lang w:val="en-GB"/>
        </w:rPr>
        <w:t>and three spot beams would triple the available amount of total global bandwidth</w:t>
      </w:r>
      <w:r w:rsidRPr="00631E19">
        <w:rPr>
          <w:rFonts w:eastAsia="Arial Unicode MS"/>
          <w:bdr w:val="none" w:sz="0" w:space="0" w:color="auto" w:frame="1"/>
          <w:lang w:val="en-GB"/>
        </w:rPr>
        <w:t xml:space="preserve"> if all spectrum is implemented on-board the aircraft in each beam</w:t>
      </w:r>
      <w:r w:rsidRPr="00631E19">
        <w:rPr>
          <w:lang w:val="en-GB"/>
        </w:rPr>
        <w:t>.  However, it should be recognized that, in practice, the use of multiple beams using the same frequencies in the Ku band is currently uncommon and the current frequency reuse, of about 1.2, introduced by the use of spot beams and dual polarization has been accounted for in the transmission data presented. However, this may not be representative of an FSS deployment based on future satellites, with multiple spot beams and increased frequency reuse and the frequency reuse factor should be re-evaluated as information on future satellite technologies and capacities becomes available.</w:t>
      </w:r>
    </w:p>
    <w:p w:rsidR="000A7400" w:rsidRPr="00631E19" w:rsidRDefault="000A7400" w:rsidP="002C067A">
      <w:pPr>
        <w:tabs>
          <w:tab w:val="left" w:pos="0"/>
          <w:tab w:val="left" w:pos="142"/>
        </w:tabs>
        <w:rPr>
          <w:iCs/>
          <w:lang w:val="en-GB"/>
        </w:rPr>
      </w:pPr>
    </w:p>
    <w:p w:rsidR="006E5ED6" w:rsidRPr="00631E19" w:rsidDel="006E5ED6" w:rsidRDefault="006E5ED6" w:rsidP="002C067A">
      <w:pPr>
        <w:tabs>
          <w:tab w:val="left" w:pos="0"/>
          <w:tab w:val="left" w:pos="142"/>
        </w:tabs>
        <w:rPr>
          <w:b/>
          <w:u w:val="single"/>
          <w:lang w:val="en-GB"/>
        </w:rPr>
      </w:pPr>
    </w:p>
    <w:p w:rsidR="0094207C" w:rsidRPr="00631E19" w:rsidRDefault="001C15B4" w:rsidP="0094207C">
      <w:pPr>
        <w:numPr>
          <w:ilvl w:val="0"/>
          <w:numId w:val="14"/>
        </w:numPr>
        <w:ind w:left="426" w:hanging="426"/>
        <w:rPr>
          <w:b/>
          <w:lang w:val="en-GB"/>
        </w:rPr>
      </w:pPr>
      <w:r w:rsidRPr="00631E19">
        <w:rPr>
          <w:b/>
          <w:lang w:val="en-GB"/>
        </w:rPr>
        <w:t>I</w:t>
      </w:r>
      <w:r w:rsidR="0094207C" w:rsidRPr="00631E19">
        <w:rPr>
          <w:b/>
          <w:lang w:val="en-GB"/>
        </w:rPr>
        <w:t>nitiation of band-by-band sharing studies:</w:t>
      </w:r>
    </w:p>
    <w:p w:rsidR="0094207C" w:rsidRPr="00631E19" w:rsidRDefault="0094207C" w:rsidP="0094207C">
      <w:pPr>
        <w:rPr>
          <w:lang w:val="en-GB"/>
        </w:rPr>
      </w:pPr>
    </w:p>
    <w:p w:rsidR="00640DC4" w:rsidRPr="00631E19" w:rsidRDefault="00640DC4" w:rsidP="0094207C">
      <w:pPr>
        <w:rPr>
          <w:lang w:val="en-GB"/>
        </w:rPr>
      </w:pPr>
    </w:p>
    <w:p w:rsidR="0094207C" w:rsidRPr="00631E19" w:rsidRDefault="0094207C" w:rsidP="0094207C">
      <w:pPr>
        <w:numPr>
          <w:ilvl w:val="1"/>
          <w:numId w:val="14"/>
        </w:numPr>
        <w:ind w:left="851" w:hanging="425"/>
        <w:rPr>
          <w:b/>
          <w:lang w:val="en-GB"/>
        </w:rPr>
      </w:pPr>
      <w:r w:rsidRPr="00631E19">
        <w:rPr>
          <w:b/>
          <w:lang w:val="en-GB"/>
        </w:rPr>
        <w:t>Frequency band: 13.25-13.</w:t>
      </w:r>
      <w:r w:rsidR="000E67F5" w:rsidRPr="00631E19">
        <w:rPr>
          <w:b/>
          <w:lang w:val="en-GB"/>
        </w:rPr>
        <w:t xml:space="preserve">75 </w:t>
      </w:r>
      <w:r w:rsidRPr="00631E19">
        <w:rPr>
          <w:b/>
          <w:lang w:val="en-GB"/>
        </w:rPr>
        <w:t>GHz</w:t>
      </w:r>
    </w:p>
    <w:p w:rsidR="0094207C" w:rsidRPr="00631E19" w:rsidRDefault="0094207C" w:rsidP="0094207C">
      <w:pPr>
        <w:ind w:left="360"/>
        <w:rPr>
          <w:lang w:val="en-GB"/>
        </w:rPr>
      </w:pPr>
    </w:p>
    <w:p w:rsidR="00420FE5" w:rsidRPr="00631E19" w:rsidRDefault="000E67F5" w:rsidP="00D0569B">
      <w:pPr>
        <w:ind w:left="426"/>
        <w:rPr>
          <w:lang w:val="en-GB"/>
        </w:rPr>
      </w:pPr>
      <w:r w:rsidRPr="00631E19">
        <w:rPr>
          <w:lang w:val="en-GB"/>
        </w:rPr>
        <w:t xml:space="preserve">This </w:t>
      </w:r>
      <w:r w:rsidR="00420FE5" w:rsidRPr="00631E19">
        <w:rPr>
          <w:lang w:val="en-GB"/>
        </w:rPr>
        <w:t xml:space="preserve">band is currently allocated to the EESS (active) and SRS (active) on a primary basis. The band </w:t>
      </w:r>
      <w:r w:rsidRPr="00631E19">
        <w:rPr>
          <w:lang w:val="en-GB"/>
        </w:rPr>
        <w:t xml:space="preserve">13.25-13.4 GHz </w:t>
      </w:r>
      <w:r w:rsidR="00420FE5" w:rsidRPr="00631E19">
        <w:rPr>
          <w:lang w:val="en-GB"/>
        </w:rPr>
        <w:t xml:space="preserve">is also allocated to the ARNS on a primary basis, limited to use for Doppler navigation aids through RR No. 5.497. </w:t>
      </w:r>
    </w:p>
    <w:p w:rsidR="00420FE5" w:rsidRPr="00631E19" w:rsidRDefault="00420FE5" w:rsidP="0094207C">
      <w:pPr>
        <w:ind w:left="426"/>
        <w:rPr>
          <w:lang w:val="en-GB"/>
        </w:rPr>
      </w:pPr>
    </w:p>
    <w:p w:rsidR="0094207C" w:rsidRPr="00631E19" w:rsidRDefault="0094207C" w:rsidP="0094207C">
      <w:pPr>
        <w:ind w:left="426"/>
        <w:rPr>
          <w:lang w:val="en-GB"/>
        </w:rPr>
      </w:pPr>
      <w:r w:rsidRPr="00631E19">
        <w:rPr>
          <w:lang w:val="en-GB"/>
        </w:rPr>
        <w:t xml:space="preserve">The allocations </w:t>
      </w:r>
      <w:r w:rsidR="00C83562" w:rsidRPr="00631E19">
        <w:rPr>
          <w:lang w:val="en-GB"/>
        </w:rPr>
        <w:t xml:space="preserve">in </w:t>
      </w:r>
      <w:r w:rsidRPr="00631E19">
        <w:rPr>
          <w:lang w:val="en-GB"/>
        </w:rPr>
        <w:t xml:space="preserve">this band </w:t>
      </w:r>
      <w:r w:rsidR="00C83562" w:rsidRPr="00631E19">
        <w:rPr>
          <w:lang w:val="en-GB"/>
        </w:rPr>
        <w:t>according to ITU Radio Regulations (</w:t>
      </w:r>
      <w:r w:rsidRPr="00631E19">
        <w:rPr>
          <w:lang w:val="en-GB"/>
        </w:rPr>
        <w:t>RR</w:t>
      </w:r>
      <w:r w:rsidR="00C83562" w:rsidRPr="00631E19">
        <w:rPr>
          <w:lang w:val="en-GB"/>
        </w:rPr>
        <w:t>)</w:t>
      </w:r>
      <w:r w:rsidRPr="00631E19">
        <w:rPr>
          <w:lang w:val="en-GB"/>
        </w:rPr>
        <w:t xml:space="preserve"> Article </w:t>
      </w:r>
      <w:r w:rsidRPr="00631E19">
        <w:rPr>
          <w:b/>
          <w:bCs/>
          <w:lang w:val="en-GB"/>
        </w:rPr>
        <w:t>5</w:t>
      </w:r>
      <w:r w:rsidRPr="00631E19">
        <w:rPr>
          <w:lang w:val="en-GB"/>
        </w:rPr>
        <w:t xml:space="preserve"> are as shown below:</w:t>
      </w:r>
    </w:p>
    <w:p w:rsidR="0094207C" w:rsidRPr="00631E19" w:rsidRDefault="0094207C" w:rsidP="0094207C">
      <w:pPr>
        <w:rPr>
          <w:lang w:val="en-GB"/>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0"/>
      </w:tblGrid>
      <w:tr w:rsidR="0094207C" w:rsidRPr="00631E19" w:rsidTr="00CD7469">
        <w:tc>
          <w:tcPr>
            <w:tcW w:w="8930" w:type="dxa"/>
          </w:tcPr>
          <w:p w:rsidR="0094207C" w:rsidRPr="00631E19" w:rsidRDefault="0094207C" w:rsidP="00CD7469">
            <w:pPr>
              <w:ind w:right="-108"/>
              <w:rPr>
                <w:lang w:val="en-GB"/>
              </w:rPr>
            </w:pPr>
            <w:r w:rsidRPr="00631E19">
              <w:rPr>
                <w:b/>
                <w:bCs/>
                <w:lang w:val="en-GB"/>
              </w:rPr>
              <w:t>13.25-13.4</w:t>
            </w:r>
            <w:r w:rsidRPr="00631E19">
              <w:rPr>
                <w:lang w:val="en-GB"/>
              </w:rPr>
              <w:t xml:space="preserve">                          EARTH EXPLORATION-SATELLITE (active)</w:t>
            </w:r>
          </w:p>
          <w:p w:rsidR="0094207C" w:rsidRPr="00631E19" w:rsidRDefault="0094207C" w:rsidP="00CD7469">
            <w:pPr>
              <w:rPr>
                <w:lang w:val="en-GB"/>
              </w:rPr>
            </w:pPr>
            <w:r w:rsidRPr="00631E19">
              <w:rPr>
                <w:lang w:val="en-GB"/>
              </w:rPr>
              <w:t xml:space="preserve">                                           AERONAUTICAL RADIONAVIGATION 5.497</w:t>
            </w:r>
          </w:p>
          <w:p w:rsidR="0094207C" w:rsidRPr="00631E19" w:rsidRDefault="0094207C" w:rsidP="00CD7469">
            <w:pPr>
              <w:rPr>
                <w:lang w:val="en-GB"/>
              </w:rPr>
            </w:pPr>
            <w:r w:rsidRPr="00631E19">
              <w:rPr>
                <w:lang w:val="en-GB"/>
              </w:rPr>
              <w:t xml:space="preserve">                                           SPACE RESEARCH (active)</w:t>
            </w:r>
          </w:p>
          <w:p w:rsidR="0094207C" w:rsidRPr="00631E19" w:rsidRDefault="0094207C" w:rsidP="00CD7469">
            <w:pPr>
              <w:jc w:val="both"/>
              <w:rPr>
                <w:szCs w:val="22"/>
                <w:lang w:val="en-GB"/>
              </w:rPr>
            </w:pPr>
            <w:r w:rsidRPr="00631E19">
              <w:rPr>
                <w:lang w:val="en-GB"/>
              </w:rPr>
              <w:t xml:space="preserve">                                           5.498A 5.499</w:t>
            </w:r>
          </w:p>
        </w:tc>
      </w:tr>
    </w:tbl>
    <w:p w:rsidR="0094207C" w:rsidRPr="00631E19" w:rsidRDefault="0094207C" w:rsidP="00640DC4">
      <w:pPr>
        <w:ind w:left="426"/>
        <w:rPr>
          <w:lang w:val="en-GB"/>
        </w:rPr>
      </w:pPr>
    </w:p>
    <w:tbl>
      <w:tblPr>
        <w:tblW w:w="898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0E67F5" w:rsidRPr="00631E19" w:rsidTr="001D4195">
        <w:tc>
          <w:tcPr>
            <w:tcW w:w="8982" w:type="dxa"/>
          </w:tcPr>
          <w:p w:rsidR="000E67F5" w:rsidRPr="00631E19" w:rsidRDefault="000E67F5" w:rsidP="001D4195">
            <w:pPr>
              <w:jc w:val="both"/>
              <w:rPr>
                <w:lang w:val="en-GB"/>
              </w:rPr>
            </w:pPr>
            <w:r w:rsidRPr="00631E19">
              <w:rPr>
                <w:b/>
                <w:bCs/>
                <w:lang w:val="en-GB"/>
              </w:rPr>
              <w:t>13.4-13.75</w:t>
            </w:r>
            <w:r w:rsidRPr="00631E19">
              <w:rPr>
                <w:lang w:val="en-GB"/>
              </w:rPr>
              <w:t xml:space="preserve">                           EARTH EXPLORATION-SATELLITE (active)</w:t>
            </w:r>
          </w:p>
          <w:p w:rsidR="000E67F5" w:rsidRPr="00631E19" w:rsidRDefault="000E67F5" w:rsidP="001D4195">
            <w:pPr>
              <w:jc w:val="both"/>
              <w:rPr>
                <w:lang w:val="en-GB"/>
              </w:rPr>
            </w:pPr>
            <w:r w:rsidRPr="00631E19">
              <w:rPr>
                <w:lang w:val="en-GB"/>
              </w:rPr>
              <w:t xml:space="preserve">                                            RADIOLOCATION</w:t>
            </w:r>
          </w:p>
          <w:p w:rsidR="000E67F5" w:rsidRPr="00631E19" w:rsidRDefault="000E67F5" w:rsidP="001D4195">
            <w:pPr>
              <w:jc w:val="both"/>
              <w:rPr>
                <w:lang w:val="en-GB"/>
              </w:rPr>
            </w:pPr>
            <w:r w:rsidRPr="00631E19">
              <w:rPr>
                <w:lang w:val="en-GB"/>
              </w:rPr>
              <w:t xml:space="preserve">                                            SPACE RESEARCH 5.501A</w:t>
            </w:r>
          </w:p>
          <w:p w:rsidR="000E67F5" w:rsidRPr="00631E19" w:rsidRDefault="000E67F5" w:rsidP="001D4195">
            <w:pPr>
              <w:jc w:val="both"/>
              <w:rPr>
                <w:lang w:val="en-GB"/>
              </w:rPr>
            </w:pPr>
            <w:r w:rsidRPr="00631E19">
              <w:rPr>
                <w:lang w:val="en-GB"/>
              </w:rPr>
              <w:t xml:space="preserve">                                            Standard frequency and time signal-satellite (Earth-to-space)</w:t>
            </w:r>
          </w:p>
          <w:p w:rsidR="000E67F5" w:rsidRPr="00631E19" w:rsidRDefault="000E67F5" w:rsidP="001D4195">
            <w:pPr>
              <w:tabs>
                <w:tab w:val="left" w:pos="5459"/>
              </w:tabs>
              <w:jc w:val="both"/>
              <w:rPr>
                <w:lang w:val="en-GB"/>
              </w:rPr>
            </w:pPr>
            <w:r w:rsidRPr="00631E19">
              <w:rPr>
                <w:lang w:val="en-GB"/>
              </w:rPr>
              <w:t xml:space="preserve">                                            5.499 5.500 5.501 5.5.01B</w:t>
            </w:r>
            <w:r w:rsidRPr="00631E19">
              <w:rPr>
                <w:lang w:val="en-GB"/>
              </w:rPr>
              <w:tab/>
            </w:r>
          </w:p>
        </w:tc>
      </w:tr>
    </w:tbl>
    <w:p w:rsidR="000E67F5" w:rsidRPr="00631E19" w:rsidRDefault="000E67F5" w:rsidP="00640DC4">
      <w:pPr>
        <w:ind w:left="426"/>
        <w:rPr>
          <w:lang w:val="en-GB"/>
        </w:rPr>
      </w:pPr>
    </w:p>
    <w:p w:rsidR="0094207C" w:rsidRPr="00631E19" w:rsidRDefault="0094207C" w:rsidP="00640DC4">
      <w:pPr>
        <w:pStyle w:val="Note"/>
        <w:tabs>
          <w:tab w:val="clear" w:pos="284"/>
        </w:tabs>
        <w:spacing w:before="0"/>
        <w:ind w:left="480"/>
        <w:rPr>
          <w:sz w:val="24"/>
          <w:szCs w:val="24"/>
          <w:lang w:val="en-GB"/>
        </w:rPr>
      </w:pPr>
      <w:r w:rsidRPr="00631E19">
        <w:rPr>
          <w:b/>
          <w:sz w:val="24"/>
          <w:szCs w:val="24"/>
          <w:lang w:val="en-GB"/>
        </w:rPr>
        <w:t>5.497</w:t>
      </w:r>
      <w:r w:rsidRPr="00631E19">
        <w:rPr>
          <w:sz w:val="24"/>
          <w:szCs w:val="24"/>
          <w:lang w:val="en-GB"/>
        </w:rPr>
        <w:t xml:space="preserve"> </w:t>
      </w:r>
      <w:r w:rsidRPr="00631E19">
        <w:rPr>
          <w:sz w:val="24"/>
          <w:szCs w:val="24"/>
          <w:lang w:val="en-GB"/>
        </w:rPr>
        <w:tab/>
      </w:r>
      <w:r w:rsidR="00490966" w:rsidRPr="00631E19">
        <w:rPr>
          <w:sz w:val="24"/>
          <w:szCs w:val="24"/>
          <w:lang w:val="en-GB"/>
        </w:rPr>
        <w:tab/>
      </w:r>
      <w:r w:rsidRPr="00631E19">
        <w:rPr>
          <w:sz w:val="24"/>
          <w:szCs w:val="24"/>
          <w:lang w:val="en-GB"/>
        </w:rPr>
        <w:t>The use of the band 13.25-13.4 GHz by the aeronautical radionavigation service is limited to Doppler navigation aids.</w:t>
      </w:r>
    </w:p>
    <w:p w:rsidR="000E67F5" w:rsidRPr="00631E19" w:rsidRDefault="000E67F5" w:rsidP="00640DC4">
      <w:pPr>
        <w:pStyle w:val="Note"/>
        <w:tabs>
          <w:tab w:val="clear" w:pos="284"/>
        </w:tabs>
        <w:spacing w:before="0"/>
        <w:ind w:left="480"/>
        <w:rPr>
          <w:sz w:val="24"/>
          <w:szCs w:val="24"/>
          <w:lang w:val="en-GB"/>
        </w:rPr>
      </w:pPr>
    </w:p>
    <w:p w:rsidR="0094207C" w:rsidRPr="00631E19" w:rsidRDefault="0094207C" w:rsidP="00640DC4">
      <w:pPr>
        <w:pStyle w:val="Note"/>
        <w:tabs>
          <w:tab w:val="clear" w:pos="284"/>
        </w:tabs>
        <w:spacing w:before="0"/>
        <w:ind w:left="482"/>
        <w:rPr>
          <w:sz w:val="24"/>
          <w:szCs w:val="24"/>
          <w:lang w:val="en-GB"/>
        </w:rPr>
      </w:pPr>
      <w:r w:rsidRPr="00631E19">
        <w:rPr>
          <w:b/>
          <w:sz w:val="24"/>
          <w:szCs w:val="24"/>
          <w:lang w:val="en-GB"/>
        </w:rPr>
        <w:t>5.498A</w:t>
      </w:r>
      <w:r w:rsidRPr="00631E19">
        <w:rPr>
          <w:sz w:val="24"/>
          <w:szCs w:val="24"/>
          <w:lang w:val="en-GB"/>
        </w:rPr>
        <w:t xml:space="preserve"> </w:t>
      </w:r>
      <w:r w:rsidRPr="00631E19">
        <w:rPr>
          <w:sz w:val="24"/>
          <w:szCs w:val="24"/>
          <w:lang w:val="en-GB"/>
        </w:rPr>
        <w:tab/>
        <w:t>The Earth exploration-satellite (active) and space research (active) services operating in the band 13.25-13.4 GHz shall not cause harmful interference to, or constrain the use and development of, the aeronautical radionavigation service. (WRC-97)</w:t>
      </w:r>
    </w:p>
    <w:p w:rsidR="000E67F5" w:rsidRPr="00631E19" w:rsidRDefault="000E67F5" w:rsidP="00640DC4">
      <w:pPr>
        <w:tabs>
          <w:tab w:val="left" w:pos="1871"/>
        </w:tabs>
        <w:ind w:left="426"/>
        <w:rPr>
          <w:b/>
          <w:bCs/>
          <w:lang w:val="en-GB"/>
        </w:rPr>
      </w:pPr>
    </w:p>
    <w:p w:rsidR="00D155C3" w:rsidRPr="00631E19" w:rsidRDefault="0094207C" w:rsidP="00640DC4">
      <w:pPr>
        <w:tabs>
          <w:tab w:val="left" w:pos="1871"/>
        </w:tabs>
        <w:ind w:left="426"/>
        <w:rPr>
          <w:lang w:val="en-GB"/>
        </w:rPr>
      </w:pPr>
      <w:r w:rsidRPr="00631E19">
        <w:rPr>
          <w:b/>
          <w:bCs/>
          <w:lang w:val="en-GB"/>
        </w:rPr>
        <w:t>5.499</w:t>
      </w:r>
      <w:r w:rsidRPr="00631E19">
        <w:rPr>
          <w:lang w:val="en-GB"/>
        </w:rPr>
        <w:t xml:space="preserve"> </w:t>
      </w:r>
      <w:r w:rsidRPr="00631E19">
        <w:rPr>
          <w:lang w:val="en-GB"/>
        </w:rPr>
        <w:tab/>
      </w:r>
      <w:r w:rsidRPr="00631E19">
        <w:rPr>
          <w:i/>
          <w:iCs/>
          <w:lang w:val="en-GB"/>
        </w:rPr>
        <w:t>Additional allocation</w:t>
      </w:r>
      <w:r w:rsidRPr="00631E19">
        <w:rPr>
          <w:lang w:val="en-GB"/>
        </w:rPr>
        <w:t xml:space="preserve">: </w:t>
      </w:r>
      <w:r w:rsidR="00225070" w:rsidRPr="00631E19">
        <w:rPr>
          <w:lang w:val="en-GB"/>
        </w:rPr>
        <w:t>in Bangladesh and India, the band 13.25-14 GHz is also allocated to the fixed service on a primary basis. In Pakistan, the band 13.25-13.75 GHz is allocated</w:t>
      </w:r>
      <w:r w:rsidR="007F76DE" w:rsidRPr="00631E19">
        <w:rPr>
          <w:lang w:val="en-GB"/>
        </w:rPr>
        <w:t xml:space="preserve"> </w:t>
      </w:r>
      <w:r w:rsidR="00225070" w:rsidRPr="00631E19">
        <w:rPr>
          <w:lang w:val="en-GB"/>
        </w:rPr>
        <w:t>to the fixed service on a primary basis. (WRC-12)</w:t>
      </w:r>
    </w:p>
    <w:p w:rsidR="000E67F5" w:rsidRPr="00631E19" w:rsidRDefault="000E67F5" w:rsidP="000E67F5">
      <w:pPr>
        <w:tabs>
          <w:tab w:val="left" w:pos="1890"/>
        </w:tabs>
        <w:ind w:left="426"/>
        <w:rPr>
          <w:lang w:val="en-GB"/>
        </w:rPr>
      </w:pPr>
    </w:p>
    <w:p w:rsidR="000E67F5" w:rsidRPr="00631E19" w:rsidRDefault="000E67F5" w:rsidP="000E67F5">
      <w:pPr>
        <w:pStyle w:val="Note"/>
        <w:tabs>
          <w:tab w:val="clear" w:pos="1871"/>
          <w:tab w:val="clear" w:pos="2268"/>
          <w:tab w:val="left" w:pos="1890"/>
        </w:tabs>
        <w:spacing w:before="0"/>
        <w:ind w:left="480"/>
        <w:jc w:val="left"/>
        <w:rPr>
          <w:sz w:val="24"/>
          <w:szCs w:val="24"/>
          <w:lang w:val="en-GB"/>
        </w:rPr>
      </w:pPr>
      <w:r w:rsidRPr="00631E19">
        <w:rPr>
          <w:b/>
          <w:bCs/>
          <w:sz w:val="24"/>
          <w:szCs w:val="24"/>
          <w:lang w:val="en-GB"/>
        </w:rPr>
        <w:t>5.500</w:t>
      </w:r>
      <w:r w:rsidRPr="00631E19">
        <w:rPr>
          <w:sz w:val="24"/>
          <w:szCs w:val="24"/>
          <w:lang w:val="en-GB"/>
        </w:rPr>
        <w:t xml:space="preserve"> </w:t>
      </w:r>
      <w:r w:rsidRPr="00631E19">
        <w:rPr>
          <w:sz w:val="24"/>
          <w:szCs w:val="24"/>
          <w:lang w:val="en-GB"/>
        </w:rPr>
        <w:tab/>
      </w:r>
      <w:r w:rsidRPr="00631E19">
        <w:rPr>
          <w:sz w:val="24"/>
          <w:szCs w:val="24"/>
          <w:lang w:val="en-GB"/>
        </w:rPr>
        <w:tab/>
      </w:r>
      <w:r w:rsidRPr="00631E19">
        <w:rPr>
          <w:i/>
          <w:iCs/>
          <w:sz w:val="24"/>
          <w:szCs w:val="24"/>
          <w:lang w:val="en-GB"/>
        </w:rPr>
        <w:t>Additional allocation</w:t>
      </w:r>
      <w:r w:rsidRPr="00631E19">
        <w:rPr>
          <w:sz w:val="24"/>
          <w:szCs w:val="24"/>
          <w:lang w:val="en-GB"/>
        </w:rPr>
        <w:t xml:space="preserve">: in Algeria, Angola, Saudi Arabia, Bahrain, Brunei Darussalam,Cameroon, Egypt, the United Arab Emirates, Gabon, Indonesia, Iran (Islamic </w:t>
      </w:r>
      <w:r w:rsidRPr="00631E19">
        <w:rPr>
          <w:sz w:val="24"/>
          <w:szCs w:val="24"/>
          <w:lang w:val="en-GB"/>
        </w:rPr>
        <w:lastRenderedPageBreak/>
        <w:t>Republic of), Iraq, Israel, Jordan, Kuwait, Lebanon, Madagascar, Malaysia, Mali, Morocco, Mauritania, Niger, Nigeria, Oman, Qatar, the Syrian Arab Republic, Singapore, Sudan, South Sudan, Chad and Tunisia, the band 13.4-14 GHz is also allocated to the fixed and mobile services on a primary basis. In Pakistan, the band 13.4-13.75 GHz is also allocated to the fixed and mobile services on a primary basis. (WRC-12)</w:t>
      </w:r>
    </w:p>
    <w:p w:rsidR="000E67F5" w:rsidRPr="00631E19" w:rsidRDefault="000E67F5" w:rsidP="000E67F5">
      <w:pPr>
        <w:pStyle w:val="Note"/>
        <w:tabs>
          <w:tab w:val="clear" w:pos="1871"/>
          <w:tab w:val="clear" w:pos="2268"/>
          <w:tab w:val="left" w:pos="1890"/>
        </w:tabs>
        <w:spacing w:before="0"/>
        <w:ind w:left="480"/>
        <w:jc w:val="left"/>
        <w:rPr>
          <w:sz w:val="24"/>
          <w:szCs w:val="24"/>
          <w:lang w:val="en-GB"/>
        </w:rPr>
      </w:pPr>
    </w:p>
    <w:p w:rsidR="000E67F5" w:rsidRPr="00631E19" w:rsidRDefault="000E67F5" w:rsidP="000E67F5">
      <w:pPr>
        <w:pStyle w:val="Note"/>
        <w:spacing w:before="0"/>
        <w:ind w:left="480"/>
        <w:jc w:val="left"/>
        <w:rPr>
          <w:sz w:val="24"/>
          <w:szCs w:val="24"/>
          <w:lang w:val="en-GB"/>
        </w:rPr>
      </w:pPr>
      <w:r w:rsidRPr="00631E19">
        <w:rPr>
          <w:b/>
          <w:bCs/>
          <w:sz w:val="24"/>
          <w:szCs w:val="24"/>
          <w:lang w:val="en-GB"/>
        </w:rPr>
        <w:t xml:space="preserve">5.501 </w:t>
      </w:r>
      <w:r w:rsidRPr="00631E19">
        <w:rPr>
          <w:b/>
          <w:bCs/>
          <w:sz w:val="24"/>
          <w:szCs w:val="24"/>
          <w:lang w:val="en-GB"/>
        </w:rPr>
        <w:tab/>
      </w:r>
      <w:r w:rsidRPr="00631E19">
        <w:rPr>
          <w:b/>
          <w:bCs/>
          <w:sz w:val="24"/>
          <w:szCs w:val="24"/>
          <w:lang w:val="en-GB"/>
        </w:rPr>
        <w:tab/>
      </w:r>
      <w:r w:rsidRPr="00631E19">
        <w:rPr>
          <w:i/>
          <w:iCs/>
          <w:sz w:val="24"/>
          <w:szCs w:val="24"/>
          <w:lang w:val="en-GB"/>
        </w:rPr>
        <w:t xml:space="preserve">Additional allocation: </w:t>
      </w:r>
      <w:r w:rsidRPr="00631E19">
        <w:rPr>
          <w:sz w:val="24"/>
          <w:szCs w:val="24"/>
          <w:lang w:val="en-GB"/>
        </w:rPr>
        <w:t>in Azerbaijan, Hungary, Japan, Kyrgyzstan, Romania and Turkmenistan, the band 13.4-14 GHz is also allocated to the radionavigation service on a primary basis. (WRC-12)</w:t>
      </w:r>
    </w:p>
    <w:p w:rsidR="000E67F5" w:rsidRPr="00631E19" w:rsidRDefault="000E67F5" w:rsidP="000E67F5">
      <w:pPr>
        <w:pStyle w:val="Note"/>
        <w:spacing w:before="0"/>
        <w:ind w:left="482"/>
        <w:jc w:val="left"/>
        <w:rPr>
          <w:b/>
          <w:bCs/>
          <w:sz w:val="24"/>
          <w:szCs w:val="24"/>
          <w:lang w:val="en-GB"/>
        </w:rPr>
      </w:pPr>
    </w:p>
    <w:p w:rsidR="000E67F5" w:rsidRPr="00631E19" w:rsidRDefault="000E67F5" w:rsidP="000E67F5">
      <w:pPr>
        <w:pStyle w:val="Note"/>
        <w:spacing w:before="0"/>
        <w:ind w:left="482"/>
        <w:jc w:val="left"/>
        <w:rPr>
          <w:sz w:val="24"/>
          <w:szCs w:val="24"/>
          <w:lang w:val="en-GB"/>
        </w:rPr>
      </w:pPr>
      <w:r w:rsidRPr="00631E19">
        <w:rPr>
          <w:b/>
          <w:bCs/>
          <w:sz w:val="24"/>
          <w:szCs w:val="24"/>
          <w:lang w:val="en-GB"/>
        </w:rPr>
        <w:t>5.501A</w:t>
      </w:r>
      <w:r w:rsidRPr="00631E19">
        <w:rPr>
          <w:sz w:val="24"/>
          <w:szCs w:val="24"/>
          <w:lang w:val="en-GB"/>
        </w:rPr>
        <w:t xml:space="preserve"> </w:t>
      </w:r>
      <w:r w:rsidRPr="00631E19">
        <w:rPr>
          <w:sz w:val="24"/>
          <w:szCs w:val="24"/>
          <w:lang w:val="en-GB"/>
        </w:rPr>
        <w:tab/>
        <w:t>The allocation of the band 13.4-13.75 GHz to the space research service on a primary basis is limited to active spaceborne sensors. Other uses of the band by the space research service are on a secondary basis. (WRC-97)</w:t>
      </w:r>
    </w:p>
    <w:p w:rsidR="000E67F5" w:rsidRPr="00631E19" w:rsidRDefault="000E67F5" w:rsidP="000E67F5">
      <w:pPr>
        <w:tabs>
          <w:tab w:val="left" w:pos="1890"/>
        </w:tabs>
        <w:ind w:left="480"/>
        <w:rPr>
          <w:b/>
          <w:bCs/>
          <w:lang w:val="en-GB"/>
        </w:rPr>
      </w:pPr>
    </w:p>
    <w:p w:rsidR="000E67F5" w:rsidRPr="00631E19" w:rsidRDefault="000E67F5" w:rsidP="000E67F5">
      <w:pPr>
        <w:tabs>
          <w:tab w:val="left" w:pos="1890"/>
        </w:tabs>
        <w:ind w:left="480"/>
        <w:rPr>
          <w:lang w:val="en-GB"/>
        </w:rPr>
      </w:pPr>
      <w:r w:rsidRPr="00631E19">
        <w:rPr>
          <w:b/>
          <w:bCs/>
          <w:lang w:val="en-GB"/>
        </w:rPr>
        <w:t xml:space="preserve">5.501B </w:t>
      </w:r>
      <w:r w:rsidRPr="00631E19">
        <w:rPr>
          <w:b/>
          <w:bCs/>
          <w:lang w:val="en-GB"/>
        </w:rPr>
        <w:tab/>
      </w:r>
      <w:r w:rsidRPr="00631E19">
        <w:rPr>
          <w:lang w:val="en-GB"/>
        </w:rPr>
        <w:t>In the band 13.4-13.75 GHz, the Earth exploration-satellite (active) and space research (active) services shall not cause harmful interference to, or constrain the use and development of, the radiolocation service. (WRC-97)</w:t>
      </w:r>
    </w:p>
    <w:p w:rsidR="00C50937" w:rsidRPr="00631E19" w:rsidRDefault="00C50937" w:rsidP="00640DC4">
      <w:pPr>
        <w:ind w:left="426"/>
        <w:rPr>
          <w:highlight w:val="yellow"/>
          <w:lang w:val="en-GB"/>
        </w:rPr>
      </w:pPr>
    </w:p>
    <w:p w:rsidR="007A67C7" w:rsidRPr="00631E19" w:rsidRDefault="007A67C7" w:rsidP="00640DC4">
      <w:pPr>
        <w:ind w:left="426"/>
        <w:rPr>
          <w:lang w:val="en-GB"/>
        </w:rPr>
      </w:pPr>
    </w:p>
    <w:p w:rsidR="0094207C" w:rsidRPr="00631E19" w:rsidRDefault="0094207C" w:rsidP="00640DC4">
      <w:pPr>
        <w:numPr>
          <w:ilvl w:val="2"/>
          <w:numId w:val="14"/>
        </w:numPr>
        <w:ind w:left="1134" w:hanging="708"/>
        <w:rPr>
          <w:b/>
          <w:lang w:val="en-GB"/>
        </w:rPr>
      </w:pPr>
      <w:r w:rsidRPr="00631E19">
        <w:rPr>
          <w:b/>
          <w:lang w:val="en-GB"/>
        </w:rPr>
        <w:t>Review of studies performed in the band 13.25-</w:t>
      </w:r>
      <w:r w:rsidR="00E829F3" w:rsidRPr="00631E19">
        <w:rPr>
          <w:b/>
          <w:lang w:val="en-GB" w:eastAsia="ko-KR"/>
        </w:rPr>
        <w:t>13.75</w:t>
      </w:r>
      <w:r w:rsidR="00E829F3" w:rsidRPr="00631E19">
        <w:rPr>
          <w:b/>
          <w:lang w:val="en-GB"/>
        </w:rPr>
        <w:t xml:space="preserve"> </w:t>
      </w:r>
      <w:r w:rsidRPr="00631E19">
        <w:rPr>
          <w:b/>
          <w:lang w:val="en-GB"/>
        </w:rPr>
        <w:t>GHz:</w:t>
      </w:r>
    </w:p>
    <w:p w:rsidR="000E67F5" w:rsidRPr="00631E19" w:rsidRDefault="000E67F5" w:rsidP="00640DC4">
      <w:pPr>
        <w:ind w:left="426"/>
        <w:rPr>
          <w:lang w:val="en-GB"/>
        </w:rPr>
      </w:pPr>
    </w:p>
    <w:p w:rsidR="00420FE5" w:rsidRPr="00631E19" w:rsidRDefault="00420FE5" w:rsidP="00640DC4">
      <w:pPr>
        <w:ind w:firstLine="426"/>
        <w:rPr>
          <w:b/>
          <w:bCs/>
          <w:lang w:val="en-GB"/>
        </w:rPr>
      </w:pPr>
      <w:r w:rsidRPr="00631E19">
        <w:rPr>
          <w:b/>
          <w:bCs/>
          <w:lang w:val="en-GB"/>
        </w:rPr>
        <w:t>Remote active sensors</w:t>
      </w:r>
    </w:p>
    <w:p w:rsidR="00640DC4" w:rsidRPr="00631E19" w:rsidRDefault="00640DC4" w:rsidP="00640DC4">
      <w:pPr>
        <w:pStyle w:val="ListParagraph"/>
        <w:widowControl w:val="0"/>
        <w:tabs>
          <w:tab w:val="left" w:pos="9356"/>
        </w:tabs>
        <w:autoSpaceDE w:val="0"/>
        <w:autoSpaceDN w:val="0"/>
        <w:adjustRightInd w:val="0"/>
        <w:ind w:leftChars="187" w:left="449"/>
        <w:rPr>
          <w:rFonts w:ascii="TimesNewRoman" w:eastAsia="Batang" w:hAnsi="TimesNewRoman" w:cs="TimesNewRoman"/>
          <w:lang w:val="en-GB" w:eastAsia="zh-CN"/>
        </w:rPr>
      </w:pPr>
    </w:p>
    <w:p w:rsidR="00CA4554" w:rsidRPr="00631E19" w:rsidRDefault="00CA4554" w:rsidP="00640DC4">
      <w:pPr>
        <w:pStyle w:val="ListParagraph"/>
        <w:widowControl w:val="0"/>
        <w:tabs>
          <w:tab w:val="left" w:pos="9356"/>
        </w:tabs>
        <w:autoSpaceDE w:val="0"/>
        <w:autoSpaceDN w:val="0"/>
        <w:adjustRightInd w:val="0"/>
        <w:ind w:leftChars="187" w:left="449"/>
        <w:rPr>
          <w:lang w:val="en-GB" w:eastAsia="zh-CN"/>
        </w:rPr>
      </w:pPr>
      <w:r w:rsidRPr="00631E19">
        <w:rPr>
          <w:rFonts w:ascii="TimesNewRoman" w:eastAsia="Batang" w:hAnsi="TimesNewRoman" w:cs="TimesNewRoman"/>
          <w:lang w:val="en-GB" w:eastAsia="zh-CN"/>
        </w:rPr>
        <w:t>EESS (active) satellites with three types of active sensor in 13.25-13.75 GHz –</w:t>
      </w:r>
      <w:proofErr w:type="spellStart"/>
      <w:r w:rsidRPr="00631E19">
        <w:rPr>
          <w:rFonts w:ascii="TimesNewRoman" w:eastAsia="Batang" w:hAnsi="TimesNewRoman" w:cs="TimesNewRoman"/>
          <w:lang w:val="en-GB" w:eastAsia="zh-CN"/>
        </w:rPr>
        <w:t>scatterometers</w:t>
      </w:r>
      <w:proofErr w:type="spellEnd"/>
      <w:r w:rsidRPr="00631E19">
        <w:rPr>
          <w:rFonts w:ascii="TimesNewRoman" w:eastAsia="Batang" w:hAnsi="TimesNewRoman" w:cs="TimesNewRoman"/>
          <w:lang w:val="en-GB" w:eastAsia="zh-CN"/>
        </w:rPr>
        <w:t>, altimeters and precipitation radars – have been operating in this band for many years. The remote sensing systems of EESS (active) are used in backscatter echo</w:t>
      </w:r>
      <w:r w:rsidRPr="00631E19">
        <w:rPr>
          <w:rFonts w:ascii="TimesNewRoman" w:eastAsia="SimSun" w:hAnsi="TimesNewRoman" w:cs="TimesNewRoman"/>
          <w:lang w:val="en-GB" w:eastAsia="zh-CN"/>
        </w:rPr>
        <w:t xml:space="preserve"> </w:t>
      </w:r>
      <w:r w:rsidRPr="00631E19">
        <w:rPr>
          <w:rFonts w:ascii="TimesNewRoman" w:eastAsia="Batang" w:hAnsi="TimesNewRoman" w:cs="TimesNewRoman"/>
          <w:lang w:val="en-GB" w:eastAsia="zh-CN"/>
        </w:rPr>
        <w:t>mode to monitor weather, water and climate change and similar emergencies, with the aim of preventing natural disasters, which could suffer from interference resulting from FSS (uplink)</w:t>
      </w:r>
      <w:r w:rsidR="00CD494D" w:rsidRPr="00631E19">
        <w:rPr>
          <w:rFonts w:ascii="TimesNewRoman" w:eastAsia="Batang" w:hAnsi="TimesNewRoman" w:cs="TimesNewRoman"/>
          <w:lang w:val="en-GB" w:eastAsia="zh-CN"/>
        </w:rPr>
        <w:t>.</w:t>
      </w:r>
    </w:p>
    <w:p w:rsidR="00CA4554" w:rsidRPr="00631E19" w:rsidRDefault="00CA4554" w:rsidP="00640DC4">
      <w:pPr>
        <w:pStyle w:val="ListParagraph"/>
        <w:widowControl w:val="0"/>
        <w:autoSpaceDE w:val="0"/>
        <w:autoSpaceDN w:val="0"/>
        <w:adjustRightInd w:val="0"/>
        <w:ind w:leftChars="187" w:left="449" w:rightChars="160" w:right="384"/>
        <w:rPr>
          <w:rFonts w:ascii="TimesNewRoman" w:eastAsia="SimSun" w:hAnsi="TimesNewRoman" w:cs="TimesNewRoman"/>
          <w:lang w:val="en-GB" w:eastAsia="zh-CN"/>
        </w:rPr>
      </w:pPr>
    </w:p>
    <w:p w:rsidR="00CA4554" w:rsidRPr="00631E19" w:rsidRDefault="00CA4554" w:rsidP="00952EAF">
      <w:pPr>
        <w:pStyle w:val="ListParagraph"/>
        <w:widowControl w:val="0"/>
        <w:tabs>
          <w:tab w:val="left" w:pos="9356"/>
        </w:tabs>
        <w:autoSpaceDE w:val="0"/>
        <w:autoSpaceDN w:val="0"/>
        <w:adjustRightInd w:val="0"/>
        <w:ind w:leftChars="187" w:left="449"/>
        <w:rPr>
          <w:rFonts w:eastAsia="SimSun" w:cs="SimSun"/>
          <w:lang w:val="en-GB" w:eastAsia="zh-CN"/>
        </w:rPr>
      </w:pPr>
      <w:r w:rsidRPr="00631E19">
        <w:rPr>
          <w:rFonts w:ascii="TimesNewRoman" w:eastAsia="Batang" w:hAnsi="TimesNewRoman" w:cs="TimesNewRoman"/>
          <w:lang w:val="en-GB" w:eastAsia="zh-CN"/>
        </w:rPr>
        <w:t>In the band 13.25-13.4 GHz, Report ITU-R RS.2068 describes the use of the band by the various</w:t>
      </w:r>
      <w:r w:rsidRPr="00631E19">
        <w:rPr>
          <w:rFonts w:ascii="TimesNewRoman" w:eastAsia="SimSun" w:hAnsi="TimesNewRoman" w:cs="TimesNewRoman"/>
          <w:lang w:val="en-GB" w:eastAsia="zh-CN"/>
        </w:rPr>
        <w:t xml:space="preserve"> </w:t>
      </w:r>
      <w:r w:rsidRPr="00631E19">
        <w:rPr>
          <w:rFonts w:ascii="TimesNewRoman" w:eastAsia="Batang" w:hAnsi="TimesNewRoman" w:cs="TimesNewRoman"/>
          <w:lang w:val="en-GB" w:eastAsia="zh-CN"/>
        </w:rPr>
        <w:t>types of EESS (active) sensors. The interference criteria of EESS active sensors can be found in</w:t>
      </w:r>
      <w:r w:rsidRPr="00631E19">
        <w:rPr>
          <w:rFonts w:ascii="TimesNewRoman" w:eastAsia="SimSun" w:hAnsi="TimesNewRoman" w:cs="TimesNewRoman"/>
          <w:lang w:val="en-GB" w:eastAsia="zh-CN"/>
        </w:rPr>
        <w:t xml:space="preserve"> </w:t>
      </w:r>
      <w:r w:rsidRPr="00631E19">
        <w:rPr>
          <w:rFonts w:ascii="TimesNewRoman" w:eastAsia="Batang" w:hAnsi="TimesNewRoman" w:cs="TimesNewRoman"/>
          <w:lang w:val="en-GB" w:eastAsia="zh-CN"/>
        </w:rPr>
        <w:t xml:space="preserve">Recommendation ITU-R RS.1166-4. </w:t>
      </w:r>
      <w:r w:rsidRPr="00631E19">
        <w:rPr>
          <w:rFonts w:ascii="TimesNewRoman" w:eastAsia="SimSun" w:hAnsi="TimesNewRoman" w:cs="TimesNewRoman"/>
          <w:lang w:val="en-GB" w:eastAsia="zh-CN"/>
        </w:rPr>
        <w:t>The</w:t>
      </w:r>
      <w:r w:rsidRPr="00631E19">
        <w:rPr>
          <w:rFonts w:eastAsia="SimSun" w:cs="SimSun"/>
          <w:lang w:val="en-GB" w:eastAsia="zh-CN"/>
        </w:rPr>
        <w:t xml:space="preserve"> characteristics of current and planned systems can be found in </w:t>
      </w:r>
      <w:r w:rsidRPr="00631E19">
        <w:rPr>
          <w:rFonts w:cs="SimSun"/>
          <w:lang w:val="en-GB" w:eastAsia="zh-CN"/>
        </w:rPr>
        <w:t>Report ITU-R M.222</w:t>
      </w:r>
      <w:r w:rsidRPr="00631E19">
        <w:rPr>
          <w:rFonts w:eastAsia="SimSun" w:cs="SimSun"/>
          <w:lang w:val="en-GB" w:eastAsia="zh-CN"/>
        </w:rPr>
        <w:t>1.</w:t>
      </w:r>
      <w:r w:rsidRPr="00631E19">
        <w:rPr>
          <w:rFonts w:ascii="TimesNewRoman" w:eastAsia="Batang" w:hAnsi="TimesNewRoman" w:cs="TimesNewRoman"/>
          <w:lang w:val="en-GB" w:eastAsia="zh-CN"/>
        </w:rPr>
        <w:t xml:space="preserve"> Currently </w:t>
      </w:r>
      <w:proofErr w:type="spellStart"/>
      <w:r w:rsidRPr="00631E19">
        <w:rPr>
          <w:rFonts w:ascii="TimesNewRoman" w:eastAsia="Batang" w:hAnsi="TimesNewRoman" w:cs="TimesNewRoman"/>
          <w:lang w:val="en-GB" w:eastAsia="zh-CN"/>
        </w:rPr>
        <w:t>scatterometers</w:t>
      </w:r>
      <w:proofErr w:type="spellEnd"/>
      <w:r w:rsidRPr="00631E19">
        <w:rPr>
          <w:rFonts w:ascii="TimesNewRoman" w:eastAsia="SimSun" w:hAnsi="TimesNewRoman" w:cs="TimesNewRoman"/>
          <w:lang w:val="en-GB" w:eastAsia="zh-CN"/>
        </w:rPr>
        <w:t xml:space="preserve"> </w:t>
      </w:r>
      <w:r w:rsidR="00A46756" w:rsidRPr="00631E19">
        <w:rPr>
          <w:rFonts w:ascii="TimesNewRoman" w:eastAsia="Batang" w:hAnsi="TimesNewRoman" w:cs="TimesNewRoman"/>
          <w:lang w:val="en-GB" w:eastAsia="zh-CN"/>
        </w:rPr>
        <w:t xml:space="preserve">only </w:t>
      </w:r>
      <w:r w:rsidRPr="00631E19">
        <w:rPr>
          <w:rFonts w:ascii="TimesNewRoman" w:eastAsia="Batang" w:hAnsi="TimesNewRoman" w:cs="TimesNewRoman"/>
          <w:lang w:val="en-GB" w:eastAsia="zh-CN"/>
        </w:rPr>
        <w:t>use the band 13.25-13.4 GHz</w:t>
      </w:r>
      <w:r w:rsidRPr="00631E19">
        <w:rPr>
          <w:rFonts w:ascii="TimesNewRoman" w:eastAsia="SimSun" w:hAnsi="TimesNewRoman" w:cs="TimesNewRoman"/>
          <w:lang w:val="en-GB" w:eastAsia="zh-CN"/>
        </w:rPr>
        <w:t>.</w:t>
      </w:r>
    </w:p>
    <w:p w:rsidR="00E829F3" w:rsidRPr="00631E19" w:rsidRDefault="00E829F3" w:rsidP="00E829F3">
      <w:pPr>
        <w:pStyle w:val="TableNo"/>
        <w:rPr>
          <w:lang w:eastAsia="ko-KR"/>
        </w:rPr>
      </w:pPr>
      <w:r w:rsidRPr="00631E19">
        <w:t xml:space="preserve">Table </w:t>
      </w:r>
      <w:r w:rsidR="007919D9" w:rsidRPr="00631E19">
        <w:rPr>
          <w:lang w:eastAsia="ko-KR"/>
        </w:rPr>
        <w:t>4</w:t>
      </w:r>
    </w:p>
    <w:p w:rsidR="00E829F3" w:rsidRPr="00631E19" w:rsidRDefault="00E829F3" w:rsidP="00E829F3">
      <w:pPr>
        <w:pStyle w:val="Tabletitle"/>
        <w:rPr>
          <w:rFonts w:hint="eastAsia"/>
          <w:sz w:val="18"/>
          <w:szCs w:val="18"/>
        </w:rPr>
      </w:pPr>
      <w:r w:rsidRPr="00631E19">
        <w:t xml:space="preserve">Summary of relevant Recommendations/Reports that may be useful for </w:t>
      </w:r>
      <w:r w:rsidRPr="00631E19">
        <w:br/>
        <w:t>sharing studies in the band 13.25-13.4 GHz</w:t>
      </w:r>
    </w:p>
    <w:tbl>
      <w:tblPr>
        <w:tblpPr w:leftFromText="180" w:rightFromText="180" w:vertAnchor="text" w:tblpXSpec="center" w:tblpY="1"/>
        <w:tblOverlap w:val="neve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963"/>
        <w:gridCol w:w="4942"/>
      </w:tblGrid>
      <w:tr w:rsidR="00E829F3" w:rsidRPr="00631E19" w:rsidTr="002A43BC">
        <w:tc>
          <w:tcPr>
            <w:tcW w:w="2963" w:type="dxa"/>
            <w:shd w:val="clear" w:color="auto" w:fill="auto"/>
          </w:tcPr>
          <w:p w:rsidR="00E829F3" w:rsidRPr="00631E19" w:rsidRDefault="00E829F3" w:rsidP="00A263E4">
            <w:pPr>
              <w:pStyle w:val="Tablehead"/>
            </w:pPr>
            <w:r w:rsidRPr="00631E19">
              <w:t>Service</w:t>
            </w:r>
          </w:p>
        </w:tc>
        <w:tc>
          <w:tcPr>
            <w:tcW w:w="4942" w:type="dxa"/>
            <w:shd w:val="clear" w:color="auto" w:fill="auto"/>
          </w:tcPr>
          <w:p w:rsidR="00E829F3" w:rsidRPr="00631E19" w:rsidRDefault="00E829F3" w:rsidP="00A263E4">
            <w:pPr>
              <w:pStyle w:val="Tablehead"/>
            </w:pPr>
            <w:r w:rsidRPr="00631E19">
              <w:t>Relevant Recommendations/Reports</w:t>
            </w:r>
          </w:p>
        </w:tc>
      </w:tr>
      <w:tr w:rsidR="00E829F3" w:rsidRPr="00631E19" w:rsidTr="002A43BC">
        <w:tc>
          <w:tcPr>
            <w:tcW w:w="2963" w:type="dxa"/>
            <w:shd w:val="clear" w:color="auto" w:fill="auto"/>
          </w:tcPr>
          <w:p w:rsidR="00E829F3" w:rsidRPr="00631E19" w:rsidRDefault="00E829F3" w:rsidP="00A263E4">
            <w:pPr>
              <w:pStyle w:val="Tabletext"/>
              <w:rPr>
                <w:lang w:eastAsia="zh-CN"/>
              </w:rPr>
            </w:pPr>
            <w:r w:rsidRPr="00631E19">
              <w:rPr>
                <w:lang w:eastAsia="zh-CN"/>
              </w:rPr>
              <w:t>Fixed</w:t>
            </w:r>
          </w:p>
        </w:tc>
        <w:tc>
          <w:tcPr>
            <w:tcW w:w="4942" w:type="dxa"/>
            <w:shd w:val="clear" w:color="auto" w:fill="auto"/>
          </w:tcPr>
          <w:p w:rsidR="00E829F3" w:rsidRPr="00631E19" w:rsidRDefault="00E829F3" w:rsidP="00A263E4">
            <w:pPr>
              <w:pStyle w:val="Tabletext"/>
            </w:pPr>
            <w:r w:rsidRPr="00631E19">
              <w:t>Recommendation ITU-R F.699</w:t>
            </w:r>
          </w:p>
          <w:p w:rsidR="00E829F3" w:rsidRPr="00631E19" w:rsidRDefault="00E829F3" w:rsidP="00A263E4">
            <w:pPr>
              <w:pStyle w:val="Tabletext"/>
            </w:pPr>
            <w:r w:rsidRPr="00631E19">
              <w:t>Recommendation ITU-R F.758</w:t>
            </w:r>
          </w:p>
          <w:p w:rsidR="00E829F3" w:rsidRPr="00631E19" w:rsidRDefault="00E829F3" w:rsidP="00A263E4">
            <w:pPr>
              <w:pStyle w:val="Tabletext"/>
            </w:pPr>
            <w:r w:rsidRPr="00631E19">
              <w:t>Recommendation ITU-R F.1107</w:t>
            </w:r>
          </w:p>
          <w:p w:rsidR="00E829F3" w:rsidRPr="00631E19" w:rsidRDefault="00E829F3" w:rsidP="00A263E4">
            <w:pPr>
              <w:pStyle w:val="Tabletext"/>
            </w:pPr>
            <w:r w:rsidRPr="00631E19">
              <w:t>Recommendation ITU-R F.1245</w:t>
            </w:r>
          </w:p>
          <w:p w:rsidR="00E829F3" w:rsidRPr="00631E19" w:rsidRDefault="00E829F3" w:rsidP="00A263E4">
            <w:pPr>
              <w:pStyle w:val="Tabletext"/>
            </w:pPr>
            <w:r w:rsidRPr="00631E19">
              <w:t>Recommendation ITU-R F.1333</w:t>
            </w:r>
          </w:p>
          <w:p w:rsidR="00E829F3" w:rsidRPr="00631E19" w:rsidRDefault="00E829F3" w:rsidP="00A263E4">
            <w:pPr>
              <w:pStyle w:val="Tabletext"/>
            </w:pPr>
            <w:r w:rsidRPr="00631E19">
              <w:t>Recommendation ITU-R F.1336</w:t>
            </w:r>
          </w:p>
          <w:p w:rsidR="00E829F3" w:rsidRPr="00631E19" w:rsidRDefault="00E829F3" w:rsidP="00A263E4">
            <w:pPr>
              <w:pStyle w:val="Tabletext"/>
            </w:pPr>
            <w:r w:rsidRPr="00631E19">
              <w:t>Recommendation ITU-R F.1777</w:t>
            </w:r>
          </w:p>
          <w:p w:rsidR="00E829F3" w:rsidRPr="00631E19" w:rsidRDefault="00E829F3" w:rsidP="00A263E4">
            <w:pPr>
              <w:pStyle w:val="Tabletext"/>
            </w:pPr>
            <w:r w:rsidRPr="00631E19">
              <w:t>Recommendation ITU-R F.746</w:t>
            </w:r>
          </w:p>
          <w:p w:rsidR="00E829F3" w:rsidRPr="00631E19" w:rsidRDefault="00E829F3" w:rsidP="00A263E4">
            <w:pPr>
              <w:pStyle w:val="Tabletext"/>
              <w:rPr>
                <w:lang w:eastAsia="zh-CN"/>
              </w:rPr>
            </w:pPr>
            <w:r w:rsidRPr="00631E19">
              <w:t>Recommendation ITU-R F.497</w:t>
            </w:r>
          </w:p>
        </w:tc>
      </w:tr>
      <w:tr w:rsidR="00E829F3" w:rsidRPr="00631E19" w:rsidTr="002A43BC">
        <w:tc>
          <w:tcPr>
            <w:tcW w:w="2963" w:type="dxa"/>
            <w:shd w:val="clear" w:color="auto" w:fill="auto"/>
          </w:tcPr>
          <w:p w:rsidR="00E829F3" w:rsidRPr="00631E19" w:rsidRDefault="00E829F3" w:rsidP="00A263E4">
            <w:pPr>
              <w:pStyle w:val="Tabletext"/>
              <w:rPr>
                <w:lang w:eastAsia="zh-CN"/>
              </w:rPr>
            </w:pPr>
            <w:r w:rsidRPr="00631E19">
              <w:rPr>
                <w:lang w:eastAsia="zh-CN"/>
              </w:rPr>
              <w:lastRenderedPageBreak/>
              <w:t>Earth exploration-satellite (active)</w:t>
            </w:r>
          </w:p>
        </w:tc>
        <w:tc>
          <w:tcPr>
            <w:tcW w:w="4942" w:type="dxa"/>
            <w:shd w:val="clear" w:color="auto" w:fill="auto"/>
          </w:tcPr>
          <w:p w:rsidR="00E829F3" w:rsidRPr="00631E19" w:rsidRDefault="00E829F3" w:rsidP="00A263E4">
            <w:pPr>
              <w:pStyle w:val="Tabletext"/>
            </w:pPr>
            <w:r w:rsidRPr="00631E19">
              <w:t>Recommendation ITU-R RS.1166-4</w:t>
            </w:r>
            <w:r w:rsidRPr="00631E19">
              <w:br/>
              <w:t>Report ITU-R RS.2068</w:t>
            </w:r>
          </w:p>
        </w:tc>
      </w:tr>
      <w:tr w:rsidR="00E829F3" w:rsidRPr="00631E19" w:rsidTr="002A43BC">
        <w:tc>
          <w:tcPr>
            <w:tcW w:w="2963" w:type="dxa"/>
            <w:shd w:val="clear" w:color="auto" w:fill="auto"/>
          </w:tcPr>
          <w:p w:rsidR="00E829F3" w:rsidRPr="00631E19" w:rsidRDefault="00E829F3" w:rsidP="00A263E4">
            <w:pPr>
              <w:pStyle w:val="Tabletext"/>
              <w:rPr>
                <w:lang w:eastAsia="zh-CN"/>
              </w:rPr>
            </w:pPr>
            <w:r w:rsidRPr="00631E19">
              <w:rPr>
                <w:lang w:eastAsia="zh-CN"/>
              </w:rPr>
              <w:t xml:space="preserve">Aeronautical radionavigation </w:t>
            </w:r>
          </w:p>
        </w:tc>
        <w:tc>
          <w:tcPr>
            <w:tcW w:w="4942" w:type="dxa"/>
            <w:shd w:val="clear" w:color="auto" w:fill="auto"/>
          </w:tcPr>
          <w:p w:rsidR="00E829F3" w:rsidRPr="00631E19" w:rsidRDefault="00E829F3" w:rsidP="00A263E4">
            <w:pPr>
              <w:pStyle w:val="Tabletext"/>
              <w:rPr>
                <w:lang w:eastAsia="zh-CN"/>
              </w:rPr>
            </w:pPr>
            <w:r w:rsidRPr="00631E19">
              <w:t>Recommendation ITU-R M.</w:t>
            </w:r>
            <w:r w:rsidRPr="00631E19">
              <w:rPr>
                <w:rStyle w:val="href"/>
              </w:rPr>
              <w:t>2008</w:t>
            </w:r>
            <w:r w:rsidRPr="00631E19">
              <w:rPr>
                <w:rStyle w:val="href"/>
              </w:rPr>
              <w:br/>
              <w:t>Report ITU-R M.2230</w:t>
            </w:r>
          </w:p>
        </w:tc>
      </w:tr>
    </w:tbl>
    <w:p w:rsidR="00E829F3" w:rsidRPr="00631E19" w:rsidRDefault="00A263E4" w:rsidP="00A263E4">
      <w:pPr>
        <w:ind w:firstLine="720"/>
        <w:rPr>
          <w:lang w:val="en-GB"/>
        </w:rPr>
      </w:pPr>
      <w:r w:rsidRPr="00631E19">
        <w:rPr>
          <w:lang w:val="en-GB"/>
        </w:rPr>
        <w:br w:type="textWrapping" w:clear="all"/>
      </w:r>
    </w:p>
    <w:p w:rsidR="000E67F5" w:rsidRPr="00631E19" w:rsidRDefault="000E67F5" w:rsidP="00952EAF">
      <w:pPr>
        <w:pStyle w:val="ListParagraph"/>
        <w:widowControl w:val="0"/>
        <w:autoSpaceDE w:val="0"/>
        <w:autoSpaceDN w:val="0"/>
        <w:adjustRightInd w:val="0"/>
        <w:ind w:leftChars="187" w:left="449" w:rightChars="160" w:right="384"/>
        <w:rPr>
          <w:rFonts w:ascii="TimesNewRoman" w:eastAsia="SimSun" w:hAnsi="TimesNewRoman" w:cs="TimesNewRoman"/>
          <w:lang w:val="en-GB" w:eastAsia="zh-CN"/>
        </w:rPr>
      </w:pPr>
    </w:p>
    <w:p w:rsidR="00952EAF" w:rsidRPr="00631E19" w:rsidRDefault="00952EAF" w:rsidP="00952EAF">
      <w:pPr>
        <w:ind w:left="426"/>
        <w:rPr>
          <w:lang w:val="en-GB"/>
        </w:rPr>
      </w:pPr>
      <w:r w:rsidRPr="00631E19">
        <w:rPr>
          <w:rFonts w:ascii="TimesNewRoman" w:eastAsia="SimSun" w:hAnsi="TimesNewRoman" w:cs="TimesNewRoman"/>
          <w:lang w:val="en-GB" w:eastAsia="zh-CN"/>
        </w:rPr>
        <w:t xml:space="preserve">As for the band 13.4-13.75 GHz, </w:t>
      </w:r>
      <w:r w:rsidRPr="00631E19">
        <w:rPr>
          <w:lang w:val="en-GB"/>
        </w:rPr>
        <w:t>the relevant recommendations and report that may be useful for sharing studies are as shown:</w:t>
      </w:r>
    </w:p>
    <w:p w:rsidR="00952EAF" w:rsidRPr="00631E19" w:rsidRDefault="00952EAF" w:rsidP="00952EAF">
      <w:pPr>
        <w:ind w:left="426"/>
        <w:rPr>
          <w:lang w:val="en-GB" w:eastAsia="ko-KR"/>
        </w:rPr>
      </w:pPr>
    </w:p>
    <w:p w:rsidR="00E829F3" w:rsidRPr="00631E19" w:rsidRDefault="00E829F3" w:rsidP="00E829F3">
      <w:pPr>
        <w:pStyle w:val="TableNo"/>
        <w:spacing w:before="240"/>
        <w:rPr>
          <w:lang w:eastAsia="ko-KR"/>
        </w:rPr>
      </w:pPr>
      <w:r w:rsidRPr="00631E19">
        <w:t xml:space="preserve">Table </w:t>
      </w:r>
      <w:r w:rsidR="007919D9" w:rsidRPr="00631E19">
        <w:rPr>
          <w:lang w:eastAsia="ko-KR"/>
        </w:rPr>
        <w:t>5</w:t>
      </w:r>
    </w:p>
    <w:p w:rsidR="00E829F3" w:rsidRPr="00631E19" w:rsidRDefault="00E829F3" w:rsidP="00E829F3">
      <w:pPr>
        <w:pStyle w:val="Tabletitle"/>
        <w:rPr>
          <w:rFonts w:hint="eastAsia"/>
          <w:sz w:val="18"/>
          <w:szCs w:val="18"/>
        </w:rPr>
      </w:pPr>
      <w:r w:rsidRPr="00631E19">
        <w:t xml:space="preserve">Summary of relevant Recommendations/Reports that may be useful for </w:t>
      </w:r>
      <w:r w:rsidRPr="00631E19">
        <w:br/>
        <w:t>sharing studies in the band 13.4-13.75 GHz</w:t>
      </w:r>
    </w:p>
    <w:tbl>
      <w:tblPr>
        <w:tblW w:w="8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933"/>
        <w:gridCol w:w="5332"/>
      </w:tblGrid>
      <w:tr w:rsidR="00E829F3" w:rsidRPr="00631E19" w:rsidTr="00E829F3">
        <w:trPr>
          <w:jc w:val="center"/>
        </w:trPr>
        <w:tc>
          <w:tcPr>
            <w:tcW w:w="2933" w:type="dxa"/>
          </w:tcPr>
          <w:p w:rsidR="00E829F3" w:rsidRPr="00631E19" w:rsidRDefault="00E829F3" w:rsidP="00E829F3">
            <w:pPr>
              <w:pStyle w:val="Tablehead"/>
            </w:pPr>
            <w:r w:rsidRPr="00631E19">
              <w:t>Service</w:t>
            </w:r>
          </w:p>
        </w:tc>
        <w:tc>
          <w:tcPr>
            <w:tcW w:w="5332" w:type="dxa"/>
          </w:tcPr>
          <w:p w:rsidR="00E829F3" w:rsidRPr="00631E19" w:rsidRDefault="00E829F3" w:rsidP="00E829F3">
            <w:pPr>
              <w:pStyle w:val="Tablehead"/>
            </w:pPr>
            <w:r w:rsidRPr="00631E19">
              <w:t>Relevant Recommendations/Reports</w:t>
            </w:r>
          </w:p>
        </w:tc>
      </w:tr>
      <w:tr w:rsidR="00E829F3" w:rsidRPr="00631E19" w:rsidTr="00E829F3">
        <w:trPr>
          <w:jc w:val="center"/>
        </w:trPr>
        <w:tc>
          <w:tcPr>
            <w:tcW w:w="2933" w:type="dxa"/>
          </w:tcPr>
          <w:p w:rsidR="00E829F3" w:rsidRPr="00631E19" w:rsidRDefault="00E829F3" w:rsidP="00E829F3">
            <w:pPr>
              <w:pStyle w:val="Tabletext"/>
              <w:rPr>
                <w:lang w:eastAsia="zh-CN"/>
              </w:rPr>
            </w:pPr>
            <w:r w:rsidRPr="00631E19">
              <w:rPr>
                <w:lang w:eastAsia="zh-CN"/>
              </w:rPr>
              <w:t>Fixed</w:t>
            </w:r>
          </w:p>
        </w:tc>
        <w:tc>
          <w:tcPr>
            <w:tcW w:w="5332" w:type="dxa"/>
          </w:tcPr>
          <w:p w:rsidR="00E829F3" w:rsidRPr="00631E19" w:rsidRDefault="00E829F3" w:rsidP="00E829F3">
            <w:pPr>
              <w:pStyle w:val="Tabletext"/>
            </w:pPr>
            <w:r w:rsidRPr="00631E19">
              <w:t>Recommendation ITU-R F.699</w:t>
            </w:r>
          </w:p>
          <w:p w:rsidR="00E829F3" w:rsidRPr="00631E19" w:rsidRDefault="00E829F3" w:rsidP="00E829F3">
            <w:pPr>
              <w:pStyle w:val="Tabletext"/>
            </w:pPr>
            <w:r w:rsidRPr="00631E19">
              <w:t xml:space="preserve">Recommendation ITU-R F.758 </w:t>
            </w:r>
          </w:p>
          <w:p w:rsidR="00E829F3" w:rsidRPr="00631E19" w:rsidRDefault="00E829F3" w:rsidP="00E829F3">
            <w:pPr>
              <w:pStyle w:val="Tabletext"/>
            </w:pPr>
            <w:r w:rsidRPr="00631E19">
              <w:t xml:space="preserve">Recommendation ITU-R F.1107 </w:t>
            </w:r>
          </w:p>
          <w:p w:rsidR="00E829F3" w:rsidRPr="00631E19" w:rsidRDefault="00E829F3" w:rsidP="00E829F3">
            <w:pPr>
              <w:pStyle w:val="Tabletext"/>
            </w:pPr>
            <w:r w:rsidRPr="00631E19">
              <w:t>Recommendation ITU-R F.1245</w:t>
            </w:r>
          </w:p>
          <w:p w:rsidR="00E829F3" w:rsidRPr="00631E19" w:rsidRDefault="00E829F3" w:rsidP="00E829F3">
            <w:pPr>
              <w:pStyle w:val="Tabletext"/>
            </w:pPr>
            <w:r w:rsidRPr="00631E19">
              <w:t>Recommendation ITU-R F.1333</w:t>
            </w:r>
          </w:p>
          <w:p w:rsidR="00E829F3" w:rsidRPr="00631E19" w:rsidRDefault="00E829F3" w:rsidP="00E829F3">
            <w:pPr>
              <w:pStyle w:val="Tabletext"/>
            </w:pPr>
            <w:r w:rsidRPr="00631E19">
              <w:t xml:space="preserve">Recommendation ITU-R F.1336 </w:t>
            </w:r>
          </w:p>
          <w:p w:rsidR="00E829F3" w:rsidRPr="00631E19" w:rsidRDefault="00E829F3" w:rsidP="00E829F3">
            <w:pPr>
              <w:pStyle w:val="Tabletext"/>
              <w:rPr>
                <w:rFonts w:ascii="TimesNewRoman" w:hAnsi="TimesNewRoman" w:cs="TimesNewRoman"/>
              </w:rPr>
            </w:pPr>
            <w:r w:rsidRPr="00631E19">
              <w:t>Recommendation ITU-R F.1777</w:t>
            </w:r>
          </w:p>
        </w:tc>
      </w:tr>
      <w:tr w:rsidR="00E829F3" w:rsidRPr="00631E19" w:rsidTr="00E829F3">
        <w:trPr>
          <w:jc w:val="center"/>
        </w:trPr>
        <w:tc>
          <w:tcPr>
            <w:tcW w:w="2933" w:type="dxa"/>
          </w:tcPr>
          <w:p w:rsidR="00E829F3" w:rsidRPr="00631E19" w:rsidRDefault="00E829F3" w:rsidP="00E829F3">
            <w:pPr>
              <w:pStyle w:val="Tabletext"/>
              <w:rPr>
                <w:lang w:eastAsia="zh-CN"/>
              </w:rPr>
            </w:pPr>
            <w:r w:rsidRPr="00631E19">
              <w:rPr>
                <w:lang w:eastAsia="zh-CN"/>
              </w:rPr>
              <w:t>Earth exploration-satellite (active)</w:t>
            </w:r>
          </w:p>
        </w:tc>
        <w:tc>
          <w:tcPr>
            <w:tcW w:w="5332" w:type="dxa"/>
          </w:tcPr>
          <w:p w:rsidR="00E829F3" w:rsidRPr="00631E19" w:rsidRDefault="00E829F3" w:rsidP="00E829F3">
            <w:pPr>
              <w:pStyle w:val="Tabletext"/>
              <w:rPr>
                <w:rFonts w:ascii="TimesNewRoman" w:hAnsi="TimesNewRoman" w:cs="TimesNewRoman"/>
              </w:rPr>
            </w:pPr>
            <w:r w:rsidRPr="00631E19">
              <w:t>[Recommendation ITU-R RS.1281]</w:t>
            </w:r>
          </w:p>
          <w:p w:rsidR="00E829F3" w:rsidRPr="00631E19" w:rsidRDefault="00E829F3" w:rsidP="00E829F3">
            <w:pPr>
              <w:pStyle w:val="Tabletext"/>
            </w:pPr>
            <w:r w:rsidRPr="00631E19">
              <w:t>Recommendation ITU-R RS.1166</w:t>
            </w:r>
            <w:r w:rsidRPr="00631E19">
              <w:br/>
              <w:t>Report ITU-R RS.2068</w:t>
            </w:r>
          </w:p>
        </w:tc>
      </w:tr>
      <w:tr w:rsidR="00E829F3" w:rsidRPr="00631E19" w:rsidTr="00E829F3">
        <w:trPr>
          <w:jc w:val="center"/>
        </w:trPr>
        <w:tc>
          <w:tcPr>
            <w:tcW w:w="2933" w:type="dxa"/>
          </w:tcPr>
          <w:p w:rsidR="00E829F3" w:rsidRPr="00631E19" w:rsidRDefault="00E829F3" w:rsidP="00E829F3">
            <w:pPr>
              <w:pStyle w:val="Tabletext"/>
              <w:rPr>
                <w:lang w:eastAsia="zh-CN"/>
              </w:rPr>
            </w:pPr>
            <w:r w:rsidRPr="00631E19">
              <w:rPr>
                <w:lang w:eastAsia="zh-CN"/>
              </w:rPr>
              <w:t xml:space="preserve">Radiolocation </w:t>
            </w:r>
          </w:p>
        </w:tc>
        <w:tc>
          <w:tcPr>
            <w:tcW w:w="5332" w:type="dxa"/>
          </w:tcPr>
          <w:p w:rsidR="00E829F3" w:rsidRPr="00631E19" w:rsidRDefault="00E829F3" w:rsidP="00E829F3">
            <w:pPr>
              <w:pStyle w:val="Tabletext"/>
              <w:keepLines/>
              <w:tabs>
                <w:tab w:val="left" w:leader="dot" w:pos="7938"/>
                <w:tab w:val="center" w:pos="9526"/>
              </w:tabs>
              <w:ind w:left="567" w:hanging="567"/>
            </w:pPr>
            <w:r w:rsidRPr="00631E19">
              <w:t>Recommendation ITU-R M.1644</w:t>
            </w:r>
          </w:p>
          <w:p w:rsidR="00E829F3" w:rsidRPr="00631E19" w:rsidRDefault="00E829F3" w:rsidP="00E829F3">
            <w:pPr>
              <w:pStyle w:val="Tabletext"/>
              <w:keepLines/>
              <w:tabs>
                <w:tab w:val="left" w:leader="dot" w:pos="7938"/>
                <w:tab w:val="center" w:pos="9526"/>
              </w:tabs>
              <w:ind w:left="567" w:hanging="567"/>
            </w:pPr>
            <w:r w:rsidRPr="00631E19">
              <w:t>Recommendation ITU-R M.1461</w:t>
            </w:r>
          </w:p>
          <w:p w:rsidR="00E829F3" w:rsidRPr="00631E19" w:rsidRDefault="00E829F3" w:rsidP="00E829F3">
            <w:pPr>
              <w:pStyle w:val="Tabletext"/>
              <w:rPr>
                <w:lang w:eastAsia="zh-CN"/>
              </w:rPr>
            </w:pPr>
            <w:r w:rsidRPr="00631E19">
              <w:t>Recommendation ITU-R M.1851</w:t>
            </w:r>
          </w:p>
        </w:tc>
      </w:tr>
      <w:tr w:rsidR="00E829F3" w:rsidRPr="00631E19" w:rsidTr="00E829F3">
        <w:trPr>
          <w:jc w:val="center"/>
        </w:trPr>
        <w:tc>
          <w:tcPr>
            <w:tcW w:w="2933" w:type="dxa"/>
          </w:tcPr>
          <w:p w:rsidR="00E829F3" w:rsidRPr="00631E19" w:rsidRDefault="00E829F3" w:rsidP="00E829F3">
            <w:pPr>
              <w:pStyle w:val="Tabletext"/>
              <w:rPr>
                <w:lang w:eastAsia="zh-CN"/>
              </w:rPr>
            </w:pPr>
            <w:r w:rsidRPr="00631E19">
              <w:rPr>
                <w:lang w:eastAsia="zh-CN"/>
              </w:rPr>
              <w:t>Space research</w:t>
            </w:r>
          </w:p>
        </w:tc>
        <w:tc>
          <w:tcPr>
            <w:tcW w:w="5332" w:type="dxa"/>
          </w:tcPr>
          <w:p w:rsidR="00E829F3" w:rsidRPr="00631E19" w:rsidRDefault="00E829F3" w:rsidP="00E829F3">
            <w:pPr>
              <w:pStyle w:val="Tabletext"/>
              <w:keepLines/>
              <w:tabs>
                <w:tab w:val="clear" w:pos="567"/>
                <w:tab w:val="left" w:leader="dot" w:pos="7938"/>
                <w:tab w:val="center" w:pos="9526"/>
              </w:tabs>
            </w:pPr>
            <w:r w:rsidRPr="00631E19">
              <w:t>Recommendation ITU-R SA.609</w:t>
            </w:r>
          </w:p>
          <w:p w:rsidR="00F64A55" w:rsidRPr="00631E19" w:rsidRDefault="00F64A55" w:rsidP="00F64A55">
            <w:pPr>
              <w:pStyle w:val="Tabletext"/>
              <w:spacing w:before="20" w:after="20"/>
            </w:pPr>
            <w:r w:rsidRPr="00631E19">
              <w:t>Recommendation ITU-R SA.510</w:t>
            </w:r>
          </w:p>
          <w:p w:rsidR="00F64A55" w:rsidRPr="00631E19" w:rsidRDefault="00F64A55" w:rsidP="00F64A55">
            <w:pPr>
              <w:pStyle w:val="Tabletext"/>
              <w:keepLines/>
              <w:tabs>
                <w:tab w:val="clear" w:pos="567"/>
                <w:tab w:val="left" w:leader="dot" w:pos="7938"/>
                <w:tab w:val="center" w:pos="9526"/>
              </w:tabs>
              <w:spacing w:before="20" w:after="20"/>
            </w:pPr>
            <w:r w:rsidRPr="00631E19">
              <w:t>Recommendation ITU-R SA.1018</w:t>
            </w:r>
          </w:p>
          <w:p w:rsidR="00E829F3" w:rsidRPr="00631E19" w:rsidRDefault="00F64A55" w:rsidP="00F64A55">
            <w:pPr>
              <w:pStyle w:val="Tabletext"/>
              <w:keepLines/>
              <w:tabs>
                <w:tab w:val="clear" w:pos="567"/>
                <w:tab w:val="left" w:leader="dot" w:pos="7938"/>
                <w:tab w:val="center" w:pos="9526"/>
              </w:tabs>
            </w:pPr>
            <w:r w:rsidRPr="00631E19">
              <w:t>Recommendation ITU-R SA.1019</w:t>
            </w:r>
            <w:r w:rsidRPr="00631E19">
              <w:br/>
              <w:t>PDR Recommendation ITU-R SA.1414</w:t>
            </w:r>
            <w:r w:rsidRPr="00631E19">
              <w:rPr>
                <w:rStyle w:val="FootnoteReference"/>
                <w:rFonts w:asciiTheme="majorBidi" w:hAnsiTheme="majorBidi" w:cstheme="majorBidi"/>
                <w:sz w:val="20"/>
              </w:rPr>
              <w:footnoteReference w:id="10"/>
            </w:r>
            <w:r w:rsidR="00E829F3" w:rsidRPr="00631E19">
              <w:br/>
              <w:t>Recommendation ITU-R SA.1155</w:t>
            </w:r>
          </w:p>
        </w:tc>
      </w:tr>
    </w:tbl>
    <w:p w:rsidR="00E829F3" w:rsidRPr="00631E19" w:rsidRDefault="00E829F3" w:rsidP="00952EAF">
      <w:pPr>
        <w:ind w:left="426"/>
        <w:rPr>
          <w:lang w:val="en-GB" w:eastAsia="ko-KR"/>
        </w:rPr>
      </w:pPr>
    </w:p>
    <w:p w:rsidR="00952EAF" w:rsidRPr="00631E19" w:rsidRDefault="00952EAF" w:rsidP="00952EAF">
      <w:pPr>
        <w:ind w:left="720"/>
        <w:rPr>
          <w:lang w:val="en-GB"/>
        </w:rPr>
      </w:pPr>
      <w:proofErr w:type="gramStart"/>
      <w:r w:rsidRPr="00631E19">
        <w:rPr>
          <w:lang w:val="en-GB"/>
        </w:rPr>
        <w:t>To obtain the information about the procedures for determining the potential for interference between radars operating in the radiodetermination service and systems in other services.</w:t>
      </w:r>
      <w:proofErr w:type="gramEnd"/>
      <w:r w:rsidRPr="00631E19">
        <w:rPr>
          <w:lang w:val="en-GB"/>
        </w:rPr>
        <w:t xml:space="preserve"> </w:t>
      </w:r>
    </w:p>
    <w:p w:rsidR="00952EAF" w:rsidRPr="00631E19" w:rsidRDefault="00952EAF" w:rsidP="00952EAF">
      <w:pPr>
        <w:ind w:left="426"/>
        <w:rPr>
          <w:lang w:val="en-GB"/>
        </w:rPr>
      </w:pPr>
    </w:p>
    <w:p w:rsidR="00952EAF" w:rsidRPr="00631E19" w:rsidRDefault="00952EAF" w:rsidP="00952EAF">
      <w:pPr>
        <w:numPr>
          <w:ilvl w:val="0"/>
          <w:numId w:val="25"/>
        </w:numPr>
        <w:rPr>
          <w:lang w:val="en-GB"/>
        </w:rPr>
      </w:pPr>
      <w:r w:rsidRPr="00631E19">
        <w:rPr>
          <w:lang w:val="en-GB"/>
        </w:rPr>
        <w:t>Report ITU-R M.2221 (10/2011)</w:t>
      </w:r>
    </w:p>
    <w:p w:rsidR="00952EAF" w:rsidRPr="00631E19" w:rsidRDefault="00952EAF" w:rsidP="00952EAF">
      <w:pPr>
        <w:pStyle w:val="ListParagraph"/>
        <w:widowControl w:val="0"/>
        <w:numPr>
          <w:ilvl w:val="0"/>
          <w:numId w:val="27"/>
        </w:numPr>
        <w:autoSpaceDE w:val="0"/>
        <w:autoSpaceDN w:val="0"/>
        <w:adjustRightInd w:val="0"/>
        <w:ind w:leftChars="0"/>
        <w:rPr>
          <w:rFonts w:ascii="TimesNewRoman,Italic" w:eastAsia="Batang" w:hAnsi="TimesNewRoman,Italic" w:cs="TimesNewRoman,Italic"/>
          <w:i/>
          <w:iCs/>
          <w:lang w:val="en-GB" w:eastAsia="zh-CN"/>
        </w:rPr>
      </w:pPr>
      <w:r w:rsidRPr="00631E19">
        <w:rPr>
          <w:rFonts w:ascii="TimesNewRoman,Italic" w:eastAsia="Batang" w:hAnsi="TimesNewRoman,Italic" w:cs="TimesNewRoman,Italic"/>
          <w:i/>
          <w:iCs/>
          <w:lang w:val="en-GB" w:eastAsia="zh-CN"/>
        </w:rPr>
        <w:t>Precipitation radars (i.e. tropical rain)</w:t>
      </w:r>
    </w:p>
    <w:p w:rsidR="00952EAF" w:rsidRPr="00631E19" w:rsidRDefault="00952EAF" w:rsidP="00952EAF">
      <w:pPr>
        <w:pStyle w:val="ListParagraph"/>
        <w:widowControl w:val="0"/>
        <w:autoSpaceDE w:val="0"/>
        <w:autoSpaceDN w:val="0"/>
        <w:adjustRightInd w:val="0"/>
        <w:rPr>
          <w:rFonts w:ascii="TimesNewRoman" w:eastAsia="Batang" w:hAnsi="TimesNewRoman" w:cs="TimesNewRoman"/>
          <w:lang w:val="en-GB" w:eastAsia="zh-CN"/>
        </w:rPr>
      </w:pPr>
    </w:p>
    <w:p w:rsidR="00952EAF" w:rsidRPr="00631E19" w:rsidRDefault="00952EAF" w:rsidP="00952EAF">
      <w:pPr>
        <w:pStyle w:val="ListParagraph"/>
        <w:widowControl w:val="0"/>
        <w:autoSpaceDE w:val="0"/>
        <w:autoSpaceDN w:val="0"/>
        <w:adjustRightInd w:val="0"/>
        <w:ind w:leftChars="886" w:left="2126"/>
        <w:rPr>
          <w:rFonts w:ascii="TimesNewRoman" w:eastAsia="SimSun" w:hAnsi="TimesNewRoman" w:cs="TimesNewRoman"/>
          <w:lang w:val="en-GB" w:eastAsia="zh-CN"/>
        </w:rPr>
      </w:pPr>
      <w:r w:rsidRPr="00631E19">
        <w:rPr>
          <w:rFonts w:ascii="TimesNewRoman" w:eastAsia="Batang" w:hAnsi="TimesNewRoman" w:cs="TimesNewRoman"/>
          <w:lang w:val="en-GB" w:eastAsia="zh-CN"/>
        </w:rPr>
        <w:t>These systems usually operate over bandwidths around 20 to 30 MHz: currently all systems operate</w:t>
      </w:r>
      <w:r w:rsidRPr="00631E19">
        <w:rPr>
          <w:rFonts w:ascii="TimesNewRoman" w:eastAsia="SimSun" w:hAnsi="TimesNewRoman" w:cs="TimesNewRoman"/>
          <w:lang w:val="en-GB" w:eastAsia="zh-CN"/>
        </w:rPr>
        <w:t xml:space="preserve"> </w:t>
      </w:r>
      <w:r w:rsidRPr="00631E19">
        <w:rPr>
          <w:rFonts w:ascii="TimesNewRoman" w:eastAsia="Batang" w:hAnsi="TimesNewRoman" w:cs="TimesNewRoman"/>
          <w:lang w:val="en-GB" w:eastAsia="zh-CN"/>
        </w:rPr>
        <w:t xml:space="preserve">in 13.4-13.75 GHz band </w:t>
      </w:r>
      <w:r w:rsidRPr="00631E19">
        <w:rPr>
          <w:rFonts w:ascii="TimesNewRoman" w:eastAsia="SimSun" w:hAnsi="TimesNewRoman" w:cs="TimesNewRoman"/>
          <w:lang w:val="en-GB" w:eastAsia="zh-CN"/>
        </w:rPr>
        <w:t xml:space="preserve">such as Chinese </w:t>
      </w:r>
      <w:r w:rsidRPr="00631E19">
        <w:rPr>
          <w:rFonts w:cs="SimSun"/>
          <w:lang w:val="en-GB" w:eastAsia="zh-CN"/>
        </w:rPr>
        <w:t>meteorological satellites</w:t>
      </w:r>
      <w:r w:rsidRPr="00631E19">
        <w:rPr>
          <w:rFonts w:ascii="TimesNewRoman" w:eastAsia="Batang" w:hAnsi="TimesNewRoman" w:cs="TimesNewRoman"/>
          <w:lang w:val="en-GB" w:eastAsia="zh-CN"/>
        </w:rPr>
        <w:t xml:space="preserve"> </w:t>
      </w:r>
      <w:r w:rsidRPr="00631E19">
        <w:rPr>
          <w:rFonts w:ascii="TimesNewRoman" w:eastAsia="SimSun" w:hAnsi="TimesNewRoman" w:cs="TimesNewRoman"/>
          <w:lang w:val="en-GB" w:eastAsia="zh-CN"/>
        </w:rPr>
        <w:t xml:space="preserve">system </w:t>
      </w:r>
      <w:r w:rsidRPr="00631E19">
        <w:rPr>
          <w:rFonts w:ascii="TimesNewRoman" w:eastAsia="Batang" w:hAnsi="TimesNewRoman" w:cs="TimesNewRoman"/>
          <w:lang w:val="en-GB" w:eastAsia="zh-CN"/>
        </w:rPr>
        <w:t>(and some in 13.75-14 GHz). The Global Precipitation Mission (GPM) will</w:t>
      </w:r>
      <w:r w:rsidRPr="00631E19">
        <w:rPr>
          <w:rFonts w:ascii="TimesNewRoman" w:eastAsia="SimSun" w:hAnsi="TimesNewRoman" w:cs="TimesNewRoman"/>
          <w:lang w:val="en-GB" w:eastAsia="zh-CN"/>
        </w:rPr>
        <w:t xml:space="preserve"> </w:t>
      </w:r>
      <w:r w:rsidRPr="00631E19">
        <w:rPr>
          <w:rFonts w:ascii="TimesNewRoman" w:eastAsia="Batang" w:hAnsi="TimesNewRoman" w:cs="TimesNewRoman"/>
          <w:lang w:val="en-GB" w:eastAsia="zh-CN"/>
        </w:rPr>
        <w:t>use two channels at 13.593 and 13.603 GHz each channel being 3 MHz wide</w:t>
      </w:r>
      <w:r w:rsidRPr="00631E19">
        <w:rPr>
          <w:rFonts w:ascii="TimesNewRoman" w:eastAsia="SimSun" w:hAnsi="TimesNewRoman" w:cs="TimesNewRoman"/>
          <w:lang w:val="en-GB" w:eastAsia="zh-CN"/>
        </w:rPr>
        <w:t>.</w:t>
      </w:r>
    </w:p>
    <w:p w:rsidR="00952EAF" w:rsidRPr="00631E19" w:rsidRDefault="00952EAF" w:rsidP="00952EAF">
      <w:pPr>
        <w:pStyle w:val="ListParagraph"/>
        <w:widowControl w:val="0"/>
        <w:autoSpaceDE w:val="0"/>
        <w:autoSpaceDN w:val="0"/>
        <w:adjustRightInd w:val="0"/>
        <w:ind w:leftChars="0" w:left="2166"/>
        <w:rPr>
          <w:rFonts w:ascii="TimesNewRoman,Italic" w:eastAsia="Batang" w:hAnsi="TimesNewRoman,Italic" w:cs="TimesNewRoman,Italic"/>
          <w:i/>
          <w:iCs/>
          <w:lang w:val="en-GB" w:eastAsia="zh-CN"/>
        </w:rPr>
      </w:pPr>
    </w:p>
    <w:p w:rsidR="00952EAF" w:rsidRPr="00631E19" w:rsidRDefault="00952EAF" w:rsidP="00952EAF">
      <w:pPr>
        <w:pStyle w:val="ListParagraph"/>
        <w:widowControl w:val="0"/>
        <w:numPr>
          <w:ilvl w:val="0"/>
          <w:numId w:val="27"/>
        </w:numPr>
        <w:autoSpaceDE w:val="0"/>
        <w:autoSpaceDN w:val="0"/>
        <w:adjustRightInd w:val="0"/>
        <w:ind w:leftChars="0"/>
        <w:rPr>
          <w:rFonts w:ascii="TimesNewRoman,Italic" w:eastAsia="Batang" w:hAnsi="TimesNewRoman,Italic" w:cs="TimesNewRoman,Italic"/>
          <w:i/>
          <w:iCs/>
          <w:lang w:val="en-GB" w:eastAsia="zh-CN"/>
        </w:rPr>
      </w:pPr>
      <w:r w:rsidRPr="00631E19">
        <w:rPr>
          <w:rFonts w:ascii="TimesNewRoman,Italic" w:eastAsia="Batang" w:hAnsi="TimesNewRoman,Italic" w:cs="TimesNewRoman,Italic"/>
          <w:i/>
          <w:iCs/>
          <w:lang w:val="en-GB" w:eastAsia="zh-CN"/>
        </w:rPr>
        <w:lastRenderedPageBreak/>
        <w:t xml:space="preserve">Altimeters (measures oceans' currents): such as Jason, </w:t>
      </w:r>
      <w:proofErr w:type="spellStart"/>
      <w:r w:rsidRPr="00631E19">
        <w:rPr>
          <w:rFonts w:ascii="TimesNewRoman,Italic" w:eastAsia="Batang" w:hAnsi="TimesNewRoman,Italic" w:cs="TimesNewRoman,Italic"/>
          <w:i/>
          <w:iCs/>
          <w:lang w:val="en-GB" w:eastAsia="zh-CN"/>
        </w:rPr>
        <w:t>Envisat</w:t>
      </w:r>
      <w:proofErr w:type="spellEnd"/>
      <w:r w:rsidRPr="00631E19">
        <w:rPr>
          <w:rFonts w:ascii="TimesNewRoman,Italic" w:eastAsia="Batang" w:hAnsi="TimesNewRoman,Italic" w:cs="TimesNewRoman,Italic"/>
          <w:i/>
          <w:iCs/>
          <w:lang w:val="en-GB" w:eastAsia="zh-CN"/>
        </w:rPr>
        <w:t xml:space="preserve">, </w:t>
      </w:r>
      <w:proofErr w:type="spellStart"/>
      <w:r w:rsidRPr="00631E19">
        <w:rPr>
          <w:rFonts w:ascii="TimesNewRoman,Italic" w:eastAsia="Batang" w:hAnsi="TimesNewRoman,Italic" w:cs="TimesNewRoman,Italic"/>
          <w:i/>
          <w:iCs/>
          <w:lang w:val="en-GB" w:eastAsia="zh-CN"/>
        </w:rPr>
        <w:t>Cryosat</w:t>
      </w:r>
      <w:proofErr w:type="spellEnd"/>
      <w:r w:rsidRPr="00631E19">
        <w:rPr>
          <w:rFonts w:ascii="TimesNewRoman,Italic" w:eastAsia="Batang" w:hAnsi="TimesNewRoman,Italic" w:cs="TimesNewRoman,Italic"/>
          <w:i/>
          <w:iCs/>
          <w:lang w:val="en-GB" w:eastAsia="zh-CN"/>
        </w:rPr>
        <w:t>, Sentinel</w:t>
      </w:r>
      <w:r w:rsidRPr="00631E19">
        <w:rPr>
          <w:rFonts w:ascii="TimesNewRoman,Italic" w:eastAsia="SimSun" w:hAnsi="TimesNewRoman,Italic" w:cs="TimesNewRoman,Italic"/>
          <w:i/>
          <w:iCs/>
          <w:lang w:val="en-GB" w:eastAsia="zh-CN"/>
        </w:rPr>
        <w:t>, HY-2</w:t>
      </w:r>
    </w:p>
    <w:p w:rsidR="00952EAF" w:rsidRPr="00631E19" w:rsidRDefault="00952EAF" w:rsidP="00952EAF">
      <w:pPr>
        <w:pStyle w:val="ListParagraph"/>
        <w:widowControl w:val="0"/>
        <w:autoSpaceDE w:val="0"/>
        <w:autoSpaceDN w:val="0"/>
        <w:adjustRightInd w:val="0"/>
        <w:ind w:rightChars="160" w:right="384"/>
        <w:rPr>
          <w:rFonts w:ascii="TimesNewRoman" w:eastAsia="Batang" w:hAnsi="TimesNewRoman" w:cs="TimesNewRoman"/>
          <w:lang w:val="en-GB" w:eastAsia="zh-CN"/>
        </w:rPr>
      </w:pPr>
    </w:p>
    <w:p w:rsidR="00952EAF" w:rsidRPr="00631E19" w:rsidRDefault="00952EAF" w:rsidP="00952EAF">
      <w:pPr>
        <w:pStyle w:val="ListParagraph"/>
        <w:widowControl w:val="0"/>
        <w:autoSpaceDE w:val="0"/>
        <w:autoSpaceDN w:val="0"/>
        <w:adjustRightInd w:val="0"/>
        <w:ind w:leftChars="886" w:left="2126" w:rightChars="160" w:right="384"/>
        <w:rPr>
          <w:rFonts w:eastAsia="SimSun"/>
          <w:lang w:val="en-GB" w:eastAsia="zh-CN"/>
        </w:rPr>
      </w:pPr>
      <w:r w:rsidRPr="00631E19">
        <w:rPr>
          <w:rFonts w:ascii="TimesNewRoman" w:eastAsia="Batang" w:hAnsi="TimesNewRoman" w:cs="TimesNewRoman"/>
          <w:lang w:val="en-GB" w:eastAsia="zh-CN"/>
        </w:rPr>
        <w:t>These systems usually operate within a bandwidth of around 350 MHz</w:t>
      </w:r>
      <w:r w:rsidRPr="00631E19">
        <w:rPr>
          <w:rFonts w:ascii="TimesNewRoman" w:eastAsia="SimSun" w:hAnsi="TimesNewRoman" w:cs="TimesNewRoman"/>
          <w:lang w:val="en-GB" w:eastAsia="zh-CN"/>
        </w:rPr>
        <w:t xml:space="preserve"> and a</w:t>
      </w:r>
      <w:r w:rsidRPr="00631E19">
        <w:rPr>
          <w:rFonts w:ascii="TimesNewRoman" w:eastAsia="Batang" w:hAnsi="TimesNewRoman" w:cs="TimesNewRoman"/>
          <w:lang w:val="en-GB" w:eastAsia="zh-CN"/>
        </w:rPr>
        <w:t xml:space="preserve">ll current systems are </w:t>
      </w:r>
      <w:proofErr w:type="spellStart"/>
      <w:r w:rsidRPr="00631E19">
        <w:rPr>
          <w:rFonts w:ascii="TimesNewRoman" w:eastAsia="Batang" w:hAnsi="TimesNewRoman" w:cs="TimesNewRoman"/>
          <w:lang w:val="en-GB" w:eastAsia="zh-CN"/>
        </w:rPr>
        <w:t>centered</w:t>
      </w:r>
      <w:proofErr w:type="spellEnd"/>
      <w:r w:rsidRPr="00631E19">
        <w:rPr>
          <w:rFonts w:ascii="TimesNewRoman" w:eastAsia="Batang" w:hAnsi="TimesNewRoman" w:cs="TimesNewRoman"/>
          <w:lang w:val="en-GB" w:eastAsia="zh-CN"/>
        </w:rPr>
        <w:t xml:space="preserve"> on 13.575 GHz or 13.6 GHz, i.e. within 13.4-13.75 GHz.</w:t>
      </w:r>
      <w:r w:rsidRPr="00631E19">
        <w:rPr>
          <w:rFonts w:ascii="TimesNewRoman" w:eastAsia="SimSun" w:hAnsi="TimesNewRoman" w:cs="TimesNewRoman"/>
          <w:lang w:val="en-GB" w:eastAsia="zh-CN"/>
        </w:rPr>
        <w:t xml:space="preserve"> </w:t>
      </w:r>
      <w:r w:rsidRPr="00631E19">
        <w:rPr>
          <w:rFonts w:eastAsia="Batang"/>
          <w:lang w:val="en-GB" w:eastAsia="zh-CN"/>
        </w:rPr>
        <w:t>In addition,</w:t>
      </w:r>
      <w:r w:rsidRPr="00631E19">
        <w:rPr>
          <w:rFonts w:eastAsia="SimSun"/>
          <w:lang w:val="en-GB" w:eastAsia="zh-CN"/>
        </w:rPr>
        <w:t xml:space="preserve"> </w:t>
      </w:r>
      <w:r w:rsidRPr="00631E19">
        <w:rPr>
          <w:rFonts w:eastAsia="Batang"/>
          <w:lang w:val="en-GB" w:eastAsia="zh-CN"/>
        </w:rPr>
        <w:t xml:space="preserve">Report ITU-R RS.2068 provides a rationale for instruments having bandwidths of up to 600 </w:t>
      </w:r>
      <w:proofErr w:type="spellStart"/>
      <w:r w:rsidRPr="00631E19">
        <w:rPr>
          <w:rFonts w:eastAsia="Batang"/>
          <w:lang w:val="en-GB" w:eastAsia="zh-CN"/>
        </w:rPr>
        <w:t>MHz</w:t>
      </w:r>
      <w:r w:rsidRPr="00631E19">
        <w:rPr>
          <w:rFonts w:eastAsia="SimSun"/>
          <w:lang w:val="en-GB" w:eastAsia="zh-CN"/>
        </w:rPr>
        <w:t>.</w:t>
      </w:r>
      <w:proofErr w:type="spellEnd"/>
    </w:p>
    <w:p w:rsidR="00952EAF" w:rsidRPr="00631E19" w:rsidRDefault="00952EAF" w:rsidP="00952EAF">
      <w:pPr>
        <w:pStyle w:val="ListParagraph"/>
        <w:widowControl w:val="0"/>
        <w:autoSpaceDE w:val="0"/>
        <w:autoSpaceDN w:val="0"/>
        <w:adjustRightInd w:val="0"/>
        <w:ind w:leftChars="886" w:left="2126"/>
        <w:rPr>
          <w:rFonts w:ascii="TimesNewRoman" w:eastAsia="SimSun" w:hAnsi="TimesNewRoman" w:cs="TimesNewRoman"/>
          <w:lang w:val="en-GB" w:eastAsia="zh-CN"/>
        </w:rPr>
      </w:pPr>
    </w:p>
    <w:p w:rsidR="00952EAF" w:rsidRPr="00631E19" w:rsidRDefault="00952EAF" w:rsidP="00952EAF">
      <w:pPr>
        <w:pStyle w:val="ListParagraph"/>
        <w:widowControl w:val="0"/>
        <w:autoSpaceDE w:val="0"/>
        <w:autoSpaceDN w:val="0"/>
        <w:adjustRightInd w:val="0"/>
        <w:ind w:leftChars="886" w:left="2126"/>
        <w:rPr>
          <w:rFonts w:ascii="TimesNewRoman" w:eastAsia="Batang" w:hAnsi="TimesNewRoman" w:cs="TimesNewRoman"/>
          <w:lang w:val="en-GB" w:eastAsia="zh-CN"/>
        </w:rPr>
      </w:pPr>
      <w:r w:rsidRPr="00631E19">
        <w:rPr>
          <w:rFonts w:ascii="TimesNewRoman" w:eastAsia="SimSun" w:hAnsi="TimesNewRoman" w:cs="TimesNewRoman"/>
          <w:lang w:val="en-GB" w:eastAsia="zh-CN"/>
        </w:rPr>
        <w:t xml:space="preserve">Considering future </w:t>
      </w:r>
      <w:r w:rsidRPr="00631E19">
        <w:rPr>
          <w:rFonts w:ascii="TimesNewRoman" w:eastAsia="Batang" w:hAnsi="TimesNewRoman" w:cs="TimesNewRoman"/>
          <w:lang w:val="en-GB" w:eastAsia="zh-CN"/>
        </w:rPr>
        <w:t xml:space="preserve">EESS systems </w:t>
      </w:r>
      <w:r w:rsidRPr="00631E19">
        <w:rPr>
          <w:rFonts w:ascii="TimesNewRoman" w:eastAsia="SimSun" w:hAnsi="TimesNewRoman" w:cs="TimesNewRoman"/>
          <w:lang w:val="en-GB" w:eastAsia="zh-CN"/>
        </w:rPr>
        <w:t>of altimeters</w:t>
      </w:r>
      <w:r w:rsidRPr="00631E19">
        <w:rPr>
          <w:rFonts w:ascii="TimesNewRoman" w:eastAsia="Batang" w:hAnsi="TimesNewRoman" w:cs="TimesNewRoman"/>
          <w:lang w:val="en-GB" w:eastAsia="zh-CN"/>
        </w:rPr>
        <w:t xml:space="preserve"> may operate</w:t>
      </w:r>
      <w:r w:rsidRPr="00631E19">
        <w:rPr>
          <w:rFonts w:ascii="TimesNewRoman" w:eastAsia="SimSun" w:hAnsi="TimesNewRoman" w:cs="TimesNewRoman"/>
          <w:lang w:val="en-GB" w:eastAsia="zh-CN"/>
        </w:rPr>
        <w:t xml:space="preserve"> in</w:t>
      </w:r>
      <w:r w:rsidRPr="00631E19">
        <w:rPr>
          <w:rFonts w:ascii="TimesNewRoman" w:eastAsia="Batang" w:hAnsi="TimesNewRoman" w:cs="TimesNewRoman"/>
          <w:lang w:val="en-GB" w:eastAsia="zh-CN"/>
        </w:rPr>
        <w:t xml:space="preserve"> the band 13.25-13.4 GHz; sharing studies</w:t>
      </w:r>
      <w:r w:rsidRPr="00631E19">
        <w:rPr>
          <w:rFonts w:ascii="TimesNewRoman" w:eastAsia="SimSun" w:hAnsi="TimesNewRoman" w:cs="TimesNewRoman"/>
          <w:lang w:val="en-GB" w:eastAsia="zh-CN"/>
        </w:rPr>
        <w:t xml:space="preserve"> between FSS and EESS (altimeters) systems should be conducted in the whole band of 13.25-13.75 GHz</w:t>
      </w:r>
      <w:r w:rsidRPr="00631E19">
        <w:rPr>
          <w:rFonts w:ascii="TimesNewRoman" w:eastAsia="Batang" w:hAnsi="TimesNewRoman" w:cs="TimesNewRoman"/>
          <w:lang w:val="en-GB" w:eastAsia="zh-CN"/>
        </w:rPr>
        <w:t>.</w:t>
      </w:r>
    </w:p>
    <w:p w:rsidR="00952EAF" w:rsidRPr="00631E19" w:rsidRDefault="00952EAF" w:rsidP="00952EAF">
      <w:pPr>
        <w:pStyle w:val="ListParagraph"/>
        <w:widowControl w:val="0"/>
        <w:autoSpaceDE w:val="0"/>
        <w:autoSpaceDN w:val="0"/>
        <w:adjustRightInd w:val="0"/>
        <w:ind w:leftChars="187" w:left="449" w:rightChars="160" w:right="384"/>
        <w:rPr>
          <w:rFonts w:ascii="TimesNewRoman" w:eastAsia="SimSun" w:hAnsi="TimesNewRoman" w:cs="TimesNewRoman"/>
          <w:lang w:val="en-GB" w:eastAsia="zh-CN"/>
        </w:rPr>
      </w:pPr>
    </w:p>
    <w:p w:rsidR="00CA4554" w:rsidRPr="00631E19" w:rsidRDefault="00CA4554" w:rsidP="00952EAF">
      <w:pPr>
        <w:pStyle w:val="ListParagraph"/>
        <w:widowControl w:val="0"/>
        <w:autoSpaceDE w:val="0"/>
        <w:autoSpaceDN w:val="0"/>
        <w:adjustRightInd w:val="0"/>
        <w:ind w:leftChars="187" w:left="449"/>
        <w:rPr>
          <w:rFonts w:ascii="TimesNewRoman" w:eastAsia="Batang" w:hAnsi="TimesNewRoman" w:cs="TimesNewRoman"/>
          <w:i/>
          <w:lang w:val="en-GB" w:eastAsia="zh-CN"/>
        </w:rPr>
      </w:pPr>
      <w:proofErr w:type="spellStart"/>
      <w:r w:rsidRPr="00631E19">
        <w:rPr>
          <w:rFonts w:ascii="TimesNewRoman,Italic" w:eastAsia="Batang" w:hAnsi="TimesNewRoman,Italic" w:cs="TimesNewRoman,Italic"/>
          <w:i/>
          <w:iCs/>
          <w:lang w:val="en-GB" w:eastAsia="zh-CN"/>
        </w:rPr>
        <w:t>Scatterometers</w:t>
      </w:r>
      <w:proofErr w:type="spellEnd"/>
      <w:r w:rsidRPr="00631E19">
        <w:rPr>
          <w:rFonts w:ascii="TimesNewRoman,Italic" w:eastAsia="Batang" w:hAnsi="TimesNewRoman,Italic" w:cs="TimesNewRoman,Italic"/>
          <w:i/>
          <w:iCs/>
          <w:lang w:val="en-GB" w:eastAsia="zh-CN"/>
        </w:rPr>
        <w:t xml:space="preserve"> (measures winds at the surface of oceans)</w:t>
      </w:r>
      <w:r w:rsidRPr="00631E19">
        <w:rPr>
          <w:rFonts w:ascii="TimesNewRoman" w:eastAsia="Batang" w:hAnsi="TimesNewRoman" w:cs="TimesNewRoman"/>
          <w:i/>
          <w:lang w:val="en-GB" w:eastAsia="zh-CN"/>
        </w:rPr>
        <w:t xml:space="preserve"> </w:t>
      </w:r>
    </w:p>
    <w:p w:rsidR="00640DC4" w:rsidRPr="00631E19" w:rsidRDefault="00640DC4" w:rsidP="00127DAE">
      <w:pPr>
        <w:pStyle w:val="ListParagraph"/>
        <w:widowControl w:val="0"/>
        <w:autoSpaceDE w:val="0"/>
        <w:autoSpaceDN w:val="0"/>
        <w:adjustRightInd w:val="0"/>
        <w:ind w:leftChars="187" w:left="449"/>
        <w:rPr>
          <w:rFonts w:ascii="TimesNewRoman" w:eastAsia="Batang" w:hAnsi="TimesNewRoman" w:cs="TimesNewRoman"/>
          <w:lang w:val="en-GB" w:eastAsia="zh-CN"/>
        </w:rPr>
      </w:pPr>
    </w:p>
    <w:p w:rsidR="00CA4554" w:rsidRPr="00631E19" w:rsidRDefault="00CA4554" w:rsidP="00127DAE">
      <w:pPr>
        <w:pStyle w:val="ListParagraph"/>
        <w:widowControl w:val="0"/>
        <w:autoSpaceDE w:val="0"/>
        <w:autoSpaceDN w:val="0"/>
        <w:adjustRightInd w:val="0"/>
        <w:ind w:leftChars="187" w:left="449"/>
        <w:rPr>
          <w:rFonts w:ascii="TimesNewRoman" w:eastAsia="SimSun" w:hAnsi="TimesNewRoman" w:cs="TimesNewRoman"/>
          <w:lang w:val="en-GB" w:eastAsia="zh-CN"/>
        </w:rPr>
      </w:pPr>
      <w:r w:rsidRPr="00631E19">
        <w:rPr>
          <w:rFonts w:ascii="TimesNewRoman" w:eastAsia="Batang" w:hAnsi="TimesNewRoman" w:cs="TimesNewRoman"/>
          <w:lang w:val="en-GB" w:eastAsia="zh-CN"/>
        </w:rPr>
        <w:t xml:space="preserve">Current and planned systems: e.g. </w:t>
      </w:r>
      <w:proofErr w:type="spellStart"/>
      <w:r w:rsidRPr="00631E19">
        <w:rPr>
          <w:rFonts w:ascii="TimesNewRoman" w:eastAsia="Batang" w:hAnsi="TimesNewRoman" w:cs="TimesNewRoman"/>
          <w:lang w:val="en-GB" w:eastAsia="zh-CN"/>
        </w:rPr>
        <w:t>Seawinds</w:t>
      </w:r>
      <w:proofErr w:type="spellEnd"/>
      <w:r w:rsidRPr="00631E19">
        <w:rPr>
          <w:rFonts w:ascii="TimesNewRoman" w:eastAsia="Batang" w:hAnsi="TimesNewRoman" w:cs="TimesNewRoman"/>
          <w:lang w:val="en-GB" w:eastAsia="zh-CN"/>
        </w:rPr>
        <w:t xml:space="preserve"> on board the </w:t>
      </w:r>
      <w:proofErr w:type="spellStart"/>
      <w:r w:rsidRPr="00631E19">
        <w:rPr>
          <w:rFonts w:ascii="TimesNewRoman" w:eastAsia="Batang" w:hAnsi="TimesNewRoman" w:cs="TimesNewRoman"/>
          <w:lang w:val="en-GB" w:eastAsia="zh-CN"/>
        </w:rPr>
        <w:t>Quickscat</w:t>
      </w:r>
      <w:proofErr w:type="spellEnd"/>
      <w:r w:rsidRPr="00631E19">
        <w:rPr>
          <w:rFonts w:ascii="TimesNewRoman" w:eastAsia="Batang" w:hAnsi="TimesNewRoman" w:cs="TimesNewRoman"/>
          <w:lang w:val="en-GB" w:eastAsia="zh-CN"/>
        </w:rPr>
        <w:t xml:space="preserve"> satellite uses a bandwidth of a few MHz at the edge of 13.4 GHz</w:t>
      </w:r>
      <w:r w:rsidRPr="00631E19">
        <w:rPr>
          <w:rFonts w:ascii="TimesNewRoman" w:eastAsia="SimSun" w:hAnsi="TimesNewRoman" w:cs="TimesNewRoman"/>
          <w:lang w:val="en-GB" w:eastAsia="zh-CN"/>
        </w:rPr>
        <w:t>,</w:t>
      </w:r>
      <w:r w:rsidRPr="00631E19">
        <w:rPr>
          <w:rFonts w:ascii="TimesNewRoman" w:eastAsia="Batang" w:hAnsi="TimesNewRoman" w:cs="TimesNewRoman"/>
          <w:lang w:val="en-GB" w:eastAsia="zh-CN"/>
        </w:rPr>
        <w:t xml:space="preserve"> </w:t>
      </w:r>
      <w:proofErr w:type="spellStart"/>
      <w:r w:rsidRPr="00631E19">
        <w:rPr>
          <w:rFonts w:ascii="TimesNewRoman" w:eastAsia="SimSun" w:hAnsi="TimesNewRoman" w:cs="TimesNewRoman"/>
          <w:lang w:val="en-GB" w:eastAsia="zh-CN"/>
        </w:rPr>
        <w:t>Scatterometers</w:t>
      </w:r>
      <w:proofErr w:type="spellEnd"/>
      <w:r w:rsidRPr="00631E19">
        <w:rPr>
          <w:rFonts w:ascii="TimesNewRoman" w:eastAsia="SimSun" w:hAnsi="TimesNewRoman" w:cs="TimesNewRoman"/>
          <w:lang w:val="en-GB" w:eastAsia="zh-CN"/>
        </w:rPr>
        <w:t xml:space="preserve"> on board the HY-2 satellite and CFOSAT satellite uses a bandwidth of a few MHz at the edge of 13.25 GHz. </w:t>
      </w:r>
      <w:r w:rsidRPr="00631E19">
        <w:rPr>
          <w:rFonts w:ascii="TimesNewRoman" w:eastAsia="Batang" w:hAnsi="TimesNewRoman" w:cs="TimesNewRoman"/>
          <w:lang w:val="en-GB" w:eastAsia="zh-CN"/>
        </w:rPr>
        <w:t xml:space="preserve">Some systems are planned that would operate in the band 13.25-13.4 GHz. Typical bandwidths are around </w:t>
      </w:r>
      <w:r w:rsidRPr="00631E19">
        <w:rPr>
          <w:rFonts w:ascii="TimesNewRoman" w:eastAsia="SimSun" w:hAnsi="TimesNewRoman" w:cs="TimesNewRoman"/>
          <w:lang w:val="en-GB" w:eastAsia="zh-CN"/>
        </w:rPr>
        <w:t>1</w:t>
      </w:r>
      <w:r w:rsidR="00640DC4" w:rsidRPr="00631E19">
        <w:rPr>
          <w:rFonts w:ascii="TimesNewRoman" w:eastAsia="SimSun" w:hAnsi="TimesNewRoman" w:cs="TimesNewRoman"/>
          <w:lang w:val="en-GB" w:eastAsia="zh-CN"/>
        </w:rPr>
        <w:t xml:space="preserve"> </w:t>
      </w:r>
      <w:r w:rsidRPr="00631E19">
        <w:rPr>
          <w:rFonts w:ascii="TimesNewRoman" w:eastAsia="Batang" w:hAnsi="TimesNewRoman" w:cs="TimesNewRoman"/>
          <w:lang w:val="en-GB" w:eastAsia="zh-CN"/>
        </w:rPr>
        <w:t xml:space="preserve">MHz, </w:t>
      </w:r>
      <w:r w:rsidRPr="00631E19">
        <w:rPr>
          <w:rFonts w:ascii="TimesNewRoman" w:eastAsia="SimSun" w:hAnsi="TimesNewRoman" w:cs="TimesNewRoman"/>
          <w:lang w:val="en-GB" w:eastAsia="zh-CN"/>
        </w:rPr>
        <w:t>the bandwidths of HY-2 satellite and CFOSAT satellite is 3-5</w:t>
      </w:r>
      <w:r w:rsidR="00640DC4" w:rsidRPr="00631E19">
        <w:rPr>
          <w:rFonts w:ascii="TimesNewRoman" w:eastAsia="SimSun" w:hAnsi="TimesNewRoman" w:cs="TimesNewRoman"/>
          <w:lang w:val="en-GB" w:eastAsia="zh-CN"/>
        </w:rPr>
        <w:t xml:space="preserve"> </w:t>
      </w:r>
      <w:r w:rsidRPr="00631E19">
        <w:rPr>
          <w:rFonts w:ascii="TimesNewRoman" w:eastAsia="SimSun" w:hAnsi="TimesNewRoman" w:cs="TimesNewRoman"/>
          <w:lang w:val="en-GB" w:eastAsia="zh-CN"/>
        </w:rPr>
        <w:t xml:space="preserve">MHz, </w:t>
      </w:r>
      <w:r w:rsidRPr="00631E19">
        <w:rPr>
          <w:rFonts w:ascii="TimesNewRoman" w:eastAsia="Batang" w:hAnsi="TimesNewRoman" w:cs="TimesNewRoman"/>
          <w:lang w:val="en-GB" w:eastAsia="zh-CN"/>
        </w:rPr>
        <w:t>but higher bandwidths can be found.</w:t>
      </w:r>
    </w:p>
    <w:p w:rsidR="00CA4554" w:rsidRPr="00631E19" w:rsidRDefault="00CA4554" w:rsidP="00640DC4">
      <w:pPr>
        <w:ind w:left="426"/>
        <w:rPr>
          <w:lang w:val="en-GB"/>
        </w:rPr>
      </w:pPr>
    </w:p>
    <w:p w:rsidR="00420FE5" w:rsidRPr="00631E19" w:rsidRDefault="00420FE5" w:rsidP="00640DC4">
      <w:pPr>
        <w:ind w:left="426"/>
        <w:rPr>
          <w:lang w:val="en-GB"/>
        </w:rPr>
      </w:pPr>
      <w:r w:rsidRPr="00631E19">
        <w:rPr>
          <w:b/>
          <w:bCs/>
          <w:lang w:val="en-GB"/>
        </w:rPr>
        <w:t xml:space="preserve">Aeronautical </w:t>
      </w:r>
      <w:proofErr w:type="spellStart"/>
      <w:r w:rsidRPr="00631E19">
        <w:rPr>
          <w:b/>
          <w:bCs/>
          <w:lang w:val="en-GB"/>
        </w:rPr>
        <w:t>radionavigation</w:t>
      </w:r>
      <w:proofErr w:type="spellEnd"/>
      <w:r w:rsidRPr="00631E19">
        <w:rPr>
          <w:b/>
          <w:bCs/>
          <w:lang w:val="en-GB"/>
        </w:rPr>
        <w:t xml:space="preserve"> service</w:t>
      </w:r>
      <w:r w:rsidR="007E0B51" w:rsidRPr="00631E19">
        <w:rPr>
          <w:b/>
          <w:bCs/>
          <w:lang w:val="en-GB"/>
        </w:rPr>
        <w:t xml:space="preserve"> (ARNS)</w:t>
      </w:r>
    </w:p>
    <w:p w:rsidR="00640DC4" w:rsidRPr="00631E19" w:rsidRDefault="00640DC4" w:rsidP="00640DC4">
      <w:pPr>
        <w:ind w:left="426"/>
        <w:rPr>
          <w:color w:val="000000"/>
          <w:lang w:val="en-GB"/>
        </w:rPr>
      </w:pPr>
    </w:p>
    <w:p w:rsidR="00420FE5" w:rsidRPr="00631E19" w:rsidRDefault="00420FE5" w:rsidP="00640DC4">
      <w:pPr>
        <w:ind w:left="426"/>
        <w:rPr>
          <w:color w:val="000000"/>
          <w:lang w:val="en-GB"/>
        </w:rPr>
      </w:pPr>
      <w:r w:rsidRPr="00631E19">
        <w:rPr>
          <w:color w:val="000000"/>
          <w:lang w:val="en-GB"/>
        </w:rPr>
        <w:t xml:space="preserve">Doppler navigation aids in </w:t>
      </w:r>
      <w:r w:rsidR="00952EAF" w:rsidRPr="00631E19">
        <w:rPr>
          <w:color w:val="000000"/>
          <w:lang w:val="en-GB"/>
        </w:rPr>
        <w:t xml:space="preserve">the </w:t>
      </w:r>
      <w:r w:rsidRPr="00631E19">
        <w:rPr>
          <w:color w:val="000000"/>
          <w:lang w:val="en-GB"/>
        </w:rPr>
        <w:t xml:space="preserve">band </w:t>
      </w:r>
      <w:r w:rsidR="00952EAF" w:rsidRPr="00631E19">
        <w:rPr>
          <w:color w:val="000000"/>
          <w:lang w:val="en-GB"/>
        </w:rPr>
        <w:t xml:space="preserve">13.25-13.4 GHz </w:t>
      </w:r>
      <w:r w:rsidRPr="00631E19">
        <w:rPr>
          <w:color w:val="000000"/>
          <w:lang w:val="en-GB"/>
        </w:rPr>
        <w:t xml:space="preserve">are operated in the ARNS on board aircraft. Such use is under RR No. 4.10. </w:t>
      </w:r>
    </w:p>
    <w:p w:rsidR="00420FE5" w:rsidRPr="00631E19" w:rsidRDefault="00420FE5" w:rsidP="00640DC4">
      <w:pPr>
        <w:ind w:left="426"/>
        <w:rPr>
          <w:lang w:val="en-GB"/>
        </w:rPr>
      </w:pPr>
    </w:p>
    <w:p w:rsidR="00952EAF" w:rsidRPr="00631E19" w:rsidRDefault="00952EAF" w:rsidP="00127DAE">
      <w:pPr>
        <w:pStyle w:val="ListParagraph"/>
        <w:numPr>
          <w:ilvl w:val="3"/>
          <w:numId w:val="14"/>
        </w:numPr>
        <w:ind w:leftChars="0" w:left="1134"/>
        <w:jc w:val="both"/>
        <w:rPr>
          <w:b/>
          <w:lang w:val="en-GB"/>
        </w:rPr>
      </w:pPr>
      <w:r w:rsidRPr="00631E19">
        <w:rPr>
          <w:b/>
          <w:lang w:val="en-GB"/>
        </w:rPr>
        <w:t>EESS (active) and FSS allocations</w:t>
      </w:r>
    </w:p>
    <w:p w:rsidR="00952EAF" w:rsidRPr="00631E19" w:rsidRDefault="00952EAF" w:rsidP="00952EAF">
      <w:pPr>
        <w:jc w:val="both"/>
        <w:rPr>
          <w:lang w:val="en-GB"/>
        </w:rPr>
      </w:pPr>
    </w:p>
    <w:p w:rsidR="00952EAF" w:rsidRPr="00631E19" w:rsidRDefault="00952EAF" w:rsidP="00127DAE">
      <w:pPr>
        <w:ind w:left="414"/>
        <w:jc w:val="both"/>
        <w:rPr>
          <w:lang w:val="en-GB"/>
        </w:rPr>
      </w:pPr>
      <w:r w:rsidRPr="00631E19">
        <w:rPr>
          <w:lang w:val="en-GB"/>
        </w:rPr>
        <w:t>At WARC-92, the band 13.75-14 GHz was allocated to FSS (Earth-to-space) on a primary basis. The EESS (active) was secondary within the 13.4-13.75 GHz band.</w:t>
      </w:r>
    </w:p>
    <w:p w:rsidR="00952EAF" w:rsidRPr="00631E19" w:rsidRDefault="00952EAF" w:rsidP="00952EAF">
      <w:pPr>
        <w:jc w:val="both"/>
        <w:rPr>
          <w:lang w:val="en-GB"/>
        </w:rPr>
      </w:pPr>
    </w:p>
    <w:p w:rsidR="00952EAF" w:rsidRPr="00631E19" w:rsidRDefault="00952EAF" w:rsidP="00127DAE">
      <w:pPr>
        <w:ind w:left="414"/>
        <w:jc w:val="both"/>
        <w:rPr>
          <w:lang w:val="en-GB"/>
        </w:rPr>
      </w:pPr>
      <w:r w:rsidRPr="00631E19">
        <w:rPr>
          <w:lang w:val="en-GB"/>
        </w:rPr>
        <w:t>At WRC-97 the 500 MHz bandwidth 13.25-13.75 GHz was allocated to EESS (active) and space research (active) service on a primary basis. WRC-97 also saw the need to maintain the 13.75-14 GHz portion of the previous secondary allocation for use by several active sensor instruments that were currently in orbit or were planned and built as their characteristics could not be changed. However, in practice, the band 13.75</w:t>
      </w:r>
      <w:r w:rsidRPr="00631E19">
        <w:rPr>
          <w:lang w:val="en-GB"/>
        </w:rPr>
        <w:noBreakHyphen/>
        <w:t xml:space="preserve">14 GHz is no longer usable by </w:t>
      </w:r>
      <w:proofErr w:type="spellStart"/>
      <w:r w:rsidRPr="00631E19">
        <w:rPr>
          <w:lang w:val="en-GB"/>
        </w:rPr>
        <w:t>scatterometers</w:t>
      </w:r>
      <w:proofErr w:type="spellEnd"/>
      <w:r w:rsidRPr="00631E19">
        <w:rPr>
          <w:lang w:val="en-GB"/>
        </w:rPr>
        <w:t xml:space="preserve"> and altimeters, which moved to the band 13.25-13.75 GHz.</w:t>
      </w:r>
    </w:p>
    <w:p w:rsidR="00952EAF" w:rsidRPr="00631E19" w:rsidRDefault="00952EAF" w:rsidP="00952EAF">
      <w:pPr>
        <w:jc w:val="both"/>
        <w:rPr>
          <w:lang w:val="en-GB"/>
        </w:rPr>
      </w:pPr>
      <w:r w:rsidRPr="00631E19">
        <w:rPr>
          <w:lang w:val="en-GB"/>
        </w:rPr>
        <w:t xml:space="preserve"> </w:t>
      </w:r>
    </w:p>
    <w:p w:rsidR="00952EAF" w:rsidRPr="00631E19" w:rsidRDefault="00952EAF" w:rsidP="00127DAE">
      <w:pPr>
        <w:ind w:left="414"/>
        <w:jc w:val="both"/>
        <w:rPr>
          <w:lang w:val="en-GB"/>
        </w:rPr>
      </w:pPr>
      <w:r w:rsidRPr="00631E19">
        <w:rPr>
          <w:lang w:val="en-GB"/>
        </w:rPr>
        <w:t xml:space="preserve">The 13.25-13.75 GHz frequency band allocated to EESS (active) is a key frequency band currently used by altimeters, </w:t>
      </w:r>
      <w:proofErr w:type="spellStart"/>
      <w:r w:rsidRPr="00631E19">
        <w:rPr>
          <w:lang w:val="en-GB"/>
        </w:rPr>
        <w:t>scatterometers</w:t>
      </w:r>
      <w:proofErr w:type="spellEnd"/>
      <w:r w:rsidRPr="00631E19">
        <w:rPr>
          <w:lang w:val="en-GB"/>
        </w:rPr>
        <w:t xml:space="preserve"> and precipitation radars. </w:t>
      </w:r>
    </w:p>
    <w:p w:rsidR="00952EAF" w:rsidRPr="00631E19" w:rsidRDefault="00952EAF" w:rsidP="00127DAE">
      <w:pPr>
        <w:pStyle w:val="ListParagraph"/>
        <w:ind w:leftChars="0" w:left="0"/>
        <w:jc w:val="both"/>
        <w:rPr>
          <w:lang w:val="en-GB"/>
        </w:rPr>
      </w:pPr>
    </w:p>
    <w:p w:rsidR="00BB3DA1" w:rsidRPr="00631E19" w:rsidRDefault="00BB3DA1" w:rsidP="00127DAE">
      <w:pPr>
        <w:pStyle w:val="ListParagraph"/>
        <w:ind w:leftChars="0" w:left="0"/>
        <w:jc w:val="both"/>
        <w:rPr>
          <w:lang w:val="en-GB"/>
        </w:rPr>
      </w:pPr>
    </w:p>
    <w:p w:rsidR="00952EAF" w:rsidRPr="00631E19" w:rsidRDefault="00952EAF" w:rsidP="00952EAF">
      <w:pPr>
        <w:pStyle w:val="ListParagraph"/>
        <w:numPr>
          <w:ilvl w:val="3"/>
          <w:numId w:val="14"/>
        </w:numPr>
        <w:ind w:leftChars="0" w:left="1134"/>
        <w:jc w:val="both"/>
        <w:rPr>
          <w:b/>
          <w:lang w:val="en-GB"/>
        </w:rPr>
      </w:pPr>
      <w:r w:rsidRPr="00631E19">
        <w:rPr>
          <w:b/>
          <w:lang w:val="en-GB"/>
        </w:rPr>
        <w:t>Previous compatibility studies between EESS (active) and FSS (Earth-to-Space)</w:t>
      </w:r>
    </w:p>
    <w:p w:rsidR="00127DAE" w:rsidRPr="00631E19" w:rsidRDefault="00127DAE" w:rsidP="00952EAF">
      <w:pPr>
        <w:pStyle w:val="ListParagraph"/>
        <w:jc w:val="both"/>
        <w:rPr>
          <w:lang w:val="en-GB"/>
        </w:rPr>
      </w:pPr>
    </w:p>
    <w:p w:rsidR="00DE6007" w:rsidRPr="00631E19" w:rsidRDefault="00DE6007" w:rsidP="00127DAE">
      <w:pPr>
        <w:pStyle w:val="ListParagraph"/>
        <w:ind w:leftChars="177" w:left="425"/>
        <w:jc w:val="both"/>
        <w:rPr>
          <w:lang w:val="en-GB"/>
        </w:rPr>
      </w:pPr>
    </w:p>
    <w:p w:rsidR="00DE6007" w:rsidRPr="00631E19" w:rsidRDefault="00DE6007" w:rsidP="00DE6007">
      <w:pPr>
        <w:pStyle w:val="ListParagraph"/>
        <w:ind w:leftChars="177" w:left="425"/>
        <w:jc w:val="both"/>
        <w:rPr>
          <w:lang w:val="en-GB"/>
        </w:rPr>
      </w:pPr>
      <w:r w:rsidRPr="00631E19">
        <w:rPr>
          <w:lang w:val="en-GB"/>
        </w:rPr>
        <w:t>In the past WRC study cycles, such as WRC-95 and WRC-97, regarding the sharing issue between EESS (active) and FSS (Earth-to-Space) in the band 13.75-14 GHz, it</w:t>
      </w:r>
      <w:r w:rsidR="008F69F4" w:rsidRPr="00631E19">
        <w:rPr>
          <w:lang w:val="en-GB"/>
        </w:rPr>
        <w:t xml:space="preserve"> </w:t>
      </w:r>
      <w:r w:rsidRPr="00631E19">
        <w:rPr>
          <w:lang w:val="en-GB"/>
        </w:rPr>
        <w:t xml:space="preserve">was drawn that it was difficult to share the band based on the technical characteristics </w:t>
      </w:r>
      <w:r w:rsidR="008F69F4" w:rsidRPr="00631E19">
        <w:rPr>
          <w:lang w:val="en-GB"/>
        </w:rPr>
        <w:t xml:space="preserve">and assumptions </w:t>
      </w:r>
      <w:r w:rsidRPr="00631E19">
        <w:rPr>
          <w:lang w:val="en-GB"/>
        </w:rPr>
        <w:t>of bot</w:t>
      </w:r>
      <w:r w:rsidR="008F69F4" w:rsidRPr="00631E19">
        <w:rPr>
          <w:lang w:val="en-GB"/>
        </w:rPr>
        <w:t>h systems considered during those study periods</w:t>
      </w:r>
      <w:r w:rsidRPr="00631E19">
        <w:rPr>
          <w:lang w:val="en-GB"/>
        </w:rPr>
        <w:t xml:space="preserve">.  After the year 2000, the band </w:t>
      </w:r>
      <w:r w:rsidRPr="00631E19">
        <w:rPr>
          <w:color w:val="000000"/>
          <w:lang w:val="en-GB"/>
        </w:rPr>
        <w:t xml:space="preserve">13.75-14.0 GHz is no longer viable for use by active sensors because of its allocation to the fixed-satellite service (Earth-to-space) at WARC-92 (please refer to </w:t>
      </w:r>
      <w:r w:rsidRPr="00631E19">
        <w:rPr>
          <w:lang w:val="en-GB"/>
        </w:rPr>
        <w:t>CPM WRC-95 Report under Agenda item 2.3 and CPM WRC</w:t>
      </w:r>
      <w:r w:rsidRPr="00631E19">
        <w:rPr>
          <w:lang w:val="en-GB"/>
        </w:rPr>
        <w:noBreakHyphen/>
        <w:t>97 Report under Agenda item 1.9.2).</w:t>
      </w:r>
    </w:p>
    <w:p w:rsidR="00BB3DA1" w:rsidRPr="00631E19" w:rsidRDefault="00BB3DA1" w:rsidP="0047484D">
      <w:pPr>
        <w:jc w:val="both"/>
        <w:rPr>
          <w:lang w:val="en-GB"/>
        </w:rPr>
      </w:pPr>
    </w:p>
    <w:p w:rsidR="00127DAE" w:rsidRPr="00631E19" w:rsidRDefault="00127DAE" w:rsidP="00127DAE">
      <w:pPr>
        <w:pStyle w:val="ListParagraph"/>
        <w:ind w:leftChars="177" w:left="425"/>
        <w:jc w:val="both"/>
        <w:rPr>
          <w:lang w:val="en-GB"/>
        </w:rPr>
      </w:pPr>
    </w:p>
    <w:p w:rsidR="0094207C" w:rsidRPr="00631E19" w:rsidRDefault="0094207C" w:rsidP="00640DC4">
      <w:pPr>
        <w:numPr>
          <w:ilvl w:val="1"/>
          <w:numId w:val="14"/>
        </w:numPr>
        <w:ind w:left="851" w:hanging="425"/>
        <w:rPr>
          <w:b/>
          <w:lang w:val="en-GB"/>
        </w:rPr>
      </w:pPr>
      <w:r w:rsidRPr="00631E19">
        <w:rPr>
          <w:b/>
          <w:lang w:val="en-GB"/>
        </w:rPr>
        <w:t>Frequency band: 14.5-14.8 GHz</w:t>
      </w:r>
    </w:p>
    <w:p w:rsidR="0094207C" w:rsidRPr="00631E19" w:rsidRDefault="0094207C" w:rsidP="00640DC4">
      <w:pPr>
        <w:ind w:left="360"/>
        <w:rPr>
          <w:lang w:val="en-GB"/>
        </w:rPr>
      </w:pPr>
    </w:p>
    <w:p w:rsidR="0094207C" w:rsidRPr="00631E19" w:rsidRDefault="0094207C" w:rsidP="00640DC4">
      <w:pPr>
        <w:pStyle w:val="Tabletitle"/>
        <w:spacing w:after="0"/>
        <w:ind w:left="426"/>
        <w:jc w:val="left"/>
        <w:rPr>
          <w:rFonts w:ascii="Times New Roman" w:hAnsi="Times New Roman"/>
          <w:b w:val="0"/>
          <w:sz w:val="24"/>
          <w:szCs w:val="24"/>
        </w:rPr>
      </w:pPr>
      <w:r w:rsidRPr="00631E19">
        <w:rPr>
          <w:rFonts w:ascii="Times New Roman" w:hAnsi="Times New Roman"/>
          <w:b w:val="0"/>
          <w:sz w:val="24"/>
          <w:szCs w:val="24"/>
        </w:rPr>
        <w:t xml:space="preserve">The allocations </w:t>
      </w:r>
      <w:r w:rsidR="00490966" w:rsidRPr="00631E19">
        <w:rPr>
          <w:rFonts w:ascii="Times New Roman" w:hAnsi="Times New Roman"/>
          <w:b w:val="0"/>
          <w:sz w:val="24"/>
          <w:szCs w:val="24"/>
        </w:rPr>
        <w:t xml:space="preserve">in </w:t>
      </w:r>
      <w:r w:rsidRPr="00631E19">
        <w:rPr>
          <w:rFonts w:ascii="Times New Roman" w:hAnsi="Times New Roman"/>
          <w:b w:val="0"/>
          <w:sz w:val="24"/>
          <w:szCs w:val="24"/>
        </w:rPr>
        <w:t xml:space="preserve">this band </w:t>
      </w:r>
      <w:r w:rsidR="00490966" w:rsidRPr="00631E19">
        <w:rPr>
          <w:rFonts w:ascii="Times New Roman" w:hAnsi="Times New Roman"/>
          <w:b w:val="0"/>
          <w:sz w:val="24"/>
          <w:szCs w:val="24"/>
        </w:rPr>
        <w:t xml:space="preserve">according to </w:t>
      </w:r>
      <w:r w:rsidRPr="00631E19">
        <w:rPr>
          <w:rFonts w:ascii="Times New Roman" w:hAnsi="Times New Roman"/>
          <w:b w:val="0"/>
          <w:sz w:val="24"/>
          <w:szCs w:val="24"/>
        </w:rPr>
        <w:t xml:space="preserve">RR Article </w:t>
      </w:r>
      <w:r w:rsidRPr="00631E19">
        <w:rPr>
          <w:rFonts w:ascii="Times New Roman" w:hAnsi="Times New Roman"/>
          <w:b w:val="0"/>
          <w:bCs/>
          <w:sz w:val="24"/>
          <w:szCs w:val="24"/>
        </w:rPr>
        <w:t>5</w:t>
      </w:r>
      <w:r w:rsidRPr="00631E19">
        <w:rPr>
          <w:rFonts w:ascii="Times New Roman" w:hAnsi="Times New Roman"/>
          <w:b w:val="0"/>
          <w:sz w:val="24"/>
          <w:szCs w:val="24"/>
        </w:rPr>
        <w:t xml:space="preserve"> are as shown below:</w:t>
      </w:r>
    </w:p>
    <w:p w:rsidR="00640DC4" w:rsidRPr="00631E19" w:rsidRDefault="00640DC4" w:rsidP="00127DAE">
      <w:pPr>
        <w:pStyle w:val="Tabletext"/>
      </w:pPr>
    </w:p>
    <w:tbl>
      <w:tblPr>
        <w:tblW w:w="8930" w:type="dxa"/>
        <w:tblInd w:w="533" w:type="dxa"/>
        <w:tblLayout w:type="fixed"/>
        <w:tblCellMar>
          <w:left w:w="107" w:type="dxa"/>
          <w:right w:w="107" w:type="dxa"/>
        </w:tblCellMar>
        <w:tblLook w:val="0000"/>
      </w:tblPr>
      <w:tblGrid>
        <w:gridCol w:w="8930"/>
      </w:tblGrid>
      <w:tr w:rsidR="0094207C" w:rsidRPr="00631E19" w:rsidTr="00CD7469">
        <w:trPr>
          <w:cantSplit/>
        </w:trPr>
        <w:tc>
          <w:tcPr>
            <w:tcW w:w="8930" w:type="dxa"/>
            <w:tcBorders>
              <w:top w:val="single" w:sz="4" w:space="0" w:color="auto"/>
              <w:left w:val="single" w:sz="4" w:space="0" w:color="auto"/>
              <w:bottom w:val="single" w:sz="4" w:space="0" w:color="auto"/>
              <w:right w:val="single" w:sz="4" w:space="0" w:color="auto"/>
            </w:tcBorders>
          </w:tcPr>
          <w:p w:rsidR="0094207C" w:rsidRPr="00631E19" w:rsidRDefault="0094207C" w:rsidP="00640DC4">
            <w:pPr>
              <w:pStyle w:val="TableTextS5"/>
              <w:spacing w:before="0" w:after="0"/>
              <w:rPr>
                <w:color w:val="000000"/>
                <w:sz w:val="24"/>
                <w:szCs w:val="24"/>
              </w:rPr>
            </w:pPr>
            <w:r w:rsidRPr="00631E19">
              <w:rPr>
                <w:rStyle w:val="Tablefreq"/>
                <w:color w:val="000000"/>
                <w:szCs w:val="24"/>
              </w:rPr>
              <w:t>14.5-14.8</w:t>
            </w:r>
            <w:r w:rsidRPr="00631E19">
              <w:rPr>
                <w:color w:val="000000"/>
                <w:sz w:val="24"/>
                <w:szCs w:val="24"/>
              </w:rPr>
              <w:tab/>
              <w:t>FIXED</w:t>
            </w:r>
          </w:p>
          <w:p w:rsidR="0094207C" w:rsidRPr="00631E19" w:rsidRDefault="0094207C" w:rsidP="00640DC4">
            <w:pPr>
              <w:pStyle w:val="TableTextS5"/>
              <w:spacing w:before="0" w:after="0"/>
              <w:rPr>
                <w:color w:val="000000"/>
                <w:sz w:val="24"/>
                <w:szCs w:val="24"/>
              </w:rPr>
            </w:pPr>
            <w:r w:rsidRPr="00631E19">
              <w:rPr>
                <w:color w:val="000000"/>
                <w:sz w:val="24"/>
                <w:szCs w:val="24"/>
              </w:rPr>
              <w:tab/>
            </w:r>
            <w:r w:rsidRPr="00631E19">
              <w:rPr>
                <w:color w:val="000000"/>
                <w:sz w:val="24"/>
                <w:szCs w:val="24"/>
              </w:rPr>
              <w:tab/>
            </w:r>
            <w:r w:rsidRPr="00631E19">
              <w:rPr>
                <w:color w:val="000000"/>
                <w:sz w:val="24"/>
                <w:szCs w:val="24"/>
              </w:rPr>
              <w:tab/>
            </w:r>
            <w:r w:rsidRPr="00631E19">
              <w:rPr>
                <w:color w:val="000000"/>
                <w:sz w:val="24"/>
                <w:szCs w:val="24"/>
              </w:rPr>
              <w:tab/>
              <w:t xml:space="preserve">FIXED-SATELLITE (Earth-to-space)  </w:t>
            </w:r>
            <w:r w:rsidRPr="00631E19">
              <w:rPr>
                <w:rStyle w:val="Artref"/>
                <w:color w:val="000000"/>
                <w:sz w:val="24"/>
                <w:szCs w:val="24"/>
              </w:rPr>
              <w:t>5.510</w:t>
            </w:r>
          </w:p>
          <w:p w:rsidR="0094207C" w:rsidRPr="00631E19" w:rsidRDefault="0094207C" w:rsidP="00640DC4">
            <w:pPr>
              <w:pStyle w:val="TableTextS5"/>
              <w:spacing w:before="0" w:after="0"/>
              <w:rPr>
                <w:color w:val="000000"/>
                <w:sz w:val="24"/>
                <w:szCs w:val="24"/>
              </w:rPr>
            </w:pPr>
            <w:r w:rsidRPr="00631E19">
              <w:rPr>
                <w:color w:val="000000"/>
                <w:sz w:val="24"/>
                <w:szCs w:val="24"/>
              </w:rPr>
              <w:tab/>
            </w:r>
            <w:r w:rsidRPr="00631E19">
              <w:rPr>
                <w:color w:val="000000"/>
                <w:sz w:val="24"/>
                <w:szCs w:val="24"/>
              </w:rPr>
              <w:tab/>
            </w:r>
            <w:r w:rsidRPr="00631E19">
              <w:rPr>
                <w:color w:val="000000"/>
                <w:sz w:val="24"/>
                <w:szCs w:val="24"/>
              </w:rPr>
              <w:tab/>
            </w:r>
            <w:r w:rsidRPr="00631E19">
              <w:rPr>
                <w:color w:val="000000"/>
                <w:sz w:val="24"/>
                <w:szCs w:val="24"/>
              </w:rPr>
              <w:tab/>
              <w:t>MOBILE</w:t>
            </w:r>
          </w:p>
          <w:p w:rsidR="0094207C" w:rsidRPr="00631E19" w:rsidRDefault="0094207C" w:rsidP="00640DC4">
            <w:pPr>
              <w:pStyle w:val="TableTextS5"/>
              <w:spacing w:before="0" w:after="0"/>
              <w:rPr>
                <w:color w:val="000000"/>
                <w:sz w:val="24"/>
                <w:szCs w:val="24"/>
              </w:rPr>
            </w:pPr>
            <w:r w:rsidRPr="00631E19">
              <w:rPr>
                <w:color w:val="000000"/>
                <w:sz w:val="24"/>
                <w:szCs w:val="24"/>
              </w:rPr>
              <w:tab/>
            </w:r>
            <w:r w:rsidRPr="00631E19">
              <w:rPr>
                <w:color w:val="000000"/>
                <w:sz w:val="24"/>
                <w:szCs w:val="24"/>
              </w:rPr>
              <w:tab/>
            </w:r>
            <w:r w:rsidRPr="00631E19">
              <w:rPr>
                <w:color w:val="000000"/>
                <w:sz w:val="24"/>
                <w:szCs w:val="24"/>
              </w:rPr>
              <w:tab/>
            </w:r>
            <w:r w:rsidRPr="00631E19">
              <w:rPr>
                <w:color w:val="000000"/>
                <w:sz w:val="24"/>
                <w:szCs w:val="24"/>
              </w:rPr>
              <w:tab/>
              <w:t>Space research</w:t>
            </w:r>
          </w:p>
        </w:tc>
      </w:tr>
    </w:tbl>
    <w:p w:rsidR="0094207C" w:rsidRPr="00631E19" w:rsidRDefault="0094207C" w:rsidP="00640DC4">
      <w:pPr>
        <w:ind w:left="360"/>
        <w:rPr>
          <w:lang w:val="en-GB"/>
        </w:rPr>
      </w:pPr>
    </w:p>
    <w:p w:rsidR="0094207C" w:rsidRPr="00631E19" w:rsidRDefault="0094207C" w:rsidP="00640DC4">
      <w:pPr>
        <w:ind w:left="426"/>
        <w:rPr>
          <w:lang w:val="en-GB"/>
        </w:rPr>
      </w:pPr>
      <w:r w:rsidRPr="00631E19">
        <w:rPr>
          <w:rStyle w:val="Artdef"/>
          <w:color w:val="000000"/>
          <w:lang w:val="en-GB"/>
        </w:rPr>
        <w:t>5.510</w:t>
      </w:r>
      <w:r w:rsidRPr="00631E19">
        <w:rPr>
          <w:rStyle w:val="Artdef"/>
          <w:color w:val="000000"/>
          <w:lang w:val="en-GB"/>
        </w:rPr>
        <w:tab/>
      </w:r>
      <w:r w:rsidRPr="00631E19">
        <w:rPr>
          <w:lang w:val="en-GB"/>
        </w:rPr>
        <w:t>The use of the band 14.5</w:t>
      </w:r>
      <w:r w:rsidRPr="00631E19">
        <w:rPr>
          <w:spacing w:val="-5"/>
          <w:lang w:val="en-GB"/>
        </w:rPr>
        <w:t>-</w:t>
      </w:r>
      <w:r w:rsidRPr="00631E19">
        <w:rPr>
          <w:lang w:val="en-GB"/>
        </w:rPr>
        <w:t>14.8 GHz by the fixed-satellite service (Earth-to-space) is limited to feeder links for the broadcasting-satellite service. This use is reserved for countries outside Europe.</w:t>
      </w:r>
    </w:p>
    <w:p w:rsidR="0094207C" w:rsidRPr="00631E19" w:rsidRDefault="0094207C" w:rsidP="00640DC4">
      <w:pPr>
        <w:rPr>
          <w:lang w:val="en-GB"/>
        </w:rPr>
      </w:pPr>
    </w:p>
    <w:p w:rsidR="00494FF6" w:rsidRPr="00631E19" w:rsidRDefault="00494FF6" w:rsidP="00640DC4">
      <w:pPr>
        <w:rPr>
          <w:lang w:val="en-GB"/>
        </w:rPr>
      </w:pPr>
    </w:p>
    <w:p w:rsidR="0094207C" w:rsidRPr="00631E19" w:rsidRDefault="0094207C" w:rsidP="00640DC4">
      <w:pPr>
        <w:numPr>
          <w:ilvl w:val="2"/>
          <w:numId w:val="14"/>
        </w:numPr>
        <w:ind w:left="1134" w:hanging="708"/>
        <w:rPr>
          <w:b/>
          <w:lang w:val="en-GB"/>
        </w:rPr>
      </w:pPr>
      <w:r w:rsidRPr="00631E19">
        <w:rPr>
          <w:b/>
          <w:lang w:val="en-GB"/>
        </w:rPr>
        <w:t>Possible studies:</w:t>
      </w:r>
    </w:p>
    <w:p w:rsidR="0094207C" w:rsidRPr="00631E19" w:rsidRDefault="0094207C" w:rsidP="00640DC4">
      <w:pPr>
        <w:ind w:left="360"/>
        <w:rPr>
          <w:lang w:val="en-GB"/>
        </w:rPr>
      </w:pPr>
    </w:p>
    <w:p w:rsidR="0094207C" w:rsidRPr="00631E19" w:rsidRDefault="0094207C" w:rsidP="00640DC4">
      <w:pPr>
        <w:ind w:left="360"/>
        <w:rPr>
          <w:lang w:val="en-GB"/>
        </w:rPr>
      </w:pPr>
      <w:r w:rsidRPr="00631E19">
        <w:rPr>
          <w:lang w:val="en-GB"/>
        </w:rPr>
        <w:t xml:space="preserve">Studies to evaluate possible operational conditions (e.g. </w:t>
      </w:r>
      <w:proofErr w:type="spellStart"/>
      <w:r w:rsidRPr="00631E19">
        <w:rPr>
          <w:lang w:val="en-GB"/>
        </w:rPr>
        <w:t>e.i.r.p</w:t>
      </w:r>
      <w:proofErr w:type="spellEnd"/>
      <w:r w:rsidRPr="00631E19">
        <w:rPr>
          <w:lang w:val="en-GB"/>
        </w:rPr>
        <w:t>. limitations, antenna size, orbital separation, conditional operation by means of geographical separation, etc</w:t>
      </w:r>
      <w:r w:rsidR="00490966" w:rsidRPr="00631E19">
        <w:rPr>
          <w:lang w:val="en-GB"/>
        </w:rPr>
        <w:t>.</w:t>
      </w:r>
      <w:r w:rsidRPr="00631E19">
        <w:rPr>
          <w:lang w:val="en-GB"/>
        </w:rPr>
        <w:t>) for FSS in which the transmissions of FSS (Earth-to-space) do not cause more interference, or require more protection from interference, than the feeder links for the Broadcasting-Satellite Service (BSS) transmissions operating in conformity with the Plan or the List, as appropriate.</w:t>
      </w:r>
    </w:p>
    <w:p w:rsidR="0094207C" w:rsidRPr="00631E19" w:rsidRDefault="0094207C" w:rsidP="00640DC4">
      <w:pPr>
        <w:ind w:left="360"/>
        <w:rPr>
          <w:lang w:val="en-GB"/>
        </w:rPr>
      </w:pPr>
    </w:p>
    <w:p w:rsidR="002F25D8" w:rsidRPr="00631E19" w:rsidRDefault="002F25D8" w:rsidP="00640DC4">
      <w:pPr>
        <w:ind w:left="360"/>
        <w:rPr>
          <w:lang w:val="en-GB"/>
        </w:rPr>
      </w:pPr>
      <w:r w:rsidRPr="00631E19">
        <w:rPr>
          <w:lang w:val="en-GB"/>
        </w:rPr>
        <w:t>Studies for sharing in this band include studies with other allocated services, and studies within the FSS service.</w:t>
      </w:r>
    </w:p>
    <w:p w:rsidR="002F25D8" w:rsidRPr="00631E19" w:rsidRDefault="002F25D8" w:rsidP="00640DC4">
      <w:pPr>
        <w:keepNext/>
        <w:ind w:left="360"/>
        <w:rPr>
          <w:b/>
          <w:lang w:val="en-GB"/>
        </w:rPr>
      </w:pPr>
    </w:p>
    <w:p w:rsidR="0047484D" w:rsidRPr="00631E19" w:rsidRDefault="0047484D" w:rsidP="00640DC4">
      <w:pPr>
        <w:keepNext/>
        <w:ind w:left="360"/>
        <w:rPr>
          <w:b/>
          <w:lang w:val="en-GB"/>
        </w:rPr>
      </w:pPr>
    </w:p>
    <w:p w:rsidR="0047484D" w:rsidRPr="00631E19" w:rsidRDefault="0047484D" w:rsidP="00640DC4">
      <w:pPr>
        <w:keepNext/>
        <w:ind w:left="360"/>
        <w:rPr>
          <w:b/>
          <w:lang w:val="en-GB"/>
        </w:rPr>
      </w:pPr>
    </w:p>
    <w:p w:rsidR="0047484D" w:rsidRPr="00631E19" w:rsidRDefault="0047484D" w:rsidP="00640DC4">
      <w:pPr>
        <w:keepNext/>
        <w:ind w:left="360"/>
        <w:rPr>
          <w:b/>
          <w:lang w:val="en-GB"/>
        </w:rPr>
      </w:pPr>
    </w:p>
    <w:p w:rsidR="009566B8" w:rsidRPr="00631E19" w:rsidRDefault="009566B8" w:rsidP="009566B8">
      <w:pPr>
        <w:pStyle w:val="ListParagraph"/>
        <w:numPr>
          <w:ilvl w:val="3"/>
          <w:numId w:val="14"/>
        </w:numPr>
        <w:ind w:leftChars="0" w:left="1134"/>
        <w:jc w:val="both"/>
        <w:rPr>
          <w:b/>
          <w:lang w:val="en-GB"/>
        </w:rPr>
      </w:pPr>
      <w:r w:rsidRPr="00631E19">
        <w:rPr>
          <w:b/>
          <w:lang w:val="en-GB"/>
        </w:rPr>
        <w:t>Sharing with fixed service and mobile service in the band 14.5-14.8 GHz:</w:t>
      </w:r>
    </w:p>
    <w:p w:rsidR="009566B8" w:rsidRPr="00631E19" w:rsidRDefault="009566B8" w:rsidP="00640DC4">
      <w:pPr>
        <w:keepNext/>
        <w:ind w:left="360"/>
        <w:rPr>
          <w:b/>
          <w:lang w:val="en-GB"/>
        </w:rPr>
      </w:pPr>
    </w:p>
    <w:p w:rsidR="00420FE5" w:rsidRPr="00631E19" w:rsidRDefault="00420FE5" w:rsidP="00640DC4">
      <w:pPr>
        <w:ind w:left="360"/>
        <w:rPr>
          <w:lang w:val="en-GB"/>
        </w:rPr>
      </w:pPr>
      <w:r w:rsidRPr="00631E19">
        <w:rPr>
          <w:lang w:val="en-GB"/>
        </w:rPr>
        <w:t>A list of relevant recommendations that may be useful for sharing studies is summarized in Table </w:t>
      </w:r>
      <w:r w:rsidR="007919D9" w:rsidRPr="00631E19">
        <w:rPr>
          <w:lang w:val="en-GB"/>
        </w:rPr>
        <w:t>6</w:t>
      </w:r>
      <w:r w:rsidRPr="00631E19">
        <w:rPr>
          <w:lang w:val="en-GB"/>
        </w:rPr>
        <w:t xml:space="preserve">. </w:t>
      </w:r>
    </w:p>
    <w:p w:rsidR="00420FE5" w:rsidRPr="00631E19" w:rsidRDefault="00420FE5" w:rsidP="00640DC4">
      <w:pPr>
        <w:ind w:left="360"/>
        <w:rPr>
          <w:lang w:val="en-GB"/>
        </w:rPr>
      </w:pPr>
    </w:p>
    <w:p w:rsidR="002F25D8" w:rsidRPr="00631E19" w:rsidRDefault="002F25D8" w:rsidP="00640DC4">
      <w:pPr>
        <w:pStyle w:val="Tabletitle"/>
        <w:spacing w:after="0"/>
        <w:rPr>
          <w:rFonts w:ascii="Times New Roman" w:hAnsi="Times New Roman"/>
          <w:sz w:val="24"/>
          <w:szCs w:val="24"/>
        </w:rPr>
      </w:pPr>
      <w:r w:rsidRPr="00631E19">
        <w:rPr>
          <w:rFonts w:ascii="Times New Roman" w:hAnsi="Times New Roman"/>
          <w:sz w:val="24"/>
          <w:szCs w:val="24"/>
        </w:rPr>
        <w:t xml:space="preserve">Table </w:t>
      </w:r>
      <w:r w:rsidR="007919D9" w:rsidRPr="00631E19">
        <w:rPr>
          <w:rFonts w:ascii="Times New Roman" w:eastAsia="Malgun Gothic" w:hAnsi="Times New Roman"/>
          <w:sz w:val="24"/>
          <w:szCs w:val="24"/>
          <w:lang w:eastAsia="ko-KR"/>
        </w:rPr>
        <w:t>6</w:t>
      </w:r>
      <w:r w:rsidRPr="00631E19">
        <w:rPr>
          <w:rFonts w:ascii="Times New Roman" w:hAnsi="Times New Roman"/>
          <w:sz w:val="24"/>
          <w:szCs w:val="24"/>
        </w:rPr>
        <w:t xml:space="preserve">: Summary of relevant recommendations that may be useful for </w:t>
      </w:r>
      <w:r w:rsidRPr="00631E19">
        <w:rPr>
          <w:rFonts w:ascii="Times New Roman" w:hAnsi="Times New Roman"/>
          <w:sz w:val="24"/>
          <w:szCs w:val="24"/>
        </w:rPr>
        <w:br/>
        <w:t>sharing studies in the band 14.5-14.8 GHz</w:t>
      </w:r>
    </w:p>
    <w:p w:rsidR="00640DC4" w:rsidRPr="00631E19" w:rsidRDefault="00640DC4" w:rsidP="00127DAE">
      <w:pPr>
        <w:pStyle w:val="Tabletext"/>
      </w:pPr>
    </w:p>
    <w:tbl>
      <w:tblPr>
        <w:tblW w:w="7905"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2573"/>
        <w:gridCol w:w="5332"/>
      </w:tblGrid>
      <w:tr w:rsidR="002F25D8" w:rsidRPr="00631E19" w:rsidTr="001D4195">
        <w:tc>
          <w:tcPr>
            <w:tcW w:w="2573" w:type="dxa"/>
          </w:tcPr>
          <w:p w:rsidR="002F25D8" w:rsidRPr="00631E19" w:rsidRDefault="002F25D8" w:rsidP="00640DC4">
            <w:pPr>
              <w:pStyle w:val="Tablehead"/>
              <w:spacing w:before="0" w:after="0"/>
              <w:rPr>
                <w:sz w:val="24"/>
                <w:szCs w:val="24"/>
              </w:rPr>
            </w:pPr>
            <w:r w:rsidRPr="00631E19">
              <w:rPr>
                <w:sz w:val="24"/>
                <w:szCs w:val="24"/>
              </w:rPr>
              <w:t>Service:</w:t>
            </w:r>
          </w:p>
        </w:tc>
        <w:tc>
          <w:tcPr>
            <w:tcW w:w="5332" w:type="dxa"/>
          </w:tcPr>
          <w:p w:rsidR="002F25D8" w:rsidRPr="00631E19" w:rsidRDefault="002F25D8" w:rsidP="00640DC4">
            <w:pPr>
              <w:pStyle w:val="Tablehead"/>
              <w:spacing w:before="0" w:after="0"/>
              <w:rPr>
                <w:sz w:val="24"/>
                <w:szCs w:val="24"/>
              </w:rPr>
            </w:pPr>
            <w:r w:rsidRPr="00631E19">
              <w:rPr>
                <w:sz w:val="24"/>
                <w:szCs w:val="24"/>
              </w:rPr>
              <w:t>Relevant Recommendation:</w:t>
            </w:r>
          </w:p>
        </w:tc>
      </w:tr>
      <w:tr w:rsidR="002F25D8" w:rsidRPr="00631E19" w:rsidTr="001D4195">
        <w:tc>
          <w:tcPr>
            <w:tcW w:w="2573" w:type="dxa"/>
          </w:tcPr>
          <w:p w:rsidR="002F25D8" w:rsidRPr="00631E19" w:rsidRDefault="002F25D8" w:rsidP="00640DC4">
            <w:pPr>
              <w:pStyle w:val="Tabletext"/>
              <w:spacing w:before="0" w:after="0"/>
              <w:rPr>
                <w:sz w:val="24"/>
                <w:szCs w:val="24"/>
              </w:rPr>
            </w:pPr>
            <w:r w:rsidRPr="00631E19">
              <w:rPr>
                <w:sz w:val="24"/>
                <w:szCs w:val="24"/>
              </w:rPr>
              <w:t>Fixed-Satellite Service (Earth-to-space)</w:t>
            </w:r>
          </w:p>
        </w:tc>
        <w:tc>
          <w:tcPr>
            <w:tcW w:w="5332" w:type="dxa"/>
          </w:tcPr>
          <w:p w:rsidR="002F25D8" w:rsidRPr="00631E19" w:rsidRDefault="002F25D8" w:rsidP="00640DC4">
            <w:pPr>
              <w:pStyle w:val="Tabletext"/>
              <w:spacing w:before="0" w:after="0"/>
              <w:rPr>
                <w:sz w:val="24"/>
                <w:szCs w:val="24"/>
              </w:rPr>
            </w:pPr>
            <w:r w:rsidRPr="00631E19">
              <w:rPr>
                <w:sz w:val="24"/>
                <w:szCs w:val="24"/>
              </w:rPr>
              <w:t>Recommendation ITU-R S.1328-4</w:t>
            </w:r>
          </w:p>
          <w:p w:rsidR="00F64A55" w:rsidRPr="00631E19" w:rsidRDefault="00AF18BC" w:rsidP="00640DC4">
            <w:pPr>
              <w:pStyle w:val="Tabletext"/>
              <w:spacing w:before="0" w:after="0"/>
              <w:rPr>
                <w:sz w:val="24"/>
                <w:szCs w:val="24"/>
              </w:rPr>
            </w:pPr>
            <w:r w:rsidRPr="00631E19">
              <w:rPr>
                <w:lang w:eastAsia="zh-CN"/>
              </w:rPr>
              <w:t>Recommendation ITU-R S.1063</w:t>
            </w:r>
          </w:p>
        </w:tc>
      </w:tr>
      <w:tr w:rsidR="002F25D8" w:rsidRPr="00631E19" w:rsidTr="001D4195">
        <w:tc>
          <w:tcPr>
            <w:tcW w:w="2573" w:type="dxa"/>
          </w:tcPr>
          <w:p w:rsidR="002F25D8" w:rsidRPr="00631E19" w:rsidRDefault="002F25D8" w:rsidP="00640DC4">
            <w:pPr>
              <w:pStyle w:val="Tabletext"/>
              <w:spacing w:before="0" w:after="0"/>
              <w:rPr>
                <w:sz w:val="24"/>
                <w:szCs w:val="24"/>
              </w:rPr>
            </w:pPr>
            <w:r w:rsidRPr="00631E19">
              <w:rPr>
                <w:sz w:val="24"/>
                <w:szCs w:val="24"/>
              </w:rPr>
              <w:t>Fixed Service</w:t>
            </w:r>
          </w:p>
        </w:tc>
        <w:tc>
          <w:tcPr>
            <w:tcW w:w="5332" w:type="dxa"/>
          </w:tcPr>
          <w:p w:rsidR="002F25D8" w:rsidRPr="00631E19" w:rsidRDefault="00AB1FBE" w:rsidP="00640DC4">
            <w:pPr>
              <w:pStyle w:val="Tabletext"/>
              <w:spacing w:before="0" w:after="0"/>
              <w:rPr>
                <w:sz w:val="24"/>
                <w:szCs w:val="24"/>
              </w:rPr>
            </w:pPr>
            <w:r w:rsidRPr="00631E19">
              <w:rPr>
                <w:sz w:val="24"/>
                <w:szCs w:val="24"/>
              </w:rPr>
              <w:t>Recommendation ITU-R F.758-5</w:t>
            </w:r>
            <w:r w:rsidRPr="00631E19">
              <w:rPr>
                <w:sz w:val="24"/>
                <w:szCs w:val="24"/>
              </w:rPr>
              <w:br/>
              <w:t>Recommendation ITU-R F.636-4</w:t>
            </w:r>
          </w:p>
          <w:p w:rsidR="002F25D8" w:rsidRPr="00631E19" w:rsidRDefault="002F25D8" w:rsidP="00640DC4">
            <w:pPr>
              <w:pStyle w:val="Tabletext"/>
              <w:spacing w:before="0" w:after="0"/>
              <w:rPr>
                <w:sz w:val="24"/>
                <w:szCs w:val="24"/>
              </w:rPr>
            </w:pPr>
          </w:p>
          <w:p w:rsidR="002F25D8" w:rsidRPr="00631E19" w:rsidRDefault="00AB1FBE" w:rsidP="00640DC4">
            <w:pPr>
              <w:pStyle w:val="Tabletext"/>
              <w:spacing w:before="0" w:after="0"/>
              <w:rPr>
                <w:sz w:val="24"/>
                <w:szCs w:val="24"/>
              </w:rPr>
            </w:pPr>
            <w:r w:rsidRPr="00631E19">
              <w:rPr>
                <w:sz w:val="24"/>
                <w:szCs w:val="24"/>
              </w:rPr>
              <w:t>Recommendation ITU-R F.699-7</w:t>
            </w:r>
          </w:p>
          <w:p w:rsidR="002F25D8" w:rsidRPr="00631E19" w:rsidRDefault="00AB1FBE" w:rsidP="00640DC4">
            <w:pPr>
              <w:pStyle w:val="Tabletext"/>
              <w:spacing w:before="0" w:after="0"/>
              <w:rPr>
                <w:sz w:val="24"/>
                <w:szCs w:val="24"/>
              </w:rPr>
            </w:pPr>
            <w:r w:rsidRPr="00631E19">
              <w:rPr>
                <w:sz w:val="24"/>
                <w:szCs w:val="24"/>
              </w:rPr>
              <w:t>Recommendation ITU-R</w:t>
            </w:r>
            <w:r w:rsidRPr="00631E19">
              <w:t xml:space="preserve"> </w:t>
            </w:r>
            <w:r w:rsidRPr="00631E19">
              <w:rPr>
                <w:sz w:val="24"/>
                <w:szCs w:val="24"/>
              </w:rPr>
              <w:t>F.1245-2</w:t>
            </w:r>
          </w:p>
          <w:p w:rsidR="002F25D8" w:rsidRPr="00631E19" w:rsidRDefault="00AB1FBE" w:rsidP="00640DC4">
            <w:pPr>
              <w:pStyle w:val="Tabletext"/>
              <w:spacing w:before="0" w:after="0"/>
              <w:rPr>
                <w:sz w:val="24"/>
                <w:szCs w:val="24"/>
              </w:rPr>
            </w:pPr>
            <w:r w:rsidRPr="00631E19">
              <w:rPr>
                <w:sz w:val="24"/>
                <w:szCs w:val="24"/>
              </w:rPr>
              <w:t>Recommendation ITU-R</w:t>
            </w:r>
            <w:r w:rsidRPr="00631E19">
              <w:t xml:space="preserve"> </w:t>
            </w:r>
            <w:r w:rsidRPr="00631E19">
              <w:rPr>
                <w:sz w:val="24"/>
                <w:szCs w:val="24"/>
              </w:rPr>
              <w:t>F.1336-3</w:t>
            </w:r>
          </w:p>
          <w:p w:rsidR="00AF18BC" w:rsidRPr="00631E19" w:rsidRDefault="00AF18BC" w:rsidP="00640DC4">
            <w:pPr>
              <w:pStyle w:val="Tabletext"/>
              <w:spacing w:before="0" w:after="0"/>
              <w:rPr>
                <w:sz w:val="24"/>
                <w:szCs w:val="24"/>
              </w:rPr>
            </w:pPr>
            <w:r w:rsidRPr="00631E19">
              <w:t xml:space="preserve">Recommendation ITU-R </w:t>
            </w:r>
            <w:r w:rsidRPr="00631E19">
              <w:rPr>
                <w:lang w:eastAsia="ko-KR"/>
              </w:rPr>
              <w:t>F.1107</w:t>
            </w:r>
            <w:r w:rsidRPr="00631E19">
              <w:br/>
              <w:t xml:space="preserve">Recommendation ITU-R </w:t>
            </w:r>
            <w:r w:rsidRPr="00631E19">
              <w:rPr>
                <w:lang w:eastAsia="ko-KR"/>
              </w:rPr>
              <w:t>F.1333</w:t>
            </w:r>
            <w:r w:rsidRPr="00631E19">
              <w:br/>
              <w:t xml:space="preserve">Recommendation ITU-R </w:t>
            </w:r>
            <w:r w:rsidRPr="00631E19">
              <w:rPr>
                <w:lang w:eastAsia="ko-KR"/>
              </w:rPr>
              <w:t>F.1777</w:t>
            </w:r>
          </w:p>
        </w:tc>
      </w:tr>
      <w:tr w:rsidR="002F25D8" w:rsidRPr="00631E19" w:rsidTr="001D4195">
        <w:tc>
          <w:tcPr>
            <w:tcW w:w="2573" w:type="dxa"/>
          </w:tcPr>
          <w:p w:rsidR="002F25D8" w:rsidRPr="00631E19" w:rsidRDefault="002F25D8" w:rsidP="00640DC4">
            <w:pPr>
              <w:pStyle w:val="Tabletext"/>
              <w:spacing w:before="0" w:after="0"/>
              <w:rPr>
                <w:sz w:val="24"/>
                <w:szCs w:val="24"/>
              </w:rPr>
            </w:pPr>
            <w:r w:rsidRPr="00631E19">
              <w:rPr>
                <w:sz w:val="24"/>
                <w:szCs w:val="24"/>
              </w:rPr>
              <w:t>Mobile Service</w:t>
            </w:r>
          </w:p>
        </w:tc>
        <w:tc>
          <w:tcPr>
            <w:tcW w:w="5332" w:type="dxa"/>
          </w:tcPr>
          <w:p w:rsidR="002F25D8" w:rsidRPr="00631E19" w:rsidRDefault="002F25D8" w:rsidP="00640DC4">
            <w:pPr>
              <w:pStyle w:val="Tabletext"/>
              <w:spacing w:before="0" w:after="0"/>
              <w:rPr>
                <w:sz w:val="24"/>
                <w:szCs w:val="24"/>
              </w:rPr>
            </w:pPr>
            <w:r w:rsidRPr="00631E19">
              <w:rPr>
                <w:sz w:val="24"/>
                <w:szCs w:val="24"/>
              </w:rPr>
              <w:t xml:space="preserve">In the absence of specific characteristics for the </w:t>
            </w:r>
            <w:r w:rsidRPr="00631E19">
              <w:rPr>
                <w:sz w:val="24"/>
                <w:szCs w:val="24"/>
              </w:rPr>
              <w:lastRenderedPageBreak/>
              <w:t>mobile service in this band, mobile system characteristics are assumed to be similar to those for fixed systems. (Has to check with the relevant ITU Working Parties responsible for studies on mobile services on the validity of this assumption.)</w:t>
            </w:r>
          </w:p>
        </w:tc>
      </w:tr>
      <w:tr w:rsidR="00AF18BC" w:rsidRPr="00631E19" w:rsidTr="001D4195">
        <w:tc>
          <w:tcPr>
            <w:tcW w:w="2573" w:type="dxa"/>
          </w:tcPr>
          <w:p w:rsidR="00AF18BC" w:rsidRPr="00631E19" w:rsidRDefault="00AF18BC" w:rsidP="00640DC4">
            <w:pPr>
              <w:pStyle w:val="Tabletext"/>
              <w:spacing w:before="0" w:after="0"/>
              <w:rPr>
                <w:sz w:val="24"/>
                <w:szCs w:val="24"/>
              </w:rPr>
            </w:pPr>
            <w:r w:rsidRPr="00631E19">
              <w:rPr>
                <w:lang w:eastAsia="zh-CN"/>
              </w:rPr>
              <w:lastRenderedPageBreak/>
              <w:t>Space research service</w:t>
            </w:r>
          </w:p>
        </w:tc>
        <w:tc>
          <w:tcPr>
            <w:tcW w:w="5332" w:type="dxa"/>
          </w:tcPr>
          <w:p w:rsidR="00AF18BC" w:rsidRPr="00631E19" w:rsidRDefault="00AF18BC" w:rsidP="00B50888">
            <w:pPr>
              <w:pStyle w:val="Tabletext"/>
            </w:pPr>
            <w:r w:rsidRPr="00631E19">
              <w:t>Recommendation ITU-R SA.609</w:t>
            </w:r>
          </w:p>
          <w:p w:rsidR="00AF18BC" w:rsidRPr="00631E19" w:rsidRDefault="00AF18BC" w:rsidP="00B50888">
            <w:pPr>
              <w:pStyle w:val="Tabletext"/>
            </w:pPr>
            <w:r w:rsidRPr="00631E19">
              <w:t>Recommendation ITU-R SA.1019</w:t>
            </w:r>
          </w:p>
          <w:p w:rsidR="00AF18BC" w:rsidRPr="00631E19" w:rsidRDefault="00AF18BC" w:rsidP="00B50888">
            <w:pPr>
              <w:pStyle w:val="Tabletext"/>
              <w:keepLines/>
              <w:tabs>
                <w:tab w:val="left" w:leader="dot" w:pos="7938"/>
                <w:tab w:val="center" w:pos="9526"/>
              </w:tabs>
              <w:spacing w:before="0" w:after="0"/>
              <w:ind w:left="567" w:hanging="567"/>
            </w:pPr>
            <w:r w:rsidRPr="00631E19">
              <w:t>Recommendation ITU-R SA.1155</w:t>
            </w:r>
          </w:p>
          <w:p w:rsidR="00AF18BC" w:rsidRPr="00631E19" w:rsidRDefault="00AF18BC" w:rsidP="00B50888">
            <w:pPr>
              <w:pStyle w:val="Tabletext"/>
              <w:keepLines/>
              <w:tabs>
                <w:tab w:val="left" w:leader="dot" w:pos="7938"/>
                <w:tab w:val="center" w:pos="9526"/>
              </w:tabs>
              <w:ind w:left="567" w:hanging="567"/>
            </w:pPr>
            <w:r w:rsidRPr="00631E19">
              <w:t>Recommendation ITU-R SA.1018</w:t>
            </w:r>
          </w:p>
          <w:p w:rsidR="00AF18BC" w:rsidRPr="00631E19" w:rsidRDefault="00AF18BC" w:rsidP="00640DC4">
            <w:pPr>
              <w:pStyle w:val="Tabletext"/>
              <w:spacing w:before="0" w:after="0"/>
              <w:rPr>
                <w:sz w:val="24"/>
                <w:szCs w:val="24"/>
              </w:rPr>
            </w:pPr>
            <w:r w:rsidRPr="00631E19">
              <w:rPr>
                <w:lang w:eastAsia="zh-CN"/>
              </w:rPr>
              <w:t>PDR Recommendation ITU-R SA.1414</w:t>
            </w:r>
          </w:p>
        </w:tc>
      </w:tr>
      <w:tr w:rsidR="00AF18BC" w:rsidRPr="00631E19" w:rsidTr="001D4195">
        <w:tc>
          <w:tcPr>
            <w:tcW w:w="2573" w:type="dxa"/>
          </w:tcPr>
          <w:p w:rsidR="00AF18BC" w:rsidRPr="00631E19" w:rsidRDefault="00AF18BC" w:rsidP="00640DC4">
            <w:pPr>
              <w:pStyle w:val="Tabletext"/>
              <w:spacing w:before="0" w:after="0"/>
              <w:rPr>
                <w:sz w:val="24"/>
                <w:szCs w:val="24"/>
              </w:rPr>
            </w:pPr>
            <w:r w:rsidRPr="00631E19">
              <w:rPr>
                <w:lang w:eastAsia="zh-CN"/>
              </w:rPr>
              <w:t>Radio astronomy</w:t>
            </w:r>
          </w:p>
        </w:tc>
        <w:tc>
          <w:tcPr>
            <w:tcW w:w="5332" w:type="dxa"/>
          </w:tcPr>
          <w:p w:rsidR="00AF18BC" w:rsidRPr="00631E19" w:rsidRDefault="00AF18BC" w:rsidP="00B50888">
            <w:pPr>
              <w:pStyle w:val="Tabletext"/>
            </w:pPr>
            <w:r w:rsidRPr="00631E19">
              <w:t>Recommendation ITU-R RA.769 (adjacent band)</w:t>
            </w:r>
          </w:p>
          <w:p w:rsidR="00AF18BC" w:rsidRPr="00631E19" w:rsidRDefault="00AF18BC" w:rsidP="00B50888">
            <w:pPr>
              <w:pStyle w:val="Tabletext"/>
            </w:pPr>
            <w:r w:rsidRPr="00631E19">
              <w:t>Recommendation ITU-R RA.1031-2</w:t>
            </w:r>
          </w:p>
          <w:p w:rsidR="00AF18BC" w:rsidRPr="00631E19" w:rsidRDefault="00AF18BC" w:rsidP="00640DC4">
            <w:pPr>
              <w:pStyle w:val="Tabletext"/>
              <w:spacing w:before="0" w:after="0"/>
              <w:rPr>
                <w:sz w:val="24"/>
                <w:szCs w:val="24"/>
              </w:rPr>
            </w:pPr>
            <w:r w:rsidRPr="00631E19">
              <w:t>Recommendation ITU-R  RA.1513-1</w:t>
            </w:r>
          </w:p>
        </w:tc>
      </w:tr>
    </w:tbl>
    <w:p w:rsidR="002F25D8" w:rsidRPr="00631E19" w:rsidRDefault="002F25D8" w:rsidP="00640DC4">
      <w:pPr>
        <w:ind w:left="360"/>
        <w:rPr>
          <w:lang w:val="en-GB"/>
        </w:rPr>
      </w:pPr>
    </w:p>
    <w:p w:rsidR="002F25D8" w:rsidRPr="00631E19" w:rsidRDefault="002F25D8" w:rsidP="00640DC4">
      <w:pPr>
        <w:ind w:left="360"/>
        <w:rPr>
          <w:lang w:val="en-GB"/>
        </w:rPr>
      </w:pPr>
    </w:p>
    <w:p w:rsidR="009566B8" w:rsidRPr="00631E19" w:rsidRDefault="009566B8" w:rsidP="00127DAE">
      <w:pPr>
        <w:pStyle w:val="ListParagraph"/>
        <w:numPr>
          <w:ilvl w:val="4"/>
          <w:numId w:val="14"/>
        </w:numPr>
        <w:ind w:leftChars="0" w:left="1701" w:hanging="992"/>
        <w:jc w:val="both"/>
        <w:rPr>
          <w:b/>
          <w:lang w:val="en-GB"/>
        </w:rPr>
      </w:pPr>
      <w:r w:rsidRPr="00631E19">
        <w:rPr>
          <w:b/>
          <w:lang w:val="en-GB"/>
        </w:rPr>
        <w:t>Sharing with fixed service in the band 14.5-14.8GHz:</w:t>
      </w:r>
    </w:p>
    <w:p w:rsidR="002F25D8" w:rsidRPr="00631E19" w:rsidRDefault="002F25D8" w:rsidP="00640DC4">
      <w:pPr>
        <w:ind w:left="360"/>
        <w:rPr>
          <w:lang w:val="en-GB"/>
        </w:rPr>
      </w:pPr>
    </w:p>
    <w:p w:rsidR="002F25D8" w:rsidRPr="00631E19" w:rsidRDefault="002F25D8" w:rsidP="00640DC4">
      <w:pPr>
        <w:ind w:left="360"/>
        <w:rPr>
          <w:lang w:val="en-GB"/>
        </w:rPr>
      </w:pPr>
      <w:r w:rsidRPr="00631E19">
        <w:rPr>
          <w:lang w:val="en-GB"/>
        </w:rPr>
        <w:t>It is important to note that, stations operating in the fixed service have the following characteristics:</w:t>
      </w:r>
    </w:p>
    <w:p w:rsidR="002F25D8" w:rsidRPr="00631E19" w:rsidRDefault="002F25D8" w:rsidP="00127DAE">
      <w:pPr>
        <w:numPr>
          <w:ilvl w:val="0"/>
          <w:numId w:val="25"/>
        </w:numPr>
        <w:rPr>
          <w:lang w:val="en-GB"/>
        </w:rPr>
      </w:pPr>
      <w:r w:rsidRPr="00631E19">
        <w:rPr>
          <w:lang w:val="en-GB"/>
        </w:rPr>
        <w:t>Location and characteristics are known</w:t>
      </w:r>
    </w:p>
    <w:p w:rsidR="002F25D8" w:rsidRPr="00631E19" w:rsidRDefault="002F25D8" w:rsidP="00127DAE">
      <w:pPr>
        <w:numPr>
          <w:ilvl w:val="0"/>
          <w:numId w:val="25"/>
        </w:numPr>
        <w:rPr>
          <w:lang w:val="en-GB"/>
        </w:rPr>
      </w:pPr>
      <w:r w:rsidRPr="00631E19">
        <w:rPr>
          <w:lang w:val="en-GB"/>
        </w:rPr>
        <w:t>Not deployed in an ubiquitous manner (A radiocommunication service between specified fixed points)</w:t>
      </w:r>
    </w:p>
    <w:p w:rsidR="002F25D8" w:rsidRPr="00631E19" w:rsidRDefault="002F25D8" w:rsidP="00127DAE">
      <w:pPr>
        <w:numPr>
          <w:ilvl w:val="0"/>
          <w:numId w:val="25"/>
        </w:numPr>
        <w:rPr>
          <w:lang w:val="en-GB"/>
        </w:rPr>
      </w:pPr>
      <w:r w:rsidRPr="00631E19">
        <w:rPr>
          <w:lang w:val="en-GB"/>
        </w:rPr>
        <w:t>Operate under license</w:t>
      </w:r>
    </w:p>
    <w:p w:rsidR="002F25D8" w:rsidRPr="00631E19" w:rsidRDefault="002F25D8" w:rsidP="00127DAE">
      <w:pPr>
        <w:ind w:firstLine="360"/>
        <w:rPr>
          <w:lang w:val="en-GB"/>
        </w:rPr>
      </w:pPr>
    </w:p>
    <w:p w:rsidR="002F25D8" w:rsidRPr="00631E19" w:rsidRDefault="002F25D8" w:rsidP="00640DC4">
      <w:pPr>
        <w:ind w:left="360"/>
        <w:rPr>
          <w:lang w:val="en-GB"/>
        </w:rPr>
      </w:pPr>
      <w:r w:rsidRPr="00631E19">
        <w:rPr>
          <w:lang w:val="en-GB"/>
        </w:rPr>
        <w:t xml:space="preserve">These three characteristics significantly ease the situation of sharing with FSS (Earth-to-space) as proper planning and mitigation techniques are possible and that could effectively reduce the interference from FSS terminal into FS terminal. </w:t>
      </w:r>
    </w:p>
    <w:p w:rsidR="002F25D8" w:rsidRPr="00631E19" w:rsidRDefault="002F25D8" w:rsidP="00640DC4">
      <w:pPr>
        <w:ind w:left="360"/>
        <w:rPr>
          <w:lang w:val="en-GB"/>
        </w:rPr>
      </w:pPr>
    </w:p>
    <w:p w:rsidR="002F25D8" w:rsidRPr="00631E19" w:rsidRDefault="002F25D8" w:rsidP="00640DC4">
      <w:pPr>
        <w:ind w:left="360"/>
        <w:rPr>
          <w:lang w:val="en-GB"/>
        </w:rPr>
      </w:pPr>
      <w:r w:rsidRPr="00631E19">
        <w:rPr>
          <w:lang w:val="en-GB"/>
        </w:rPr>
        <w:t>The following two subsections will discuss the coordination distance based on the worst case calculation method (RR AP7) and the actual required separation distance in reality. The first is used to identify coordination requirements while the second may be used by administrations in bilateral coordination.</w:t>
      </w:r>
    </w:p>
    <w:p w:rsidR="00127DAE" w:rsidRPr="00631E19" w:rsidRDefault="00127DAE" w:rsidP="00640DC4">
      <w:pPr>
        <w:ind w:left="360"/>
        <w:rPr>
          <w:lang w:val="en-GB"/>
        </w:rPr>
      </w:pPr>
    </w:p>
    <w:p w:rsidR="002F25D8" w:rsidRPr="00631E19" w:rsidRDefault="002F25D8" w:rsidP="00127DAE">
      <w:pPr>
        <w:pStyle w:val="ListParagraph"/>
        <w:numPr>
          <w:ilvl w:val="5"/>
          <w:numId w:val="14"/>
        </w:numPr>
        <w:ind w:leftChars="0" w:left="2552" w:hanging="1134"/>
        <w:jc w:val="both"/>
        <w:rPr>
          <w:b/>
          <w:lang w:val="en-GB"/>
        </w:rPr>
      </w:pPr>
      <w:r w:rsidRPr="00631E19">
        <w:rPr>
          <w:b/>
          <w:lang w:val="en-GB"/>
        </w:rPr>
        <w:t>Maximum coordination distance identified by RR AP7</w:t>
      </w:r>
    </w:p>
    <w:p w:rsidR="00640DC4" w:rsidRPr="00631E19" w:rsidRDefault="00640DC4" w:rsidP="00640DC4">
      <w:pPr>
        <w:ind w:left="360"/>
        <w:rPr>
          <w:lang w:val="en-GB"/>
        </w:rPr>
      </w:pPr>
    </w:p>
    <w:p w:rsidR="002F25D8" w:rsidRPr="00631E19" w:rsidRDefault="002F25D8" w:rsidP="00640DC4">
      <w:pPr>
        <w:ind w:left="360"/>
        <w:rPr>
          <w:lang w:val="en-GB"/>
        </w:rPr>
      </w:pPr>
      <w:r w:rsidRPr="00631E19">
        <w:rPr>
          <w:lang w:val="en-GB"/>
        </w:rPr>
        <w:t xml:space="preserve">This calculation is based on most </w:t>
      </w:r>
      <w:proofErr w:type="spellStart"/>
      <w:r w:rsidRPr="00631E19">
        <w:rPr>
          <w:lang w:val="en-GB"/>
        </w:rPr>
        <w:t>unfavorable</w:t>
      </w:r>
      <w:proofErr w:type="spellEnd"/>
      <w:r w:rsidRPr="00631E19">
        <w:rPr>
          <w:lang w:val="en-GB"/>
        </w:rPr>
        <w:t xml:space="preserve"> assumptions regarding system parameter values and interference path geometry. Assuming all the worst-case values will occur simultaneously. </w:t>
      </w:r>
    </w:p>
    <w:p w:rsidR="002F25D8" w:rsidRPr="00631E19" w:rsidRDefault="002F25D8" w:rsidP="00640DC4">
      <w:pPr>
        <w:ind w:left="360"/>
        <w:rPr>
          <w:lang w:val="en-GB"/>
        </w:rPr>
      </w:pPr>
    </w:p>
    <w:p w:rsidR="002F25D8" w:rsidRPr="00631E19" w:rsidRDefault="002F25D8" w:rsidP="00640DC4">
      <w:pPr>
        <w:ind w:left="360"/>
        <w:rPr>
          <w:lang w:val="en-GB"/>
        </w:rPr>
      </w:pPr>
      <w:r w:rsidRPr="00631E19">
        <w:rPr>
          <w:lang w:val="en-GB"/>
        </w:rPr>
        <w:t xml:space="preserve">In the case of sharing between FSS (Earth-to-space) and FS, this method is way too conservative since locations and characteristic of terminals are known. However, use of the AP7 can give an idea of the upper bound of the coordination distance, and through proper choice of the earth station locations, it </w:t>
      </w:r>
      <w:proofErr w:type="spellStart"/>
      <w:r w:rsidRPr="00631E19">
        <w:rPr>
          <w:lang w:val="en-GB"/>
        </w:rPr>
        <w:t>maybe</w:t>
      </w:r>
      <w:proofErr w:type="spellEnd"/>
      <w:r w:rsidRPr="00631E19">
        <w:rPr>
          <w:lang w:val="en-GB"/>
        </w:rPr>
        <w:t xml:space="preserve"> possible to avoid international coordination.</w:t>
      </w:r>
    </w:p>
    <w:p w:rsidR="002F25D8" w:rsidRPr="00631E19" w:rsidRDefault="002F25D8" w:rsidP="00640DC4">
      <w:pPr>
        <w:ind w:left="360"/>
        <w:rPr>
          <w:lang w:val="en-GB"/>
        </w:rPr>
      </w:pPr>
    </w:p>
    <w:p w:rsidR="002F25D8" w:rsidRPr="00631E19" w:rsidRDefault="002F25D8" w:rsidP="00640DC4">
      <w:pPr>
        <w:ind w:left="360"/>
        <w:rPr>
          <w:lang w:val="en-GB"/>
        </w:rPr>
      </w:pPr>
      <w:r w:rsidRPr="00631E19">
        <w:rPr>
          <w:lang w:val="en-GB"/>
        </w:rPr>
        <w:t>Assumptions:</w:t>
      </w:r>
    </w:p>
    <w:p w:rsidR="00640DC4" w:rsidRPr="00631E19" w:rsidRDefault="00640DC4" w:rsidP="00640DC4">
      <w:pPr>
        <w:ind w:left="360"/>
        <w:rPr>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5130"/>
      </w:tblGrid>
      <w:tr w:rsidR="002F25D8" w:rsidRPr="00631E19" w:rsidTr="001D4195">
        <w:tc>
          <w:tcPr>
            <w:tcW w:w="2898" w:type="dxa"/>
          </w:tcPr>
          <w:p w:rsidR="002F25D8" w:rsidRPr="00631E19" w:rsidRDefault="002F25D8" w:rsidP="00640DC4">
            <w:pPr>
              <w:rPr>
                <w:lang w:val="en-GB"/>
              </w:rPr>
            </w:pPr>
            <w:r w:rsidRPr="00631E19">
              <w:rPr>
                <w:lang w:val="en-GB"/>
              </w:rPr>
              <w:t>Frequency</w:t>
            </w:r>
          </w:p>
        </w:tc>
        <w:tc>
          <w:tcPr>
            <w:tcW w:w="5130" w:type="dxa"/>
          </w:tcPr>
          <w:p w:rsidR="002F25D8" w:rsidRPr="00631E19" w:rsidRDefault="002F25D8" w:rsidP="00640DC4">
            <w:pPr>
              <w:rPr>
                <w:lang w:val="en-GB"/>
              </w:rPr>
            </w:pPr>
            <w:r w:rsidRPr="00631E19">
              <w:rPr>
                <w:lang w:val="en-GB"/>
              </w:rPr>
              <w:t>14.5-14.8</w:t>
            </w:r>
            <w:r w:rsidR="00640DC4" w:rsidRPr="00631E19">
              <w:rPr>
                <w:lang w:val="en-GB"/>
              </w:rPr>
              <w:t xml:space="preserve"> </w:t>
            </w:r>
            <w:r w:rsidRPr="00631E19">
              <w:rPr>
                <w:lang w:val="en-GB"/>
              </w:rPr>
              <w:t>GHz</w:t>
            </w:r>
          </w:p>
        </w:tc>
      </w:tr>
      <w:tr w:rsidR="002F25D8" w:rsidRPr="00631E19" w:rsidTr="001D4195">
        <w:tc>
          <w:tcPr>
            <w:tcW w:w="2898" w:type="dxa"/>
          </w:tcPr>
          <w:p w:rsidR="002F25D8" w:rsidRPr="00631E19" w:rsidRDefault="002F25D8" w:rsidP="00640DC4">
            <w:pPr>
              <w:rPr>
                <w:lang w:val="en-GB"/>
              </w:rPr>
            </w:pPr>
            <w:r w:rsidRPr="00631E19">
              <w:rPr>
                <w:lang w:val="en-GB"/>
              </w:rPr>
              <w:t>Maximum power density</w:t>
            </w:r>
          </w:p>
        </w:tc>
        <w:tc>
          <w:tcPr>
            <w:tcW w:w="5130" w:type="dxa"/>
          </w:tcPr>
          <w:p w:rsidR="002F25D8" w:rsidRPr="00631E19" w:rsidRDefault="002F25D8" w:rsidP="00640DC4">
            <w:pPr>
              <w:rPr>
                <w:lang w:val="en-GB"/>
              </w:rPr>
            </w:pPr>
            <w:r w:rsidRPr="00631E19">
              <w:rPr>
                <w:lang w:val="en-GB"/>
              </w:rPr>
              <w:t>-42dBW/Hz</w:t>
            </w:r>
          </w:p>
        </w:tc>
      </w:tr>
      <w:tr w:rsidR="002F25D8" w:rsidRPr="00631E19" w:rsidTr="001D4195">
        <w:tc>
          <w:tcPr>
            <w:tcW w:w="2898" w:type="dxa"/>
          </w:tcPr>
          <w:p w:rsidR="002F25D8" w:rsidRPr="00631E19" w:rsidRDefault="002F25D8" w:rsidP="00640DC4">
            <w:pPr>
              <w:rPr>
                <w:lang w:val="en-GB"/>
              </w:rPr>
            </w:pPr>
            <w:r w:rsidRPr="00631E19">
              <w:rPr>
                <w:lang w:val="en-GB"/>
              </w:rPr>
              <w:t>Antenna gain</w:t>
            </w:r>
          </w:p>
        </w:tc>
        <w:tc>
          <w:tcPr>
            <w:tcW w:w="5130" w:type="dxa"/>
          </w:tcPr>
          <w:p w:rsidR="002F25D8" w:rsidRPr="00631E19" w:rsidRDefault="002F25D8" w:rsidP="00640DC4">
            <w:pPr>
              <w:rPr>
                <w:lang w:val="en-GB"/>
              </w:rPr>
            </w:pPr>
            <w:r w:rsidRPr="00631E19">
              <w:rPr>
                <w:lang w:val="en-GB"/>
              </w:rPr>
              <w:t>43.8dBi (~ 1.2m antenna)</w:t>
            </w:r>
          </w:p>
        </w:tc>
      </w:tr>
      <w:tr w:rsidR="002F25D8" w:rsidRPr="00631E19" w:rsidTr="001D4195">
        <w:tc>
          <w:tcPr>
            <w:tcW w:w="2898" w:type="dxa"/>
          </w:tcPr>
          <w:p w:rsidR="002F25D8" w:rsidRPr="00631E19" w:rsidRDefault="002F25D8" w:rsidP="00640DC4">
            <w:pPr>
              <w:rPr>
                <w:lang w:val="en-GB"/>
              </w:rPr>
            </w:pPr>
            <w:r w:rsidRPr="00631E19">
              <w:rPr>
                <w:lang w:val="en-GB"/>
              </w:rPr>
              <w:t xml:space="preserve">Satellite location </w:t>
            </w:r>
          </w:p>
        </w:tc>
        <w:tc>
          <w:tcPr>
            <w:tcW w:w="5130" w:type="dxa"/>
          </w:tcPr>
          <w:p w:rsidR="002F25D8" w:rsidRPr="00631E19" w:rsidRDefault="002F25D8" w:rsidP="00640DC4">
            <w:pPr>
              <w:rPr>
                <w:lang w:val="en-GB"/>
              </w:rPr>
            </w:pPr>
            <w:r w:rsidRPr="00631E19">
              <w:rPr>
                <w:lang w:val="en-GB"/>
              </w:rPr>
              <w:t>122E</w:t>
            </w:r>
          </w:p>
        </w:tc>
      </w:tr>
      <w:tr w:rsidR="002F25D8" w:rsidRPr="00631E19" w:rsidTr="001D4195">
        <w:tc>
          <w:tcPr>
            <w:tcW w:w="2898" w:type="dxa"/>
          </w:tcPr>
          <w:p w:rsidR="002F25D8" w:rsidRPr="00631E19" w:rsidRDefault="002F25D8" w:rsidP="00640DC4">
            <w:pPr>
              <w:rPr>
                <w:lang w:val="en-GB"/>
              </w:rPr>
            </w:pPr>
            <w:r w:rsidRPr="00631E19">
              <w:rPr>
                <w:lang w:val="en-GB"/>
              </w:rPr>
              <w:t>Antenna Pattern</w:t>
            </w:r>
          </w:p>
        </w:tc>
        <w:tc>
          <w:tcPr>
            <w:tcW w:w="5130" w:type="dxa"/>
          </w:tcPr>
          <w:p w:rsidR="002F25D8" w:rsidRPr="00631E19" w:rsidRDefault="002F25D8" w:rsidP="00640DC4">
            <w:pPr>
              <w:rPr>
                <w:lang w:val="en-GB"/>
              </w:rPr>
            </w:pPr>
            <w:r w:rsidRPr="00631E19">
              <w:rPr>
                <w:lang w:val="en-GB"/>
              </w:rPr>
              <w:t>REC 580-6</w:t>
            </w:r>
          </w:p>
        </w:tc>
      </w:tr>
      <w:tr w:rsidR="002F25D8" w:rsidRPr="00631E19" w:rsidTr="001D4195">
        <w:tc>
          <w:tcPr>
            <w:tcW w:w="2898" w:type="dxa"/>
          </w:tcPr>
          <w:p w:rsidR="002F25D8" w:rsidRPr="00631E19" w:rsidRDefault="002F25D8" w:rsidP="00640DC4">
            <w:pPr>
              <w:rPr>
                <w:lang w:val="en-GB"/>
              </w:rPr>
            </w:pPr>
            <w:r w:rsidRPr="00631E19">
              <w:rPr>
                <w:lang w:val="en-GB"/>
              </w:rPr>
              <w:lastRenderedPageBreak/>
              <w:t>Chosen locations</w:t>
            </w:r>
          </w:p>
        </w:tc>
        <w:tc>
          <w:tcPr>
            <w:tcW w:w="5130" w:type="dxa"/>
          </w:tcPr>
          <w:p w:rsidR="002F25D8" w:rsidRPr="00631E19" w:rsidRDefault="002F25D8" w:rsidP="00640DC4">
            <w:pPr>
              <w:rPr>
                <w:lang w:val="en-GB"/>
              </w:rPr>
            </w:pPr>
            <w:r w:rsidRPr="00631E19">
              <w:rPr>
                <w:lang w:val="en-GB"/>
              </w:rPr>
              <w:t>Capital city of all APT member’s countries</w:t>
            </w:r>
          </w:p>
        </w:tc>
      </w:tr>
    </w:tbl>
    <w:p w:rsidR="002F25D8" w:rsidRPr="00631E19" w:rsidRDefault="002F25D8" w:rsidP="00640DC4">
      <w:pPr>
        <w:ind w:left="360"/>
        <w:rPr>
          <w:lang w:val="en-GB"/>
        </w:rPr>
      </w:pPr>
    </w:p>
    <w:p w:rsidR="00BB3DA1" w:rsidRPr="00631E19" w:rsidRDefault="00BB3DA1" w:rsidP="00640DC4">
      <w:pPr>
        <w:ind w:left="360"/>
        <w:rPr>
          <w:lang w:val="en-GB"/>
        </w:rPr>
      </w:pPr>
    </w:p>
    <w:p w:rsidR="00BB3DA1" w:rsidRPr="00631E19" w:rsidRDefault="00BB3DA1" w:rsidP="00640DC4">
      <w:pPr>
        <w:ind w:left="360"/>
        <w:rPr>
          <w:lang w:val="en-GB"/>
        </w:rPr>
      </w:pPr>
    </w:p>
    <w:p w:rsidR="00BB3DA1" w:rsidRPr="00631E19" w:rsidRDefault="00BB3DA1" w:rsidP="00640DC4">
      <w:pPr>
        <w:ind w:left="360"/>
        <w:rPr>
          <w:lang w:val="en-GB"/>
        </w:rPr>
      </w:pPr>
    </w:p>
    <w:p w:rsidR="00BB3DA1" w:rsidRPr="00631E19" w:rsidRDefault="00BB3DA1" w:rsidP="00640DC4">
      <w:pPr>
        <w:ind w:left="360"/>
        <w:rPr>
          <w:lang w:val="en-GB"/>
        </w:rPr>
      </w:pPr>
    </w:p>
    <w:p w:rsidR="002F25D8" w:rsidRPr="00631E19" w:rsidRDefault="002F25D8" w:rsidP="00640DC4">
      <w:pPr>
        <w:ind w:left="360"/>
        <w:rPr>
          <w:u w:val="single"/>
          <w:lang w:val="en-GB"/>
        </w:rPr>
      </w:pPr>
      <w:r w:rsidRPr="00631E19">
        <w:rPr>
          <w:u w:val="single"/>
          <w:lang w:val="en-GB"/>
        </w:rPr>
        <w:t>Calculation method (Worst case assumption): RR AP7</w:t>
      </w:r>
    </w:p>
    <w:p w:rsidR="00640DC4" w:rsidRPr="00631E19" w:rsidRDefault="00640DC4" w:rsidP="00640DC4">
      <w:pPr>
        <w:ind w:left="360"/>
        <w:rPr>
          <w:u w:val="single"/>
          <w:lang w:val="en-GB"/>
        </w:rPr>
      </w:pPr>
    </w:p>
    <w:p w:rsidR="002F25D8" w:rsidRPr="00631E19" w:rsidRDefault="002F25D8" w:rsidP="00640DC4">
      <w:pPr>
        <w:ind w:left="360"/>
        <w:rPr>
          <w:lang w:val="en-GB"/>
        </w:rPr>
      </w:pPr>
      <w:r w:rsidRPr="00631E19">
        <w:rPr>
          <w:lang w:val="en-GB"/>
        </w:rPr>
        <w:t xml:space="preserve">Description for this calculation method: </w:t>
      </w:r>
    </w:p>
    <w:p w:rsidR="00640DC4" w:rsidRPr="00631E19" w:rsidRDefault="00640DC4" w:rsidP="00640DC4">
      <w:pPr>
        <w:ind w:left="360"/>
        <w:rPr>
          <w:lang w:val="en-GB"/>
        </w:rPr>
      </w:pPr>
    </w:p>
    <w:p w:rsidR="002F25D8" w:rsidRPr="00631E19" w:rsidRDefault="002F25D8" w:rsidP="00640DC4">
      <w:pPr>
        <w:ind w:left="360"/>
        <w:rPr>
          <w:lang w:val="en-GB"/>
        </w:rPr>
      </w:pPr>
      <w:r w:rsidRPr="00631E19">
        <w:rPr>
          <w:lang w:val="en-GB"/>
        </w:rPr>
        <w:t xml:space="preserve">The determination of the coordination area is based on most </w:t>
      </w:r>
      <w:r w:rsidR="002B3D5A" w:rsidRPr="00631E19">
        <w:rPr>
          <w:lang w:val="en-GB"/>
        </w:rPr>
        <w:t>unfavourable</w:t>
      </w:r>
      <w:r w:rsidRPr="00631E19">
        <w:rPr>
          <w:lang w:val="en-GB"/>
        </w:rPr>
        <w:t xml:space="preserve"> assumptions regarding system parameter values and interference path geometry. However, to assume that all the worst-case values will occur simultaneously will lead to unrealistically large distances to obtain the minimum required loss and hence unnecessarily large coordination areas. However, use of the AP7 can give an idea of the upper bound of the coordination distance.</w:t>
      </w:r>
    </w:p>
    <w:p w:rsidR="00640DC4" w:rsidRPr="00631E19" w:rsidRDefault="00640DC4" w:rsidP="00640DC4">
      <w:pPr>
        <w:ind w:left="360"/>
        <w:rPr>
          <w:lang w:val="en-GB"/>
        </w:rPr>
      </w:pPr>
    </w:p>
    <w:p w:rsidR="002F25D8" w:rsidRPr="00631E19" w:rsidRDefault="002F25D8" w:rsidP="00640DC4">
      <w:pPr>
        <w:ind w:left="360"/>
        <w:rPr>
          <w:lang w:val="en-GB"/>
        </w:rPr>
      </w:pPr>
      <w:r w:rsidRPr="00631E19">
        <w:rPr>
          <w:lang w:val="en-GB"/>
        </w:rPr>
        <w:t xml:space="preserve">The procedures allow the determination of a distance in all azimuthal directions around a transmitting or receiving earth station beyond which the predicted path loss would be expected to exceed a specified value for all but a specified percentage of the time. This distance is called the coordination distance. When the coordination distance is determined for each azimuth around the coordinating earth station it defines a distance contour, called the coordination </w:t>
      </w:r>
      <w:proofErr w:type="gramStart"/>
      <w:r w:rsidRPr="00631E19">
        <w:rPr>
          <w:lang w:val="en-GB"/>
        </w:rPr>
        <w:t>contour, that</w:t>
      </w:r>
      <w:proofErr w:type="gramEnd"/>
      <w:r w:rsidRPr="00631E19">
        <w:rPr>
          <w:lang w:val="en-GB"/>
        </w:rPr>
        <w:t xml:space="preserve"> encloses the coordination area.</w:t>
      </w:r>
    </w:p>
    <w:p w:rsidR="00640DC4" w:rsidRPr="00631E19" w:rsidRDefault="00640DC4" w:rsidP="00640DC4">
      <w:pPr>
        <w:ind w:left="360"/>
        <w:rPr>
          <w:lang w:val="en-GB"/>
        </w:rPr>
      </w:pPr>
    </w:p>
    <w:p w:rsidR="002F25D8" w:rsidRPr="00631E19" w:rsidRDefault="002F25D8" w:rsidP="00640DC4">
      <w:pPr>
        <w:ind w:left="360"/>
        <w:rPr>
          <w:lang w:val="en-GB"/>
        </w:rPr>
      </w:pPr>
      <w:r w:rsidRPr="00631E19">
        <w:rPr>
          <w:lang w:val="en-GB"/>
        </w:rPr>
        <w:t>It is important to note that, although the determination of the coordination area is based on technical criteria, it represents a regulatory concept. Its purpose is to identify the area within which detailed evaluations of the interference potential need to be performed in order to determine whether the coordinating earth station or any of the terrestrial stations, or in the case of a bidirectional allocation any of the receiving earth stations that are sharing the same frequency band, will really experience unacceptable levels of interference. Hence, the coordination area is not an exclusion zone within which the sharing of frequencies between the earth station and terrestrial stations or other earth stations is prohibited, but a means for determining the area within which more detailed calculations need to be performed. In most cases a more detailed analysis will show that sharing within the coordination area is possible since the procedure for the determination of the coordination area is based on unfavourable assumptions with regard to the interference potential.</w:t>
      </w:r>
    </w:p>
    <w:p w:rsidR="002F25D8" w:rsidRPr="00631E19" w:rsidRDefault="002F25D8" w:rsidP="00640DC4">
      <w:pPr>
        <w:ind w:left="360"/>
        <w:rPr>
          <w:lang w:val="en-GB"/>
        </w:rPr>
      </w:pPr>
    </w:p>
    <w:p w:rsidR="002F25D8" w:rsidRPr="00631E19" w:rsidRDefault="002F25D8" w:rsidP="00640DC4">
      <w:pPr>
        <w:ind w:left="360"/>
        <w:rPr>
          <w:u w:val="single"/>
          <w:lang w:val="en-GB"/>
        </w:rPr>
      </w:pPr>
      <w:r w:rsidRPr="00631E19">
        <w:rPr>
          <w:u w:val="single"/>
          <w:lang w:val="en-GB"/>
        </w:rPr>
        <w:t>Results based on the above assumptions and worst case calculation method:</w:t>
      </w:r>
    </w:p>
    <w:p w:rsidR="00640DC4" w:rsidRPr="00631E19" w:rsidRDefault="00640DC4" w:rsidP="00640DC4">
      <w:pPr>
        <w:ind w:left="360"/>
        <w:rPr>
          <w:lang w:val="en-GB"/>
        </w:rPr>
      </w:pPr>
    </w:p>
    <w:p w:rsidR="002F25D8" w:rsidRPr="00631E19" w:rsidRDefault="002F25D8" w:rsidP="00640DC4">
      <w:pPr>
        <w:ind w:left="360"/>
        <w:rPr>
          <w:lang w:val="en-GB"/>
        </w:rPr>
      </w:pPr>
      <w:r w:rsidRPr="00631E19">
        <w:rPr>
          <w:lang w:val="en-GB"/>
        </w:rPr>
        <w:t>The detail of the calculation results could be found in the end of this section, the result indicate that:</w:t>
      </w:r>
    </w:p>
    <w:p w:rsidR="002F25D8" w:rsidRPr="00631E19" w:rsidRDefault="002F25D8" w:rsidP="00127DAE">
      <w:pPr>
        <w:numPr>
          <w:ilvl w:val="0"/>
          <w:numId w:val="25"/>
        </w:numPr>
        <w:ind w:left="709" w:hanging="283"/>
        <w:rPr>
          <w:lang w:val="en-GB"/>
        </w:rPr>
      </w:pPr>
      <w:r w:rsidRPr="00631E19">
        <w:rPr>
          <w:lang w:val="en-GB"/>
        </w:rPr>
        <w:t>More than 70% of APT member countries do not need to coordinate with another country if they place an FSS earth station in their capital city with horizontal elevation angle of 5deg or more.</w:t>
      </w:r>
    </w:p>
    <w:p w:rsidR="002F25D8" w:rsidRPr="00631E19" w:rsidRDefault="002F25D8" w:rsidP="00127DAE">
      <w:pPr>
        <w:numPr>
          <w:ilvl w:val="0"/>
          <w:numId w:val="25"/>
        </w:numPr>
        <w:ind w:left="709" w:hanging="283"/>
        <w:rPr>
          <w:lang w:val="en-GB"/>
        </w:rPr>
      </w:pPr>
      <w:r w:rsidRPr="00631E19">
        <w:rPr>
          <w:lang w:val="en-GB"/>
        </w:rPr>
        <w:t>More than 60% of APT member countries do not need to coordinate with another country if they place an FSS earth station in their capital city regardless of the horizontal elevation angle.</w:t>
      </w:r>
    </w:p>
    <w:p w:rsidR="002F25D8" w:rsidRPr="00631E19" w:rsidRDefault="002F25D8" w:rsidP="00127DAE">
      <w:pPr>
        <w:numPr>
          <w:ilvl w:val="0"/>
          <w:numId w:val="25"/>
        </w:numPr>
        <w:ind w:left="709" w:hanging="283"/>
        <w:rPr>
          <w:lang w:val="en-GB"/>
        </w:rPr>
      </w:pPr>
      <w:r w:rsidRPr="00631E19">
        <w:rPr>
          <w:lang w:val="en-GB"/>
        </w:rPr>
        <w:t>Coordination distance would be reduced significantly by having a minimum horizontal elevation angle of 5deg.</w:t>
      </w:r>
    </w:p>
    <w:p w:rsidR="002F25D8" w:rsidRPr="00631E19" w:rsidRDefault="002F25D8" w:rsidP="00640DC4">
      <w:pPr>
        <w:ind w:left="360"/>
        <w:rPr>
          <w:lang w:val="en-GB"/>
        </w:rPr>
      </w:pPr>
    </w:p>
    <w:p w:rsidR="002F25D8" w:rsidRPr="00631E19" w:rsidRDefault="002F25D8" w:rsidP="00640DC4">
      <w:pPr>
        <w:ind w:left="360"/>
        <w:rPr>
          <w:lang w:val="en-GB"/>
        </w:rPr>
      </w:pPr>
    </w:p>
    <w:p w:rsidR="002F25D8" w:rsidRPr="00631E19" w:rsidRDefault="002F25D8" w:rsidP="00640DC4">
      <w:pPr>
        <w:ind w:left="360"/>
        <w:rPr>
          <w:lang w:val="en-GB"/>
        </w:rPr>
        <w:sectPr w:rsidR="002F25D8" w:rsidRPr="00631E19" w:rsidSect="00126C32">
          <w:headerReference w:type="default" r:id="rId10"/>
          <w:footerReference w:type="even" r:id="rId11"/>
          <w:footerReference w:type="default" r:id="rId12"/>
          <w:pgSz w:w="11909" w:h="16834" w:code="9"/>
          <w:pgMar w:top="1195" w:right="1152" w:bottom="1138" w:left="1440" w:header="720" w:footer="720" w:gutter="0"/>
          <w:cols w:space="720"/>
          <w:titlePg/>
          <w:docGrid w:linePitch="360"/>
        </w:sectPr>
      </w:pPr>
    </w:p>
    <w:p w:rsidR="002F25D8" w:rsidRPr="00631E19" w:rsidRDefault="002F25D8" w:rsidP="00127DAE">
      <w:pPr>
        <w:ind w:left="426"/>
        <w:rPr>
          <w:u w:val="single"/>
          <w:lang w:val="en-GB"/>
        </w:rPr>
      </w:pPr>
    </w:p>
    <w:p w:rsidR="002F25D8" w:rsidRPr="00631E19" w:rsidRDefault="002F25D8" w:rsidP="00640DC4">
      <w:pPr>
        <w:ind w:left="360"/>
        <w:rPr>
          <w:b/>
          <w:u w:val="single"/>
          <w:lang w:val="en-GB"/>
        </w:rPr>
      </w:pPr>
      <w:r w:rsidRPr="00631E19">
        <w:rPr>
          <w:b/>
          <w:u w:val="single"/>
          <w:lang w:val="en-GB"/>
        </w:rPr>
        <w:t>Calculation results using the RR AP7 method:</w:t>
      </w:r>
    </w:p>
    <w:tbl>
      <w:tblPr>
        <w:tblW w:w="5091" w:type="pct"/>
        <w:tblLayout w:type="fixed"/>
        <w:tblLook w:val="04A0"/>
      </w:tblPr>
      <w:tblGrid>
        <w:gridCol w:w="468"/>
        <w:gridCol w:w="632"/>
        <w:gridCol w:w="3689"/>
        <w:gridCol w:w="1531"/>
        <w:gridCol w:w="1978"/>
        <w:gridCol w:w="809"/>
        <w:gridCol w:w="1082"/>
        <w:gridCol w:w="1349"/>
        <w:gridCol w:w="1082"/>
        <w:gridCol w:w="1349"/>
        <w:gridCol w:w="1016"/>
      </w:tblGrid>
      <w:tr w:rsidR="002F25D8" w:rsidRPr="00631E19" w:rsidTr="00127DAE">
        <w:trPr>
          <w:trHeight w:val="2130"/>
        </w:trPr>
        <w:tc>
          <w:tcPr>
            <w:tcW w:w="15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2F25D8" w:rsidRPr="00631E19" w:rsidRDefault="002F25D8" w:rsidP="00127DAE">
            <w:pPr>
              <w:ind w:right="-108"/>
              <w:jc w:val="center"/>
              <w:rPr>
                <w:rFonts w:eastAsia="Times New Roman"/>
                <w:color w:val="000000"/>
                <w:sz w:val="20"/>
                <w:szCs w:val="20"/>
                <w:lang w:val="en-GB" w:eastAsia="zh-CN"/>
              </w:rPr>
            </w:pPr>
            <w:bookmarkStart w:id="1" w:name="RANGE!A4:E42"/>
            <w:r w:rsidRPr="00631E19">
              <w:rPr>
                <w:rFonts w:eastAsia="Times New Roman"/>
                <w:color w:val="000000"/>
                <w:sz w:val="20"/>
                <w:szCs w:val="20"/>
                <w:lang w:val="en-GB" w:eastAsia="zh-CN"/>
              </w:rPr>
              <w:t>No</w:t>
            </w:r>
            <w:bookmarkEnd w:id="1"/>
          </w:p>
        </w:tc>
        <w:tc>
          <w:tcPr>
            <w:tcW w:w="211"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2F25D8" w:rsidRPr="00631E19" w:rsidRDefault="002F25D8" w:rsidP="00127DAE">
            <w:pPr>
              <w:tabs>
                <w:tab w:val="left" w:pos="1062"/>
              </w:tabs>
              <w:ind w:right="-107"/>
              <w:jc w:val="center"/>
              <w:rPr>
                <w:rFonts w:eastAsia="Times New Roman"/>
                <w:color w:val="000000"/>
                <w:sz w:val="20"/>
                <w:szCs w:val="20"/>
                <w:lang w:val="en-GB" w:eastAsia="zh-CN"/>
              </w:rPr>
            </w:pPr>
            <w:proofErr w:type="spellStart"/>
            <w:r w:rsidRPr="00631E19">
              <w:rPr>
                <w:rFonts w:eastAsia="Times New Roman"/>
                <w:color w:val="000000"/>
                <w:sz w:val="20"/>
                <w:szCs w:val="20"/>
                <w:lang w:val="en-GB" w:eastAsia="zh-CN"/>
              </w:rPr>
              <w:t>Adm</w:t>
            </w:r>
            <w:proofErr w:type="spellEnd"/>
          </w:p>
        </w:tc>
        <w:tc>
          <w:tcPr>
            <w:tcW w:w="1231"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2F25D8" w:rsidRPr="00631E19" w:rsidRDefault="002F25D8" w:rsidP="00640DC4">
            <w:pPr>
              <w:jc w:val="center"/>
              <w:rPr>
                <w:rFonts w:eastAsia="Times New Roman"/>
                <w:color w:val="000000"/>
                <w:sz w:val="20"/>
                <w:szCs w:val="20"/>
                <w:lang w:val="en-GB" w:eastAsia="zh-CN"/>
              </w:rPr>
            </w:pPr>
            <w:r w:rsidRPr="00631E19">
              <w:rPr>
                <w:rFonts w:eastAsia="Times New Roman"/>
                <w:color w:val="000000"/>
                <w:sz w:val="20"/>
                <w:szCs w:val="20"/>
                <w:lang w:val="en-GB" w:eastAsia="zh-CN"/>
              </w:rPr>
              <w:t>Country</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Capital City</w:t>
            </w:r>
          </w:p>
        </w:tc>
        <w:tc>
          <w:tcPr>
            <w:tcW w:w="660"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Latitude and</w:t>
            </w:r>
            <w:r w:rsidRPr="00631E19">
              <w:rPr>
                <w:rFonts w:eastAsia="Times New Roman"/>
                <w:color w:val="000000"/>
                <w:sz w:val="20"/>
                <w:szCs w:val="20"/>
                <w:lang w:val="en-GB" w:eastAsia="zh-CN"/>
              </w:rPr>
              <w:br/>
              <w:t>Longitude</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F25D8" w:rsidRPr="00631E19" w:rsidRDefault="002F25D8" w:rsidP="00127DAE">
            <w:pPr>
              <w:ind w:left="-108" w:right="-109"/>
              <w:rPr>
                <w:rFonts w:eastAsia="Times New Roman"/>
                <w:color w:val="000000"/>
                <w:sz w:val="20"/>
                <w:szCs w:val="20"/>
                <w:lang w:val="en-GB" w:eastAsia="zh-CN"/>
              </w:rPr>
            </w:pPr>
            <w:r w:rsidRPr="00631E19">
              <w:rPr>
                <w:rFonts w:eastAsia="Times New Roman"/>
                <w:color w:val="000000"/>
                <w:sz w:val="20"/>
                <w:szCs w:val="20"/>
                <w:lang w:val="en-GB" w:eastAsia="zh-CN"/>
              </w:rPr>
              <w:t>Rain</w:t>
            </w:r>
            <w:r w:rsidRPr="00631E19">
              <w:rPr>
                <w:rFonts w:eastAsia="Times New Roman"/>
                <w:color w:val="000000"/>
                <w:sz w:val="20"/>
                <w:szCs w:val="20"/>
                <w:lang w:val="en-GB" w:eastAsia="zh-CN"/>
              </w:rPr>
              <w:br/>
              <w:t>Climate</w:t>
            </w:r>
            <w:r w:rsidRPr="00631E19">
              <w:rPr>
                <w:rFonts w:eastAsia="Times New Roman"/>
                <w:color w:val="000000"/>
                <w:sz w:val="20"/>
                <w:szCs w:val="20"/>
                <w:lang w:val="en-GB" w:eastAsia="zh-CN"/>
              </w:rPr>
              <w:br/>
              <w:t>Zone</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Antenna Elevation</w:t>
            </w:r>
          </w:p>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(Deg)</w:t>
            </w:r>
          </w:p>
        </w:tc>
        <w:tc>
          <w:tcPr>
            <w:tcW w:w="450"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127DAE">
            <w:pPr>
              <w:ind w:right="-108"/>
              <w:rPr>
                <w:rFonts w:eastAsia="Times New Roman"/>
                <w:color w:val="000000"/>
                <w:sz w:val="20"/>
                <w:szCs w:val="20"/>
                <w:lang w:val="en-GB" w:eastAsia="zh-CN"/>
              </w:rPr>
            </w:pPr>
            <w:r w:rsidRPr="00631E19">
              <w:rPr>
                <w:rFonts w:eastAsia="Times New Roman"/>
                <w:color w:val="000000"/>
                <w:sz w:val="20"/>
                <w:szCs w:val="20"/>
                <w:lang w:val="en-GB" w:eastAsia="zh-CN"/>
              </w:rPr>
              <w:t>Max coordination distance</w:t>
            </w:r>
            <w:r w:rsidRPr="00631E19">
              <w:rPr>
                <w:rFonts w:eastAsia="Times New Roman"/>
                <w:color w:val="000000"/>
                <w:sz w:val="20"/>
                <w:szCs w:val="20"/>
                <w:lang w:val="en-GB" w:eastAsia="zh-CN"/>
              </w:rPr>
              <w:br/>
              <w:t>in all  azimuthal directions</w:t>
            </w:r>
            <w:r w:rsidRPr="00631E19">
              <w:rPr>
                <w:rFonts w:eastAsia="Times New Roman"/>
                <w:color w:val="000000"/>
                <w:sz w:val="20"/>
                <w:szCs w:val="20"/>
                <w:lang w:val="en-GB" w:eastAsia="zh-CN"/>
              </w:rPr>
              <w:br/>
              <w:t>when Horizontal elevation angle = 0deg (km)</w:t>
            </w:r>
          </w:p>
        </w:tc>
        <w:tc>
          <w:tcPr>
            <w:tcW w:w="361"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Probably affected countries identified by RR AP7 software</w:t>
            </w:r>
          </w:p>
        </w:tc>
        <w:tc>
          <w:tcPr>
            <w:tcW w:w="450"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127DAE">
            <w:pPr>
              <w:ind w:right="-107"/>
              <w:rPr>
                <w:rFonts w:eastAsia="Times New Roman"/>
                <w:color w:val="000000"/>
                <w:sz w:val="20"/>
                <w:szCs w:val="20"/>
                <w:lang w:val="en-GB" w:eastAsia="zh-CN"/>
              </w:rPr>
            </w:pPr>
            <w:r w:rsidRPr="00631E19">
              <w:rPr>
                <w:rFonts w:eastAsia="Times New Roman"/>
                <w:color w:val="000000"/>
                <w:sz w:val="20"/>
                <w:szCs w:val="20"/>
                <w:lang w:val="en-GB" w:eastAsia="zh-CN"/>
              </w:rPr>
              <w:t>Max coordination distance</w:t>
            </w:r>
            <w:r w:rsidRPr="00631E19">
              <w:rPr>
                <w:rFonts w:eastAsia="Times New Roman"/>
                <w:color w:val="000000"/>
                <w:sz w:val="20"/>
                <w:szCs w:val="20"/>
                <w:lang w:val="en-GB" w:eastAsia="zh-CN"/>
              </w:rPr>
              <w:br/>
              <w:t>in all  azimuthal directions</w:t>
            </w:r>
            <w:r w:rsidRPr="00631E19">
              <w:rPr>
                <w:rFonts w:eastAsia="Times New Roman"/>
                <w:color w:val="000000"/>
                <w:sz w:val="20"/>
                <w:szCs w:val="20"/>
                <w:lang w:val="en-GB" w:eastAsia="zh-CN"/>
              </w:rPr>
              <w:br/>
              <w:t xml:space="preserve">when Horizontal elevation angle = 5deg </w:t>
            </w:r>
          </w:p>
          <w:p w:rsidR="002F25D8" w:rsidRPr="00631E19" w:rsidRDefault="002F25D8" w:rsidP="00127DAE">
            <w:pPr>
              <w:ind w:right="-107"/>
              <w:rPr>
                <w:rFonts w:eastAsia="Times New Roman"/>
                <w:color w:val="000000"/>
                <w:sz w:val="20"/>
                <w:szCs w:val="20"/>
                <w:lang w:val="en-GB" w:eastAsia="zh-CN"/>
              </w:rPr>
            </w:pPr>
            <w:r w:rsidRPr="00631E19">
              <w:rPr>
                <w:rFonts w:eastAsia="Times New Roman"/>
                <w:color w:val="000000"/>
                <w:sz w:val="20"/>
                <w:szCs w:val="20"/>
                <w:lang w:val="en-GB" w:eastAsia="zh-CN"/>
              </w:rPr>
              <w:t>(km)</w:t>
            </w:r>
          </w:p>
        </w:tc>
        <w:tc>
          <w:tcPr>
            <w:tcW w:w="339"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127DAE">
            <w:pPr>
              <w:ind w:right="-81"/>
              <w:rPr>
                <w:rFonts w:eastAsia="Times New Roman"/>
                <w:color w:val="000000"/>
                <w:sz w:val="20"/>
                <w:szCs w:val="20"/>
                <w:lang w:val="en-GB" w:eastAsia="zh-CN"/>
              </w:rPr>
            </w:pPr>
            <w:r w:rsidRPr="00631E19">
              <w:rPr>
                <w:rFonts w:eastAsia="Times New Roman"/>
                <w:color w:val="000000"/>
                <w:sz w:val="20"/>
                <w:szCs w:val="20"/>
                <w:lang w:val="en-GB" w:eastAsia="zh-CN"/>
              </w:rPr>
              <w:t>Probably affected countries identified by RR AP7</w:t>
            </w:r>
          </w:p>
          <w:p w:rsidR="002F25D8" w:rsidRPr="00631E19" w:rsidRDefault="002F25D8" w:rsidP="00127DAE">
            <w:pPr>
              <w:ind w:right="-81"/>
              <w:rPr>
                <w:rFonts w:eastAsia="Times New Roman"/>
                <w:color w:val="000000"/>
                <w:sz w:val="20"/>
                <w:szCs w:val="20"/>
                <w:lang w:val="en-GB" w:eastAsia="zh-CN"/>
              </w:rPr>
            </w:pPr>
            <w:r w:rsidRPr="00631E19">
              <w:rPr>
                <w:rFonts w:eastAsia="Times New Roman"/>
                <w:color w:val="000000"/>
                <w:sz w:val="20"/>
                <w:szCs w:val="20"/>
                <w:lang w:val="en-GB" w:eastAsia="zh-CN"/>
              </w:rPr>
              <w:t>software</w:t>
            </w:r>
          </w:p>
        </w:tc>
      </w:tr>
      <w:tr w:rsidR="002F25D8" w:rsidRPr="00631E19" w:rsidTr="00127DAE">
        <w:trPr>
          <w:trHeight w:val="300"/>
        </w:trPr>
        <w:tc>
          <w:tcPr>
            <w:tcW w:w="15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w:t>
            </w:r>
          </w:p>
        </w:tc>
        <w:tc>
          <w:tcPr>
            <w:tcW w:w="211"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AFG</w:t>
            </w:r>
          </w:p>
        </w:tc>
        <w:tc>
          <w:tcPr>
            <w:tcW w:w="1231" w:type="pct"/>
            <w:tcBorders>
              <w:top w:val="single" w:sz="4" w:space="0" w:color="auto"/>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Afghanistan                                                                                                                                                                                                                                     </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Kabul</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13" w:history="1">
              <w:r w:rsidR="002F25D8" w:rsidRPr="00631E19">
                <w:rPr>
                  <w:rFonts w:eastAsia="Times New Roman"/>
                  <w:color w:val="000000"/>
                  <w:sz w:val="20"/>
                  <w:szCs w:val="20"/>
                  <w:lang w:val="en-GB" w:eastAsia="zh-CN"/>
                </w:rPr>
                <w:t>34°28'N 69°11'E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E</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21.82</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197</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PAK</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105</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PAK</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AUS</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Australia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Canberra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14" w:history="1">
              <w:r w:rsidR="002F25D8" w:rsidRPr="00631E19">
                <w:rPr>
                  <w:rFonts w:eastAsia="Times New Roman"/>
                  <w:color w:val="000000"/>
                  <w:sz w:val="20"/>
                  <w:szCs w:val="20"/>
                  <w:lang w:val="en-GB" w:eastAsia="zh-CN"/>
                </w:rPr>
                <w:t>35°15'S 149°08'E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39.97</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172</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BGD</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Bangladesh (People's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Dhaka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15" w:history="1">
              <w:r w:rsidR="002F25D8" w:rsidRPr="00631E19">
                <w:rPr>
                  <w:rFonts w:eastAsia="Times New Roman"/>
                  <w:color w:val="000000"/>
                  <w:sz w:val="20"/>
                  <w:szCs w:val="20"/>
                  <w:lang w:val="en-GB" w:eastAsia="zh-CN"/>
                </w:rPr>
                <w:t>23°43'N 90°26'E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45.15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235</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IND</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IND</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BTN</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Bhutan (Kingdom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proofErr w:type="spellStart"/>
            <w:r w:rsidRPr="00631E19">
              <w:rPr>
                <w:rFonts w:eastAsia="Times New Roman"/>
                <w:color w:val="000000"/>
                <w:sz w:val="20"/>
                <w:szCs w:val="20"/>
                <w:lang w:val="en-GB" w:eastAsia="zh-CN"/>
              </w:rPr>
              <w:t>Thimphu</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16" w:history="1">
              <w:r w:rsidR="002F25D8" w:rsidRPr="00631E19">
                <w:rPr>
                  <w:rFonts w:eastAsia="Times New Roman"/>
                  <w:color w:val="000000"/>
                  <w:sz w:val="20"/>
                  <w:szCs w:val="20"/>
                  <w:lang w:val="en-GB" w:eastAsia="zh-CN"/>
                </w:rPr>
                <w:t>27°31'N 89°45'E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42.17</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174</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BGD CHN IND NPL</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CHN IND</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5</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BRU</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Brunei Darussalam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Bandar Seri Begawan</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17" w:history="1">
              <w:r w:rsidR="002F25D8" w:rsidRPr="00631E19">
                <w:rPr>
                  <w:rFonts w:eastAsia="Times New Roman"/>
                  <w:color w:val="000000"/>
                  <w:sz w:val="20"/>
                  <w:szCs w:val="20"/>
                  <w:lang w:val="en-GB" w:eastAsia="zh-CN"/>
                </w:rPr>
                <w:t>04°52'N 115°00'E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79.97</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193</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INS MLA</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131</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INS MLA</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6</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CBG</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Cambodia (Kingdom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Phnom Penh</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18" w:history="1">
              <w:r w:rsidR="002F25D8" w:rsidRPr="00631E19">
                <w:rPr>
                  <w:rFonts w:eastAsia="Times New Roman"/>
                  <w:color w:val="000000"/>
                  <w:sz w:val="20"/>
                  <w:szCs w:val="20"/>
                  <w:lang w:val="en-GB" w:eastAsia="zh-CN"/>
                </w:rPr>
                <w:t>11°33'N 104°55'E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65.95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173</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VTN</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131</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VTN</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7</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CHN</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China (People's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Beijing</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19" w:history="1">
              <w:r w:rsidR="002F25D8" w:rsidRPr="00631E19">
                <w:rPr>
                  <w:rFonts w:eastAsia="Times New Roman"/>
                  <w:color w:val="000000"/>
                  <w:sz w:val="20"/>
                  <w:szCs w:val="20"/>
                  <w:lang w:val="en-GB" w:eastAsia="zh-CN"/>
                </w:rPr>
                <w:t>39°55'N 116°20'E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H</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43.45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164</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112</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8</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FJI</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Fiji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Suva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20" w:history="1">
              <w:r w:rsidR="002F25D8" w:rsidRPr="00631E19">
                <w:rPr>
                  <w:rFonts w:eastAsia="Times New Roman"/>
                  <w:color w:val="000000"/>
                  <w:sz w:val="20"/>
                  <w:szCs w:val="20"/>
                  <w:lang w:val="en-GB" w:eastAsia="zh-CN"/>
                </w:rPr>
                <w:t>18°06'S 178°30'E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23.69</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227</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136</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9</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IND</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India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New Delhi</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21" w:history="1">
              <w:r w:rsidR="002F25D8" w:rsidRPr="00631E19">
                <w:rPr>
                  <w:rFonts w:eastAsia="Times New Roman"/>
                  <w:color w:val="000000"/>
                  <w:sz w:val="20"/>
                  <w:szCs w:val="20"/>
                  <w:lang w:val="en-GB" w:eastAsia="zh-CN"/>
                </w:rPr>
                <w:t>28°37'N 77°13'E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31.11</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191</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10</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INS</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Indonesia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Jakarta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7C33F1" w:rsidP="00640DC4">
            <w:pPr>
              <w:rPr>
                <w:rFonts w:eastAsia="Times New Roman"/>
                <w:color w:val="000000"/>
                <w:sz w:val="20"/>
                <w:szCs w:val="20"/>
                <w:lang w:val="en-GB" w:eastAsia="zh-CN"/>
              </w:rPr>
            </w:pPr>
            <w:hyperlink r:id="rId22" w:history="1">
              <w:r w:rsidR="002F25D8" w:rsidRPr="00631E19">
                <w:rPr>
                  <w:rFonts w:eastAsia="Times New Roman"/>
                  <w:color w:val="000000"/>
                  <w:sz w:val="20"/>
                  <w:szCs w:val="20"/>
                  <w:lang w:val="en-GB" w:eastAsia="zh-CN"/>
                </w:rPr>
                <w:t>06°09'S 106°49'E</w:t>
              </w:r>
            </w:hyperlink>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70.8</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189</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131</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IRN</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Iran (Islamic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Tehran</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35°44'N 51°30'E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7.1</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251</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127</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12</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J</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Japan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Tokyo</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35°40'N 139°45'E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44.51</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181</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KIR</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Kiribati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South Tarawa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1°23'N, 173°09'E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31.43</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213</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14</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KRE</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Democratic People's Republic of Korea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Pyongyang</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39°2′N 125°45′E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M</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44.65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176</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CHN KOR</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124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15</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KOR</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Korea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Seoul</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37°31'N 126°58'E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M</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46.2</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178</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KRE</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124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KRE</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16</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LAO</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Lao People's Democratic Republic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Vientiane</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17°58′N 102°36′E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59.38</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171</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THA</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132</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THA</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MLA</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Malaysia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Kuala Lumpur</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03°09'N 101°41'E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69.35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184</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INS</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131</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INS</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lastRenderedPageBreak/>
              <w:t>18</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MLD</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Maldives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Male</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04°00'N 73°28'E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34.16</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206</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MHL</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Marshall Islands (Republic of the)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Majuro</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07°05' N, 171°08'E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33.23</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201</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20</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FSM</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Micronesia (Federated States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Palikir</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06°55'N 158°09'E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47.42</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195</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132</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21</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MNG</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Mongolia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Ulan Bator</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47°55′N 106°53′E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E</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33.04</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174</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99</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22</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BRM</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Myanmar (Union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Yangon</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16°45'N 96°20'E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54.65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190</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132</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23</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NRU</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Nauru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proofErr w:type="spellStart"/>
            <w:r w:rsidRPr="00631E19">
              <w:rPr>
                <w:rFonts w:eastAsia="Times New Roman"/>
                <w:color w:val="000000"/>
                <w:sz w:val="20"/>
                <w:szCs w:val="20"/>
                <w:lang w:val="en-GB" w:eastAsia="zh-CN"/>
              </w:rPr>
              <w:t>Yaren</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0° 32’S 166° 55’E </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38.27</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219</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24</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NPL</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Nepal (Federal Democratic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Kathmandu</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27°45'N 85°20'E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38.43</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179</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CHN IND</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CHN IND</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25</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NZL</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New Zealand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Wellington</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41°19'S 174°46'E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18.81</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219</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115</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26</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PAK</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Pakistan (Islamic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Islamabad</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33°40'N 73°10'E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E</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25.38</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197</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IND</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104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IND</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27</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PLW</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Palau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Koror</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07°20'N 134°28'E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73.04</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202</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131</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28</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PNG</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Papua New Guinea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Port Moresby</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09°24'S 147°08'E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58.78</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188</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132</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29</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PHL</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Philippines (Republic of the)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Manila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14°40'N 121°03'E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72.73</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185</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131</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30</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SMO</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Samoa (Independent State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Apia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13°50'S 171°50'W</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D</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14.7</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245</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SMA</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140</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31</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SNG</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Singapore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Singapore</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01°14'N 103°55'E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68.74</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190</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INS MLA</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131</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INS MLA</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32</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SLM</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Solomon Islands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Honiara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09°27'S 159°57'E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44.92</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195</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15"/>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33</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CLN</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Sri Lanka (Democratic Socialist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Sri </w:t>
            </w:r>
            <w:proofErr w:type="spellStart"/>
            <w:r w:rsidRPr="00631E19">
              <w:rPr>
                <w:rFonts w:eastAsia="Times New Roman"/>
                <w:color w:val="000000"/>
                <w:sz w:val="20"/>
                <w:szCs w:val="20"/>
                <w:lang w:val="en-GB" w:eastAsia="zh-CN"/>
              </w:rPr>
              <w:t>Jayawardenapura</w:t>
            </w:r>
            <w:proofErr w:type="spellEnd"/>
            <w:r w:rsidRPr="00631E19">
              <w:rPr>
                <w:rFonts w:eastAsia="Times New Roman"/>
                <w:color w:val="000000"/>
                <w:sz w:val="20"/>
                <w:szCs w:val="20"/>
                <w:lang w:val="en-GB" w:eastAsia="zh-CN"/>
              </w:rPr>
              <w:t xml:space="preserve"> </w:t>
            </w:r>
            <w:proofErr w:type="spellStart"/>
            <w:r w:rsidRPr="00631E19">
              <w:rPr>
                <w:rFonts w:eastAsia="Times New Roman"/>
                <w:color w:val="000000"/>
                <w:sz w:val="20"/>
                <w:szCs w:val="20"/>
                <w:lang w:val="en-GB" w:eastAsia="zh-CN"/>
              </w:rPr>
              <w:t>Kotte</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6°54′N 79°54′E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40.89</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190</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133</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34</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THA</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Thailand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Bangkok</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13°45'N 100°35'E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60.45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184</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BRM</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132</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35</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TON</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Tonga (Kingdom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Nuku'alofa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21°10'S 174°00'W</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15.77</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239</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139</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36</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TUV</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Tuvalu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Funafuti</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08°31'S 179°13'E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24.48</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238</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135</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37</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VUT</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Vanuatu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Port-Vila</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17°45'S 168°18'E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P</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33.95</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217</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134</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r w:rsidR="002F25D8" w:rsidRPr="00631E19" w:rsidTr="001D4195">
        <w:trPr>
          <w:trHeight w:val="300"/>
        </w:trPr>
        <w:tc>
          <w:tcPr>
            <w:tcW w:w="156" w:type="pct"/>
            <w:tcBorders>
              <w:top w:val="nil"/>
              <w:left w:val="single" w:sz="4" w:space="0" w:color="auto"/>
              <w:bottom w:val="single" w:sz="4" w:space="0" w:color="auto"/>
              <w:right w:val="single" w:sz="4" w:space="0" w:color="auto"/>
            </w:tcBorders>
            <w:shd w:val="clear" w:color="auto" w:fill="auto"/>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38</w:t>
            </w:r>
          </w:p>
        </w:tc>
        <w:tc>
          <w:tcPr>
            <w:tcW w:w="21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127DAE">
            <w:pPr>
              <w:tabs>
                <w:tab w:val="left" w:pos="1062"/>
              </w:tabs>
              <w:ind w:right="-107"/>
              <w:rPr>
                <w:rFonts w:eastAsia="Times New Roman"/>
                <w:color w:val="000000"/>
                <w:sz w:val="20"/>
                <w:szCs w:val="20"/>
                <w:lang w:val="en-GB" w:eastAsia="zh-CN"/>
              </w:rPr>
            </w:pPr>
            <w:r w:rsidRPr="00631E19">
              <w:rPr>
                <w:rFonts w:eastAsia="Times New Roman"/>
                <w:color w:val="000000"/>
                <w:sz w:val="20"/>
                <w:szCs w:val="20"/>
                <w:lang w:val="en-GB" w:eastAsia="zh-CN"/>
              </w:rPr>
              <w:t>VTN</w:t>
            </w:r>
          </w:p>
        </w:tc>
        <w:tc>
          <w:tcPr>
            <w:tcW w:w="1231" w:type="pct"/>
            <w:tcBorders>
              <w:top w:val="nil"/>
              <w:left w:val="nil"/>
              <w:bottom w:val="single" w:sz="4" w:space="0" w:color="auto"/>
              <w:right w:val="single" w:sz="4" w:space="0" w:color="auto"/>
            </w:tcBorders>
            <w:shd w:val="clear" w:color="auto" w:fill="auto"/>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 xml:space="preserve">Viet Nam (Socialist Republic of)                                                                                                                                                                                                                </w:t>
            </w:r>
          </w:p>
        </w:tc>
        <w:tc>
          <w:tcPr>
            <w:tcW w:w="51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Hanoi</w:t>
            </w:r>
          </w:p>
        </w:tc>
        <w:tc>
          <w:tcPr>
            <w:tcW w:w="66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21°01'N 105°50'E</w:t>
            </w:r>
          </w:p>
        </w:tc>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N</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59.28</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184</w:t>
            </w:r>
          </w:p>
        </w:tc>
        <w:tc>
          <w:tcPr>
            <w:tcW w:w="361"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CHN LAO</w:t>
            </w:r>
          </w:p>
        </w:tc>
        <w:tc>
          <w:tcPr>
            <w:tcW w:w="450"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jc w:val="right"/>
              <w:rPr>
                <w:rFonts w:eastAsia="Times New Roman"/>
                <w:color w:val="000000"/>
                <w:sz w:val="20"/>
                <w:szCs w:val="20"/>
                <w:lang w:val="en-GB" w:eastAsia="zh-CN"/>
              </w:rPr>
            </w:pPr>
            <w:r w:rsidRPr="00631E19">
              <w:rPr>
                <w:rFonts w:eastAsia="Times New Roman"/>
                <w:color w:val="000000"/>
                <w:sz w:val="20"/>
                <w:szCs w:val="20"/>
                <w:lang w:val="en-GB" w:eastAsia="zh-CN"/>
              </w:rPr>
              <w:t>132</w:t>
            </w:r>
          </w:p>
        </w:tc>
        <w:tc>
          <w:tcPr>
            <w:tcW w:w="339" w:type="pct"/>
            <w:tcBorders>
              <w:top w:val="nil"/>
              <w:left w:val="nil"/>
              <w:bottom w:val="single" w:sz="4" w:space="0" w:color="auto"/>
              <w:right w:val="single" w:sz="4" w:space="0" w:color="auto"/>
            </w:tcBorders>
            <w:shd w:val="clear" w:color="auto" w:fill="auto"/>
            <w:noWrap/>
            <w:vAlign w:val="bottom"/>
            <w:hideMark/>
          </w:tcPr>
          <w:p w:rsidR="002F25D8" w:rsidRPr="00631E19" w:rsidRDefault="002F25D8" w:rsidP="00640DC4">
            <w:pPr>
              <w:rPr>
                <w:rFonts w:eastAsia="Times New Roman"/>
                <w:color w:val="000000"/>
                <w:sz w:val="20"/>
                <w:szCs w:val="20"/>
                <w:lang w:val="en-GB" w:eastAsia="zh-CN"/>
              </w:rPr>
            </w:pPr>
            <w:r w:rsidRPr="00631E19">
              <w:rPr>
                <w:rFonts w:eastAsia="Times New Roman"/>
                <w:color w:val="000000"/>
                <w:sz w:val="20"/>
                <w:szCs w:val="20"/>
                <w:lang w:val="en-GB" w:eastAsia="zh-CN"/>
              </w:rPr>
              <w:t>-</w:t>
            </w:r>
          </w:p>
        </w:tc>
      </w:tr>
    </w:tbl>
    <w:p w:rsidR="002F25D8" w:rsidRPr="00631E19" w:rsidRDefault="002F25D8" w:rsidP="00640DC4">
      <w:pPr>
        <w:ind w:left="360"/>
        <w:rPr>
          <w:sz w:val="20"/>
          <w:szCs w:val="20"/>
          <w:u w:val="single"/>
          <w:lang w:val="en-GB"/>
        </w:rPr>
      </w:pPr>
    </w:p>
    <w:p w:rsidR="002F25D8" w:rsidRPr="00631E19" w:rsidRDefault="002F25D8" w:rsidP="00640DC4">
      <w:pPr>
        <w:ind w:left="360"/>
        <w:rPr>
          <w:sz w:val="20"/>
          <w:szCs w:val="20"/>
          <w:u w:val="single"/>
          <w:lang w:val="en-GB"/>
        </w:rPr>
      </w:pPr>
    </w:p>
    <w:p w:rsidR="002F25D8" w:rsidRPr="00631E19" w:rsidRDefault="002F25D8" w:rsidP="00640DC4">
      <w:pPr>
        <w:ind w:left="360"/>
        <w:rPr>
          <w:sz w:val="20"/>
          <w:szCs w:val="20"/>
          <w:u w:val="single"/>
          <w:lang w:val="en-GB"/>
        </w:rPr>
        <w:sectPr w:rsidR="002F25D8" w:rsidRPr="00631E19" w:rsidSect="00127DAE">
          <w:pgSz w:w="16834" w:h="11909" w:orient="landscape" w:code="9"/>
          <w:pgMar w:top="1440" w:right="1195" w:bottom="1152" w:left="1138" w:header="720" w:footer="720" w:gutter="0"/>
          <w:cols w:space="720"/>
          <w:docGrid w:linePitch="360"/>
        </w:sectPr>
      </w:pPr>
    </w:p>
    <w:p w:rsidR="009566B8" w:rsidRPr="00631E19" w:rsidRDefault="009566B8" w:rsidP="00127DAE">
      <w:pPr>
        <w:pStyle w:val="ListParagraph"/>
        <w:numPr>
          <w:ilvl w:val="5"/>
          <w:numId w:val="14"/>
        </w:numPr>
        <w:ind w:leftChars="0" w:left="2552" w:hanging="1134"/>
        <w:jc w:val="both"/>
        <w:rPr>
          <w:b/>
          <w:lang w:val="en-GB"/>
        </w:rPr>
      </w:pPr>
      <w:r w:rsidRPr="00631E19">
        <w:rPr>
          <w:rFonts w:eastAsia="SimSun"/>
          <w:b/>
          <w:lang w:val="en-GB" w:eastAsia="zh-CN"/>
        </w:rPr>
        <w:lastRenderedPageBreak/>
        <w:t>The sharing between FS and FSS in reality</w:t>
      </w:r>
      <w:r w:rsidRPr="00631E19">
        <w:rPr>
          <w:b/>
          <w:lang w:val="en-GB"/>
        </w:rPr>
        <w:t>:</w:t>
      </w:r>
    </w:p>
    <w:p w:rsidR="00640DC4" w:rsidRPr="00631E19" w:rsidRDefault="00640DC4" w:rsidP="00127DAE">
      <w:pPr>
        <w:ind w:left="360"/>
        <w:rPr>
          <w:lang w:val="en-GB"/>
        </w:rPr>
      </w:pPr>
    </w:p>
    <w:p w:rsidR="002F25D8" w:rsidRPr="00631E19" w:rsidRDefault="002F25D8" w:rsidP="00127DAE">
      <w:pPr>
        <w:ind w:left="360"/>
        <w:rPr>
          <w:lang w:val="en-GB"/>
        </w:rPr>
      </w:pPr>
      <w:proofErr w:type="gramStart"/>
      <w:r w:rsidRPr="00631E19">
        <w:rPr>
          <w:lang w:val="en-GB"/>
        </w:rPr>
        <w:t>FSS(</w:t>
      </w:r>
      <w:proofErr w:type="gramEnd"/>
      <w:r w:rsidRPr="00631E19">
        <w:rPr>
          <w:lang w:val="en-GB"/>
        </w:rPr>
        <w:t xml:space="preserve">Earth-to-space) and FS has long good sharing experience, many of the band allocated to FSS(Earth-to-space) are shared with FS. According to Recommendation ITU-R SF.1006, “experience has shown that, in many instances, separation distances as small as a few kilometres, when allowing for typical terrain and shielding, are achievable”. The actual required separation distance between the FS transmitter and the FSS station depends on the actual parameters of both systems, such as FS transmitter power density, minimum operational elevation angles of satellite systems, off-axis antenna gain of both systems, and the terrain topography. </w:t>
      </w:r>
    </w:p>
    <w:p w:rsidR="00640DC4" w:rsidRPr="00631E19" w:rsidRDefault="00640DC4" w:rsidP="00127DAE">
      <w:pPr>
        <w:ind w:left="360"/>
        <w:rPr>
          <w:lang w:val="en-GB"/>
        </w:rPr>
      </w:pPr>
    </w:p>
    <w:p w:rsidR="007100B8" w:rsidRPr="00631E19" w:rsidRDefault="002F25D8" w:rsidP="007100B8">
      <w:pPr>
        <w:rPr>
          <w:lang w:val="en-GB"/>
        </w:rPr>
      </w:pPr>
      <w:r w:rsidRPr="00631E19">
        <w:rPr>
          <w:lang w:val="en-GB"/>
        </w:rPr>
        <w:t xml:space="preserve">Mitigation techniques as contained in section 5 of this document could be used to improve the required separation. On the conditions that the location of FS stations are known, the deployment of FS terminals are not ubiquitous and both FSS (Earth-to-space) and FS station are operated under license, with only as small as </w:t>
      </w:r>
      <w:r w:rsidR="007100B8" w:rsidRPr="00631E19">
        <w:rPr>
          <w:lang w:val="en-GB"/>
        </w:rPr>
        <w:t xml:space="preserve">a </w:t>
      </w:r>
      <w:r w:rsidRPr="00631E19">
        <w:rPr>
          <w:lang w:val="en-GB"/>
        </w:rPr>
        <w:t xml:space="preserve">few </w:t>
      </w:r>
      <w:proofErr w:type="spellStart"/>
      <w:r w:rsidRPr="00631E19">
        <w:rPr>
          <w:lang w:val="en-GB"/>
        </w:rPr>
        <w:t>kilometers</w:t>
      </w:r>
      <w:proofErr w:type="spellEnd"/>
      <w:r w:rsidRPr="00631E19">
        <w:rPr>
          <w:lang w:val="en-GB"/>
        </w:rPr>
        <w:t xml:space="preserve"> of separation distance in many instances, sharing between FS and FSS can be considered feasible.</w:t>
      </w:r>
      <w:r w:rsidR="00DA6027" w:rsidRPr="00631E19">
        <w:rPr>
          <w:lang w:val="en-GB"/>
        </w:rPr>
        <w:t xml:space="preserve"> </w:t>
      </w:r>
      <w:r w:rsidR="007100B8" w:rsidRPr="00631E19">
        <w:rPr>
          <w:lang w:val="en-GB"/>
        </w:rPr>
        <w:t xml:space="preserve"> On the other hand, some Administrations deploy the FS stations in high density for domestic use without registering in the ITU database. In such a case, careful consideration of such usage would need to be taken into account like</w:t>
      </w:r>
      <w:r w:rsidR="00E75CBD" w:rsidRPr="00631E19">
        <w:rPr>
          <w:lang w:val="en-GB"/>
        </w:rPr>
        <w:t xml:space="preserve"> other frequency bands shared between</w:t>
      </w:r>
      <w:r w:rsidR="007100B8" w:rsidRPr="00631E19">
        <w:rPr>
          <w:lang w:val="en-GB"/>
        </w:rPr>
        <w:t xml:space="preserve"> the FS and the FSS.</w:t>
      </w:r>
    </w:p>
    <w:p w:rsidR="002F25D8" w:rsidRPr="00631E19" w:rsidRDefault="002F25D8" w:rsidP="00127DAE">
      <w:pPr>
        <w:ind w:left="360"/>
        <w:rPr>
          <w:lang w:val="en-GB"/>
        </w:rPr>
      </w:pPr>
    </w:p>
    <w:p w:rsidR="002F25D8" w:rsidRPr="00631E19" w:rsidRDefault="002F25D8" w:rsidP="00640DC4">
      <w:pPr>
        <w:ind w:left="360"/>
        <w:rPr>
          <w:lang w:val="en-GB"/>
        </w:rPr>
      </w:pPr>
    </w:p>
    <w:p w:rsidR="00640DC4" w:rsidRPr="00631E19" w:rsidRDefault="00640DC4" w:rsidP="00127DAE">
      <w:pPr>
        <w:ind w:left="360"/>
        <w:rPr>
          <w:lang w:val="en-GB"/>
        </w:rPr>
      </w:pPr>
    </w:p>
    <w:p w:rsidR="002F25D8" w:rsidRPr="00631E19" w:rsidRDefault="002F25D8" w:rsidP="00127DAE">
      <w:pPr>
        <w:ind w:left="360"/>
        <w:rPr>
          <w:lang w:val="en-GB"/>
        </w:rPr>
      </w:pPr>
      <w:proofErr w:type="gramStart"/>
      <w:r w:rsidRPr="00631E19">
        <w:rPr>
          <w:lang w:val="en-GB"/>
        </w:rPr>
        <w:t>FSS(</w:t>
      </w:r>
      <w:proofErr w:type="gramEnd"/>
      <w:r w:rsidRPr="00631E19">
        <w:rPr>
          <w:lang w:val="en-GB"/>
        </w:rPr>
        <w:t xml:space="preserve">Earth-to-space) and FS share well with each others. Experience has shown that, in many instances, separation distances as small as a few kilometres, when allowing for typical terrain and shielding, are achievable. </w:t>
      </w:r>
    </w:p>
    <w:p w:rsidR="00640DC4" w:rsidRPr="00631E19" w:rsidRDefault="00640DC4" w:rsidP="00127DAE">
      <w:pPr>
        <w:ind w:left="360"/>
        <w:rPr>
          <w:lang w:val="en-GB"/>
        </w:rPr>
      </w:pPr>
    </w:p>
    <w:p w:rsidR="00640DC4" w:rsidRPr="00631E19" w:rsidRDefault="00DA6027" w:rsidP="00127DAE">
      <w:pPr>
        <w:ind w:left="360"/>
        <w:rPr>
          <w:lang w:val="en-GB"/>
        </w:rPr>
      </w:pPr>
      <w:r w:rsidRPr="00631E19">
        <w:rPr>
          <w:lang w:val="en-GB"/>
        </w:rPr>
        <w:t xml:space="preserve"> </w:t>
      </w:r>
    </w:p>
    <w:p w:rsidR="002F25D8" w:rsidRPr="00631E19" w:rsidRDefault="002F25D8" w:rsidP="00127DAE">
      <w:pPr>
        <w:ind w:left="360"/>
        <w:rPr>
          <w:lang w:val="en-GB"/>
        </w:rPr>
      </w:pPr>
      <w:r w:rsidRPr="00631E19">
        <w:rPr>
          <w:lang w:val="en-GB"/>
        </w:rPr>
        <w:t xml:space="preserve">In terms of international coordination, even using the worst case calculation method RR AP7 using by the ITU, in many of the cases, coordination is not required. </w:t>
      </w:r>
    </w:p>
    <w:p w:rsidR="00640DC4" w:rsidRPr="00631E19" w:rsidRDefault="00640DC4" w:rsidP="00127DAE">
      <w:pPr>
        <w:ind w:left="360"/>
        <w:rPr>
          <w:lang w:val="en-GB"/>
        </w:rPr>
      </w:pPr>
    </w:p>
    <w:p w:rsidR="002F25D8" w:rsidRPr="00631E19" w:rsidRDefault="002F25D8" w:rsidP="00127DAE">
      <w:pPr>
        <w:ind w:left="360"/>
        <w:rPr>
          <w:lang w:val="en-GB"/>
        </w:rPr>
      </w:pPr>
      <w:r w:rsidRPr="00631E19">
        <w:rPr>
          <w:lang w:val="en-GB"/>
        </w:rPr>
        <w:t xml:space="preserve">In the case where international coordination is unavoidable, experience indicate that the actual required separation distances is significantly shorter than the coordination distance calculated using the RR AP7 method, it is therefore expected the coordination should not lead to a heavy burden to the administration. </w:t>
      </w:r>
    </w:p>
    <w:p w:rsidR="00640DC4" w:rsidRPr="00631E19" w:rsidRDefault="00640DC4" w:rsidP="00127DAE">
      <w:pPr>
        <w:ind w:left="360"/>
        <w:rPr>
          <w:lang w:val="en-GB"/>
        </w:rPr>
      </w:pPr>
    </w:p>
    <w:p w:rsidR="002F25D8" w:rsidRPr="00631E19" w:rsidRDefault="002F25D8" w:rsidP="00640DC4">
      <w:pPr>
        <w:ind w:left="360"/>
        <w:rPr>
          <w:u w:val="single"/>
          <w:lang w:val="en-GB"/>
        </w:rPr>
      </w:pPr>
    </w:p>
    <w:p w:rsidR="002F25D8" w:rsidRPr="00631E19" w:rsidRDefault="002F25D8" w:rsidP="00640DC4">
      <w:pPr>
        <w:ind w:left="360"/>
        <w:rPr>
          <w:u w:val="single"/>
          <w:lang w:val="en-GB"/>
        </w:rPr>
      </w:pPr>
    </w:p>
    <w:p w:rsidR="00C76CAB" w:rsidRPr="00631E19" w:rsidRDefault="00C76CAB" w:rsidP="00127DAE">
      <w:pPr>
        <w:pStyle w:val="ListParagraph"/>
        <w:numPr>
          <w:ilvl w:val="4"/>
          <w:numId w:val="14"/>
        </w:numPr>
        <w:ind w:leftChars="0" w:left="1701" w:hanging="992"/>
        <w:jc w:val="both"/>
        <w:rPr>
          <w:b/>
          <w:lang w:val="en-GB"/>
        </w:rPr>
      </w:pPr>
      <w:r w:rsidRPr="00631E19">
        <w:rPr>
          <w:b/>
          <w:lang w:val="en-GB"/>
        </w:rPr>
        <w:t>Sharing with mobile service in the band 14.5-14.8GHz:</w:t>
      </w:r>
    </w:p>
    <w:p w:rsidR="00640DC4" w:rsidRPr="00631E19" w:rsidRDefault="00640DC4" w:rsidP="00640DC4">
      <w:pPr>
        <w:ind w:left="360"/>
        <w:rPr>
          <w:lang w:val="en-GB"/>
        </w:rPr>
      </w:pPr>
    </w:p>
    <w:p w:rsidR="00DD0312" w:rsidRPr="00631E19" w:rsidRDefault="002F25D8" w:rsidP="007100B8">
      <w:pPr>
        <w:ind w:left="426"/>
        <w:rPr>
          <w:lang w:val="en-GB"/>
        </w:rPr>
      </w:pPr>
      <w:r w:rsidRPr="00631E19">
        <w:rPr>
          <w:lang w:val="en-GB"/>
        </w:rPr>
        <w:t>There are no stations for the mobile service in ITU-R Region 3 as recorded in the ITU database a</w:t>
      </w:r>
      <w:r w:rsidR="00D6704F" w:rsidRPr="00631E19">
        <w:rPr>
          <w:lang w:val="en-GB"/>
        </w:rPr>
        <w:t>s of 29.05.2012 (BR IFIC 2720).</w:t>
      </w:r>
      <w:r w:rsidR="0055323D" w:rsidRPr="00631E19">
        <w:rPr>
          <w:lang w:val="en-GB"/>
        </w:rPr>
        <w:t xml:space="preserve"> Also, according </w:t>
      </w:r>
      <w:r w:rsidR="00B3589C" w:rsidRPr="00631E19">
        <w:rPr>
          <w:lang w:val="en-GB"/>
        </w:rPr>
        <w:t xml:space="preserve">to </w:t>
      </w:r>
      <w:r w:rsidR="0055323D" w:rsidRPr="00631E19">
        <w:rPr>
          <w:lang w:val="en-GB"/>
        </w:rPr>
        <w:t xml:space="preserve">APT Report on Information of </w:t>
      </w:r>
      <w:r w:rsidR="00A022C8" w:rsidRPr="00631E19">
        <w:rPr>
          <w:lang w:val="en-GB"/>
        </w:rPr>
        <w:t>M</w:t>
      </w:r>
      <w:r w:rsidR="0055323D" w:rsidRPr="00631E19">
        <w:rPr>
          <w:lang w:val="en-GB"/>
        </w:rPr>
        <w:t xml:space="preserve">obile </w:t>
      </w:r>
      <w:r w:rsidR="00A022C8" w:rsidRPr="00631E19">
        <w:rPr>
          <w:lang w:val="en-GB"/>
        </w:rPr>
        <w:t>O</w:t>
      </w:r>
      <w:r w:rsidR="0055323D" w:rsidRPr="00631E19">
        <w:rPr>
          <w:lang w:val="en-GB"/>
        </w:rPr>
        <w:t xml:space="preserve">perator’s </w:t>
      </w:r>
      <w:r w:rsidR="00A022C8" w:rsidRPr="00631E19">
        <w:rPr>
          <w:lang w:val="en-GB"/>
        </w:rPr>
        <w:t>F</w:t>
      </w:r>
      <w:r w:rsidR="0055323D" w:rsidRPr="00631E19">
        <w:rPr>
          <w:lang w:val="en-GB"/>
        </w:rPr>
        <w:t xml:space="preserve">requencies, </w:t>
      </w:r>
      <w:r w:rsidR="00A022C8" w:rsidRPr="00631E19">
        <w:rPr>
          <w:lang w:val="en-GB"/>
        </w:rPr>
        <w:t>T</w:t>
      </w:r>
      <w:r w:rsidR="0055323D" w:rsidRPr="00631E19">
        <w:rPr>
          <w:lang w:val="en-GB"/>
        </w:rPr>
        <w:t xml:space="preserve">echnologies and </w:t>
      </w:r>
      <w:r w:rsidR="00A022C8" w:rsidRPr="00631E19">
        <w:rPr>
          <w:lang w:val="en-GB"/>
        </w:rPr>
        <w:t>L</w:t>
      </w:r>
      <w:r w:rsidR="0055323D" w:rsidRPr="00631E19">
        <w:rPr>
          <w:lang w:val="en-GB"/>
        </w:rPr>
        <w:t>icense durations in Asia Pacific countries (</w:t>
      </w:r>
      <w:hyperlink r:id="rId23" w:history="1">
        <w:r w:rsidR="0055323D" w:rsidRPr="00631E19">
          <w:rPr>
            <w:rStyle w:val="Hyperlink"/>
            <w:lang w:val="en-GB"/>
          </w:rPr>
          <w:t>APT/AWG/Rep-15(Rev. 1)</w:t>
        </w:r>
      </w:hyperlink>
      <w:r w:rsidR="0055323D" w:rsidRPr="00631E19">
        <w:rPr>
          <w:lang w:val="en-GB"/>
        </w:rPr>
        <w:t xml:space="preserve">), the </w:t>
      </w:r>
      <w:r w:rsidR="00B3589C" w:rsidRPr="00631E19">
        <w:rPr>
          <w:lang w:val="en-GB"/>
        </w:rPr>
        <w:t>frequency</w:t>
      </w:r>
      <w:r w:rsidR="0055323D" w:rsidRPr="00631E19">
        <w:rPr>
          <w:lang w:val="en-GB"/>
        </w:rPr>
        <w:t xml:space="preserve"> range 14.5-14.8 GHz was not used for mobile service in Asia Pacific countries. </w:t>
      </w:r>
      <w:r w:rsidR="00DD0312" w:rsidRPr="00631E19">
        <w:rPr>
          <w:lang w:val="en-GB"/>
        </w:rPr>
        <w:t>However,</w:t>
      </w:r>
      <w:r w:rsidR="008726B9" w:rsidRPr="00631E19">
        <w:rPr>
          <w:lang w:val="en-GB"/>
        </w:rPr>
        <w:t xml:space="preserve"> the </w:t>
      </w:r>
      <w:r w:rsidR="007C5C67" w:rsidRPr="00631E19">
        <w:rPr>
          <w:lang w:val="en-GB"/>
        </w:rPr>
        <w:t>services</w:t>
      </w:r>
      <w:r w:rsidR="008726B9" w:rsidRPr="00631E19">
        <w:rPr>
          <w:lang w:val="en-GB"/>
        </w:rPr>
        <w:t xml:space="preserve"> covered in the APT Report</w:t>
      </w:r>
      <w:r w:rsidR="007C5C67" w:rsidRPr="00631E19">
        <w:rPr>
          <w:lang w:val="en-GB"/>
        </w:rPr>
        <w:t xml:space="preserve"> are not fully inclusive and</w:t>
      </w:r>
      <w:r w:rsidR="00DD0312" w:rsidRPr="00631E19">
        <w:rPr>
          <w:lang w:val="en-GB"/>
        </w:rPr>
        <w:t xml:space="preserve"> it is noted that the registration of terrestrial systems, in</w:t>
      </w:r>
      <w:r w:rsidR="008726B9" w:rsidRPr="00631E19">
        <w:rPr>
          <w:lang w:val="en-GB"/>
        </w:rPr>
        <w:t>cluding mobile systems in MIFR</w:t>
      </w:r>
      <w:r w:rsidR="00DD0312" w:rsidRPr="00631E19">
        <w:rPr>
          <w:lang w:val="en-GB"/>
        </w:rPr>
        <w:t xml:space="preserve"> is voluntary on the part of the Administration</w:t>
      </w:r>
      <w:r w:rsidR="007C5C67" w:rsidRPr="00631E19">
        <w:rPr>
          <w:lang w:val="en-GB"/>
        </w:rPr>
        <w:t>s</w:t>
      </w:r>
      <w:r w:rsidR="00DD0312" w:rsidRPr="00631E19">
        <w:rPr>
          <w:lang w:val="en-GB"/>
        </w:rPr>
        <w:t xml:space="preserve"> and some Administrations assign this frequency band to the m</w:t>
      </w:r>
      <w:r w:rsidR="007C5C67" w:rsidRPr="00631E19">
        <w:rPr>
          <w:lang w:val="en-GB"/>
        </w:rPr>
        <w:t>obile service for</w:t>
      </w:r>
      <w:r w:rsidR="00DD0312" w:rsidRPr="00631E19">
        <w:rPr>
          <w:lang w:val="en-GB"/>
        </w:rPr>
        <w:t xml:space="preserve"> dom</w:t>
      </w:r>
      <w:r w:rsidR="007C5C67" w:rsidRPr="00631E19">
        <w:rPr>
          <w:lang w:val="en-GB"/>
        </w:rPr>
        <w:t>estic use without registering on</w:t>
      </w:r>
      <w:r w:rsidR="00DD0312" w:rsidRPr="00631E19">
        <w:rPr>
          <w:lang w:val="en-GB"/>
        </w:rPr>
        <w:t xml:space="preserve"> the ITU database. Ther</w:t>
      </w:r>
      <w:r w:rsidR="008726B9" w:rsidRPr="00631E19">
        <w:rPr>
          <w:lang w:val="en-GB"/>
        </w:rPr>
        <w:t xml:space="preserve">efore, careful consideration of </w:t>
      </w:r>
      <w:r w:rsidR="00DD0312" w:rsidRPr="00631E19">
        <w:rPr>
          <w:lang w:val="en-GB"/>
        </w:rPr>
        <w:t xml:space="preserve">such domestic use would be required. </w:t>
      </w:r>
    </w:p>
    <w:p w:rsidR="002F25D8" w:rsidRPr="00631E19" w:rsidRDefault="002F25D8" w:rsidP="00640DC4">
      <w:pPr>
        <w:ind w:left="360"/>
        <w:rPr>
          <w:lang w:val="en-GB"/>
        </w:rPr>
      </w:pPr>
    </w:p>
    <w:p w:rsidR="002F25D8" w:rsidRPr="00631E19" w:rsidRDefault="002F25D8" w:rsidP="00640DC4">
      <w:pPr>
        <w:ind w:left="360"/>
        <w:rPr>
          <w:lang w:val="en-GB"/>
        </w:rPr>
      </w:pPr>
    </w:p>
    <w:p w:rsidR="00C76CAB" w:rsidRPr="00631E19" w:rsidRDefault="00C76CAB" w:rsidP="00127DAE">
      <w:pPr>
        <w:pStyle w:val="ListParagraph"/>
        <w:numPr>
          <w:ilvl w:val="3"/>
          <w:numId w:val="14"/>
        </w:numPr>
        <w:ind w:leftChars="0" w:left="1418" w:hanging="851"/>
        <w:jc w:val="both"/>
        <w:rPr>
          <w:b/>
          <w:lang w:val="en-GB"/>
        </w:rPr>
      </w:pPr>
      <w:r w:rsidRPr="00631E19">
        <w:rPr>
          <w:b/>
          <w:lang w:val="en-GB"/>
        </w:rPr>
        <w:lastRenderedPageBreak/>
        <w:t>Sharing with fixed satellite service under footnote 5.510 in the band 14.5-14.8 GHz:</w:t>
      </w:r>
    </w:p>
    <w:p w:rsidR="00640DC4" w:rsidRPr="00631E19" w:rsidRDefault="00640DC4" w:rsidP="00640DC4">
      <w:pPr>
        <w:ind w:left="360"/>
        <w:rPr>
          <w:noProof/>
          <w:lang w:val="en-GB" w:eastAsia="ko-KR"/>
        </w:rPr>
      </w:pPr>
    </w:p>
    <w:p w:rsidR="002F25D8" w:rsidRPr="00631E19" w:rsidRDefault="002F25D8" w:rsidP="00640DC4">
      <w:pPr>
        <w:ind w:left="360"/>
        <w:rPr>
          <w:noProof/>
          <w:lang w:val="en-GB" w:eastAsia="ko-KR"/>
        </w:rPr>
      </w:pPr>
      <w:r w:rsidRPr="00631E19">
        <w:rPr>
          <w:noProof/>
          <w:lang w:val="en-GB" w:eastAsia="ko-KR"/>
        </w:rPr>
        <w:t>Compatibility between BSS feeder links and other FSS in the 14.5-14.8 GHz would be obtained through regular coordination procedures for satellite networks.  Today, such procedures are contained in Appendix 30A of the Radio Regulations in respect of coordination between BSS feederlinks. To obtain the same compatibility between BSS feederlinks and other FSS, similar criteria and coordination identification mechanisms could be included in Article 9 of the Radio Regulations.</w:t>
      </w:r>
    </w:p>
    <w:p w:rsidR="002F25D8" w:rsidRPr="00631E19" w:rsidRDefault="002F25D8" w:rsidP="00640DC4">
      <w:pPr>
        <w:ind w:left="360"/>
        <w:rPr>
          <w:noProof/>
          <w:lang w:val="en-GB" w:eastAsia="ko-KR"/>
        </w:rPr>
      </w:pPr>
      <w:r w:rsidRPr="00631E19">
        <w:rPr>
          <w:noProof/>
          <w:lang w:val="en-GB" w:eastAsia="ko-KR"/>
        </w:rPr>
        <w:t>According to Recommendation ITU-R S.1063, studies already show that coexistence of the FSS (Earth-to-space) and BSS feeder link assignments in the band 14.5-14.8GHz is feasible. Although the studies were done 20 years ago, there are some changes in the AP30A over this period and the sample characteristics used for studies may need to be reviewed, it is likely that the sharing between FSS (Earth-to-space) and the BSS feeder link in the band 14.5-14.8GHz is still feasible today.</w:t>
      </w:r>
    </w:p>
    <w:p w:rsidR="002F25D8" w:rsidRPr="00631E19" w:rsidRDefault="002F25D8" w:rsidP="00640DC4">
      <w:pPr>
        <w:ind w:left="360"/>
        <w:rPr>
          <w:noProof/>
          <w:lang w:val="en-GB" w:eastAsia="ko-KR"/>
        </w:rPr>
      </w:pPr>
    </w:p>
    <w:p w:rsidR="002F25D8" w:rsidRPr="00631E19" w:rsidRDefault="002F25D8" w:rsidP="00640DC4">
      <w:pPr>
        <w:ind w:left="360"/>
        <w:rPr>
          <w:noProof/>
          <w:lang w:val="en-GB" w:eastAsia="ko-KR"/>
        </w:rPr>
      </w:pPr>
      <w:r w:rsidRPr="00631E19">
        <w:rPr>
          <w:noProof/>
          <w:lang w:val="en-GB" w:eastAsia="ko-KR"/>
        </w:rPr>
        <w:t>Quote from section 4.2 of Recommendation ITU-R S.1063:</w:t>
      </w:r>
    </w:p>
    <w:p w:rsidR="002F25D8" w:rsidRPr="00631E19" w:rsidRDefault="005F7A08" w:rsidP="00640DC4">
      <w:pPr>
        <w:ind w:left="360"/>
        <w:rPr>
          <w:noProof/>
          <w:lang w:val="en-GB" w:eastAsia="ko-KR"/>
        </w:rPr>
      </w:pPr>
      <w:r w:rsidRPr="00631E19">
        <w:rPr>
          <w:noProof/>
          <w:lang w:val="en-GB" w:eastAsia="ko-KR"/>
        </w:rPr>
        <w:t>“</w:t>
      </w:r>
    </w:p>
    <w:p w:rsidR="002F25D8" w:rsidRPr="00631E19" w:rsidRDefault="002F25D8" w:rsidP="00640DC4">
      <w:pPr>
        <w:ind w:left="360"/>
        <w:rPr>
          <w:b/>
          <w:noProof/>
          <w:lang w:val="en-GB" w:eastAsia="ko-KR"/>
        </w:rPr>
      </w:pPr>
      <w:r w:rsidRPr="00631E19">
        <w:rPr>
          <w:b/>
          <w:noProof/>
          <w:lang w:val="en-GB" w:eastAsia="ko-KR"/>
        </w:rPr>
        <w:t>Use of the 14.5-14.8 GHz frequency band</w:t>
      </w:r>
    </w:p>
    <w:p w:rsidR="002F25D8" w:rsidRPr="00631E19" w:rsidRDefault="002F25D8" w:rsidP="00640DC4">
      <w:pPr>
        <w:ind w:left="360"/>
        <w:rPr>
          <w:b/>
          <w:noProof/>
          <w:lang w:val="en-GB" w:eastAsia="ko-KR"/>
        </w:rPr>
      </w:pPr>
    </w:p>
    <w:p w:rsidR="002F25D8" w:rsidRPr="00631E19" w:rsidRDefault="002F25D8" w:rsidP="00640DC4">
      <w:pPr>
        <w:ind w:left="360"/>
        <w:rPr>
          <w:noProof/>
          <w:lang w:val="en-GB" w:eastAsia="ko-KR"/>
        </w:rPr>
      </w:pPr>
      <w:r w:rsidRPr="00631E19">
        <w:rPr>
          <w:noProof/>
          <w:lang w:val="en-GB" w:eastAsia="ko-KR"/>
        </w:rPr>
        <w:t>WARC ORB-88 adopted a Plan for BSS feeder links in the 14.5-14.8 GHz band. This Plan, which appears in RR Appendix S30A contains assignments to 19 countries in Africa and Asia, uses 17 orbital locations between 37° W and 128° E and divides the band into 14 channels spaced 19.18 MHz apart.</w:t>
      </w:r>
    </w:p>
    <w:p w:rsidR="002F25D8" w:rsidRPr="00631E19" w:rsidRDefault="002F25D8" w:rsidP="00640DC4">
      <w:pPr>
        <w:ind w:left="360"/>
        <w:rPr>
          <w:noProof/>
          <w:lang w:val="en-GB" w:eastAsia="ko-KR"/>
        </w:rPr>
      </w:pPr>
    </w:p>
    <w:p w:rsidR="002F25D8" w:rsidRPr="00631E19" w:rsidRDefault="002F25D8" w:rsidP="00640DC4">
      <w:pPr>
        <w:ind w:left="360"/>
        <w:rPr>
          <w:noProof/>
          <w:lang w:val="en-GB" w:eastAsia="ko-KR"/>
        </w:rPr>
      </w:pPr>
      <w:r w:rsidRPr="00631E19">
        <w:rPr>
          <w:noProof/>
          <w:lang w:val="en-GB" w:eastAsia="ko-KR"/>
        </w:rPr>
        <w:t>The results of two studies into sharing between the FSS and BSS feeder links in this band are summarized in this section. These studies were carried out as part of the ex-CCIR preparation for WARC-92. Since that Conference decided that use of the band by the FSS should remain restricted to BSS feeder links, this section is included merely to illustrate the feasibility of 14/11 GHz band sharing.</w:t>
      </w:r>
    </w:p>
    <w:p w:rsidR="002F25D8" w:rsidRPr="00631E19" w:rsidRDefault="002F25D8" w:rsidP="00640DC4">
      <w:pPr>
        <w:ind w:left="360"/>
        <w:rPr>
          <w:noProof/>
          <w:lang w:val="en-GB" w:eastAsia="ko-KR"/>
        </w:rPr>
      </w:pPr>
    </w:p>
    <w:p w:rsidR="002F25D8" w:rsidRPr="00631E19" w:rsidRDefault="002F25D8" w:rsidP="00640DC4">
      <w:pPr>
        <w:ind w:left="360"/>
        <w:rPr>
          <w:noProof/>
          <w:lang w:val="en-GB" w:eastAsia="ko-KR"/>
        </w:rPr>
      </w:pPr>
      <w:r w:rsidRPr="00631E19">
        <w:rPr>
          <w:noProof/>
          <w:lang w:val="en-GB" w:eastAsia="ko-KR"/>
        </w:rPr>
        <w:t>BSS feeder link transmission parameters were taken as those published in RR Appendix S30A. Two types of FSS carriers were assumed, FM-TV and digital (IDR – 64 kbit/s and 8 448 kbit/s).</w:t>
      </w:r>
    </w:p>
    <w:p w:rsidR="002F25D8" w:rsidRPr="00631E19" w:rsidRDefault="002F25D8" w:rsidP="00640DC4">
      <w:pPr>
        <w:ind w:left="360"/>
        <w:rPr>
          <w:noProof/>
          <w:lang w:val="en-GB" w:eastAsia="ko-KR"/>
        </w:rPr>
      </w:pPr>
    </w:p>
    <w:p w:rsidR="002F25D8" w:rsidRPr="00631E19" w:rsidRDefault="002F25D8" w:rsidP="00640DC4">
      <w:pPr>
        <w:ind w:left="360"/>
        <w:rPr>
          <w:noProof/>
          <w:lang w:val="en-GB" w:eastAsia="ko-KR"/>
        </w:rPr>
      </w:pPr>
      <w:r w:rsidRPr="00631E19">
        <w:rPr>
          <w:noProof/>
          <w:lang w:val="en-GB" w:eastAsia="ko-KR"/>
        </w:rPr>
        <w:t>The interference analysis was based on the assumption of co-channel, co-coverage interference and no account was taken of polarization discrimination.</w:t>
      </w:r>
    </w:p>
    <w:p w:rsidR="002F25D8" w:rsidRPr="00631E19" w:rsidRDefault="002F25D8" w:rsidP="00640DC4">
      <w:pPr>
        <w:ind w:left="360"/>
        <w:rPr>
          <w:noProof/>
          <w:lang w:val="en-GB" w:eastAsia="ko-KR"/>
        </w:rPr>
      </w:pPr>
      <w:r w:rsidRPr="00631E19">
        <w:rPr>
          <w:noProof/>
          <w:lang w:val="en-GB" w:eastAsia="ko-KR"/>
        </w:rPr>
        <w:t xml:space="preserve"> </w:t>
      </w:r>
    </w:p>
    <w:p w:rsidR="002F25D8" w:rsidRPr="00631E19" w:rsidRDefault="002F25D8" w:rsidP="00640DC4">
      <w:pPr>
        <w:ind w:left="360"/>
        <w:rPr>
          <w:noProof/>
          <w:lang w:val="en-GB" w:eastAsia="ko-KR"/>
        </w:rPr>
      </w:pPr>
      <w:r w:rsidRPr="00631E19">
        <w:rPr>
          <w:noProof/>
          <w:lang w:val="en-GB" w:eastAsia="ko-KR"/>
        </w:rPr>
        <w:t>The key results showed that:</w:t>
      </w:r>
    </w:p>
    <w:p w:rsidR="002F25D8" w:rsidRPr="00631E19" w:rsidRDefault="002F25D8" w:rsidP="00640DC4">
      <w:pPr>
        <w:ind w:left="360"/>
        <w:rPr>
          <w:noProof/>
          <w:lang w:val="en-GB" w:eastAsia="ko-KR"/>
        </w:rPr>
      </w:pPr>
      <w:r w:rsidRPr="00631E19">
        <w:rPr>
          <w:noProof/>
          <w:lang w:val="en-GB" w:eastAsia="ko-KR"/>
        </w:rPr>
        <w:t>–</w:t>
      </w:r>
      <w:r w:rsidRPr="00631E19">
        <w:rPr>
          <w:noProof/>
          <w:lang w:val="en-GB" w:eastAsia="ko-KR"/>
        </w:rPr>
        <w:tab/>
        <w:t>an orbital separation of more than 2.5° is sufficient to protect the BSS feeder link assignments from the FSS under worst case co-coverage and co-frequency conditions;</w:t>
      </w:r>
    </w:p>
    <w:p w:rsidR="002F25D8" w:rsidRPr="00631E19" w:rsidRDefault="002F25D8" w:rsidP="00640DC4">
      <w:pPr>
        <w:ind w:left="360"/>
        <w:rPr>
          <w:noProof/>
          <w:lang w:val="en-GB" w:eastAsia="ko-KR"/>
        </w:rPr>
      </w:pPr>
      <w:r w:rsidRPr="00631E19">
        <w:rPr>
          <w:noProof/>
          <w:lang w:val="en-GB" w:eastAsia="ko-KR"/>
        </w:rPr>
        <w:t>–</w:t>
      </w:r>
      <w:r w:rsidRPr="00631E19">
        <w:rPr>
          <w:noProof/>
          <w:lang w:val="en-GB" w:eastAsia="ko-KR"/>
        </w:rPr>
        <w:tab/>
        <w:t>for smaller orbital separations between FSS and BSS satellites, FSS TV could use the bands with constraints on the uplink earth station locations within the BSS coverage area;</w:t>
      </w:r>
    </w:p>
    <w:p w:rsidR="002F25D8" w:rsidRPr="00631E19" w:rsidRDefault="002F25D8" w:rsidP="00640DC4">
      <w:pPr>
        <w:ind w:left="360"/>
        <w:rPr>
          <w:noProof/>
          <w:lang w:val="en-GB" w:eastAsia="ko-KR"/>
        </w:rPr>
      </w:pPr>
      <w:r w:rsidRPr="00631E19">
        <w:rPr>
          <w:noProof/>
          <w:lang w:val="en-GB" w:eastAsia="ko-KR"/>
        </w:rPr>
        <w:t>–</w:t>
      </w:r>
      <w:r w:rsidRPr="00631E19">
        <w:rPr>
          <w:noProof/>
          <w:lang w:val="en-GB" w:eastAsia="ko-KR"/>
        </w:rPr>
        <w:tab/>
        <w:t>the required orbital separations could be reduced if frequency separation is maintained between FSS TV and BSS assigned channel frequencies, and this appears to be possible;</w:t>
      </w:r>
    </w:p>
    <w:p w:rsidR="002F25D8" w:rsidRPr="00631E19" w:rsidRDefault="002F25D8" w:rsidP="00640DC4">
      <w:pPr>
        <w:ind w:left="360"/>
        <w:rPr>
          <w:noProof/>
          <w:lang w:val="en-GB" w:eastAsia="ko-KR"/>
        </w:rPr>
      </w:pPr>
      <w:r w:rsidRPr="00631E19">
        <w:rPr>
          <w:noProof/>
          <w:lang w:val="en-GB" w:eastAsia="ko-KR"/>
        </w:rPr>
        <w:t>–</w:t>
      </w:r>
      <w:r w:rsidRPr="00631E19">
        <w:rPr>
          <w:noProof/>
          <w:lang w:val="en-GB" w:eastAsia="ko-KR"/>
        </w:rPr>
        <w:tab/>
        <w:t>the FSS carriers with higher bit rates can use the band 14.5-14.8 GHz in a way similar to FSS TV;</w:t>
      </w:r>
    </w:p>
    <w:p w:rsidR="002F25D8" w:rsidRPr="00631E19" w:rsidRDefault="002F25D8" w:rsidP="00640DC4">
      <w:pPr>
        <w:ind w:left="360"/>
        <w:rPr>
          <w:noProof/>
          <w:lang w:val="en-GB" w:eastAsia="ko-KR"/>
        </w:rPr>
      </w:pPr>
      <w:r w:rsidRPr="00631E19">
        <w:rPr>
          <w:noProof/>
          <w:lang w:val="en-GB" w:eastAsia="ko-KR"/>
        </w:rPr>
        <w:t>–</w:t>
      </w:r>
      <w:r w:rsidRPr="00631E19">
        <w:rPr>
          <w:noProof/>
          <w:lang w:val="en-GB" w:eastAsia="ko-KR"/>
        </w:rPr>
        <w:tab/>
        <w:t>the sensitive carriers of the FSS can use the band by frequency planning the carriers around the BSS TV carriers and/or by avoiding certain contours of the BSS satellite antenna, depending on the orbital separation between the satellites.</w:t>
      </w:r>
    </w:p>
    <w:p w:rsidR="002F25D8" w:rsidRPr="00631E19" w:rsidRDefault="002F25D8" w:rsidP="00640DC4">
      <w:pPr>
        <w:ind w:left="360"/>
        <w:rPr>
          <w:noProof/>
          <w:lang w:val="en-GB" w:eastAsia="ko-KR"/>
        </w:rPr>
      </w:pPr>
    </w:p>
    <w:p w:rsidR="002F25D8" w:rsidRPr="00631E19" w:rsidRDefault="002F25D8" w:rsidP="00640DC4">
      <w:pPr>
        <w:ind w:left="360"/>
        <w:rPr>
          <w:noProof/>
          <w:lang w:val="en-GB" w:eastAsia="ko-KR"/>
        </w:rPr>
      </w:pPr>
      <w:r w:rsidRPr="00631E19">
        <w:rPr>
          <w:noProof/>
          <w:lang w:val="en-GB" w:eastAsia="ko-KR"/>
        </w:rPr>
        <w:lastRenderedPageBreak/>
        <w:t>To summarize, the studies show that coexistence of the FSS and WARC ORB-88 BSS feeder link assignments in the band 14.5-14.8 GHz is feasible. The constraints on FSS networks using this band are not onerous. For a new network to be positioned in most of the GSO, the constraints can be avoided altogether with appropriate choice of orbital location. For networks with limited orbital flexibility, the measures required are likely, in general, to be no greater in severity as compared to those experienced in normal coordination between FSS networks in current bands.”</w:t>
      </w:r>
    </w:p>
    <w:p w:rsidR="002F25D8" w:rsidRPr="00631E19" w:rsidRDefault="002F25D8" w:rsidP="00640DC4">
      <w:pPr>
        <w:ind w:left="360"/>
        <w:rPr>
          <w:noProof/>
          <w:lang w:val="en-GB" w:eastAsia="ko-KR"/>
        </w:rPr>
      </w:pPr>
    </w:p>
    <w:p w:rsidR="00CA105A" w:rsidRPr="00631E19" w:rsidRDefault="00B32C17">
      <w:pPr>
        <w:ind w:left="360"/>
        <w:rPr>
          <w:noProof/>
          <w:lang w:val="en-GB" w:eastAsia="ko-KR"/>
        </w:rPr>
      </w:pPr>
      <w:r w:rsidRPr="00631E19">
        <w:rPr>
          <w:noProof/>
          <w:lang w:val="en-GB" w:eastAsia="ko-KR"/>
        </w:rPr>
        <w:t>There might be a need to revise the parameters on which the above conclusions are based, and the potential cumulative effect of FSS deployment in the 14.5-14.8 GHz band on the feeder-links should also be taken into account</w:t>
      </w:r>
      <w:r w:rsidR="00CA105A" w:rsidRPr="00631E19">
        <w:rPr>
          <w:noProof/>
          <w:lang w:val="en-GB" w:eastAsia="ko-KR"/>
        </w:rPr>
        <w:t>.</w:t>
      </w:r>
    </w:p>
    <w:p w:rsidR="00CA105A" w:rsidRPr="00631E19" w:rsidRDefault="00CA105A">
      <w:pPr>
        <w:ind w:left="360"/>
        <w:rPr>
          <w:noProof/>
          <w:lang w:val="en-GB" w:eastAsia="ko-KR"/>
        </w:rPr>
      </w:pPr>
    </w:p>
    <w:p w:rsidR="00420FE5" w:rsidRPr="00631E19" w:rsidRDefault="00420FE5" w:rsidP="00640DC4">
      <w:pPr>
        <w:ind w:left="360"/>
        <w:rPr>
          <w:noProof/>
          <w:lang w:val="en-GB" w:eastAsia="ko-KR"/>
        </w:rPr>
      </w:pPr>
      <w:r w:rsidRPr="00631E19">
        <w:rPr>
          <w:noProof/>
          <w:lang w:val="en-GB" w:eastAsia="ko-KR"/>
        </w:rPr>
        <w:t>In examining the possibility for FSS Earth-to-space allocations in the 14.5-14.8 GHz band, the interference scenarios could be evaluated using Article 7 of Appendix 30A (AP 30A), which refers to the protection criteria of Annex 4 of AP 30A, and Article 6 of AP 30A.</w:t>
      </w:r>
    </w:p>
    <w:p w:rsidR="00664009" w:rsidRPr="00631E19" w:rsidRDefault="00664009" w:rsidP="00640DC4">
      <w:pPr>
        <w:keepNext/>
        <w:keepLines/>
        <w:tabs>
          <w:tab w:val="left" w:pos="794"/>
          <w:tab w:val="left" w:pos="2127"/>
          <w:tab w:val="left" w:pos="2410"/>
          <w:tab w:val="left" w:pos="2921"/>
          <w:tab w:val="left" w:pos="3261"/>
        </w:tabs>
        <w:ind w:left="360"/>
        <w:rPr>
          <w:rFonts w:eastAsia="Batang"/>
          <w:b/>
          <w:lang w:val="en-GB" w:eastAsia="fr-FR"/>
        </w:rPr>
      </w:pPr>
      <w:bookmarkStart w:id="2" w:name="OLE_LINK1"/>
      <w:bookmarkStart w:id="3" w:name="OLE_LINK2"/>
    </w:p>
    <w:p w:rsidR="00420FE5" w:rsidRPr="00631E19" w:rsidRDefault="00420FE5" w:rsidP="00640DC4">
      <w:pPr>
        <w:keepNext/>
        <w:keepLines/>
        <w:tabs>
          <w:tab w:val="left" w:pos="794"/>
          <w:tab w:val="left" w:pos="2127"/>
          <w:tab w:val="left" w:pos="2410"/>
          <w:tab w:val="left" w:pos="2921"/>
          <w:tab w:val="left" w:pos="3261"/>
        </w:tabs>
        <w:ind w:left="360"/>
        <w:rPr>
          <w:rFonts w:eastAsia="Batang"/>
          <w:b/>
          <w:lang w:val="en-GB" w:eastAsia="fr-FR"/>
        </w:rPr>
      </w:pPr>
      <w:r w:rsidRPr="00631E19">
        <w:rPr>
          <w:rFonts w:eastAsia="Batang"/>
          <w:b/>
          <w:lang w:val="en-GB" w:eastAsia="fr-FR"/>
        </w:rPr>
        <w:t xml:space="preserve">Consideration on sharing with </w:t>
      </w:r>
      <w:r w:rsidR="00646B1A" w:rsidRPr="00631E19">
        <w:rPr>
          <w:rFonts w:eastAsia="Batang"/>
          <w:b/>
          <w:lang w:val="en-GB" w:eastAsia="fr-FR"/>
        </w:rPr>
        <w:t>the feeder link for the BSS Plan of A</w:t>
      </w:r>
      <w:r w:rsidR="000A72EC" w:rsidRPr="00631E19">
        <w:rPr>
          <w:rFonts w:eastAsia="Batang"/>
          <w:b/>
          <w:lang w:val="en-GB" w:eastAsia="fr-FR"/>
        </w:rPr>
        <w:t>P</w:t>
      </w:r>
      <w:r w:rsidR="00646B1A" w:rsidRPr="00631E19">
        <w:rPr>
          <w:rFonts w:eastAsia="Batang"/>
          <w:b/>
          <w:lang w:val="en-GB" w:eastAsia="fr-FR"/>
        </w:rPr>
        <w:t xml:space="preserve"> 30A </w:t>
      </w:r>
      <w:r w:rsidRPr="00631E19">
        <w:rPr>
          <w:rFonts w:eastAsia="Batang"/>
          <w:b/>
          <w:lang w:val="en-GB" w:eastAsia="fr-FR"/>
        </w:rPr>
        <w:t xml:space="preserve">under footnote 5.510 in the band 14.5-14.8 GHz </w:t>
      </w:r>
    </w:p>
    <w:bookmarkEnd w:id="2"/>
    <w:bookmarkEnd w:id="3"/>
    <w:p w:rsidR="00646B1A" w:rsidRPr="00631E19" w:rsidRDefault="00646B1A" w:rsidP="00640DC4">
      <w:pPr>
        <w:tabs>
          <w:tab w:val="left" w:pos="990"/>
          <w:tab w:val="left" w:pos="3345"/>
        </w:tabs>
        <w:ind w:left="360"/>
        <w:rPr>
          <w:lang w:val="en-GB"/>
        </w:rPr>
      </w:pPr>
    </w:p>
    <w:p w:rsidR="00420FE5" w:rsidRPr="00631E19" w:rsidRDefault="00420FE5" w:rsidP="00640DC4">
      <w:pPr>
        <w:tabs>
          <w:tab w:val="left" w:pos="990"/>
          <w:tab w:val="left" w:pos="3345"/>
        </w:tabs>
        <w:ind w:left="360"/>
        <w:rPr>
          <w:lang w:val="en-GB"/>
        </w:rPr>
      </w:pPr>
      <w:r w:rsidRPr="00631E19">
        <w:rPr>
          <w:lang w:val="en-GB"/>
        </w:rPr>
        <w:t>1)</w:t>
      </w:r>
      <w:r w:rsidRPr="00631E19">
        <w:rPr>
          <w:lang w:val="en-GB"/>
        </w:rPr>
        <w:tab/>
        <w:t>The band 14.5-14.8 GHz is part of the Regions 1 and 3 feeder</w:t>
      </w:r>
      <w:r w:rsidR="00646B1A" w:rsidRPr="00631E19">
        <w:rPr>
          <w:lang w:val="en-GB"/>
        </w:rPr>
        <w:t xml:space="preserve"> </w:t>
      </w:r>
      <w:r w:rsidRPr="00631E19">
        <w:rPr>
          <w:lang w:val="en-GB"/>
        </w:rPr>
        <w:t xml:space="preserve">link </w:t>
      </w:r>
      <w:r w:rsidR="00646B1A" w:rsidRPr="00631E19">
        <w:rPr>
          <w:lang w:val="en-GB"/>
        </w:rPr>
        <w:t xml:space="preserve">for the BSS </w:t>
      </w:r>
      <w:r w:rsidRPr="00631E19">
        <w:rPr>
          <w:lang w:val="en-GB"/>
        </w:rPr>
        <w:t>Plan, contained in AP 30A, for countries outside Europe.</w:t>
      </w:r>
    </w:p>
    <w:p w:rsidR="00640DC4" w:rsidRPr="00631E19" w:rsidRDefault="00640DC4" w:rsidP="00640DC4">
      <w:pPr>
        <w:tabs>
          <w:tab w:val="left" w:pos="990"/>
          <w:tab w:val="left" w:pos="3345"/>
        </w:tabs>
        <w:ind w:left="360"/>
        <w:rPr>
          <w:lang w:val="en-GB"/>
        </w:rPr>
      </w:pPr>
    </w:p>
    <w:p w:rsidR="00420FE5" w:rsidRPr="00631E19" w:rsidRDefault="00420FE5" w:rsidP="00640DC4">
      <w:pPr>
        <w:tabs>
          <w:tab w:val="left" w:pos="990"/>
          <w:tab w:val="left" w:pos="3345"/>
        </w:tabs>
        <w:ind w:left="360"/>
        <w:rPr>
          <w:lang w:val="en-GB"/>
        </w:rPr>
      </w:pPr>
      <w:r w:rsidRPr="00631E19">
        <w:rPr>
          <w:lang w:val="en-GB"/>
        </w:rPr>
        <w:t>2)</w:t>
      </w:r>
      <w:r w:rsidRPr="00631E19">
        <w:rPr>
          <w:lang w:val="en-GB"/>
        </w:rPr>
        <w:tab/>
        <w:t xml:space="preserve">Additions to the Region 1 and 3 List of feeder link assignments </w:t>
      </w:r>
      <w:r w:rsidR="00646B1A" w:rsidRPr="00631E19">
        <w:rPr>
          <w:lang w:val="en-GB"/>
        </w:rPr>
        <w:t xml:space="preserve">for the BSS Plan </w:t>
      </w:r>
      <w:r w:rsidRPr="00631E19">
        <w:rPr>
          <w:lang w:val="en-GB"/>
        </w:rPr>
        <w:t>can be made through the successful application of the Article 4 procedures of AP 30A.</w:t>
      </w:r>
    </w:p>
    <w:p w:rsidR="00640DC4" w:rsidRPr="00631E19" w:rsidRDefault="00640DC4" w:rsidP="00640DC4">
      <w:pPr>
        <w:tabs>
          <w:tab w:val="left" w:pos="990"/>
          <w:tab w:val="left" w:pos="3345"/>
        </w:tabs>
        <w:ind w:left="360"/>
        <w:rPr>
          <w:lang w:val="en-GB"/>
        </w:rPr>
      </w:pPr>
    </w:p>
    <w:p w:rsidR="00420FE5" w:rsidRPr="00631E19" w:rsidRDefault="00420FE5" w:rsidP="00640DC4">
      <w:pPr>
        <w:tabs>
          <w:tab w:val="left" w:pos="990"/>
          <w:tab w:val="left" w:pos="3345"/>
        </w:tabs>
        <w:ind w:left="360"/>
        <w:rPr>
          <w:lang w:val="en-GB"/>
        </w:rPr>
      </w:pPr>
      <w:r w:rsidRPr="00631E19">
        <w:rPr>
          <w:lang w:val="en-GB"/>
        </w:rPr>
        <w:t>3)</w:t>
      </w:r>
      <w:r w:rsidRPr="00631E19">
        <w:rPr>
          <w:lang w:val="en-GB"/>
        </w:rPr>
        <w:tab/>
        <w:t xml:space="preserve">The location of the transmitting earth stations of the above mentioned assignments in the Plan or in the </w:t>
      </w:r>
      <w:proofErr w:type="gramStart"/>
      <w:r w:rsidRPr="00631E19">
        <w:rPr>
          <w:lang w:val="en-GB"/>
        </w:rPr>
        <w:t>List,</w:t>
      </w:r>
      <w:proofErr w:type="gramEnd"/>
      <w:r w:rsidRPr="00631E19">
        <w:rPr>
          <w:lang w:val="en-GB"/>
        </w:rPr>
        <w:t xml:space="preserve"> could be at any point within the service area of its associated satellite network.  </w:t>
      </w:r>
    </w:p>
    <w:p w:rsidR="00640DC4" w:rsidRPr="00631E19" w:rsidRDefault="00640DC4" w:rsidP="00640DC4">
      <w:pPr>
        <w:tabs>
          <w:tab w:val="left" w:pos="990"/>
          <w:tab w:val="left" w:pos="3345"/>
        </w:tabs>
        <w:ind w:left="360"/>
        <w:rPr>
          <w:lang w:val="en-GB"/>
        </w:rPr>
      </w:pPr>
    </w:p>
    <w:p w:rsidR="00420FE5" w:rsidRPr="00631E19" w:rsidRDefault="00420FE5" w:rsidP="00640DC4">
      <w:pPr>
        <w:tabs>
          <w:tab w:val="left" w:pos="990"/>
          <w:tab w:val="left" w:pos="3345"/>
        </w:tabs>
        <w:ind w:left="360"/>
        <w:rPr>
          <w:lang w:val="en-GB"/>
        </w:rPr>
      </w:pPr>
      <w:r w:rsidRPr="00631E19">
        <w:rPr>
          <w:lang w:val="en-GB"/>
        </w:rPr>
        <w:t>4)</w:t>
      </w:r>
      <w:r w:rsidRPr="00631E19">
        <w:rPr>
          <w:lang w:val="en-GB"/>
        </w:rPr>
        <w:tab/>
        <w:t>Considering that this band is already allocated to the fixed-satellite service in the Earth-to-space direction, sharing studies should include a review of regulatory procedures, taking into account sharing and compatibility studies, without placing undue constraints on the existing services in the band.</w:t>
      </w:r>
    </w:p>
    <w:p w:rsidR="00640DC4" w:rsidRPr="00631E19" w:rsidRDefault="00640DC4" w:rsidP="00640DC4">
      <w:pPr>
        <w:tabs>
          <w:tab w:val="left" w:pos="990"/>
          <w:tab w:val="left" w:pos="3345"/>
        </w:tabs>
        <w:ind w:left="360"/>
        <w:rPr>
          <w:color w:val="000000"/>
          <w:lang w:val="en-GB"/>
        </w:rPr>
      </w:pPr>
    </w:p>
    <w:p w:rsidR="00420FE5" w:rsidRPr="00631E19" w:rsidRDefault="00420FE5" w:rsidP="00640DC4">
      <w:pPr>
        <w:tabs>
          <w:tab w:val="left" w:pos="990"/>
          <w:tab w:val="left" w:pos="3345"/>
        </w:tabs>
        <w:ind w:left="360"/>
        <w:rPr>
          <w:color w:val="000000"/>
          <w:lang w:val="en-GB"/>
        </w:rPr>
      </w:pPr>
      <w:r w:rsidRPr="00631E19">
        <w:rPr>
          <w:color w:val="000000"/>
          <w:lang w:val="en-GB"/>
        </w:rPr>
        <w:t>5)</w:t>
      </w:r>
      <w:r w:rsidRPr="00631E19">
        <w:rPr>
          <w:color w:val="000000"/>
          <w:lang w:val="en-GB"/>
        </w:rPr>
        <w:tab/>
        <w:t>If consideration is given to the use of 14.5-14.8 GHz bands, appropriate measures need to be taken with regard to the AP 30A Plans and List to ensure the integrity and full protection of these bands, specifically taking into account:</w:t>
      </w:r>
    </w:p>
    <w:p w:rsidR="00640DC4" w:rsidRPr="00631E19" w:rsidRDefault="00640DC4" w:rsidP="00640DC4">
      <w:pPr>
        <w:tabs>
          <w:tab w:val="left" w:pos="990"/>
          <w:tab w:val="left" w:pos="3345"/>
        </w:tabs>
        <w:ind w:left="360"/>
        <w:rPr>
          <w:lang w:val="en-GB"/>
        </w:rPr>
      </w:pPr>
    </w:p>
    <w:p w:rsidR="00420FE5" w:rsidRPr="00631E19" w:rsidRDefault="00420FE5" w:rsidP="00640DC4">
      <w:pPr>
        <w:tabs>
          <w:tab w:val="left" w:pos="990"/>
          <w:tab w:val="left" w:pos="3345"/>
        </w:tabs>
        <w:ind w:left="360"/>
        <w:rPr>
          <w:lang w:val="en-GB"/>
        </w:rPr>
      </w:pPr>
      <w:r w:rsidRPr="00631E19">
        <w:rPr>
          <w:lang w:val="en-GB"/>
        </w:rPr>
        <w:t>a)</w:t>
      </w:r>
      <w:r w:rsidRPr="00631E19">
        <w:rPr>
          <w:lang w:val="en-GB"/>
        </w:rPr>
        <w:tab/>
      </w:r>
      <w:proofErr w:type="gramStart"/>
      <w:r w:rsidRPr="00631E19">
        <w:rPr>
          <w:lang w:val="en-GB"/>
        </w:rPr>
        <w:t>required</w:t>
      </w:r>
      <w:proofErr w:type="gramEnd"/>
      <w:r w:rsidRPr="00631E19">
        <w:rPr>
          <w:lang w:val="en-GB"/>
        </w:rPr>
        <w:t xml:space="preserve"> coordination procedures between AP 30A networks and any new fixed-satellite service utilization of the bands.</w:t>
      </w:r>
    </w:p>
    <w:p w:rsidR="00640DC4" w:rsidRPr="00631E19" w:rsidRDefault="00640DC4" w:rsidP="00640DC4">
      <w:pPr>
        <w:tabs>
          <w:tab w:val="left" w:pos="990"/>
          <w:tab w:val="left" w:pos="3345"/>
        </w:tabs>
        <w:ind w:left="360"/>
        <w:rPr>
          <w:lang w:val="en-GB"/>
        </w:rPr>
      </w:pPr>
    </w:p>
    <w:p w:rsidR="00420FE5" w:rsidRPr="00631E19" w:rsidRDefault="00420FE5" w:rsidP="00640DC4">
      <w:pPr>
        <w:tabs>
          <w:tab w:val="left" w:pos="990"/>
          <w:tab w:val="left" w:pos="3345"/>
        </w:tabs>
        <w:ind w:left="360"/>
        <w:rPr>
          <w:lang w:val="en-GB"/>
        </w:rPr>
      </w:pPr>
      <w:r w:rsidRPr="00631E19">
        <w:rPr>
          <w:lang w:val="en-GB"/>
        </w:rPr>
        <w:t>b)</w:t>
      </w:r>
      <w:r w:rsidRPr="00631E19">
        <w:rPr>
          <w:lang w:val="en-GB"/>
        </w:rPr>
        <w:tab/>
      </w:r>
      <w:proofErr w:type="gramStart"/>
      <w:r w:rsidRPr="00631E19">
        <w:rPr>
          <w:lang w:val="en-GB"/>
        </w:rPr>
        <w:t>the</w:t>
      </w:r>
      <w:proofErr w:type="gramEnd"/>
      <w:r w:rsidRPr="00631E19">
        <w:rPr>
          <w:lang w:val="en-GB"/>
        </w:rPr>
        <w:t xml:space="preserve"> need for transmitting earth stations in the AP 30A Plans and List to be able to be located anywhere within their respective service areas.</w:t>
      </w:r>
    </w:p>
    <w:p w:rsidR="00640DC4" w:rsidRPr="00631E19" w:rsidRDefault="00640DC4" w:rsidP="00640DC4">
      <w:pPr>
        <w:tabs>
          <w:tab w:val="left" w:pos="990"/>
          <w:tab w:val="left" w:pos="3345"/>
        </w:tabs>
        <w:ind w:left="360"/>
        <w:rPr>
          <w:lang w:val="en-GB"/>
        </w:rPr>
      </w:pPr>
    </w:p>
    <w:p w:rsidR="00420FE5" w:rsidRPr="00631E19" w:rsidRDefault="00420FE5" w:rsidP="00640DC4">
      <w:pPr>
        <w:tabs>
          <w:tab w:val="left" w:pos="990"/>
          <w:tab w:val="left" w:pos="3345"/>
        </w:tabs>
        <w:ind w:left="360"/>
        <w:rPr>
          <w:lang w:val="en-GB"/>
        </w:rPr>
      </w:pPr>
      <w:r w:rsidRPr="00631E19">
        <w:rPr>
          <w:lang w:val="en-GB"/>
        </w:rPr>
        <w:t>c)</w:t>
      </w:r>
      <w:r w:rsidRPr="00631E19">
        <w:rPr>
          <w:lang w:val="en-GB"/>
        </w:rPr>
        <w:tab/>
        <w:t>the need to appropriately protect assignments in the AP 30A Plans and List from any new fixed-satellite service utilization of the bands, including the accumulative aggregated interference levels from all other allotments and assignments from AP 30A in such a way that the level of interference (level of equivalent protection margin and/or C/I level) currently specified in AP 30A is not exceeded.</w:t>
      </w:r>
    </w:p>
    <w:p w:rsidR="0094207C" w:rsidRPr="00631E19" w:rsidRDefault="0094207C" w:rsidP="00640DC4">
      <w:pPr>
        <w:ind w:left="360"/>
        <w:rPr>
          <w:lang w:val="en-GB"/>
        </w:rPr>
      </w:pPr>
    </w:p>
    <w:p w:rsidR="00A7742A" w:rsidRPr="00631E19" w:rsidRDefault="00A7742A" w:rsidP="00640DC4">
      <w:pPr>
        <w:ind w:left="360"/>
        <w:rPr>
          <w:lang w:val="en-GB"/>
        </w:rPr>
      </w:pPr>
    </w:p>
    <w:p w:rsidR="00D0021C" w:rsidRPr="00631E19" w:rsidRDefault="00D0021C" w:rsidP="00640DC4">
      <w:pPr>
        <w:ind w:left="360"/>
        <w:rPr>
          <w:lang w:val="en-GB"/>
        </w:rPr>
      </w:pPr>
    </w:p>
    <w:p w:rsidR="00D0021C" w:rsidRPr="00631E19" w:rsidRDefault="00D0021C" w:rsidP="00640DC4">
      <w:pPr>
        <w:ind w:left="360"/>
        <w:rPr>
          <w:lang w:val="en-GB"/>
        </w:rPr>
      </w:pPr>
    </w:p>
    <w:p w:rsidR="00D0021C" w:rsidRPr="00631E19" w:rsidRDefault="00D0021C" w:rsidP="00640DC4">
      <w:pPr>
        <w:ind w:left="360"/>
        <w:rPr>
          <w:lang w:val="en-GB"/>
        </w:rPr>
      </w:pPr>
    </w:p>
    <w:p w:rsidR="0094207C" w:rsidRPr="00631E19" w:rsidRDefault="0094207C" w:rsidP="00640DC4">
      <w:pPr>
        <w:ind w:left="360"/>
        <w:rPr>
          <w:lang w:val="en-GB"/>
        </w:rPr>
      </w:pPr>
    </w:p>
    <w:p w:rsidR="00C76CAB" w:rsidRPr="00631E19" w:rsidRDefault="00C76CAB" w:rsidP="007100B8">
      <w:pPr>
        <w:numPr>
          <w:ilvl w:val="1"/>
          <w:numId w:val="42"/>
        </w:numPr>
        <w:ind w:left="851" w:hanging="425"/>
        <w:rPr>
          <w:b/>
          <w:lang w:val="en-GB"/>
        </w:rPr>
      </w:pPr>
      <w:r w:rsidRPr="00631E19">
        <w:rPr>
          <w:b/>
          <w:lang w:val="en-GB"/>
        </w:rPr>
        <w:t>Frequency band: 14.8-15.35 GHz</w:t>
      </w:r>
    </w:p>
    <w:p w:rsidR="0094207C" w:rsidRPr="00631E19" w:rsidRDefault="0094207C" w:rsidP="00640DC4">
      <w:pPr>
        <w:pStyle w:val="Tabletext"/>
        <w:spacing w:before="0" w:after="0"/>
      </w:pPr>
    </w:p>
    <w:p w:rsidR="0094207C" w:rsidRPr="00631E19" w:rsidRDefault="0094207C" w:rsidP="00640DC4">
      <w:pPr>
        <w:pStyle w:val="Tabletitle"/>
        <w:spacing w:after="0"/>
        <w:ind w:left="426"/>
        <w:jc w:val="left"/>
        <w:rPr>
          <w:rFonts w:ascii="Times New Roman" w:hAnsi="Times New Roman"/>
          <w:b w:val="0"/>
          <w:sz w:val="24"/>
          <w:szCs w:val="24"/>
        </w:rPr>
      </w:pPr>
      <w:r w:rsidRPr="00631E19">
        <w:rPr>
          <w:rFonts w:ascii="Times New Roman" w:hAnsi="Times New Roman"/>
          <w:b w:val="0"/>
          <w:sz w:val="24"/>
          <w:szCs w:val="24"/>
        </w:rPr>
        <w:t xml:space="preserve">The allocations </w:t>
      </w:r>
      <w:r w:rsidR="005D1538" w:rsidRPr="00631E19">
        <w:rPr>
          <w:rFonts w:ascii="Times New Roman" w:hAnsi="Times New Roman"/>
          <w:b w:val="0"/>
          <w:sz w:val="24"/>
          <w:szCs w:val="24"/>
        </w:rPr>
        <w:t xml:space="preserve">in </w:t>
      </w:r>
      <w:r w:rsidRPr="00631E19">
        <w:rPr>
          <w:rFonts w:ascii="Times New Roman" w:hAnsi="Times New Roman"/>
          <w:b w:val="0"/>
          <w:sz w:val="24"/>
          <w:szCs w:val="24"/>
        </w:rPr>
        <w:t xml:space="preserve">this band </w:t>
      </w:r>
      <w:r w:rsidR="005D1538" w:rsidRPr="00631E19">
        <w:rPr>
          <w:rFonts w:ascii="Times New Roman" w:hAnsi="Times New Roman"/>
          <w:b w:val="0"/>
          <w:sz w:val="24"/>
          <w:szCs w:val="24"/>
        </w:rPr>
        <w:t xml:space="preserve">according to </w:t>
      </w:r>
      <w:r w:rsidRPr="00631E19">
        <w:rPr>
          <w:rFonts w:ascii="Times New Roman" w:hAnsi="Times New Roman"/>
          <w:b w:val="0"/>
          <w:sz w:val="24"/>
          <w:szCs w:val="24"/>
        </w:rPr>
        <w:t xml:space="preserve">RR Article </w:t>
      </w:r>
      <w:r w:rsidRPr="00631E19">
        <w:rPr>
          <w:rFonts w:ascii="Times New Roman" w:hAnsi="Times New Roman"/>
          <w:b w:val="0"/>
          <w:bCs/>
          <w:sz w:val="24"/>
          <w:szCs w:val="24"/>
        </w:rPr>
        <w:t>5</w:t>
      </w:r>
      <w:r w:rsidRPr="00631E19">
        <w:rPr>
          <w:rFonts w:ascii="Times New Roman" w:hAnsi="Times New Roman"/>
          <w:b w:val="0"/>
          <w:sz w:val="24"/>
          <w:szCs w:val="24"/>
        </w:rPr>
        <w:t xml:space="preserve"> are as shown below:</w:t>
      </w:r>
    </w:p>
    <w:p w:rsidR="00640DC4" w:rsidRPr="00631E19" w:rsidRDefault="00640DC4" w:rsidP="00127DAE">
      <w:pPr>
        <w:pStyle w:val="Tabletext"/>
      </w:pPr>
    </w:p>
    <w:tbl>
      <w:tblPr>
        <w:tblW w:w="8930" w:type="dxa"/>
        <w:tblInd w:w="533" w:type="dxa"/>
        <w:tblLayout w:type="fixed"/>
        <w:tblCellMar>
          <w:left w:w="107" w:type="dxa"/>
          <w:right w:w="107" w:type="dxa"/>
        </w:tblCellMar>
        <w:tblLook w:val="0000"/>
      </w:tblPr>
      <w:tblGrid>
        <w:gridCol w:w="8930"/>
      </w:tblGrid>
      <w:tr w:rsidR="0094207C" w:rsidRPr="00631E19" w:rsidTr="00CD7469">
        <w:trPr>
          <w:cantSplit/>
        </w:trPr>
        <w:tc>
          <w:tcPr>
            <w:tcW w:w="8930" w:type="dxa"/>
            <w:tcBorders>
              <w:top w:val="single" w:sz="4" w:space="0" w:color="auto"/>
              <w:left w:val="single" w:sz="4" w:space="0" w:color="auto"/>
              <w:bottom w:val="single" w:sz="4" w:space="0" w:color="auto"/>
              <w:right w:val="single" w:sz="4" w:space="0" w:color="auto"/>
            </w:tcBorders>
          </w:tcPr>
          <w:p w:rsidR="0094207C" w:rsidRPr="00631E19" w:rsidRDefault="0094207C" w:rsidP="00640DC4">
            <w:pPr>
              <w:pStyle w:val="TableTextS5"/>
              <w:spacing w:before="0" w:after="0"/>
              <w:rPr>
                <w:color w:val="000000"/>
                <w:sz w:val="24"/>
                <w:szCs w:val="24"/>
              </w:rPr>
            </w:pPr>
            <w:r w:rsidRPr="00631E19">
              <w:rPr>
                <w:rStyle w:val="Tablefreq"/>
                <w:color w:val="000000"/>
                <w:szCs w:val="24"/>
              </w:rPr>
              <w:t>14.8-15.35</w:t>
            </w:r>
            <w:r w:rsidRPr="00631E19">
              <w:rPr>
                <w:color w:val="000000"/>
                <w:sz w:val="24"/>
                <w:szCs w:val="24"/>
              </w:rPr>
              <w:tab/>
              <w:t>FIXED</w:t>
            </w:r>
          </w:p>
          <w:p w:rsidR="0094207C" w:rsidRPr="00631E19" w:rsidRDefault="0094207C" w:rsidP="00640DC4">
            <w:pPr>
              <w:pStyle w:val="TableTextS5"/>
              <w:spacing w:before="0" w:after="0"/>
              <w:rPr>
                <w:color w:val="000000"/>
                <w:sz w:val="24"/>
                <w:szCs w:val="24"/>
              </w:rPr>
            </w:pPr>
            <w:r w:rsidRPr="00631E19">
              <w:rPr>
                <w:color w:val="000000"/>
                <w:sz w:val="24"/>
                <w:szCs w:val="24"/>
              </w:rPr>
              <w:tab/>
            </w:r>
            <w:r w:rsidRPr="00631E19">
              <w:rPr>
                <w:color w:val="000000"/>
                <w:sz w:val="24"/>
                <w:szCs w:val="24"/>
              </w:rPr>
              <w:tab/>
            </w:r>
            <w:r w:rsidRPr="00631E19">
              <w:rPr>
                <w:color w:val="000000"/>
                <w:sz w:val="24"/>
                <w:szCs w:val="24"/>
              </w:rPr>
              <w:tab/>
            </w:r>
            <w:r w:rsidRPr="00631E19">
              <w:rPr>
                <w:color w:val="000000"/>
                <w:sz w:val="24"/>
                <w:szCs w:val="24"/>
              </w:rPr>
              <w:tab/>
              <w:t>MOBILE</w:t>
            </w:r>
          </w:p>
          <w:p w:rsidR="0094207C" w:rsidRPr="00631E19" w:rsidRDefault="0094207C" w:rsidP="00640DC4">
            <w:pPr>
              <w:pStyle w:val="TableTextS5"/>
              <w:spacing w:before="0" w:after="0"/>
              <w:rPr>
                <w:color w:val="000000"/>
                <w:sz w:val="24"/>
                <w:szCs w:val="24"/>
              </w:rPr>
            </w:pPr>
            <w:r w:rsidRPr="00631E19">
              <w:rPr>
                <w:color w:val="000000"/>
                <w:sz w:val="24"/>
                <w:szCs w:val="24"/>
              </w:rPr>
              <w:tab/>
            </w:r>
            <w:r w:rsidRPr="00631E19">
              <w:rPr>
                <w:color w:val="000000"/>
                <w:sz w:val="24"/>
                <w:szCs w:val="24"/>
              </w:rPr>
              <w:tab/>
            </w:r>
            <w:r w:rsidRPr="00631E19">
              <w:rPr>
                <w:color w:val="000000"/>
                <w:sz w:val="24"/>
                <w:szCs w:val="24"/>
              </w:rPr>
              <w:tab/>
            </w:r>
            <w:r w:rsidRPr="00631E19">
              <w:rPr>
                <w:color w:val="000000"/>
                <w:sz w:val="24"/>
                <w:szCs w:val="24"/>
              </w:rPr>
              <w:tab/>
              <w:t>Space research</w:t>
            </w:r>
          </w:p>
          <w:p w:rsidR="0094207C" w:rsidRPr="00631E19" w:rsidRDefault="0094207C" w:rsidP="00640DC4">
            <w:pPr>
              <w:pStyle w:val="TableTextS5"/>
              <w:spacing w:before="0" w:after="0"/>
              <w:rPr>
                <w:color w:val="000000"/>
                <w:sz w:val="24"/>
                <w:szCs w:val="24"/>
              </w:rPr>
            </w:pPr>
            <w:r w:rsidRPr="00631E19">
              <w:rPr>
                <w:color w:val="000000"/>
                <w:sz w:val="24"/>
                <w:szCs w:val="24"/>
              </w:rPr>
              <w:tab/>
            </w:r>
            <w:r w:rsidRPr="00631E19">
              <w:rPr>
                <w:color w:val="000000"/>
                <w:sz w:val="24"/>
                <w:szCs w:val="24"/>
              </w:rPr>
              <w:tab/>
            </w:r>
            <w:r w:rsidRPr="00631E19">
              <w:rPr>
                <w:color w:val="000000"/>
                <w:sz w:val="24"/>
                <w:szCs w:val="24"/>
              </w:rPr>
              <w:tab/>
            </w:r>
            <w:r w:rsidRPr="00631E19">
              <w:rPr>
                <w:color w:val="000000"/>
                <w:sz w:val="24"/>
                <w:szCs w:val="24"/>
              </w:rPr>
              <w:tab/>
            </w:r>
            <w:r w:rsidRPr="00631E19">
              <w:rPr>
                <w:rStyle w:val="Artref"/>
                <w:color w:val="000000"/>
                <w:sz w:val="24"/>
                <w:szCs w:val="24"/>
              </w:rPr>
              <w:t>5.339</w:t>
            </w:r>
          </w:p>
        </w:tc>
      </w:tr>
    </w:tbl>
    <w:p w:rsidR="0094207C" w:rsidRPr="00631E19" w:rsidRDefault="0094207C" w:rsidP="00640DC4">
      <w:pPr>
        <w:ind w:left="426"/>
        <w:rPr>
          <w:rStyle w:val="Artdef"/>
          <w:color w:val="000000"/>
          <w:lang w:val="en-GB"/>
        </w:rPr>
      </w:pPr>
    </w:p>
    <w:p w:rsidR="0094207C" w:rsidRPr="00631E19" w:rsidRDefault="0094207C" w:rsidP="00640DC4">
      <w:pPr>
        <w:ind w:left="426"/>
        <w:rPr>
          <w:lang w:val="en-GB"/>
        </w:rPr>
      </w:pPr>
      <w:r w:rsidRPr="00631E19">
        <w:rPr>
          <w:rStyle w:val="Artdef"/>
          <w:color w:val="000000"/>
          <w:lang w:val="en-GB"/>
        </w:rPr>
        <w:t>5.339</w:t>
      </w:r>
      <w:r w:rsidRPr="00631E19">
        <w:rPr>
          <w:rStyle w:val="Artdef"/>
          <w:color w:val="000000"/>
          <w:lang w:val="en-GB"/>
        </w:rPr>
        <w:tab/>
      </w:r>
      <w:r w:rsidRPr="00631E19">
        <w:rPr>
          <w:lang w:val="en-GB"/>
        </w:rPr>
        <w:t>The bands 1 370-1 400 MHz, 2 640-2 655 MHz, 4 950-4 990 MHz and 15.20-15.35  GHz are also allocated to the space research (passive) and Earth exploration-satellite (passive) services on a secondary basis.</w:t>
      </w:r>
    </w:p>
    <w:p w:rsidR="0094207C" w:rsidRPr="00631E19" w:rsidRDefault="0094207C" w:rsidP="00640DC4">
      <w:pPr>
        <w:pStyle w:val="Tabletitle"/>
        <w:spacing w:after="0"/>
        <w:ind w:left="426"/>
        <w:jc w:val="left"/>
        <w:rPr>
          <w:rFonts w:ascii="Times New Roman" w:hAnsi="Times New Roman"/>
          <w:sz w:val="22"/>
          <w:szCs w:val="24"/>
        </w:rPr>
      </w:pPr>
    </w:p>
    <w:p w:rsidR="0094207C" w:rsidRPr="00631E19" w:rsidRDefault="0094207C" w:rsidP="00640DC4">
      <w:pPr>
        <w:pStyle w:val="Tabletext"/>
        <w:spacing w:before="0" w:after="0"/>
        <w:ind w:left="426"/>
        <w:rPr>
          <w:sz w:val="24"/>
          <w:szCs w:val="24"/>
        </w:rPr>
      </w:pPr>
      <w:r w:rsidRPr="00631E19">
        <w:rPr>
          <w:sz w:val="24"/>
          <w:szCs w:val="24"/>
        </w:rPr>
        <w:t xml:space="preserve">Table </w:t>
      </w:r>
      <w:r w:rsidR="007919D9" w:rsidRPr="00631E19">
        <w:rPr>
          <w:sz w:val="24"/>
          <w:szCs w:val="24"/>
        </w:rPr>
        <w:t>7</w:t>
      </w:r>
      <w:r w:rsidRPr="00631E19">
        <w:rPr>
          <w:sz w:val="24"/>
          <w:szCs w:val="24"/>
        </w:rPr>
        <w:t>: Comparison of services allocation in the bands 14.5-14.8 GHz and 14.8-15.35 GHz</w:t>
      </w:r>
    </w:p>
    <w:p w:rsidR="00640DC4" w:rsidRPr="00631E19" w:rsidRDefault="00640DC4" w:rsidP="00640DC4">
      <w:pPr>
        <w:pStyle w:val="Tabletext"/>
        <w:spacing w:before="0" w:after="0"/>
        <w:ind w:left="426"/>
        <w:rPr>
          <w:sz w:val="24"/>
          <w:szCs w:val="24"/>
        </w:rPr>
      </w:pPr>
    </w:p>
    <w:tbl>
      <w:tblPr>
        <w:tblW w:w="7944"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337"/>
        <w:gridCol w:w="2607"/>
      </w:tblGrid>
      <w:tr w:rsidR="00420FE5" w:rsidRPr="00631E19" w:rsidTr="00D0569B">
        <w:tc>
          <w:tcPr>
            <w:tcW w:w="5337" w:type="dxa"/>
            <w:vAlign w:val="center"/>
          </w:tcPr>
          <w:p w:rsidR="00420FE5" w:rsidRPr="00631E19" w:rsidRDefault="00420FE5" w:rsidP="00640DC4">
            <w:pPr>
              <w:pStyle w:val="Note"/>
              <w:spacing w:before="0"/>
              <w:jc w:val="left"/>
              <w:rPr>
                <w:color w:val="000000"/>
                <w:sz w:val="24"/>
                <w:szCs w:val="24"/>
                <w:lang w:val="en-GB"/>
              </w:rPr>
            </w:pPr>
            <w:r w:rsidRPr="00631E19">
              <w:rPr>
                <w:color w:val="000000"/>
                <w:sz w:val="24"/>
                <w:szCs w:val="24"/>
                <w:lang w:val="en-GB"/>
              </w:rPr>
              <w:t>14.5-14.8  GHz</w:t>
            </w:r>
          </w:p>
        </w:tc>
        <w:tc>
          <w:tcPr>
            <w:tcW w:w="2607" w:type="dxa"/>
            <w:vAlign w:val="center"/>
          </w:tcPr>
          <w:p w:rsidR="00420FE5" w:rsidRPr="00631E19" w:rsidRDefault="00420FE5" w:rsidP="00640DC4">
            <w:pPr>
              <w:pStyle w:val="Note"/>
              <w:spacing w:before="0"/>
              <w:jc w:val="left"/>
              <w:rPr>
                <w:color w:val="000000"/>
                <w:sz w:val="24"/>
                <w:szCs w:val="24"/>
                <w:lang w:val="en-GB"/>
              </w:rPr>
            </w:pPr>
            <w:r w:rsidRPr="00631E19">
              <w:rPr>
                <w:color w:val="000000"/>
                <w:sz w:val="24"/>
                <w:szCs w:val="24"/>
                <w:lang w:val="en-GB"/>
              </w:rPr>
              <w:t>14.8-15.35  GHz</w:t>
            </w:r>
          </w:p>
        </w:tc>
      </w:tr>
      <w:tr w:rsidR="00420FE5" w:rsidRPr="00631E19" w:rsidTr="00D0569B">
        <w:tc>
          <w:tcPr>
            <w:tcW w:w="5337" w:type="dxa"/>
          </w:tcPr>
          <w:p w:rsidR="00420FE5" w:rsidRPr="00631E19" w:rsidRDefault="007C33F1" w:rsidP="00640DC4">
            <w:pPr>
              <w:pStyle w:val="TableTextS5"/>
              <w:spacing w:before="0" w:after="0"/>
              <w:rPr>
                <w:color w:val="000000"/>
                <w:sz w:val="24"/>
                <w:szCs w:val="24"/>
              </w:rPr>
            </w:pPr>
            <w:r w:rsidRPr="007C33F1">
              <w:rPr>
                <w:noProof/>
                <w:lang w:eastAsia="en-AU"/>
              </w:rPr>
              <w:pict>
                <v:shapetype id="_x0000_t32" coordsize="21600,21600" o:spt="32" o:oned="t" path="m,l21600,21600e" filled="f">
                  <v:path arrowok="t" fillok="f" o:connecttype="none"/>
                  <o:lock v:ext="edit" shapetype="t"/>
                </v:shapetype>
                <v:shape id="Straight Arrow Connector 15" o:spid="_x0000_s1026" type="#_x0000_t32" style="position:absolute;margin-left:269.7pt;margin-top:16.85pt;width:17.35pt;height: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" o:allowincell="f">
                  <v:stroke endarrow="block"/>
                </v:shape>
              </w:pict>
            </w:r>
            <w:r w:rsidRPr="007C33F1">
              <w:rPr>
                <w:noProof/>
                <w:lang w:eastAsia="en-AU"/>
              </w:rPr>
              <w:pict>
                <v:shape id="Straight Arrow Connector 14" o:spid="_x0000_s1032" type="#_x0000_t32" style="position:absolute;margin-left:269.7pt;margin-top:16.85pt;width:17.35pt;height:0;z-index:25165670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" o:allowincell="f">
                  <v:stroke endarrow="block"/>
                </v:shape>
              </w:pict>
            </w:r>
            <w:r w:rsidRPr="007C33F1">
              <w:rPr>
                <w:noProof/>
                <w:lang w:eastAsia="en-AU"/>
              </w:rPr>
              <w:pict>
                <v:shapetype id="_x0000_t202" coordsize="21600,21600" o:spt="202" path="m,l,21600r21600,l21600,xe">
                  <v:stroke joinstyle="miter"/>
                  <v:path gradientshapeok="t" o:connecttype="rect"/>
                </v:shapetype>
                <v:shape id="Text Box 13" o:spid="_x0000_s1031" type="#_x0000_t202" style="position:absolute;margin-left:136.25pt;margin-top:3.1pt;width:133.45pt;height:28.8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" o:allowincell="f">
                  <v:textbox>
                    <w:txbxContent>
                      <w:p w:rsidR="00111BB1" w:rsidRDefault="00111BB1" w:rsidP="00D0569B">
                        <w:pPr>
                          <w:jc w:val="center"/>
                          <w:rPr>
                            <w:i/>
                          </w:rPr>
                        </w:pPr>
                        <w:r>
                          <w:rPr>
                            <w:i/>
                          </w:rPr>
                          <w:t>Identical</w:t>
                        </w:r>
                      </w:p>
                    </w:txbxContent>
                  </v:textbox>
                </v:shape>
              </w:pict>
            </w:r>
            <w:r w:rsidRPr="007C33F1">
              <w:rPr>
                <w:noProof/>
                <w:lang w:eastAsia="en-AU"/>
              </w:rPr>
              <w:pict>
                <v:shape id="Straight Arrow Connector 12" o:spid="_x0000_s1030" type="#_x0000_t32" style="position:absolute;margin-left:269.7pt;margin-top:3.05pt;width:17.35pt;height:13.8pt;flip:y;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" o:allowincell="f">
                  <v:stroke endarrow="block"/>
                </v:shape>
              </w:pict>
            </w:r>
            <w:r w:rsidRPr="007C33F1">
              <w:rPr>
                <w:noProof/>
                <w:lang w:eastAsia="en-AU"/>
              </w:rPr>
              <w:pict>
                <v:shape id="Straight Arrow Connector 11" o:spid="_x0000_s1029" type="#_x0000_t32" style="position:absolute;margin-left:60.2pt;margin-top:3.1pt;width:76.05pt;height:13.75pt;flip:x y;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" o:allowincell="f">
                  <v:stroke endarrow="block"/>
                </v:shape>
              </w:pict>
            </w:r>
            <w:r w:rsidRPr="007C33F1">
              <w:rPr>
                <w:noProof/>
                <w:lang w:eastAsia="en-AU"/>
              </w:rPr>
              <w:pict>
                <v:shape id="Straight Arrow Connector 10" o:spid="_x0000_s1028" type="#_x0000_t32" style="position:absolute;margin-left:72.55pt;margin-top:16.85pt;width:59.15pt;height:.05pt;flip:x;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" o:allowincell="f">
                  <v:stroke endarrow="block"/>
                </v:shape>
              </w:pict>
            </w:r>
            <w:r w:rsidRPr="007C33F1">
              <w:rPr>
                <w:noProof/>
                <w:lang w:eastAsia="en-AU"/>
              </w:rPr>
              <w:pict>
                <v:shape id="Straight Arrow Connector 9" o:spid="_x0000_s1027" type="#_x0000_t32" style="position:absolute;margin-left:96.35pt;margin-top:16.9pt;width:38.8pt;height:9.5pt;flip:x;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" o:allowincell="f">
                  <v:stroke endarrow="block"/>
                </v:shape>
              </w:pict>
            </w:r>
            <w:r w:rsidR="00420FE5" w:rsidRPr="00631E19">
              <w:rPr>
                <w:color w:val="000000"/>
                <w:sz w:val="24"/>
                <w:szCs w:val="24"/>
              </w:rPr>
              <w:t>FIXED</w:t>
            </w:r>
          </w:p>
          <w:p w:rsidR="00420FE5" w:rsidRPr="00631E19" w:rsidRDefault="00420FE5" w:rsidP="00640DC4">
            <w:pPr>
              <w:pStyle w:val="TableTextS5"/>
              <w:spacing w:before="0" w:after="0"/>
              <w:rPr>
                <w:color w:val="000000"/>
                <w:sz w:val="24"/>
                <w:szCs w:val="24"/>
              </w:rPr>
            </w:pPr>
            <w:r w:rsidRPr="00631E19">
              <w:rPr>
                <w:color w:val="000000"/>
                <w:sz w:val="24"/>
                <w:szCs w:val="24"/>
              </w:rPr>
              <w:t>MOBILE</w:t>
            </w:r>
          </w:p>
          <w:p w:rsidR="00420FE5" w:rsidRPr="00631E19" w:rsidRDefault="00420FE5" w:rsidP="00640DC4">
            <w:pPr>
              <w:pStyle w:val="TableTextS5"/>
              <w:spacing w:before="0" w:after="0"/>
              <w:rPr>
                <w:color w:val="000000"/>
                <w:sz w:val="24"/>
                <w:szCs w:val="24"/>
              </w:rPr>
            </w:pPr>
            <w:r w:rsidRPr="00631E19">
              <w:rPr>
                <w:color w:val="000000"/>
                <w:sz w:val="24"/>
                <w:szCs w:val="24"/>
              </w:rPr>
              <w:t>Space research</w:t>
            </w:r>
          </w:p>
          <w:p w:rsidR="00420FE5" w:rsidRPr="00631E19" w:rsidRDefault="00420FE5" w:rsidP="00640DC4">
            <w:pPr>
              <w:pStyle w:val="TableTextS5"/>
              <w:spacing w:before="0" w:after="0"/>
              <w:rPr>
                <w:color w:val="000000"/>
                <w:sz w:val="24"/>
                <w:szCs w:val="24"/>
              </w:rPr>
            </w:pPr>
            <w:r w:rsidRPr="00631E19">
              <w:rPr>
                <w:color w:val="000000"/>
                <w:sz w:val="24"/>
                <w:szCs w:val="24"/>
              </w:rPr>
              <w:t xml:space="preserve">FIXED-SATELLITE (Earth-to-space)  </w:t>
            </w:r>
            <w:r w:rsidRPr="00631E19">
              <w:rPr>
                <w:rStyle w:val="Artref"/>
                <w:color w:val="000000"/>
                <w:sz w:val="24"/>
                <w:szCs w:val="24"/>
              </w:rPr>
              <w:t>5.510</w:t>
            </w:r>
          </w:p>
        </w:tc>
        <w:tc>
          <w:tcPr>
            <w:tcW w:w="2607" w:type="dxa"/>
          </w:tcPr>
          <w:p w:rsidR="00420FE5" w:rsidRPr="00631E19" w:rsidRDefault="00420FE5" w:rsidP="00640DC4">
            <w:pPr>
              <w:pStyle w:val="TableTextS5"/>
              <w:spacing w:before="0" w:after="0"/>
              <w:rPr>
                <w:color w:val="000000"/>
                <w:sz w:val="24"/>
                <w:szCs w:val="24"/>
              </w:rPr>
            </w:pPr>
            <w:r w:rsidRPr="00631E19">
              <w:rPr>
                <w:color w:val="000000"/>
                <w:sz w:val="24"/>
                <w:szCs w:val="24"/>
              </w:rPr>
              <w:t>FIXED</w:t>
            </w:r>
          </w:p>
          <w:p w:rsidR="00420FE5" w:rsidRPr="00631E19" w:rsidRDefault="00420FE5" w:rsidP="00640DC4">
            <w:pPr>
              <w:pStyle w:val="TableTextS5"/>
              <w:spacing w:before="0" w:after="0"/>
              <w:rPr>
                <w:color w:val="000000"/>
                <w:sz w:val="24"/>
                <w:szCs w:val="24"/>
              </w:rPr>
            </w:pPr>
            <w:r w:rsidRPr="00631E19">
              <w:rPr>
                <w:color w:val="000000"/>
                <w:sz w:val="24"/>
                <w:szCs w:val="24"/>
              </w:rPr>
              <w:t>MOBILE</w:t>
            </w:r>
          </w:p>
          <w:p w:rsidR="00420FE5" w:rsidRPr="00631E19" w:rsidRDefault="00420FE5" w:rsidP="00640DC4">
            <w:pPr>
              <w:pStyle w:val="TableTextS5"/>
              <w:spacing w:before="0" w:after="0"/>
              <w:rPr>
                <w:color w:val="000000"/>
                <w:sz w:val="24"/>
                <w:szCs w:val="24"/>
              </w:rPr>
            </w:pPr>
            <w:r w:rsidRPr="00631E19">
              <w:rPr>
                <w:color w:val="000000"/>
                <w:sz w:val="24"/>
                <w:szCs w:val="24"/>
              </w:rPr>
              <w:t>Space research</w:t>
            </w:r>
          </w:p>
          <w:p w:rsidR="00420FE5" w:rsidRPr="00631E19" w:rsidRDefault="00420FE5" w:rsidP="00640DC4">
            <w:pPr>
              <w:pStyle w:val="Note"/>
              <w:spacing w:before="0"/>
              <w:rPr>
                <w:color w:val="000000"/>
                <w:sz w:val="24"/>
                <w:szCs w:val="24"/>
                <w:lang w:val="en-GB"/>
              </w:rPr>
            </w:pPr>
            <w:r w:rsidRPr="00631E19">
              <w:rPr>
                <w:color w:val="000000"/>
                <w:sz w:val="24"/>
                <w:szCs w:val="24"/>
                <w:lang w:val="en-GB"/>
              </w:rPr>
              <w:t>5.339</w:t>
            </w:r>
          </w:p>
        </w:tc>
      </w:tr>
    </w:tbl>
    <w:p w:rsidR="00420FE5" w:rsidRPr="00631E19" w:rsidRDefault="00420FE5" w:rsidP="00640DC4">
      <w:pPr>
        <w:pStyle w:val="Note"/>
        <w:spacing w:before="0"/>
        <w:rPr>
          <w:color w:val="000000"/>
          <w:sz w:val="24"/>
          <w:szCs w:val="24"/>
          <w:lang w:val="en-GB"/>
        </w:rPr>
      </w:pPr>
    </w:p>
    <w:p w:rsidR="0094207C" w:rsidRPr="00631E19" w:rsidRDefault="0094207C" w:rsidP="00640DC4">
      <w:pPr>
        <w:ind w:left="426"/>
        <w:rPr>
          <w:rStyle w:val="Artref"/>
          <w:color w:val="000000"/>
          <w:lang w:val="en-GB"/>
        </w:rPr>
      </w:pPr>
      <w:r w:rsidRPr="00631E19">
        <w:rPr>
          <w:lang w:val="en-GB"/>
        </w:rPr>
        <w:t xml:space="preserve">Table </w:t>
      </w:r>
      <w:r w:rsidR="007919D9" w:rsidRPr="00631E19">
        <w:rPr>
          <w:lang w:val="en-GB"/>
        </w:rPr>
        <w:t xml:space="preserve">7 </w:t>
      </w:r>
      <w:r w:rsidRPr="00631E19">
        <w:rPr>
          <w:lang w:val="en-GB"/>
        </w:rPr>
        <w:t xml:space="preserve">shows a comparison of </w:t>
      </w:r>
      <w:r w:rsidR="008179D9" w:rsidRPr="00631E19">
        <w:rPr>
          <w:lang w:val="en-GB"/>
        </w:rPr>
        <w:t xml:space="preserve">service </w:t>
      </w:r>
      <w:r w:rsidRPr="00631E19">
        <w:rPr>
          <w:lang w:val="en-GB"/>
        </w:rPr>
        <w:t xml:space="preserve">allocation in the bands 14.5-14.8  GHz and 14.8-15.35 GHz. Noting the applications and technical characteristics of fixed service, mobile service and space research service in the bands 14.5-14.8  GHz and 14.8-15.35 GHz are very similar, the allocation to “FIXED-SATELLITE (Earth-to-space) </w:t>
      </w:r>
      <w:r w:rsidRPr="00631E19">
        <w:rPr>
          <w:rStyle w:val="Artref"/>
          <w:color w:val="000000"/>
          <w:lang w:val="en-GB"/>
        </w:rPr>
        <w:t>5.510” in the 14.5-14.8 GHz band demonstrates the possibility of co-existence of FSS (Earth-to-space) with existing services in the band of 14.8-15.35 GHz.</w:t>
      </w:r>
    </w:p>
    <w:p w:rsidR="0094207C" w:rsidRPr="00631E19" w:rsidRDefault="0094207C" w:rsidP="00640DC4">
      <w:pPr>
        <w:ind w:left="426"/>
        <w:rPr>
          <w:rStyle w:val="Artref"/>
          <w:color w:val="000000"/>
          <w:lang w:val="en-GB"/>
        </w:rPr>
      </w:pPr>
    </w:p>
    <w:p w:rsidR="0094207C" w:rsidRPr="00631E19" w:rsidRDefault="0094207C" w:rsidP="00640DC4">
      <w:pPr>
        <w:ind w:left="426"/>
        <w:rPr>
          <w:lang w:val="en-GB"/>
        </w:rPr>
      </w:pPr>
      <w:r w:rsidRPr="00631E19">
        <w:rPr>
          <w:lang w:val="en-GB"/>
        </w:rPr>
        <w:t xml:space="preserve">Although the allocation of FSS in the 14.5-14.8 GHz band is limited to feeder links for the broadcasting-satellite service (RR Appendix </w:t>
      </w:r>
      <w:r w:rsidRPr="00631E19">
        <w:rPr>
          <w:b/>
          <w:bCs/>
          <w:lang w:val="en-GB"/>
        </w:rPr>
        <w:t>30A</w:t>
      </w:r>
      <w:r w:rsidRPr="00631E19">
        <w:rPr>
          <w:lang w:val="en-GB"/>
        </w:rPr>
        <w:t>) and is reserved for countries outside Europe, the technical characteristics of planned and unplanned FSS are very similar following Recommendation ITU-R S.1328-4. Thus, the sharing of unplanned FSS (Earth-to-space) with existing services in the 14.8-15.35 GHz band may be feasible subject to the results of sharing studies. The operational limitations in the band of 14.8-15.35 GHz will depend on the results of sharing studies taking into account the compatibility with existing services in this band.</w:t>
      </w:r>
    </w:p>
    <w:p w:rsidR="00420FE5" w:rsidRPr="00631E19" w:rsidRDefault="00420FE5" w:rsidP="00640DC4">
      <w:pPr>
        <w:rPr>
          <w:lang w:val="en-GB"/>
        </w:rPr>
      </w:pPr>
    </w:p>
    <w:p w:rsidR="00420FE5" w:rsidRPr="00631E19" w:rsidRDefault="00420FE5" w:rsidP="00640DC4">
      <w:pPr>
        <w:ind w:left="426"/>
        <w:rPr>
          <w:b/>
          <w:noProof/>
          <w:color w:val="000000"/>
          <w:lang w:val="en-GB" w:eastAsia="ko-KR"/>
        </w:rPr>
      </w:pPr>
      <w:r w:rsidRPr="00631E19">
        <w:rPr>
          <w:b/>
          <w:noProof/>
          <w:color w:val="000000"/>
          <w:lang w:val="en-GB" w:eastAsia="ko-KR"/>
        </w:rPr>
        <w:t>Sharing with fixed service, mobile service and space research service in the band 14.8-15.35 GHz:</w:t>
      </w:r>
    </w:p>
    <w:p w:rsidR="00420FE5" w:rsidRPr="00631E19" w:rsidRDefault="00420FE5" w:rsidP="00640DC4">
      <w:pPr>
        <w:ind w:left="426"/>
        <w:rPr>
          <w:noProof/>
          <w:color w:val="000000"/>
          <w:lang w:val="en-GB" w:eastAsia="ko-KR"/>
        </w:rPr>
      </w:pPr>
    </w:p>
    <w:p w:rsidR="00420FE5" w:rsidRPr="00631E19" w:rsidRDefault="00420FE5" w:rsidP="00640DC4">
      <w:pPr>
        <w:ind w:left="426"/>
        <w:rPr>
          <w:lang w:val="en-GB"/>
        </w:rPr>
      </w:pPr>
      <w:r w:rsidRPr="00631E19">
        <w:rPr>
          <w:lang w:val="en-GB"/>
        </w:rPr>
        <w:t xml:space="preserve">A list of relevant recommendations that may be useful for sharing studies in the band of 14.8-15.35 GHz is summarized in Table </w:t>
      </w:r>
      <w:r w:rsidR="007919D9" w:rsidRPr="00631E19">
        <w:rPr>
          <w:lang w:val="en-GB"/>
        </w:rPr>
        <w:t>8</w:t>
      </w:r>
      <w:r w:rsidRPr="00631E19">
        <w:rPr>
          <w:lang w:val="en-GB"/>
        </w:rPr>
        <w:t>.</w:t>
      </w:r>
    </w:p>
    <w:p w:rsidR="00420FE5" w:rsidRPr="00631E19" w:rsidRDefault="00420FE5" w:rsidP="00640DC4">
      <w:pPr>
        <w:pStyle w:val="Tabletitle"/>
        <w:spacing w:after="0"/>
        <w:rPr>
          <w:rFonts w:ascii="Times New Roman" w:hAnsi="Times New Roman"/>
          <w:sz w:val="24"/>
          <w:szCs w:val="24"/>
        </w:rPr>
      </w:pPr>
    </w:p>
    <w:p w:rsidR="00420FE5" w:rsidRPr="00631E19" w:rsidRDefault="00420FE5" w:rsidP="00640DC4">
      <w:pPr>
        <w:pStyle w:val="Tabletitle"/>
        <w:spacing w:after="0"/>
        <w:rPr>
          <w:rFonts w:ascii="Times New Roman" w:hAnsi="Times New Roman"/>
          <w:sz w:val="24"/>
          <w:szCs w:val="24"/>
        </w:rPr>
      </w:pPr>
      <w:r w:rsidRPr="00631E19">
        <w:rPr>
          <w:rFonts w:ascii="Times New Roman" w:hAnsi="Times New Roman"/>
          <w:sz w:val="24"/>
          <w:szCs w:val="24"/>
        </w:rPr>
        <w:t xml:space="preserve">Table </w:t>
      </w:r>
      <w:r w:rsidR="007919D9" w:rsidRPr="00631E19">
        <w:rPr>
          <w:rFonts w:ascii="Times New Roman" w:eastAsia="Malgun Gothic" w:hAnsi="Times New Roman"/>
          <w:sz w:val="24"/>
          <w:szCs w:val="24"/>
          <w:lang w:eastAsia="ko-KR"/>
        </w:rPr>
        <w:t>8</w:t>
      </w:r>
      <w:r w:rsidRPr="00631E19">
        <w:rPr>
          <w:rFonts w:ascii="Times New Roman" w:hAnsi="Times New Roman"/>
          <w:sz w:val="24"/>
          <w:szCs w:val="24"/>
        </w:rPr>
        <w:t xml:space="preserve">: Summary of relevant recommendations that may be useful for </w:t>
      </w:r>
      <w:r w:rsidRPr="00631E19">
        <w:rPr>
          <w:rFonts w:ascii="Times New Roman" w:hAnsi="Times New Roman"/>
          <w:sz w:val="24"/>
          <w:szCs w:val="24"/>
        </w:rPr>
        <w:br/>
        <w:t>sharing studies in the band 14.8-15.35 GHz</w:t>
      </w:r>
    </w:p>
    <w:p w:rsidR="00640DC4" w:rsidRPr="00631E19" w:rsidRDefault="00640DC4" w:rsidP="00127DAE">
      <w:pPr>
        <w:pStyle w:val="Tabletext"/>
      </w:pPr>
    </w:p>
    <w:tbl>
      <w:tblPr>
        <w:tblW w:w="7905"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2573"/>
        <w:gridCol w:w="5332"/>
      </w:tblGrid>
      <w:tr w:rsidR="00420FE5" w:rsidRPr="00631E19" w:rsidTr="00FF5313">
        <w:tc>
          <w:tcPr>
            <w:tcW w:w="2573" w:type="dxa"/>
          </w:tcPr>
          <w:p w:rsidR="00420FE5" w:rsidRPr="00631E19" w:rsidRDefault="00420FE5" w:rsidP="00640DC4">
            <w:pPr>
              <w:pStyle w:val="Tablehead"/>
              <w:spacing w:before="0" w:after="0"/>
              <w:rPr>
                <w:sz w:val="24"/>
                <w:szCs w:val="24"/>
              </w:rPr>
            </w:pPr>
            <w:r w:rsidRPr="00631E19">
              <w:rPr>
                <w:sz w:val="24"/>
                <w:szCs w:val="24"/>
              </w:rPr>
              <w:lastRenderedPageBreak/>
              <w:t>Service:</w:t>
            </w:r>
          </w:p>
        </w:tc>
        <w:tc>
          <w:tcPr>
            <w:tcW w:w="5332" w:type="dxa"/>
          </w:tcPr>
          <w:p w:rsidR="00420FE5" w:rsidRPr="00631E19" w:rsidRDefault="00420FE5" w:rsidP="00640DC4">
            <w:pPr>
              <w:pStyle w:val="Tablehead"/>
              <w:spacing w:before="0" w:after="0"/>
              <w:rPr>
                <w:sz w:val="24"/>
                <w:szCs w:val="24"/>
              </w:rPr>
            </w:pPr>
            <w:r w:rsidRPr="00631E19">
              <w:rPr>
                <w:sz w:val="24"/>
                <w:szCs w:val="24"/>
              </w:rPr>
              <w:t>Relevant Recommendation:</w:t>
            </w:r>
          </w:p>
        </w:tc>
      </w:tr>
      <w:tr w:rsidR="00420FE5" w:rsidRPr="00631E19" w:rsidTr="00FF5313">
        <w:tc>
          <w:tcPr>
            <w:tcW w:w="2573" w:type="dxa"/>
          </w:tcPr>
          <w:p w:rsidR="00420FE5" w:rsidRPr="00631E19" w:rsidRDefault="00420FE5" w:rsidP="00640DC4">
            <w:pPr>
              <w:pStyle w:val="Tabletext"/>
              <w:spacing w:before="0" w:after="0"/>
              <w:rPr>
                <w:sz w:val="24"/>
                <w:szCs w:val="24"/>
              </w:rPr>
            </w:pPr>
            <w:r w:rsidRPr="00631E19">
              <w:rPr>
                <w:sz w:val="24"/>
                <w:szCs w:val="24"/>
              </w:rPr>
              <w:t>Fixed Service</w:t>
            </w:r>
          </w:p>
        </w:tc>
        <w:tc>
          <w:tcPr>
            <w:tcW w:w="5332" w:type="dxa"/>
          </w:tcPr>
          <w:p w:rsidR="003D4964" w:rsidRPr="00631E19" w:rsidRDefault="00AB1FBE" w:rsidP="00640DC4">
            <w:pPr>
              <w:pStyle w:val="Tabletext"/>
              <w:keepNext/>
              <w:keepLines/>
              <w:spacing w:before="0" w:after="0"/>
              <w:outlineLvl w:val="6"/>
              <w:rPr>
                <w:sz w:val="24"/>
                <w:szCs w:val="24"/>
              </w:rPr>
            </w:pPr>
            <w:r w:rsidRPr="00631E19">
              <w:rPr>
                <w:sz w:val="24"/>
                <w:szCs w:val="24"/>
              </w:rPr>
              <w:t>Recommendation ITU-R F.758-5</w:t>
            </w:r>
            <w:r w:rsidRPr="00631E19">
              <w:rPr>
                <w:sz w:val="24"/>
                <w:szCs w:val="24"/>
              </w:rPr>
              <w:br/>
              <w:t>Recommendation ITU-R F.636-4</w:t>
            </w:r>
          </w:p>
          <w:p w:rsidR="003D4964" w:rsidRPr="00631E19" w:rsidRDefault="00AB1FBE" w:rsidP="00640DC4">
            <w:pPr>
              <w:pStyle w:val="Tabletext"/>
              <w:keepNext/>
              <w:keepLines/>
              <w:spacing w:before="0" w:after="0"/>
              <w:outlineLvl w:val="6"/>
              <w:rPr>
                <w:sz w:val="24"/>
                <w:szCs w:val="24"/>
              </w:rPr>
            </w:pPr>
            <w:r w:rsidRPr="00631E19">
              <w:rPr>
                <w:sz w:val="24"/>
                <w:szCs w:val="24"/>
              </w:rPr>
              <w:t>Recommendation ITU-R F.</w:t>
            </w:r>
            <w:r w:rsidR="00EE4B01" w:rsidRPr="00631E19">
              <w:rPr>
                <w:sz w:val="24"/>
                <w:szCs w:val="24"/>
              </w:rPr>
              <w:t>1107</w:t>
            </w:r>
          </w:p>
          <w:p w:rsidR="003D4964" w:rsidRPr="00631E19" w:rsidRDefault="00AB1FBE" w:rsidP="00640DC4">
            <w:pPr>
              <w:pStyle w:val="Tabletext"/>
              <w:keepNext/>
              <w:keepLines/>
              <w:spacing w:before="0" w:after="0"/>
              <w:outlineLvl w:val="6"/>
              <w:rPr>
                <w:sz w:val="24"/>
                <w:szCs w:val="24"/>
              </w:rPr>
            </w:pPr>
            <w:r w:rsidRPr="00631E19">
              <w:rPr>
                <w:sz w:val="24"/>
                <w:szCs w:val="24"/>
              </w:rPr>
              <w:t>Recommendation ITU-R F.699-7</w:t>
            </w:r>
          </w:p>
          <w:p w:rsidR="003D4964" w:rsidRPr="00631E19" w:rsidRDefault="00AB1FBE" w:rsidP="00640DC4">
            <w:pPr>
              <w:pStyle w:val="Tabletext"/>
              <w:keepNext/>
              <w:keepLines/>
              <w:spacing w:before="0" w:after="0"/>
              <w:outlineLvl w:val="6"/>
              <w:rPr>
                <w:sz w:val="24"/>
                <w:szCs w:val="24"/>
                <w:lang w:eastAsia="ko-KR"/>
              </w:rPr>
            </w:pPr>
            <w:r w:rsidRPr="00631E19">
              <w:rPr>
                <w:sz w:val="24"/>
                <w:szCs w:val="24"/>
              </w:rPr>
              <w:t>Recommendation ITU-R</w:t>
            </w:r>
            <w:r w:rsidRPr="00631E19">
              <w:t xml:space="preserve"> </w:t>
            </w:r>
            <w:r w:rsidRPr="00631E19">
              <w:rPr>
                <w:sz w:val="24"/>
                <w:szCs w:val="24"/>
              </w:rPr>
              <w:t>F.1245-2</w:t>
            </w:r>
          </w:p>
          <w:p w:rsidR="00833ED0" w:rsidRPr="00631E19" w:rsidRDefault="008F157E" w:rsidP="00262ECC">
            <w:pPr>
              <w:pStyle w:val="Tabletext"/>
              <w:rPr>
                <w:sz w:val="24"/>
                <w:szCs w:val="24"/>
                <w:lang w:eastAsia="ko-KR"/>
              </w:rPr>
            </w:pPr>
            <w:r w:rsidRPr="00631E19">
              <w:rPr>
                <w:sz w:val="24"/>
                <w:szCs w:val="24"/>
              </w:rPr>
              <w:t>Recommendation ITU-R F.1333</w:t>
            </w:r>
          </w:p>
          <w:p w:rsidR="00420FE5" w:rsidRPr="00631E19" w:rsidRDefault="00AB1FBE" w:rsidP="00640DC4">
            <w:pPr>
              <w:pStyle w:val="Tabletext"/>
              <w:keepNext/>
              <w:keepLines/>
              <w:spacing w:before="0" w:after="0"/>
              <w:outlineLvl w:val="6"/>
              <w:rPr>
                <w:sz w:val="24"/>
                <w:szCs w:val="24"/>
                <w:lang w:eastAsia="ko-KR"/>
              </w:rPr>
            </w:pPr>
            <w:r w:rsidRPr="00631E19">
              <w:rPr>
                <w:sz w:val="24"/>
                <w:szCs w:val="24"/>
              </w:rPr>
              <w:t>Recommendation ITU-R F.1336-3</w:t>
            </w:r>
          </w:p>
          <w:p w:rsidR="00833ED0" w:rsidRPr="00631E19" w:rsidRDefault="008F157E" w:rsidP="00262ECC">
            <w:pPr>
              <w:pStyle w:val="Tabletext"/>
              <w:rPr>
                <w:lang w:eastAsia="ko-KR"/>
              </w:rPr>
            </w:pPr>
            <w:r w:rsidRPr="00631E19">
              <w:rPr>
                <w:sz w:val="24"/>
                <w:szCs w:val="24"/>
              </w:rPr>
              <w:t>Recommendation ITU-R F.1777</w:t>
            </w:r>
            <w:r w:rsidR="005A41A0" w:rsidRPr="00631E19">
              <w:t xml:space="preserve"> </w:t>
            </w:r>
          </w:p>
        </w:tc>
      </w:tr>
      <w:tr w:rsidR="00420FE5" w:rsidRPr="00631E19" w:rsidTr="00FF5313">
        <w:tc>
          <w:tcPr>
            <w:tcW w:w="2573" w:type="dxa"/>
          </w:tcPr>
          <w:p w:rsidR="00420FE5" w:rsidRPr="00631E19" w:rsidRDefault="00420FE5" w:rsidP="00640DC4">
            <w:pPr>
              <w:pStyle w:val="Tabletext"/>
              <w:spacing w:before="0" w:after="0"/>
              <w:rPr>
                <w:sz w:val="24"/>
                <w:szCs w:val="24"/>
              </w:rPr>
            </w:pPr>
            <w:r w:rsidRPr="00631E19">
              <w:rPr>
                <w:sz w:val="24"/>
                <w:szCs w:val="24"/>
              </w:rPr>
              <w:t>Mobile Service</w:t>
            </w:r>
          </w:p>
        </w:tc>
        <w:tc>
          <w:tcPr>
            <w:tcW w:w="5332" w:type="dxa"/>
          </w:tcPr>
          <w:p w:rsidR="00420FE5" w:rsidRPr="00631E19" w:rsidRDefault="00420FE5" w:rsidP="00640DC4">
            <w:pPr>
              <w:pStyle w:val="Tabletext"/>
              <w:spacing w:before="0" w:after="0"/>
              <w:rPr>
                <w:sz w:val="24"/>
                <w:szCs w:val="24"/>
                <w:lang w:eastAsia="ko-KR"/>
              </w:rPr>
            </w:pPr>
            <w:r w:rsidRPr="00631E19">
              <w:rPr>
                <w:sz w:val="24"/>
                <w:szCs w:val="24"/>
              </w:rPr>
              <w:t xml:space="preserve">In the absence of specific characteristics for the mobile service in this band, mobile system characteristics are assumed to be similar to those for fixed systems. (Has to check with </w:t>
            </w:r>
            <w:r w:rsidR="009F0B71" w:rsidRPr="00631E19">
              <w:rPr>
                <w:sz w:val="24"/>
                <w:szCs w:val="24"/>
              </w:rPr>
              <w:t>relevant ITU Working Parties responsible for studies on mobile services</w:t>
            </w:r>
            <w:r w:rsidRPr="00631E19">
              <w:rPr>
                <w:sz w:val="24"/>
                <w:szCs w:val="24"/>
              </w:rPr>
              <w:t xml:space="preserve"> on the validity of this assumption.)</w:t>
            </w:r>
          </w:p>
          <w:p w:rsidR="005A41A0" w:rsidRPr="00631E19" w:rsidRDefault="008F157E" w:rsidP="00640DC4">
            <w:pPr>
              <w:pStyle w:val="Tabletext"/>
              <w:spacing w:before="0" w:after="0"/>
              <w:rPr>
                <w:sz w:val="24"/>
                <w:szCs w:val="24"/>
                <w:lang w:eastAsia="ko-KR"/>
              </w:rPr>
            </w:pPr>
            <w:r w:rsidRPr="00631E19">
              <w:rPr>
                <w:sz w:val="24"/>
                <w:szCs w:val="24"/>
                <w:lang w:eastAsia="zh-CN"/>
              </w:rPr>
              <w:t>Recommendation ITU-R M.1824</w:t>
            </w:r>
          </w:p>
        </w:tc>
      </w:tr>
      <w:tr w:rsidR="00010E4A" w:rsidRPr="00631E19" w:rsidTr="00FF5313">
        <w:tc>
          <w:tcPr>
            <w:tcW w:w="2573" w:type="dxa"/>
          </w:tcPr>
          <w:p w:rsidR="00010E4A" w:rsidRPr="00631E19" w:rsidRDefault="00010E4A" w:rsidP="00640DC4">
            <w:pPr>
              <w:pStyle w:val="Tabletext"/>
              <w:spacing w:before="0" w:after="0"/>
              <w:rPr>
                <w:sz w:val="24"/>
                <w:szCs w:val="24"/>
              </w:rPr>
            </w:pPr>
            <w:r w:rsidRPr="00631E19">
              <w:rPr>
                <w:lang w:eastAsia="zh-CN"/>
              </w:rPr>
              <w:t>Earth exploration-satellite (passive)</w:t>
            </w:r>
          </w:p>
        </w:tc>
        <w:tc>
          <w:tcPr>
            <w:tcW w:w="5332" w:type="dxa"/>
          </w:tcPr>
          <w:p w:rsidR="00010E4A" w:rsidRPr="00631E19" w:rsidRDefault="00010E4A" w:rsidP="00DA6027">
            <w:pPr>
              <w:pStyle w:val="Tabletext"/>
              <w:spacing w:before="20" w:after="20"/>
            </w:pPr>
            <w:r w:rsidRPr="00631E19">
              <w:t>Recommendation ITU-R RS.515</w:t>
            </w:r>
          </w:p>
          <w:p w:rsidR="00010E4A" w:rsidRPr="00631E19" w:rsidRDefault="00010E4A" w:rsidP="00640DC4">
            <w:pPr>
              <w:pStyle w:val="Tabletext"/>
              <w:spacing w:before="0" w:after="0"/>
              <w:rPr>
                <w:sz w:val="24"/>
                <w:szCs w:val="24"/>
              </w:rPr>
            </w:pPr>
            <w:r w:rsidRPr="00631E19">
              <w:t>Recommendation ITU-R RS.2017</w:t>
            </w:r>
          </w:p>
        </w:tc>
      </w:tr>
      <w:tr w:rsidR="00010E4A" w:rsidRPr="00631E19" w:rsidTr="00FF5313">
        <w:tc>
          <w:tcPr>
            <w:tcW w:w="2573" w:type="dxa"/>
          </w:tcPr>
          <w:p w:rsidR="00010E4A" w:rsidRPr="00631E19" w:rsidRDefault="00010E4A" w:rsidP="00640DC4">
            <w:pPr>
              <w:pStyle w:val="Tabletext"/>
              <w:spacing w:before="0" w:after="0"/>
              <w:rPr>
                <w:sz w:val="24"/>
                <w:szCs w:val="24"/>
              </w:rPr>
            </w:pPr>
            <w:r w:rsidRPr="00631E19">
              <w:rPr>
                <w:lang w:eastAsia="zh-CN"/>
              </w:rPr>
              <w:t>Radio astronomy</w:t>
            </w:r>
          </w:p>
        </w:tc>
        <w:tc>
          <w:tcPr>
            <w:tcW w:w="5332" w:type="dxa"/>
          </w:tcPr>
          <w:p w:rsidR="00010E4A" w:rsidRPr="00631E19" w:rsidRDefault="00010E4A" w:rsidP="00DA6027">
            <w:pPr>
              <w:pStyle w:val="Tabletext"/>
              <w:spacing w:before="20" w:after="20"/>
            </w:pPr>
            <w:r w:rsidRPr="00631E19">
              <w:t>Recommendation ITU-R RA.769 (adjacent band)</w:t>
            </w:r>
          </w:p>
          <w:p w:rsidR="00010E4A" w:rsidRPr="00631E19" w:rsidRDefault="00010E4A" w:rsidP="00640DC4">
            <w:pPr>
              <w:pStyle w:val="Tabletext"/>
              <w:spacing w:before="0" w:after="0"/>
              <w:rPr>
                <w:sz w:val="24"/>
                <w:szCs w:val="24"/>
              </w:rPr>
            </w:pPr>
            <w:r w:rsidRPr="00631E19">
              <w:t>Recommendation ITU-R  RA.1513-1</w:t>
            </w:r>
          </w:p>
        </w:tc>
      </w:tr>
      <w:tr w:rsidR="00010E4A" w:rsidRPr="00631E19" w:rsidTr="00FF5313">
        <w:tc>
          <w:tcPr>
            <w:tcW w:w="2573" w:type="dxa"/>
          </w:tcPr>
          <w:p w:rsidR="00010E4A" w:rsidRPr="00631E19" w:rsidRDefault="00010E4A" w:rsidP="00640DC4">
            <w:pPr>
              <w:pStyle w:val="Tabletext"/>
              <w:spacing w:before="0" w:after="0"/>
              <w:rPr>
                <w:sz w:val="24"/>
                <w:szCs w:val="24"/>
              </w:rPr>
            </w:pPr>
            <w:r w:rsidRPr="00631E19">
              <w:rPr>
                <w:lang w:eastAsia="zh-CN"/>
              </w:rPr>
              <w:t>Space research</w:t>
            </w:r>
          </w:p>
        </w:tc>
        <w:tc>
          <w:tcPr>
            <w:tcW w:w="5332" w:type="dxa"/>
          </w:tcPr>
          <w:p w:rsidR="00010E4A" w:rsidRPr="00631E19" w:rsidRDefault="00010E4A" w:rsidP="00DA6027">
            <w:pPr>
              <w:pStyle w:val="Tabletext"/>
              <w:keepLines/>
              <w:tabs>
                <w:tab w:val="left" w:leader="dot" w:pos="7938"/>
                <w:tab w:val="center" w:pos="9526"/>
              </w:tabs>
              <w:spacing w:before="20" w:after="20"/>
              <w:ind w:left="567" w:hanging="567"/>
              <w:rPr>
                <w:u w:val="single"/>
              </w:rPr>
            </w:pPr>
            <w:r w:rsidRPr="00631E19">
              <w:rPr>
                <w:u w:val="single"/>
              </w:rPr>
              <w:t>Recommendation ITU-R SA.1018</w:t>
            </w:r>
          </w:p>
          <w:p w:rsidR="00010E4A" w:rsidRPr="00631E19" w:rsidRDefault="00010E4A" w:rsidP="00DA6027">
            <w:pPr>
              <w:pStyle w:val="Tabletext"/>
              <w:keepLines/>
              <w:tabs>
                <w:tab w:val="left" w:leader="dot" w:pos="7938"/>
                <w:tab w:val="center" w:pos="9526"/>
              </w:tabs>
              <w:spacing w:before="20" w:after="20"/>
              <w:ind w:left="567" w:hanging="567"/>
            </w:pPr>
            <w:r w:rsidRPr="00631E19">
              <w:t>Recommendation ITU-R SA.1155</w:t>
            </w:r>
          </w:p>
          <w:p w:rsidR="00010E4A" w:rsidRPr="00631E19" w:rsidRDefault="00010E4A" w:rsidP="00DA6027">
            <w:pPr>
              <w:pStyle w:val="Tabletext"/>
              <w:spacing w:before="20" w:after="20"/>
              <w:rPr>
                <w:u w:val="single"/>
                <w:lang w:eastAsia="zh-CN"/>
              </w:rPr>
            </w:pPr>
            <w:r w:rsidRPr="00631E19">
              <w:rPr>
                <w:u w:val="single"/>
                <w:lang w:eastAsia="zh-CN"/>
              </w:rPr>
              <w:t>PDR Recommendation ITU-R SA.1414</w:t>
            </w:r>
          </w:p>
          <w:p w:rsidR="00010E4A" w:rsidRPr="00631E19" w:rsidRDefault="00010E4A">
            <w:pPr>
              <w:pStyle w:val="Tabletext"/>
              <w:spacing w:before="0" w:after="0"/>
              <w:rPr>
                <w:sz w:val="24"/>
                <w:szCs w:val="24"/>
              </w:rPr>
            </w:pPr>
            <w:r w:rsidRPr="00631E19">
              <w:t>PDR Recommendation ITU-R SA.1626</w:t>
            </w:r>
          </w:p>
        </w:tc>
      </w:tr>
    </w:tbl>
    <w:p w:rsidR="0094207C" w:rsidRPr="00631E19" w:rsidRDefault="0094207C" w:rsidP="00640DC4">
      <w:pPr>
        <w:rPr>
          <w:lang w:val="en-GB"/>
        </w:rPr>
      </w:pPr>
    </w:p>
    <w:p w:rsidR="00C76CAB" w:rsidRPr="00631E19" w:rsidRDefault="00C76CAB" w:rsidP="000D4BDA">
      <w:pPr>
        <w:numPr>
          <w:ilvl w:val="2"/>
          <w:numId w:val="42"/>
        </w:numPr>
        <w:ind w:left="1134" w:hanging="425"/>
        <w:rPr>
          <w:b/>
          <w:lang w:val="en-GB"/>
        </w:rPr>
      </w:pPr>
      <w:r w:rsidRPr="00631E19">
        <w:rPr>
          <w:b/>
          <w:lang w:val="en-GB"/>
        </w:rPr>
        <w:t>Sharing with fixed service in the band 14.8-15.35GHz:</w:t>
      </w:r>
    </w:p>
    <w:p w:rsidR="00640DC4" w:rsidRPr="00631E19" w:rsidRDefault="00640DC4" w:rsidP="00127DAE">
      <w:pPr>
        <w:ind w:left="720"/>
        <w:rPr>
          <w:lang w:val="en-GB"/>
        </w:rPr>
      </w:pPr>
    </w:p>
    <w:p w:rsidR="003D4964" w:rsidRPr="00631E19" w:rsidRDefault="003D4964" w:rsidP="00127DAE">
      <w:pPr>
        <w:ind w:left="720"/>
        <w:rPr>
          <w:lang w:val="en-GB"/>
        </w:rPr>
      </w:pPr>
      <w:r w:rsidRPr="00631E19">
        <w:rPr>
          <w:lang w:val="en-GB"/>
        </w:rPr>
        <w:t xml:space="preserve">The studies as contained in section </w:t>
      </w:r>
      <w:r w:rsidR="00FC503F" w:rsidRPr="00631E19">
        <w:rPr>
          <w:lang w:val="en-GB"/>
        </w:rPr>
        <w:t>5</w:t>
      </w:r>
      <w:r w:rsidRPr="00631E19">
        <w:rPr>
          <w:lang w:val="en-GB"/>
        </w:rPr>
        <w:t>.</w:t>
      </w:r>
      <w:r w:rsidR="00400CFB" w:rsidRPr="00631E19">
        <w:rPr>
          <w:lang w:val="en-GB"/>
        </w:rPr>
        <w:t>2</w:t>
      </w:r>
      <w:r w:rsidRPr="00631E19">
        <w:rPr>
          <w:lang w:val="en-GB"/>
        </w:rPr>
        <w:t xml:space="preserve">.1.1.1 concerning the sharing between FSS (Earth-to-space) and FS in the band of 14.5-14.8GHz are equally applicable to the 14.8-15.35GHz band. The slightly higher frequency would lead to marginally shorter coordination distance and the required separation distance, a quick calculation indicate the improvement is in the order of less than 3km using RR AP7 method, therefore it is possible to assume the result is the same as those contained in section </w:t>
      </w:r>
      <w:r w:rsidR="00FC503F" w:rsidRPr="00631E19">
        <w:rPr>
          <w:lang w:val="en-GB"/>
        </w:rPr>
        <w:t>5</w:t>
      </w:r>
      <w:r w:rsidRPr="00631E19">
        <w:rPr>
          <w:lang w:val="en-GB"/>
        </w:rPr>
        <w:t>.</w:t>
      </w:r>
      <w:r w:rsidR="00400CFB" w:rsidRPr="00631E19">
        <w:rPr>
          <w:lang w:val="en-GB"/>
        </w:rPr>
        <w:t>2</w:t>
      </w:r>
      <w:r w:rsidRPr="00631E19">
        <w:rPr>
          <w:lang w:val="en-GB"/>
        </w:rPr>
        <w:t xml:space="preserve">.1.1.1 The detail of the studies could be referred to section </w:t>
      </w:r>
      <w:r w:rsidR="00FC503F" w:rsidRPr="00631E19">
        <w:rPr>
          <w:lang w:val="en-GB"/>
        </w:rPr>
        <w:t>5</w:t>
      </w:r>
      <w:r w:rsidRPr="00631E19">
        <w:rPr>
          <w:lang w:val="en-GB"/>
        </w:rPr>
        <w:t>.</w:t>
      </w:r>
      <w:r w:rsidR="00400CFB" w:rsidRPr="00631E19">
        <w:rPr>
          <w:lang w:val="en-GB"/>
        </w:rPr>
        <w:t>2</w:t>
      </w:r>
      <w:r w:rsidRPr="00631E19">
        <w:rPr>
          <w:lang w:val="en-GB"/>
        </w:rPr>
        <w:t>.1.1.1.</w:t>
      </w:r>
    </w:p>
    <w:p w:rsidR="00640DC4" w:rsidRPr="00631E19" w:rsidRDefault="00640DC4" w:rsidP="00D3074C">
      <w:pPr>
        <w:rPr>
          <w:lang w:val="en-GB"/>
        </w:rPr>
      </w:pPr>
    </w:p>
    <w:p w:rsidR="003D4964" w:rsidRPr="00631E19" w:rsidRDefault="003D4964" w:rsidP="00127DAE">
      <w:pPr>
        <w:ind w:left="720"/>
        <w:rPr>
          <w:lang w:val="en-GB"/>
        </w:rPr>
      </w:pPr>
      <w:proofErr w:type="gramStart"/>
      <w:r w:rsidRPr="00631E19">
        <w:rPr>
          <w:lang w:val="en-GB"/>
        </w:rPr>
        <w:t>FSS(</w:t>
      </w:r>
      <w:proofErr w:type="gramEnd"/>
      <w:r w:rsidRPr="00631E19">
        <w:rPr>
          <w:lang w:val="en-GB"/>
        </w:rPr>
        <w:t xml:space="preserve">Earth-to-space) and FS share well with each other. Experience has shown that, in many instances, separation distances as small as a few kilometres, when allowing for typical terrain and shielding, are achievable. </w:t>
      </w:r>
    </w:p>
    <w:p w:rsidR="00640DC4" w:rsidRPr="00631E19" w:rsidRDefault="00640DC4" w:rsidP="00127DAE">
      <w:pPr>
        <w:ind w:left="720"/>
        <w:rPr>
          <w:lang w:val="en-GB"/>
        </w:rPr>
      </w:pPr>
    </w:p>
    <w:p w:rsidR="007100B8" w:rsidRPr="00631E19" w:rsidRDefault="003D4964" w:rsidP="00026FB1">
      <w:pPr>
        <w:ind w:left="709"/>
        <w:rPr>
          <w:lang w:val="en-GB"/>
        </w:rPr>
      </w:pPr>
      <w:r w:rsidRPr="00631E19">
        <w:rPr>
          <w:lang w:val="en-GB"/>
        </w:rPr>
        <w:t>On the conditions that the location of FS stations are known, the deployment of FS terminals are not ubiquitous and both FSS (Earth-to-space) and FS station are operated under license, with only as small as</w:t>
      </w:r>
      <w:r w:rsidR="007100B8" w:rsidRPr="00631E19">
        <w:rPr>
          <w:lang w:val="en-GB"/>
        </w:rPr>
        <w:t xml:space="preserve"> a</w:t>
      </w:r>
      <w:r w:rsidRPr="00631E19">
        <w:rPr>
          <w:lang w:val="en-GB"/>
        </w:rPr>
        <w:t xml:space="preserve"> few </w:t>
      </w:r>
      <w:r w:rsidR="00F85125" w:rsidRPr="00631E19">
        <w:rPr>
          <w:lang w:val="en-GB"/>
        </w:rPr>
        <w:t>kilometres</w:t>
      </w:r>
      <w:r w:rsidRPr="00631E19">
        <w:rPr>
          <w:lang w:val="en-GB"/>
        </w:rPr>
        <w:t xml:space="preserve"> of separation distance in many instances, sharing between FS and FSS can be considered feasible.</w:t>
      </w:r>
      <w:r w:rsidR="007100B8" w:rsidRPr="00631E19">
        <w:rPr>
          <w:lang w:val="en-GB"/>
        </w:rPr>
        <w:t xml:space="preserve"> On the other hand, some Administrations deploy the FS stations in high density for domestic use without registering in the ITU database. In such a case, careful consideration of such usage would </w:t>
      </w:r>
      <w:r w:rsidR="00E75CBD" w:rsidRPr="00631E19">
        <w:rPr>
          <w:lang w:val="en-GB"/>
        </w:rPr>
        <w:t xml:space="preserve">need to </w:t>
      </w:r>
      <w:r w:rsidR="007100B8" w:rsidRPr="00631E19">
        <w:rPr>
          <w:lang w:val="en-GB"/>
        </w:rPr>
        <w:t>be taken into account like</w:t>
      </w:r>
      <w:r w:rsidR="006E306F" w:rsidRPr="00631E19">
        <w:rPr>
          <w:lang w:val="en-GB"/>
        </w:rPr>
        <w:t xml:space="preserve"> other frequency bands shared between</w:t>
      </w:r>
      <w:r w:rsidR="007100B8" w:rsidRPr="00631E19">
        <w:rPr>
          <w:lang w:val="en-GB"/>
        </w:rPr>
        <w:t xml:space="preserve"> the FS and the FSS.</w:t>
      </w:r>
    </w:p>
    <w:p w:rsidR="00640DC4" w:rsidRPr="00631E19" w:rsidRDefault="00640DC4" w:rsidP="00026FB1">
      <w:pPr>
        <w:rPr>
          <w:lang w:val="en-GB"/>
        </w:rPr>
      </w:pPr>
    </w:p>
    <w:p w:rsidR="003D4964" w:rsidRPr="00631E19" w:rsidRDefault="003D4964" w:rsidP="00EB6E76">
      <w:pPr>
        <w:ind w:left="720"/>
        <w:rPr>
          <w:lang w:val="en-GB"/>
        </w:rPr>
      </w:pPr>
      <w:r w:rsidRPr="00631E19">
        <w:rPr>
          <w:lang w:val="en-GB"/>
        </w:rPr>
        <w:t xml:space="preserve">In terms of international coordination, even using the worst case calculation method RR AP7 using by the ITU, in many of the cases, coordination is not required. </w:t>
      </w:r>
    </w:p>
    <w:p w:rsidR="00640DC4" w:rsidRPr="00631E19" w:rsidRDefault="00640DC4" w:rsidP="00EB6E76">
      <w:pPr>
        <w:ind w:left="720"/>
        <w:rPr>
          <w:lang w:val="en-GB"/>
        </w:rPr>
      </w:pPr>
    </w:p>
    <w:p w:rsidR="003D4964" w:rsidRPr="00631E19" w:rsidRDefault="003D4964" w:rsidP="00EB6E76">
      <w:pPr>
        <w:ind w:left="720"/>
        <w:rPr>
          <w:lang w:val="en-GB"/>
        </w:rPr>
      </w:pPr>
      <w:r w:rsidRPr="00631E19">
        <w:rPr>
          <w:lang w:val="en-GB"/>
        </w:rPr>
        <w:lastRenderedPageBreak/>
        <w:t xml:space="preserve">In the case where international coordination is unavoidable, experience indicate that the actual required separation distances is significantly shorter than the coordination distance calculated using the RR AP7 method, it is therefore expected the coordination should not lead to a heavy burden to the administration. </w:t>
      </w:r>
    </w:p>
    <w:p w:rsidR="00640DC4" w:rsidRPr="00631E19" w:rsidRDefault="00640DC4" w:rsidP="00EB6E76">
      <w:pPr>
        <w:ind w:left="720"/>
        <w:rPr>
          <w:lang w:val="en-GB"/>
        </w:rPr>
      </w:pPr>
    </w:p>
    <w:p w:rsidR="003D4964" w:rsidRPr="00631E19" w:rsidRDefault="003D4964" w:rsidP="00EB6E76">
      <w:pPr>
        <w:ind w:left="720" w:firstLine="720"/>
        <w:rPr>
          <w:u w:val="single"/>
          <w:lang w:val="en-GB"/>
        </w:rPr>
      </w:pPr>
      <w:r w:rsidRPr="00631E19">
        <w:rPr>
          <w:u w:val="single"/>
          <w:lang w:val="en-GB"/>
        </w:rPr>
        <w:t xml:space="preserve">  </w:t>
      </w:r>
    </w:p>
    <w:p w:rsidR="003D4964" w:rsidRPr="00631E19" w:rsidRDefault="003D4964" w:rsidP="00640DC4">
      <w:pPr>
        <w:ind w:left="360"/>
        <w:rPr>
          <w:u w:val="single"/>
          <w:lang w:val="en-GB"/>
        </w:rPr>
      </w:pPr>
    </w:p>
    <w:p w:rsidR="00C76CAB" w:rsidRPr="00631E19" w:rsidRDefault="00C76CAB" w:rsidP="000D4BDA">
      <w:pPr>
        <w:numPr>
          <w:ilvl w:val="2"/>
          <w:numId w:val="42"/>
        </w:numPr>
        <w:ind w:left="1134" w:hanging="425"/>
        <w:rPr>
          <w:b/>
          <w:lang w:val="en-GB"/>
        </w:rPr>
      </w:pPr>
      <w:r w:rsidRPr="00631E19">
        <w:rPr>
          <w:b/>
          <w:lang w:val="en-GB"/>
        </w:rPr>
        <w:t>Sharing with mobile service in the band 14.8-15.35GHz:</w:t>
      </w:r>
    </w:p>
    <w:p w:rsidR="00640DC4" w:rsidRPr="00631E19" w:rsidRDefault="00640DC4" w:rsidP="00EB6E76">
      <w:pPr>
        <w:rPr>
          <w:lang w:val="en-GB"/>
        </w:rPr>
      </w:pPr>
    </w:p>
    <w:p w:rsidR="009F2E3B" w:rsidRPr="00631E19" w:rsidRDefault="003D4964" w:rsidP="00E75CBD">
      <w:pPr>
        <w:ind w:left="709"/>
        <w:rPr>
          <w:lang w:val="en-GB"/>
        </w:rPr>
      </w:pPr>
      <w:r w:rsidRPr="00631E19">
        <w:rPr>
          <w:lang w:val="en-GB"/>
        </w:rPr>
        <w:t>There are no earth stations for the mobile service in ITU-R Region 3 as recorded in the ITU database a</w:t>
      </w:r>
      <w:r w:rsidR="0001270A" w:rsidRPr="00631E19">
        <w:rPr>
          <w:lang w:val="en-GB"/>
        </w:rPr>
        <w:t>s of 29.05.2012 (BR IFIC 2720).</w:t>
      </w:r>
      <w:r w:rsidR="009F2E3B" w:rsidRPr="00631E19">
        <w:rPr>
          <w:lang w:val="en-GB"/>
        </w:rPr>
        <w:t xml:space="preserve"> Also, according to APT Report on Information of </w:t>
      </w:r>
      <w:r w:rsidR="008F7D3B" w:rsidRPr="00631E19">
        <w:rPr>
          <w:lang w:val="en-GB"/>
        </w:rPr>
        <w:t>M</w:t>
      </w:r>
      <w:r w:rsidR="009F2E3B" w:rsidRPr="00631E19">
        <w:rPr>
          <w:lang w:val="en-GB"/>
        </w:rPr>
        <w:t xml:space="preserve">obile </w:t>
      </w:r>
      <w:r w:rsidR="008F7D3B" w:rsidRPr="00631E19">
        <w:rPr>
          <w:lang w:val="en-GB"/>
        </w:rPr>
        <w:t>O</w:t>
      </w:r>
      <w:r w:rsidR="009F2E3B" w:rsidRPr="00631E19">
        <w:rPr>
          <w:lang w:val="en-GB"/>
        </w:rPr>
        <w:t xml:space="preserve">perator’s </w:t>
      </w:r>
      <w:r w:rsidR="008F7D3B" w:rsidRPr="00631E19">
        <w:rPr>
          <w:lang w:val="en-GB"/>
        </w:rPr>
        <w:t>F</w:t>
      </w:r>
      <w:r w:rsidR="009F2E3B" w:rsidRPr="00631E19">
        <w:rPr>
          <w:lang w:val="en-GB"/>
        </w:rPr>
        <w:t xml:space="preserve">requencies, </w:t>
      </w:r>
      <w:r w:rsidR="008F7D3B" w:rsidRPr="00631E19">
        <w:rPr>
          <w:lang w:val="en-GB"/>
        </w:rPr>
        <w:t>T</w:t>
      </w:r>
      <w:r w:rsidR="009F2E3B" w:rsidRPr="00631E19">
        <w:rPr>
          <w:lang w:val="en-GB"/>
        </w:rPr>
        <w:t xml:space="preserve">echnologies and </w:t>
      </w:r>
      <w:r w:rsidR="008F7D3B" w:rsidRPr="00631E19">
        <w:rPr>
          <w:lang w:val="en-GB"/>
        </w:rPr>
        <w:t>L</w:t>
      </w:r>
      <w:r w:rsidR="009F2E3B" w:rsidRPr="00631E19">
        <w:rPr>
          <w:lang w:val="en-GB"/>
        </w:rPr>
        <w:t>icense durations in Asia Pacific countries (</w:t>
      </w:r>
      <w:hyperlink r:id="rId24" w:history="1">
        <w:r w:rsidR="009F2E3B" w:rsidRPr="00631E19">
          <w:rPr>
            <w:rStyle w:val="Hyperlink"/>
            <w:lang w:val="en-GB"/>
          </w:rPr>
          <w:t>APT/AWG/Rep-15(Rev. 1)</w:t>
        </w:r>
      </w:hyperlink>
      <w:r w:rsidR="009F2E3B" w:rsidRPr="00631E19">
        <w:rPr>
          <w:lang w:val="en-GB"/>
        </w:rPr>
        <w:t>), the frequency</w:t>
      </w:r>
      <w:r w:rsidR="007D188F" w:rsidRPr="00631E19">
        <w:rPr>
          <w:lang w:val="en-GB"/>
        </w:rPr>
        <w:t xml:space="preserve"> range 14.8-15.35</w:t>
      </w:r>
      <w:r w:rsidR="009F2E3B" w:rsidRPr="00631E19">
        <w:rPr>
          <w:lang w:val="en-GB"/>
        </w:rPr>
        <w:t xml:space="preserve"> GHz was not used for mobile service in Asia Pacific countries. However, the services covered in the APT Report are not fully inclusive and it is noted that the registration of terrestrial systems, including mobile systems in MIFR is voluntary on the part of the Administrations and some Administrations assign this frequency band to the mobile service for domestic use without registering on the ITU database. Therefore, careful consideration of such domestic use would be required. </w:t>
      </w:r>
    </w:p>
    <w:p w:rsidR="003D4964" w:rsidRPr="00631E19" w:rsidRDefault="003D4964" w:rsidP="00EB6E76">
      <w:pPr>
        <w:ind w:left="709"/>
        <w:rPr>
          <w:lang w:val="en-GB"/>
        </w:rPr>
      </w:pPr>
    </w:p>
    <w:p w:rsidR="0006369E" w:rsidRPr="00631E19" w:rsidRDefault="0006369E" w:rsidP="00AB51FF">
      <w:pPr>
        <w:tabs>
          <w:tab w:val="left" w:pos="709"/>
        </w:tabs>
        <w:rPr>
          <w:lang w:val="en-GB"/>
        </w:rPr>
      </w:pPr>
    </w:p>
    <w:p w:rsidR="0006369E" w:rsidRPr="00631E19" w:rsidRDefault="0006369E" w:rsidP="0006369E">
      <w:pPr>
        <w:rPr>
          <w:lang w:val="en-GB"/>
        </w:rPr>
      </w:pPr>
    </w:p>
    <w:p w:rsidR="00C76CAB" w:rsidRPr="00631E19" w:rsidRDefault="00C76CAB" w:rsidP="000D4BDA">
      <w:pPr>
        <w:numPr>
          <w:ilvl w:val="1"/>
          <w:numId w:val="42"/>
        </w:numPr>
        <w:ind w:left="851" w:hanging="425"/>
        <w:rPr>
          <w:b/>
          <w:lang w:val="en-GB"/>
        </w:rPr>
      </w:pPr>
      <w:r w:rsidRPr="00631E19">
        <w:rPr>
          <w:b/>
          <w:lang w:val="en-GB"/>
        </w:rPr>
        <w:t>Frequency band: 15.4-15.43 GHz</w:t>
      </w:r>
    </w:p>
    <w:p w:rsidR="000D0239" w:rsidRPr="00631E19" w:rsidRDefault="0094207C" w:rsidP="000D0239">
      <w:pPr>
        <w:pStyle w:val="Tabletitle"/>
        <w:spacing w:after="0"/>
        <w:ind w:left="426"/>
        <w:jc w:val="left"/>
        <w:rPr>
          <w:rFonts w:ascii="Times New Roman" w:hAnsi="Times New Roman"/>
          <w:b w:val="0"/>
          <w:sz w:val="24"/>
          <w:szCs w:val="24"/>
        </w:rPr>
      </w:pPr>
      <w:r w:rsidRPr="00631E19">
        <w:br/>
      </w:r>
      <w:r w:rsidR="000D0239" w:rsidRPr="00631E19">
        <w:rPr>
          <w:rFonts w:ascii="Times New Roman" w:hAnsi="Times New Roman"/>
          <w:b w:val="0"/>
          <w:sz w:val="24"/>
          <w:szCs w:val="24"/>
        </w:rPr>
        <w:t xml:space="preserve">The allocations in this band according to RR Article </w:t>
      </w:r>
      <w:r w:rsidR="000D0239" w:rsidRPr="00631E19">
        <w:rPr>
          <w:rFonts w:ascii="Times New Roman" w:hAnsi="Times New Roman"/>
          <w:b w:val="0"/>
          <w:bCs/>
          <w:sz w:val="24"/>
          <w:szCs w:val="24"/>
        </w:rPr>
        <w:t>5</w:t>
      </w:r>
      <w:r w:rsidR="000D0239" w:rsidRPr="00631E19">
        <w:rPr>
          <w:rFonts w:ascii="Times New Roman" w:hAnsi="Times New Roman"/>
          <w:b w:val="0"/>
          <w:sz w:val="24"/>
          <w:szCs w:val="24"/>
        </w:rPr>
        <w:t xml:space="preserve"> are as shown below:</w:t>
      </w:r>
    </w:p>
    <w:p w:rsidR="000D0239" w:rsidRPr="00631E19" w:rsidRDefault="000D0239" w:rsidP="000D0239">
      <w:pPr>
        <w:ind w:left="360"/>
        <w:rPr>
          <w:lang w:val="en-GB"/>
        </w:rPr>
      </w:pPr>
    </w:p>
    <w:tbl>
      <w:tblPr>
        <w:tblW w:w="89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0D0239" w:rsidRPr="00631E19" w:rsidTr="00833ED0">
        <w:tc>
          <w:tcPr>
            <w:tcW w:w="8982" w:type="dxa"/>
          </w:tcPr>
          <w:p w:rsidR="000D0239" w:rsidRPr="00631E19" w:rsidRDefault="000D0239" w:rsidP="00833ED0">
            <w:pPr>
              <w:numPr>
                <w:ilvl w:val="3"/>
                <w:numId w:val="10"/>
              </w:numPr>
              <w:tabs>
                <w:tab w:val="num" w:pos="2268"/>
              </w:tabs>
              <w:ind w:hanging="3497"/>
              <w:jc w:val="both"/>
              <w:rPr>
                <w:szCs w:val="22"/>
                <w:lang w:val="en-GB"/>
              </w:rPr>
            </w:pPr>
            <w:r w:rsidRPr="00631E19">
              <w:rPr>
                <w:szCs w:val="22"/>
                <w:lang w:val="en-GB"/>
              </w:rPr>
              <w:t>RADIOLOCATION 5.511E 5.511F</w:t>
            </w:r>
          </w:p>
          <w:p w:rsidR="000D0239" w:rsidRPr="00631E19" w:rsidRDefault="000D0239" w:rsidP="00833ED0">
            <w:pPr>
              <w:jc w:val="both"/>
              <w:rPr>
                <w:szCs w:val="22"/>
                <w:lang w:val="en-GB"/>
              </w:rPr>
            </w:pPr>
            <w:r w:rsidRPr="00631E19">
              <w:rPr>
                <w:sz w:val="22"/>
                <w:szCs w:val="22"/>
                <w:lang w:val="en-GB"/>
              </w:rPr>
              <w:tab/>
            </w:r>
            <w:r w:rsidRPr="00631E19">
              <w:rPr>
                <w:sz w:val="22"/>
                <w:szCs w:val="22"/>
                <w:lang w:val="en-GB"/>
              </w:rPr>
              <w:tab/>
            </w:r>
            <w:r w:rsidRPr="00631E19">
              <w:rPr>
                <w:sz w:val="22"/>
                <w:szCs w:val="22"/>
                <w:lang w:val="en-GB"/>
              </w:rPr>
              <w:tab/>
              <w:t xml:space="preserve">  AERONAUTICAL RADIONAVIGATION</w:t>
            </w:r>
          </w:p>
          <w:p w:rsidR="000D0239" w:rsidRPr="00631E19" w:rsidRDefault="000D0239" w:rsidP="00833ED0">
            <w:pPr>
              <w:jc w:val="both"/>
              <w:rPr>
                <w:szCs w:val="22"/>
                <w:lang w:val="en-GB"/>
              </w:rPr>
            </w:pPr>
            <w:r w:rsidRPr="00631E19">
              <w:rPr>
                <w:sz w:val="22"/>
                <w:szCs w:val="22"/>
                <w:lang w:val="en-GB"/>
              </w:rPr>
              <w:tab/>
            </w:r>
            <w:r w:rsidRPr="00631E19">
              <w:rPr>
                <w:sz w:val="22"/>
                <w:szCs w:val="22"/>
                <w:lang w:val="en-GB"/>
              </w:rPr>
              <w:tab/>
            </w:r>
            <w:r w:rsidRPr="00631E19">
              <w:rPr>
                <w:sz w:val="22"/>
                <w:szCs w:val="22"/>
                <w:lang w:val="en-GB"/>
              </w:rPr>
              <w:tab/>
              <w:t xml:space="preserve">  5.511D</w:t>
            </w:r>
          </w:p>
        </w:tc>
      </w:tr>
    </w:tbl>
    <w:p w:rsidR="000D0239" w:rsidRPr="00631E19" w:rsidRDefault="000D0239" w:rsidP="000D0239">
      <w:pPr>
        <w:ind w:left="360"/>
        <w:rPr>
          <w:lang w:val="en-GB"/>
        </w:rPr>
      </w:pPr>
    </w:p>
    <w:p w:rsidR="000D0239" w:rsidRPr="00631E19" w:rsidRDefault="000D0239" w:rsidP="000D0239">
      <w:pPr>
        <w:autoSpaceDE w:val="0"/>
        <w:autoSpaceDN w:val="0"/>
        <w:adjustRightInd w:val="0"/>
        <w:ind w:left="480"/>
        <w:rPr>
          <w:rFonts w:eastAsia="Batang"/>
          <w:lang w:val="en-GB" w:eastAsia="zh-CN"/>
        </w:rPr>
      </w:pPr>
      <w:r w:rsidRPr="00631E19">
        <w:rPr>
          <w:rFonts w:eastAsia="Batang"/>
          <w:b/>
          <w:bCs/>
          <w:lang w:val="en-GB" w:eastAsia="zh-CN"/>
        </w:rPr>
        <w:t>5.511E</w:t>
      </w:r>
      <w:r w:rsidRPr="00631E19">
        <w:rPr>
          <w:lang w:val="en-GB"/>
        </w:rPr>
        <w:tab/>
      </w:r>
      <w:r w:rsidRPr="00631E19">
        <w:rPr>
          <w:rFonts w:eastAsia="Batang"/>
          <w:lang w:val="en-GB" w:eastAsia="zh-CN"/>
        </w:rPr>
        <w:t>In the frequency band 15.4-15.7 GHz, stations operating in the radiolocation service shall not cause harmful interference to, or claim protection from, stations operating in the aeronautical radionavigation service. (WRC-12)</w:t>
      </w:r>
    </w:p>
    <w:p w:rsidR="000D0239" w:rsidRPr="00631E19" w:rsidRDefault="000D0239" w:rsidP="000D0239">
      <w:pPr>
        <w:autoSpaceDE w:val="0"/>
        <w:autoSpaceDN w:val="0"/>
        <w:adjustRightInd w:val="0"/>
        <w:ind w:left="480"/>
        <w:rPr>
          <w:rFonts w:eastAsia="Batang"/>
          <w:lang w:val="en-GB" w:eastAsia="zh-CN"/>
        </w:rPr>
      </w:pPr>
    </w:p>
    <w:p w:rsidR="000D0239" w:rsidRPr="00631E19" w:rsidRDefault="000D0239" w:rsidP="000D0239">
      <w:pPr>
        <w:autoSpaceDE w:val="0"/>
        <w:autoSpaceDN w:val="0"/>
        <w:adjustRightInd w:val="0"/>
        <w:ind w:left="480"/>
        <w:rPr>
          <w:rFonts w:eastAsia="Batang"/>
          <w:lang w:val="en-GB" w:eastAsia="zh-CN"/>
        </w:rPr>
      </w:pPr>
      <w:r w:rsidRPr="00631E19">
        <w:rPr>
          <w:rFonts w:eastAsia="Batang"/>
          <w:b/>
          <w:bCs/>
          <w:lang w:val="en-GB" w:eastAsia="zh-CN"/>
        </w:rPr>
        <w:t>5.511F</w:t>
      </w:r>
      <w:r w:rsidRPr="00631E19">
        <w:rPr>
          <w:rFonts w:eastAsia="Batang"/>
          <w:lang w:val="en-GB" w:eastAsia="zh-CN"/>
        </w:rPr>
        <w:tab/>
        <w:t xml:space="preserve"> In order to protect the radio astronomy service in the frequency band 15.35-15.4 GHz, radiolocation stations operating in the frequency band 15.4-15.7 GHz shall not exceed the power flux-density level of −156 </w:t>
      </w:r>
      <w:proofErr w:type="gramStart"/>
      <w:r w:rsidRPr="00631E19">
        <w:rPr>
          <w:rFonts w:eastAsia="Batang"/>
          <w:lang w:val="en-GB" w:eastAsia="zh-CN"/>
        </w:rPr>
        <w:t>dB(</w:t>
      </w:r>
      <w:proofErr w:type="gramEnd"/>
      <w:r w:rsidRPr="00631E19">
        <w:rPr>
          <w:rFonts w:eastAsia="Batang"/>
          <w:lang w:val="en-GB" w:eastAsia="zh-CN"/>
        </w:rPr>
        <w:t>W/m2) in a 50 MHz bandwidth in the frequency band 15.35-15.4 GHz, at any radio astronomy observatory site for more than 2 per cent of the time. (WRC-12)</w:t>
      </w:r>
    </w:p>
    <w:p w:rsidR="000D0239" w:rsidRPr="00631E19" w:rsidRDefault="000D0239" w:rsidP="000D0239">
      <w:pPr>
        <w:pStyle w:val="Note"/>
        <w:tabs>
          <w:tab w:val="clear" w:pos="1871"/>
          <w:tab w:val="left" w:pos="1440"/>
        </w:tabs>
        <w:spacing w:before="0"/>
        <w:ind w:left="480"/>
        <w:jc w:val="left"/>
        <w:rPr>
          <w:b/>
          <w:bCs/>
          <w:sz w:val="24"/>
          <w:szCs w:val="24"/>
          <w:lang w:val="en-GB"/>
        </w:rPr>
      </w:pPr>
    </w:p>
    <w:p w:rsidR="0094207C" w:rsidRPr="00631E19" w:rsidRDefault="0094207C" w:rsidP="00640DC4">
      <w:pPr>
        <w:pStyle w:val="Note"/>
        <w:tabs>
          <w:tab w:val="clear" w:pos="1871"/>
          <w:tab w:val="left" w:pos="1440"/>
        </w:tabs>
        <w:spacing w:before="0"/>
        <w:ind w:left="480"/>
        <w:jc w:val="left"/>
        <w:rPr>
          <w:sz w:val="24"/>
          <w:szCs w:val="24"/>
          <w:lang w:val="en-GB"/>
        </w:rPr>
      </w:pPr>
      <w:r w:rsidRPr="00631E19">
        <w:rPr>
          <w:b/>
          <w:bCs/>
          <w:sz w:val="24"/>
          <w:szCs w:val="24"/>
          <w:lang w:val="en-GB"/>
        </w:rPr>
        <w:t>5.511D</w:t>
      </w:r>
      <w:r w:rsidRPr="00631E19">
        <w:rPr>
          <w:sz w:val="24"/>
          <w:szCs w:val="24"/>
          <w:lang w:val="en-GB"/>
        </w:rPr>
        <w:t xml:space="preserve"> </w:t>
      </w:r>
      <w:r w:rsidRPr="00631E19">
        <w:rPr>
          <w:sz w:val="24"/>
          <w:szCs w:val="24"/>
          <w:lang w:val="en-GB"/>
        </w:rPr>
        <w:tab/>
        <w:t xml:space="preserve">Fixed-satellite service systems for which complete information for advance publication has been received by the Bureau by 21 November 1997 may operate in the bands 15.4-15.43 GHz and 15.63-15.7 GHz in the space-to-Earth direction and 15.63-15.65 GHz in the Earth-to-space direction. In the bands 15.4-15.43 GHz and 15.65-15.7 GHz, emissions from a non-geostationary space station shall not exceed the power flux-density limits at the Earth’s surface of –146 dB(W/(m2.MHz)) for any angle of arrival. In the band 15.63-15.65 GHz, where an administration plans emissions from a non-geostationary space station that exceed –146 dB(W/(m2.MHz)) for any angle of arrival, it shall coordinate under No. </w:t>
      </w:r>
      <w:r w:rsidRPr="00631E19">
        <w:rPr>
          <w:b/>
          <w:bCs/>
          <w:sz w:val="24"/>
          <w:szCs w:val="24"/>
          <w:lang w:val="en-GB"/>
        </w:rPr>
        <w:t>9.11A</w:t>
      </w:r>
      <w:r w:rsidRPr="00631E19">
        <w:rPr>
          <w:sz w:val="24"/>
          <w:szCs w:val="24"/>
          <w:lang w:val="en-GB"/>
        </w:rPr>
        <w:t xml:space="preserve"> with the affected administrations. Stations in the fixed-satellite service operating in the band 15.63</w:t>
      </w:r>
      <w:r w:rsidRPr="00631E19">
        <w:rPr>
          <w:sz w:val="24"/>
          <w:szCs w:val="24"/>
          <w:lang w:val="en-GB"/>
        </w:rPr>
        <w:noBreakHyphen/>
        <w:t>15.65 GHz in the Earth-to-space direction shall not cause harmful interference to stations in the aeronautical radionavigation service (No. </w:t>
      </w:r>
      <w:r w:rsidRPr="00631E19">
        <w:rPr>
          <w:b/>
          <w:bCs/>
          <w:sz w:val="24"/>
          <w:szCs w:val="24"/>
          <w:lang w:val="en-GB"/>
        </w:rPr>
        <w:t>4.10</w:t>
      </w:r>
      <w:r w:rsidRPr="00631E19">
        <w:rPr>
          <w:sz w:val="24"/>
          <w:szCs w:val="24"/>
          <w:lang w:val="en-GB"/>
        </w:rPr>
        <w:t> applies). (WRC-97)</w:t>
      </w:r>
    </w:p>
    <w:p w:rsidR="00774DBE" w:rsidRPr="00631E19" w:rsidRDefault="00774DBE" w:rsidP="00640DC4">
      <w:pPr>
        <w:pStyle w:val="Note"/>
        <w:spacing w:before="0"/>
        <w:ind w:left="480"/>
        <w:jc w:val="left"/>
        <w:rPr>
          <w:sz w:val="24"/>
          <w:szCs w:val="24"/>
          <w:lang w:val="en-GB"/>
        </w:rPr>
      </w:pPr>
    </w:p>
    <w:p w:rsidR="005A41A0" w:rsidRPr="00631E19" w:rsidRDefault="005A41A0" w:rsidP="005A41A0">
      <w:pPr>
        <w:rPr>
          <w:lang w:val="en-GB" w:eastAsia="ko-KR"/>
        </w:rPr>
      </w:pPr>
      <w:r w:rsidRPr="00631E19">
        <w:rPr>
          <w:lang w:val="en-GB"/>
        </w:rPr>
        <w:t>A list of relevant</w:t>
      </w:r>
      <w:r w:rsidR="004C6FC6" w:rsidRPr="00631E19">
        <w:rPr>
          <w:lang w:val="en-GB" w:eastAsia="ko-KR"/>
        </w:rPr>
        <w:t xml:space="preserve"> ITU-R</w:t>
      </w:r>
      <w:r w:rsidRPr="00631E19">
        <w:rPr>
          <w:lang w:val="en-GB"/>
        </w:rPr>
        <w:t xml:space="preserve"> Recommendations</w:t>
      </w:r>
      <w:r w:rsidR="004C6FC6" w:rsidRPr="00631E19">
        <w:rPr>
          <w:lang w:val="en-GB" w:eastAsia="ko-KR"/>
        </w:rPr>
        <w:t xml:space="preserve"> and Reports</w:t>
      </w:r>
      <w:r w:rsidRPr="00631E19">
        <w:rPr>
          <w:lang w:val="en-GB"/>
        </w:rPr>
        <w:t xml:space="preserve"> that may be useful for sharing studies is summarized in Table </w:t>
      </w:r>
      <w:r w:rsidR="007919D9" w:rsidRPr="00631E19">
        <w:rPr>
          <w:lang w:val="en-GB" w:eastAsia="ko-KR"/>
        </w:rPr>
        <w:t>9</w:t>
      </w:r>
      <w:r w:rsidR="00BE38D3" w:rsidRPr="00631E19">
        <w:rPr>
          <w:lang w:val="en-GB" w:eastAsia="ko-KR"/>
        </w:rPr>
        <w:t>.</w:t>
      </w:r>
    </w:p>
    <w:p w:rsidR="005A41A0" w:rsidRPr="00631E19" w:rsidRDefault="005A41A0" w:rsidP="005A41A0">
      <w:pPr>
        <w:pStyle w:val="TableNo"/>
        <w:spacing w:before="240"/>
        <w:rPr>
          <w:lang w:eastAsia="ko-KR"/>
        </w:rPr>
      </w:pPr>
      <w:r w:rsidRPr="00631E19">
        <w:t xml:space="preserve">Table </w:t>
      </w:r>
      <w:r w:rsidR="007919D9" w:rsidRPr="00631E19">
        <w:rPr>
          <w:lang w:eastAsia="ko-KR"/>
        </w:rPr>
        <w:t>9</w:t>
      </w:r>
    </w:p>
    <w:p w:rsidR="005A41A0" w:rsidRPr="00631E19" w:rsidRDefault="005A41A0" w:rsidP="005A41A0">
      <w:pPr>
        <w:pStyle w:val="Tabletitle"/>
        <w:rPr>
          <w:rFonts w:hint="eastAsia"/>
          <w:sz w:val="18"/>
          <w:szCs w:val="18"/>
        </w:rPr>
      </w:pPr>
      <w:r w:rsidRPr="00631E19">
        <w:t xml:space="preserve">Summary of relevant Recommendations/Reports that may be useful for </w:t>
      </w:r>
      <w:r w:rsidRPr="00631E19">
        <w:br/>
        <w:t>sharing studies in the band 15.4-15.43 GHz</w:t>
      </w:r>
    </w:p>
    <w:tbl>
      <w:tblPr>
        <w:tblW w:w="8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110"/>
        <w:gridCol w:w="4253"/>
        <w:gridCol w:w="2348"/>
      </w:tblGrid>
      <w:tr w:rsidR="005A41A0" w:rsidRPr="00631E19" w:rsidTr="00C94484">
        <w:trPr>
          <w:jc w:val="center"/>
        </w:trPr>
        <w:tc>
          <w:tcPr>
            <w:tcW w:w="2110" w:type="dxa"/>
          </w:tcPr>
          <w:p w:rsidR="005A41A0" w:rsidRPr="00631E19" w:rsidRDefault="005A41A0" w:rsidP="00C94484">
            <w:pPr>
              <w:pStyle w:val="Tablehead"/>
              <w:spacing w:before="0" w:after="0"/>
              <w:rPr>
                <w:lang w:eastAsia="zh-CN"/>
              </w:rPr>
            </w:pPr>
            <w:r w:rsidRPr="00631E19">
              <w:rPr>
                <w:lang w:eastAsia="zh-CN"/>
              </w:rPr>
              <w:t>Service:</w:t>
            </w:r>
          </w:p>
        </w:tc>
        <w:tc>
          <w:tcPr>
            <w:tcW w:w="4253" w:type="dxa"/>
          </w:tcPr>
          <w:p w:rsidR="005A41A0" w:rsidRPr="00631E19" w:rsidRDefault="005A41A0" w:rsidP="00C94484">
            <w:pPr>
              <w:pStyle w:val="Tablehead"/>
              <w:spacing w:before="0" w:after="0"/>
              <w:rPr>
                <w:lang w:eastAsia="zh-CN"/>
              </w:rPr>
            </w:pPr>
            <w:r w:rsidRPr="00631E19">
              <w:rPr>
                <w:lang w:eastAsia="zh-CN"/>
              </w:rPr>
              <w:t>Relevant Recommendation:</w:t>
            </w:r>
          </w:p>
        </w:tc>
        <w:tc>
          <w:tcPr>
            <w:tcW w:w="2348" w:type="dxa"/>
          </w:tcPr>
          <w:p w:rsidR="005A41A0" w:rsidRPr="00631E19" w:rsidRDefault="005A41A0" w:rsidP="00C94484">
            <w:pPr>
              <w:pStyle w:val="Tablehead"/>
              <w:spacing w:before="0" w:after="0"/>
              <w:rPr>
                <w:lang w:eastAsia="zh-CN"/>
              </w:rPr>
            </w:pPr>
            <w:r w:rsidRPr="00631E19">
              <w:rPr>
                <w:lang w:eastAsia="zh-CN"/>
              </w:rPr>
              <w:t>Relevant Report</w:t>
            </w:r>
          </w:p>
        </w:tc>
      </w:tr>
      <w:tr w:rsidR="005A41A0" w:rsidRPr="00631E19" w:rsidTr="00C94484">
        <w:trPr>
          <w:jc w:val="center"/>
        </w:trPr>
        <w:tc>
          <w:tcPr>
            <w:tcW w:w="2110" w:type="dxa"/>
          </w:tcPr>
          <w:p w:rsidR="005A41A0" w:rsidRPr="00631E19" w:rsidRDefault="005A41A0" w:rsidP="00C94484">
            <w:pPr>
              <w:pStyle w:val="Tabletext"/>
              <w:spacing w:before="0" w:after="0"/>
              <w:rPr>
                <w:lang w:eastAsia="zh-CN"/>
              </w:rPr>
            </w:pPr>
            <w:r w:rsidRPr="00631E19">
              <w:rPr>
                <w:lang w:eastAsia="zh-CN"/>
              </w:rPr>
              <w:t>Radiolocation</w:t>
            </w:r>
          </w:p>
        </w:tc>
        <w:tc>
          <w:tcPr>
            <w:tcW w:w="4253" w:type="dxa"/>
          </w:tcPr>
          <w:p w:rsidR="005A41A0" w:rsidRPr="00631E19" w:rsidRDefault="005A41A0" w:rsidP="00C94484">
            <w:pPr>
              <w:pStyle w:val="Tabletext"/>
              <w:keepLines/>
              <w:tabs>
                <w:tab w:val="left" w:leader="dot" w:pos="7938"/>
                <w:tab w:val="center" w:pos="9526"/>
              </w:tabs>
              <w:spacing w:before="0" w:after="0"/>
              <w:ind w:left="567" w:hanging="567"/>
            </w:pPr>
            <w:r w:rsidRPr="00631E19">
              <w:t>Recommendation ITU-R M.1730</w:t>
            </w:r>
          </w:p>
          <w:p w:rsidR="005A41A0" w:rsidRPr="00631E19" w:rsidRDefault="005A41A0" w:rsidP="00C94484">
            <w:pPr>
              <w:pStyle w:val="Tabletext"/>
              <w:spacing w:before="0" w:after="0"/>
            </w:pPr>
            <w:r w:rsidRPr="00631E19">
              <w:t>Recommendation ITU-R M.1461</w:t>
            </w:r>
          </w:p>
          <w:p w:rsidR="005A41A0" w:rsidRPr="00631E19" w:rsidRDefault="005A41A0" w:rsidP="00C94484">
            <w:pPr>
              <w:pStyle w:val="Tabletext"/>
              <w:spacing w:before="0" w:after="0"/>
              <w:rPr>
                <w:rFonts w:ascii="TimesNewRoman" w:hAnsi="TimesNewRoman" w:cs="TimesNewRoman"/>
              </w:rPr>
            </w:pPr>
            <w:r w:rsidRPr="00631E19">
              <w:t>Recommendation ITU-R M.1851</w:t>
            </w:r>
          </w:p>
        </w:tc>
        <w:tc>
          <w:tcPr>
            <w:tcW w:w="2348" w:type="dxa"/>
          </w:tcPr>
          <w:p w:rsidR="005A41A0" w:rsidRPr="00631E19" w:rsidRDefault="005A41A0" w:rsidP="00C94484">
            <w:pPr>
              <w:pStyle w:val="Tabletext"/>
              <w:spacing w:before="0" w:after="0"/>
            </w:pPr>
            <w:r w:rsidRPr="00631E19">
              <w:t>Report ITU-R М.2221</w:t>
            </w:r>
          </w:p>
          <w:p w:rsidR="005A41A0" w:rsidRPr="00631E19" w:rsidRDefault="005A41A0" w:rsidP="00C94484">
            <w:pPr>
              <w:pStyle w:val="Tabletext"/>
              <w:spacing w:before="0" w:after="0"/>
            </w:pPr>
            <w:r w:rsidRPr="00631E19">
              <w:t>Report ITU-R М.2170</w:t>
            </w:r>
          </w:p>
        </w:tc>
      </w:tr>
      <w:tr w:rsidR="005A41A0" w:rsidRPr="00631E19" w:rsidTr="00C94484">
        <w:trPr>
          <w:jc w:val="center"/>
        </w:trPr>
        <w:tc>
          <w:tcPr>
            <w:tcW w:w="2110" w:type="dxa"/>
          </w:tcPr>
          <w:p w:rsidR="005A41A0" w:rsidRPr="00631E19" w:rsidRDefault="005A41A0" w:rsidP="00C94484">
            <w:pPr>
              <w:pStyle w:val="Tabletext"/>
              <w:spacing w:before="0" w:after="0"/>
              <w:rPr>
                <w:lang w:eastAsia="zh-CN"/>
              </w:rPr>
            </w:pPr>
            <w:r w:rsidRPr="00631E19">
              <w:rPr>
                <w:lang w:eastAsia="zh-CN"/>
              </w:rPr>
              <w:t>Aeronautical Radionavigation</w:t>
            </w:r>
          </w:p>
        </w:tc>
        <w:tc>
          <w:tcPr>
            <w:tcW w:w="4253" w:type="dxa"/>
          </w:tcPr>
          <w:p w:rsidR="005A41A0" w:rsidRPr="00631E19" w:rsidRDefault="005A41A0" w:rsidP="00C94484">
            <w:pPr>
              <w:pStyle w:val="Tabletext"/>
              <w:spacing w:before="0" w:after="0"/>
              <w:rPr>
                <w:lang w:eastAsia="zh-CN"/>
              </w:rPr>
            </w:pPr>
            <w:r w:rsidRPr="00631E19">
              <w:rPr>
                <w:lang w:eastAsia="zh-CN"/>
              </w:rPr>
              <w:t>Recommendation ITU-R S.1340</w:t>
            </w:r>
          </w:p>
        </w:tc>
        <w:tc>
          <w:tcPr>
            <w:tcW w:w="2348" w:type="dxa"/>
          </w:tcPr>
          <w:p w:rsidR="005A41A0" w:rsidRPr="00631E19" w:rsidRDefault="005A41A0" w:rsidP="00C94484">
            <w:pPr>
              <w:pStyle w:val="Tabletext"/>
              <w:spacing w:before="0" w:after="0"/>
            </w:pPr>
            <w:r w:rsidRPr="00631E19">
              <w:t>Report ITU-R М.2221</w:t>
            </w:r>
          </w:p>
          <w:p w:rsidR="005A41A0" w:rsidRPr="00631E19" w:rsidRDefault="005A41A0" w:rsidP="00C94484">
            <w:pPr>
              <w:pStyle w:val="Tabletext"/>
              <w:keepLines/>
              <w:tabs>
                <w:tab w:val="left" w:leader="dot" w:pos="7938"/>
                <w:tab w:val="center" w:pos="9526"/>
              </w:tabs>
              <w:spacing w:before="0" w:after="0"/>
              <w:ind w:left="567" w:hanging="567"/>
            </w:pPr>
            <w:r w:rsidRPr="00631E19">
              <w:t>Report ITU-R M.2230</w:t>
            </w:r>
          </w:p>
        </w:tc>
      </w:tr>
      <w:tr w:rsidR="005A41A0" w:rsidRPr="00631E19" w:rsidTr="00C94484">
        <w:trPr>
          <w:jc w:val="center"/>
        </w:trPr>
        <w:tc>
          <w:tcPr>
            <w:tcW w:w="2110" w:type="dxa"/>
          </w:tcPr>
          <w:p w:rsidR="005A41A0" w:rsidRPr="00631E19" w:rsidRDefault="005A41A0" w:rsidP="00C94484">
            <w:pPr>
              <w:pStyle w:val="Tabletext"/>
              <w:spacing w:before="0" w:after="0"/>
              <w:rPr>
                <w:lang w:eastAsia="zh-CN"/>
              </w:rPr>
            </w:pPr>
            <w:proofErr w:type="spellStart"/>
            <w:r w:rsidRPr="00631E19">
              <w:rPr>
                <w:lang w:eastAsia="zh-CN"/>
              </w:rPr>
              <w:t>Radioastronomy</w:t>
            </w:r>
            <w:proofErr w:type="spellEnd"/>
          </w:p>
        </w:tc>
        <w:tc>
          <w:tcPr>
            <w:tcW w:w="4253" w:type="dxa"/>
          </w:tcPr>
          <w:p w:rsidR="005A41A0" w:rsidRPr="00631E19" w:rsidRDefault="005A41A0" w:rsidP="00C94484">
            <w:pPr>
              <w:pStyle w:val="Tabletext"/>
              <w:keepLines/>
              <w:tabs>
                <w:tab w:val="left" w:leader="dot" w:pos="7938"/>
                <w:tab w:val="center" w:pos="9526"/>
              </w:tabs>
              <w:spacing w:before="0" w:after="0"/>
              <w:ind w:left="567" w:hanging="567"/>
            </w:pPr>
            <w:r w:rsidRPr="00631E19">
              <w:t>Report ITU-R RA.769</w:t>
            </w:r>
          </w:p>
        </w:tc>
        <w:tc>
          <w:tcPr>
            <w:tcW w:w="2348" w:type="dxa"/>
          </w:tcPr>
          <w:p w:rsidR="005A41A0" w:rsidRPr="00631E19" w:rsidRDefault="005A41A0" w:rsidP="00C94484">
            <w:pPr>
              <w:pStyle w:val="Tabletext"/>
              <w:spacing w:before="0" w:after="0"/>
            </w:pPr>
            <w:r w:rsidRPr="00631E19">
              <w:t>Report ITU-R М.2170</w:t>
            </w:r>
          </w:p>
          <w:p w:rsidR="005A41A0" w:rsidRPr="00631E19" w:rsidRDefault="005A41A0" w:rsidP="00C94484">
            <w:pPr>
              <w:pStyle w:val="Tabletext"/>
              <w:spacing w:before="0" w:after="0"/>
              <w:rPr>
                <w:lang w:eastAsia="zh-CN"/>
              </w:rPr>
            </w:pPr>
            <w:r w:rsidRPr="00631E19">
              <w:t>Report ITU-R М.2221</w:t>
            </w:r>
          </w:p>
        </w:tc>
      </w:tr>
      <w:tr w:rsidR="005A41A0" w:rsidRPr="00631E19" w:rsidTr="00C94484">
        <w:trPr>
          <w:jc w:val="center"/>
        </w:trPr>
        <w:tc>
          <w:tcPr>
            <w:tcW w:w="2110" w:type="dxa"/>
          </w:tcPr>
          <w:p w:rsidR="005A41A0" w:rsidRPr="00631E19" w:rsidRDefault="005A41A0" w:rsidP="00C94484">
            <w:pPr>
              <w:pStyle w:val="Tabletext"/>
              <w:spacing w:before="0" w:after="0"/>
              <w:rPr>
                <w:lang w:eastAsia="zh-CN"/>
              </w:rPr>
            </w:pPr>
            <w:r w:rsidRPr="00631E19">
              <w:rPr>
                <w:lang w:eastAsia="zh-CN"/>
              </w:rPr>
              <w:t>Fixed-satellite</w:t>
            </w:r>
          </w:p>
        </w:tc>
        <w:tc>
          <w:tcPr>
            <w:tcW w:w="4253" w:type="dxa"/>
          </w:tcPr>
          <w:p w:rsidR="005A41A0" w:rsidRPr="00631E19" w:rsidRDefault="005A41A0" w:rsidP="00C94484">
            <w:pPr>
              <w:pStyle w:val="Tabletext"/>
              <w:spacing w:before="0" w:after="0"/>
              <w:rPr>
                <w:lang w:eastAsia="zh-CN"/>
              </w:rPr>
            </w:pPr>
            <w:r w:rsidRPr="00631E19">
              <w:rPr>
                <w:lang w:eastAsia="zh-CN"/>
              </w:rPr>
              <w:t>Recommendation ITU-R S.1340</w:t>
            </w:r>
          </w:p>
        </w:tc>
        <w:tc>
          <w:tcPr>
            <w:tcW w:w="2348" w:type="dxa"/>
          </w:tcPr>
          <w:p w:rsidR="005A41A0" w:rsidRPr="00631E19" w:rsidRDefault="005A41A0" w:rsidP="00C94484">
            <w:pPr>
              <w:pStyle w:val="Tabletext"/>
              <w:spacing w:before="0" w:after="0"/>
              <w:rPr>
                <w:lang w:eastAsia="ko-KR"/>
              </w:rPr>
            </w:pPr>
          </w:p>
        </w:tc>
      </w:tr>
    </w:tbl>
    <w:p w:rsidR="005A41A0" w:rsidRPr="00631E19" w:rsidRDefault="005A41A0" w:rsidP="00640DC4">
      <w:pPr>
        <w:pStyle w:val="Note"/>
        <w:spacing w:before="0"/>
        <w:ind w:left="480"/>
        <w:jc w:val="left"/>
        <w:rPr>
          <w:sz w:val="24"/>
          <w:szCs w:val="24"/>
          <w:lang w:val="en-GB"/>
        </w:rPr>
      </w:pPr>
    </w:p>
    <w:p w:rsidR="00C017A4" w:rsidRPr="00631E19" w:rsidRDefault="00C017A4" w:rsidP="000D0239">
      <w:pPr>
        <w:ind w:left="360"/>
        <w:rPr>
          <w:lang w:val="en-GB"/>
        </w:rPr>
      </w:pPr>
    </w:p>
    <w:p w:rsidR="000D0239" w:rsidRPr="00631E19" w:rsidRDefault="000D0239" w:rsidP="000D4BDA">
      <w:pPr>
        <w:numPr>
          <w:ilvl w:val="1"/>
          <w:numId w:val="42"/>
        </w:numPr>
        <w:ind w:left="851" w:hanging="425"/>
        <w:rPr>
          <w:b/>
          <w:lang w:val="en-GB"/>
        </w:rPr>
      </w:pPr>
      <w:r w:rsidRPr="00631E19">
        <w:rPr>
          <w:b/>
          <w:lang w:val="en-GB"/>
        </w:rPr>
        <w:t>Frequency band: 15.43-15.63 GHz</w:t>
      </w:r>
    </w:p>
    <w:p w:rsidR="000D0239" w:rsidRPr="00631E19" w:rsidRDefault="000D0239" w:rsidP="000D0239">
      <w:pPr>
        <w:ind w:left="360"/>
        <w:rPr>
          <w:lang w:val="en-GB"/>
        </w:rPr>
      </w:pPr>
    </w:p>
    <w:p w:rsidR="000D0239" w:rsidRPr="00631E19" w:rsidRDefault="000D0239" w:rsidP="000D0239">
      <w:pPr>
        <w:pStyle w:val="Tabletitle"/>
        <w:spacing w:after="0"/>
        <w:ind w:left="426"/>
        <w:jc w:val="left"/>
        <w:rPr>
          <w:rFonts w:ascii="Times New Roman" w:hAnsi="Times New Roman"/>
          <w:b w:val="0"/>
          <w:sz w:val="24"/>
          <w:szCs w:val="24"/>
        </w:rPr>
      </w:pPr>
      <w:r w:rsidRPr="00631E19">
        <w:rPr>
          <w:rFonts w:ascii="Times New Roman" w:hAnsi="Times New Roman"/>
          <w:b w:val="0"/>
          <w:sz w:val="24"/>
          <w:szCs w:val="24"/>
        </w:rPr>
        <w:t xml:space="preserve">The band is allocated to the aeronautical </w:t>
      </w:r>
      <w:proofErr w:type="spellStart"/>
      <w:r w:rsidRPr="00631E19">
        <w:rPr>
          <w:rFonts w:ascii="Times New Roman" w:hAnsi="Times New Roman"/>
          <w:b w:val="0"/>
          <w:sz w:val="24"/>
          <w:szCs w:val="24"/>
        </w:rPr>
        <w:t>radionavigation</w:t>
      </w:r>
      <w:proofErr w:type="spellEnd"/>
      <w:r w:rsidRPr="00631E19">
        <w:rPr>
          <w:rFonts w:ascii="Times New Roman" w:hAnsi="Times New Roman"/>
          <w:b w:val="0"/>
          <w:sz w:val="24"/>
          <w:szCs w:val="24"/>
        </w:rPr>
        <w:t xml:space="preserve"> service (ARNS) and radiolocation service on a primary basis. The band is also allocated to the FSS (Earth-to-space and space-to-Earth), limited to use for the feeder links of non-geostationary systems in the MSS through RR No. 5.511A.</w:t>
      </w:r>
    </w:p>
    <w:p w:rsidR="000D0239" w:rsidRPr="00631E19" w:rsidRDefault="000D0239" w:rsidP="000D0239">
      <w:pPr>
        <w:pStyle w:val="Tabletitle"/>
        <w:spacing w:after="0"/>
        <w:ind w:left="426"/>
        <w:jc w:val="left"/>
        <w:rPr>
          <w:rFonts w:ascii="Times New Roman" w:hAnsi="Times New Roman"/>
          <w:b w:val="0"/>
          <w:sz w:val="24"/>
          <w:szCs w:val="24"/>
        </w:rPr>
      </w:pPr>
    </w:p>
    <w:p w:rsidR="000D0239" w:rsidRPr="00631E19" w:rsidRDefault="000D0239" w:rsidP="000D0239">
      <w:pPr>
        <w:pStyle w:val="Tabletitle"/>
        <w:spacing w:after="0"/>
        <w:ind w:left="426"/>
        <w:jc w:val="left"/>
        <w:rPr>
          <w:rFonts w:ascii="Times New Roman" w:hAnsi="Times New Roman"/>
          <w:b w:val="0"/>
          <w:sz w:val="24"/>
          <w:szCs w:val="24"/>
        </w:rPr>
      </w:pPr>
      <w:r w:rsidRPr="00631E19">
        <w:rPr>
          <w:rFonts w:ascii="Times New Roman" w:hAnsi="Times New Roman"/>
          <w:b w:val="0"/>
          <w:sz w:val="24"/>
          <w:szCs w:val="24"/>
        </w:rPr>
        <w:t xml:space="preserve">The allocations in this band according to RR Article </w:t>
      </w:r>
      <w:r w:rsidRPr="00631E19">
        <w:rPr>
          <w:rFonts w:ascii="Times New Roman" w:hAnsi="Times New Roman"/>
          <w:b w:val="0"/>
          <w:bCs/>
          <w:sz w:val="24"/>
          <w:szCs w:val="24"/>
        </w:rPr>
        <w:t>5</w:t>
      </w:r>
      <w:r w:rsidRPr="00631E19">
        <w:rPr>
          <w:rFonts w:ascii="Times New Roman" w:hAnsi="Times New Roman"/>
          <w:b w:val="0"/>
          <w:sz w:val="24"/>
          <w:szCs w:val="24"/>
        </w:rPr>
        <w:t xml:space="preserve"> are as shown below:</w:t>
      </w:r>
    </w:p>
    <w:p w:rsidR="000D0239" w:rsidRPr="00631E19" w:rsidRDefault="000D0239" w:rsidP="000D0239">
      <w:pPr>
        <w:rPr>
          <w:lang w:val="en-GB"/>
        </w:rPr>
      </w:pPr>
    </w:p>
    <w:tbl>
      <w:tblPr>
        <w:tblW w:w="898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0D0239" w:rsidRPr="00631E19" w:rsidTr="00833ED0">
        <w:tc>
          <w:tcPr>
            <w:tcW w:w="8982" w:type="dxa"/>
          </w:tcPr>
          <w:p w:rsidR="000D0239" w:rsidRPr="00631E19" w:rsidRDefault="000D0239" w:rsidP="00833ED0">
            <w:pPr>
              <w:numPr>
                <w:ilvl w:val="3"/>
                <w:numId w:val="11"/>
              </w:numPr>
              <w:tabs>
                <w:tab w:val="clear" w:pos="2595"/>
                <w:tab w:val="num" w:pos="2268"/>
              </w:tabs>
              <w:jc w:val="both"/>
              <w:rPr>
                <w:lang w:val="en-GB"/>
              </w:rPr>
            </w:pPr>
            <w:r w:rsidRPr="00631E19">
              <w:rPr>
                <w:lang w:val="en-GB"/>
              </w:rPr>
              <w:t>FIXED-SATELLITE (Earth-to-space) 5.511A</w:t>
            </w:r>
          </w:p>
          <w:p w:rsidR="000D0239" w:rsidRPr="00631E19" w:rsidRDefault="000D0239" w:rsidP="00833ED0">
            <w:pPr>
              <w:tabs>
                <w:tab w:val="num" w:pos="3555"/>
              </w:tabs>
              <w:ind w:firstLine="2256"/>
              <w:jc w:val="both"/>
              <w:rPr>
                <w:lang w:val="en-GB"/>
              </w:rPr>
            </w:pPr>
            <w:r w:rsidRPr="00631E19">
              <w:rPr>
                <w:szCs w:val="22"/>
                <w:lang w:val="en-GB"/>
              </w:rPr>
              <w:t>RADIOLOCATION 5.511E 5.511F</w:t>
            </w:r>
          </w:p>
          <w:p w:rsidR="000D0239" w:rsidRPr="00631E19" w:rsidRDefault="000D0239" w:rsidP="00833ED0">
            <w:pPr>
              <w:ind w:firstLine="2256"/>
              <w:jc w:val="both"/>
              <w:rPr>
                <w:lang w:val="en-GB"/>
              </w:rPr>
            </w:pPr>
            <w:r w:rsidRPr="00631E19">
              <w:rPr>
                <w:lang w:val="en-GB"/>
              </w:rPr>
              <w:t>AERONAUTICAL RADIONAVIGATION</w:t>
            </w:r>
          </w:p>
          <w:p w:rsidR="000D0239" w:rsidRPr="00631E19" w:rsidRDefault="000D0239" w:rsidP="00833ED0">
            <w:pPr>
              <w:jc w:val="both"/>
              <w:rPr>
                <w:lang w:val="en-GB"/>
              </w:rPr>
            </w:pPr>
            <w:r w:rsidRPr="00631E19">
              <w:rPr>
                <w:lang w:val="en-GB"/>
              </w:rPr>
              <w:tab/>
            </w:r>
            <w:r w:rsidRPr="00631E19">
              <w:rPr>
                <w:lang w:val="en-GB"/>
              </w:rPr>
              <w:tab/>
            </w:r>
            <w:r w:rsidRPr="00631E19">
              <w:rPr>
                <w:lang w:val="en-GB"/>
              </w:rPr>
              <w:tab/>
              <w:t xml:space="preserve">  5.511C</w:t>
            </w:r>
          </w:p>
        </w:tc>
      </w:tr>
    </w:tbl>
    <w:p w:rsidR="000D0239" w:rsidRPr="00631E19" w:rsidRDefault="000D0239" w:rsidP="000D0239">
      <w:pPr>
        <w:ind w:left="360"/>
        <w:rPr>
          <w:b/>
          <w:bCs/>
          <w:lang w:val="en-GB"/>
        </w:rPr>
      </w:pPr>
    </w:p>
    <w:p w:rsidR="000D0239" w:rsidRPr="00631E19" w:rsidRDefault="000D0239" w:rsidP="000D0239">
      <w:pPr>
        <w:ind w:left="360"/>
        <w:rPr>
          <w:lang w:val="en-GB"/>
        </w:rPr>
      </w:pPr>
      <w:r w:rsidRPr="00631E19">
        <w:rPr>
          <w:b/>
          <w:bCs/>
          <w:lang w:val="en-GB"/>
        </w:rPr>
        <w:t>5.511A</w:t>
      </w:r>
      <w:r w:rsidRPr="00631E19">
        <w:rPr>
          <w:lang w:val="en-GB"/>
        </w:rPr>
        <w:t xml:space="preserve"> </w:t>
      </w:r>
      <w:r w:rsidRPr="00631E19">
        <w:rPr>
          <w:lang w:val="en-GB"/>
        </w:rPr>
        <w:tab/>
        <w:t>The band 15.43-15.63 GHz is also allocated to the fixed-satellite service (space</w:t>
      </w:r>
      <w:r w:rsidRPr="00631E19">
        <w:rPr>
          <w:lang w:val="en-GB"/>
        </w:rPr>
        <w:noBreakHyphen/>
        <w:t>to</w:t>
      </w:r>
      <w:r w:rsidRPr="00631E19">
        <w:rPr>
          <w:lang w:val="en-GB"/>
        </w:rPr>
        <w:noBreakHyphen/>
        <w:t xml:space="preserve">Earth) on a primary basis. Use of the band 15.43-15.63 GHz by the fixed-satellite service (space-to-Earth and Earth-to-space) is limited to feeder links of non-geostationary systems in the mobile-satellite service, subject to coordination under No. </w:t>
      </w:r>
      <w:r w:rsidRPr="00631E19">
        <w:rPr>
          <w:b/>
          <w:bCs/>
          <w:lang w:val="en-GB"/>
        </w:rPr>
        <w:t>9.11A</w:t>
      </w:r>
      <w:r w:rsidRPr="00631E19">
        <w:rPr>
          <w:lang w:val="en-GB"/>
        </w:rPr>
        <w:t>. The use of the frequency band 15.43-15.63 GHz by the fixed-satellite service (space-to-Earth) is limited to feeder links of non</w:t>
      </w:r>
      <w:r w:rsidRPr="00631E19">
        <w:rPr>
          <w:lang w:val="en-GB"/>
        </w:rPr>
        <w:noBreakHyphen/>
        <w:t>geostationary systems in the mobile-satellite service for which advance publication information has been received by the Bureau prior to 2 June 2000. In the space-to-Earth direction, the minimum earth station elevation angle above and gain towards the local horizontal plane and the minimum coordination distances to protect an earth station from harmful interference shall be in accordance with Recommendation ITU-R S.1341. In order to protect the radio astronomy service in the band 15.35-15.4 GHz, the aggregate power flux-density radiated in the 15.35-15.4 GHz band by all the space stations within any feeder-link of a non-geostationary system in the mobile-satellite service (space-to-Earth) operating in the 15.43-15.63 GHz band shall not exceed the level of −156 dB(W/m2) in a 50 MHz bandwidth, into any radio astronomy observatory site for more than 2% of the time. (WRC-2000)</w:t>
      </w:r>
    </w:p>
    <w:p w:rsidR="000D0239" w:rsidRPr="00631E19" w:rsidRDefault="000D0239" w:rsidP="000D0239">
      <w:pPr>
        <w:ind w:left="360"/>
        <w:rPr>
          <w:lang w:val="en-GB"/>
        </w:rPr>
      </w:pPr>
    </w:p>
    <w:p w:rsidR="000D0239" w:rsidRPr="00631E19" w:rsidRDefault="000D0239" w:rsidP="000D0239">
      <w:pPr>
        <w:autoSpaceDE w:val="0"/>
        <w:autoSpaceDN w:val="0"/>
        <w:adjustRightInd w:val="0"/>
        <w:ind w:left="360"/>
        <w:rPr>
          <w:rFonts w:eastAsia="Batang"/>
          <w:lang w:val="en-GB" w:eastAsia="zh-CN"/>
        </w:rPr>
      </w:pPr>
      <w:r w:rsidRPr="00631E19">
        <w:rPr>
          <w:rFonts w:eastAsia="Batang"/>
          <w:b/>
          <w:bCs/>
          <w:lang w:val="en-GB" w:eastAsia="zh-CN"/>
        </w:rPr>
        <w:t>5.511E</w:t>
      </w:r>
      <w:r w:rsidRPr="00631E19">
        <w:rPr>
          <w:lang w:val="en-GB"/>
        </w:rPr>
        <w:tab/>
      </w:r>
      <w:r w:rsidRPr="00631E19">
        <w:rPr>
          <w:rFonts w:eastAsia="Batang"/>
          <w:lang w:val="en-GB" w:eastAsia="zh-CN"/>
        </w:rPr>
        <w:t>In the frequency band 15.4-15.7 GHz, stations operating in the radiolocation service shall not cause harmful interference to, or claim protection from, stations operating in the aeronautical radionavigation service. (WRC-12)</w:t>
      </w:r>
    </w:p>
    <w:p w:rsidR="000D0239" w:rsidRPr="00631E19" w:rsidRDefault="000D0239" w:rsidP="000D0239">
      <w:pPr>
        <w:autoSpaceDE w:val="0"/>
        <w:autoSpaceDN w:val="0"/>
        <w:adjustRightInd w:val="0"/>
        <w:ind w:left="360"/>
        <w:rPr>
          <w:rFonts w:eastAsia="Batang"/>
          <w:lang w:val="en-GB" w:eastAsia="zh-CN"/>
        </w:rPr>
      </w:pPr>
    </w:p>
    <w:p w:rsidR="000D0239" w:rsidRPr="00631E19" w:rsidRDefault="000D0239" w:rsidP="000D0239">
      <w:pPr>
        <w:autoSpaceDE w:val="0"/>
        <w:autoSpaceDN w:val="0"/>
        <w:adjustRightInd w:val="0"/>
        <w:ind w:left="360"/>
        <w:rPr>
          <w:rFonts w:eastAsia="Batang"/>
          <w:lang w:val="en-GB" w:eastAsia="zh-CN"/>
        </w:rPr>
      </w:pPr>
      <w:r w:rsidRPr="00631E19">
        <w:rPr>
          <w:rFonts w:eastAsia="Batang"/>
          <w:b/>
          <w:bCs/>
          <w:lang w:val="en-GB" w:eastAsia="zh-CN"/>
        </w:rPr>
        <w:t>5.511F</w:t>
      </w:r>
      <w:r w:rsidRPr="00631E19">
        <w:rPr>
          <w:rFonts w:eastAsia="Batang"/>
          <w:lang w:val="en-GB" w:eastAsia="zh-CN"/>
        </w:rPr>
        <w:tab/>
        <w:t xml:space="preserve"> In order to protect the radio astronomy service in the frequency band 15.35-15.4 GHz, radiolocation stations operating in the frequency band 15.4-15.7 GHz shall not exceed the power flux-density level of −156 </w:t>
      </w:r>
      <w:proofErr w:type="gramStart"/>
      <w:r w:rsidRPr="00631E19">
        <w:rPr>
          <w:rFonts w:eastAsia="Batang"/>
          <w:lang w:val="en-GB" w:eastAsia="zh-CN"/>
        </w:rPr>
        <w:t>dB(</w:t>
      </w:r>
      <w:proofErr w:type="gramEnd"/>
      <w:r w:rsidRPr="00631E19">
        <w:rPr>
          <w:rFonts w:eastAsia="Batang"/>
          <w:lang w:val="en-GB" w:eastAsia="zh-CN"/>
        </w:rPr>
        <w:t>W/m2) in a 50 MHz bandwidth in the frequency band 15.35-15.4 GHz, at any radio astronomy observatory site for more than 2 per cent of the time. (WRC-12)</w:t>
      </w:r>
    </w:p>
    <w:p w:rsidR="000D0239" w:rsidRPr="00631E19" w:rsidRDefault="000D0239" w:rsidP="000D0239">
      <w:pPr>
        <w:ind w:left="360"/>
        <w:rPr>
          <w:lang w:val="en-GB"/>
        </w:rPr>
      </w:pPr>
    </w:p>
    <w:p w:rsidR="000D0239" w:rsidRPr="00631E19" w:rsidRDefault="000D0239" w:rsidP="000D0239">
      <w:pPr>
        <w:pStyle w:val="Note"/>
        <w:tabs>
          <w:tab w:val="clear" w:pos="1134"/>
          <w:tab w:val="left" w:pos="1440"/>
        </w:tabs>
        <w:spacing w:before="0"/>
        <w:ind w:left="360"/>
        <w:rPr>
          <w:lang w:val="en-GB"/>
        </w:rPr>
      </w:pPr>
      <w:r w:rsidRPr="00631E19">
        <w:rPr>
          <w:b/>
          <w:bCs/>
          <w:sz w:val="24"/>
          <w:szCs w:val="24"/>
          <w:lang w:val="en-GB"/>
        </w:rPr>
        <w:t>5.511C</w:t>
      </w:r>
      <w:r w:rsidRPr="00631E19">
        <w:rPr>
          <w:sz w:val="24"/>
          <w:szCs w:val="24"/>
          <w:lang w:val="en-GB"/>
        </w:rPr>
        <w:t xml:space="preserve"> </w:t>
      </w:r>
      <w:r w:rsidRPr="00631E19">
        <w:rPr>
          <w:sz w:val="24"/>
          <w:szCs w:val="24"/>
          <w:lang w:val="en-GB"/>
        </w:rPr>
        <w:tab/>
        <w:t xml:space="preserve">Stations operating in the aeronautical radionavigation service shall limit the effective e.i.r.p. in accordance with Recommendation ITU-R S.1340. The minimum coordination distance required to protect the aeronautical radionavigation stations (No. </w:t>
      </w:r>
      <w:r w:rsidRPr="00631E19">
        <w:rPr>
          <w:b/>
          <w:bCs/>
          <w:sz w:val="24"/>
          <w:szCs w:val="24"/>
          <w:lang w:val="en-GB"/>
        </w:rPr>
        <w:t>4.10</w:t>
      </w:r>
      <w:r w:rsidRPr="00631E19">
        <w:rPr>
          <w:sz w:val="24"/>
          <w:szCs w:val="24"/>
          <w:lang w:val="en-GB"/>
        </w:rPr>
        <w:t xml:space="preserve"> applies) from harmful interference from feeder-link earth stations and the maximum e.i.r.p. transmitted towards the local horizontal plane by a feeder-link earth station shall be in accordance with Recommendation ITU-R S.1340. (WRC-97)</w:t>
      </w:r>
    </w:p>
    <w:p w:rsidR="000D0239" w:rsidRPr="00631E19" w:rsidRDefault="000D0239" w:rsidP="000D0239">
      <w:pPr>
        <w:ind w:left="360"/>
        <w:rPr>
          <w:lang w:val="en-GB"/>
        </w:rPr>
      </w:pPr>
    </w:p>
    <w:p w:rsidR="004D546E" w:rsidRPr="00631E19" w:rsidRDefault="004D546E" w:rsidP="004D546E">
      <w:pPr>
        <w:rPr>
          <w:lang w:val="en-GB" w:eastAsia="ko-KR"/>
        </w:rPr>
      </w:pPr>
      <w:r w:rsidRPr="00631E19">
        <w:rPr>
          <w:lang w:val="en-GB"/>
        </w:rPr>
        <w:t>A list of relevant</w:t>
      </w:r>
      <w:r w:rsidRPr="00631E19">
        <w:rPr>
          <w:lang w:val="en-GB" w:eastAsia="ko-KR"/>
        </w:rPr>
        <w:t xml:space="preserve"> ITU-R</w:t>
      </w:r>
      <w:r w:rsidRPr="00631E19">
        <w:rPr>
          <w:lang w:val="en-GB"/>
        </w:rPr>
        <w:t xml:space="preserve"> Recommendations</w:t>
      </w:r>
      <w:r w:rsidRPr="00631E19">
        <w:rPr>
          <w:lang w:val="en-GB" w:eastAsia="ko-KR"/>
        </w:rPr>
        <w:t xml:space="preserve"> and Reports</w:t>
      </w:r>
      <w:r w:rsidRPr="00631E19">
        <w:rPr>
          <w:lang w:val="en-GB"/>
        </w:rPr>
        <w:t xml:space="preserve"> that may be useful for sharing studies is summarized in Table </w:t>
      </w:r>
      <w:r w:rsidRPr="00631E19">
        <w:rPr>
          <w:lang w:val="en-GB" w:eastAsia="ko-KR"/>
        </w:rPr>
        <w:t>10.</w:t>
      </w:r>
    </w:p>
    <w:p w:rsidR="004D546E" w:rsidRPr="00631E19" w:rsidRDefault="004D546E" w:rsidP="000D0239">
      <w:pPr>
        <w:ind w:left="360"/>
        <w:rPr>
          <w:lang w:val="en-GB"/>
        </w:rPr>
      </w:pPr>
    </w:p>
    <w:p w:rsidR="004D546E" w:rsidRPr="00631E19" w:rsidRDefault="004D546E" w:rsidP="004D546E">
      <w:pPr>
        <w:pStyle w:val="TableNo"/>
        <w:spacing w:before="240"/>
        <w:rPr>
          <w:lang w:eastAsia="ko-KR"/>
        </w:rPr>
      </w:pPr>
      <w:r w:rsidRPr="00631E19">
        <w:t xml:space="preserve">Table </w:t>
      </w:r>
      <w:r w:rsidR="00565423" w:rsidRPr="00631E19">
        <w:rPr>
          <w:lang w:eastAsia="ko-KR"/>
        </w:rPr>
        <w:t>10</w:t>
      </w:r>
    </w:p>
    <w:p w:rsidR="004D546E" w:rsidRPr="00631E19" w:rsidRDefault="004D546E" w:rsidP="004D546E">
      <w:pPr>
        <w:pStyle w:val="Tabletitle"/>
        <w:rPr>
          <w:rFonts w:hint="eastAsia"/>
          <w:sz w:val="18"/>
          <w:szCs w:val="18"/>
        </w:rPr>
      </w:pPr>
      <w:r w:rsidRPr="00631E19">
        <w:t xml:space="preserve">Summary of relevant Recommendations/Reports that may be useful for </w:t>
      </w:r>
      <w:r w:rsidRPr="00631E19">
        <w:br/>
        <w:t>sharing studies in the band 15.4</w:t>
      </w:r>
      <w:r w:rsidR="00406A32" w:rsidRPr="00631E19">
        <w:t>3-15.6</w:t>
      </w:r>
      <w:r w:rsidRPr="00631E19">
        <w:t>3 GHz</w:t>
      </w:r>
    </w:p>
    <w:tbl>
      <w:tblPr>
        <w:tblW w:w="8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110"/>
        <w:gridCol w:w="4253"/>
        <w:gridCol w:w="2348"/>
      </w:tblGrid>
      <w:tr w:rsidR="004D546E" w:rsidRPr="00631E19" w:rsidTr="00DA6027">
        <w:trPr>
          <w:jc w:val="center"/>
        </w:trPr>
        <w:tc>
          <w:tcPr>
            <w:tcW w:w="2110" w:type="dxa"/>
          </w:tcPr>
          <w:p w:rsidR="004D546E" w:rsidRPr="00631E19" w:rsidRDefault="004D546E" w:rsidP="00DA6027">
            <w:pPr>
              <w:pStyle w:val="Tablehead"/>
              <w:spacing w:before="0" w:after="0"/>
              <w:rPr>
                <w:lang w:eastAsia="zh-CN"/>
              </w:rPr>
            </w:pPr>
            <w:r w:rsidRPr="00631E19">
              <w:rPr>
                <w:lang w:eastAsia="zh-CN"/>
              </w:rPr>
              <w:t>Service:</w:t>
            </w:r>
          </w:p>
        </w:tc>
        <w:tc>
          <w:tcPr>
            <w:tcW w:w="4253" w:type="dxa"/>
          </w:tcPr>
          <w:p w:rsidR="004D546E" w:rsidRPr="00631E19" w:rsidRDefault="004D546E" w:rsidP="00DA6027">
            <w:pPr>
              <w:pStyle w:val="Tablehead"/>
              <w:spacing w:before="0" w:after="0"/>
              <w:rPr>
                <w:lang w:eastAsia="zh-CN"/>
              </w:rPr>
            </w:pPr>
            <w:r w:rsidRPr="00631E19">
              <w:rPr>
                <w:lang w:eastAsia="zh-CN"/>
              </w:rPr>
              <w:t>Relevant Recommendation:</w:t>
            </w:r>
          </w:p>
        </w:tc>
        <w:tc>
          <w:tcPr>
            <w:tcW w:w="2348" w:type="dxa"/>
          </w:tcPr>
          <w:p w:rsidR="004D546E" w:rsidRPr="00631E19" w:rsidRDefault="004D546E" w:rsidP="00DA6027">
            <w:pPr>
              <w:pStyle w:val="Tablehead"/>
              <w:spacing w:before="0" w:after="0"/>
              <w:rPr>
                <w:lang w:eastAsia="zh-CN"/>
              </w:rPr>
            </w:pPr>
            <w:r w:rsidRPr="00631E19">
              <w:rPr>
                <w:lang w:eastAsia="zh-CN"/>
              </w:rPr>
              <w:t>Relevant Report</w:t>
            </w:r>
          </w:p>
        </w:tc>
      </w:tr>
      <w:tr w:rsidR="004D546E" w:rsidRPr="00631E19" w:rsidTr="00DA6027">
        <w:trPr>
          <w:jc w:val="center"/>
        </w:trPr>
        <w:tc>
          <w:tcPr>
            <w:tcW w:w="2110" w:type="dxa"/>
          </w:tcPr>
          <w:p w:rsidR="004D546E" w:rsidRPr="00631E19" w:rsidRDefault="004D546E" w:rsidP="00DA6027">
            <w:pPr>
              <w:pStyle w:val="Tabletext"/>
              <w:spacing w:before="0" w:after="0"/>
              <w:rPr>
                <w:lang w:eastAsia="zh-CN"/>
              </w:rPr>
            </w:pPr>
            <w:r w:rsidRPr="00631E19">
              <w:rPr>
                <w:lang w:eastAsia="zh-CN"/>
              </w:rPr>
              <w:t>Radiolocation</w:t>
            </w:r>
          </w:p>
        </w:tc>
        <w:tc>
          <w:tcPr>
            <w:tcW w:w="4253" w:type="dxa"/>
          </w:tcPr>
          <w:p w:rsidR="004D546E" w:rsidRPr="00631E19" w:rsidRDefault="004D546E" w:rsidP="00DA6027">
            <w:pPr>
              <w:pStyle w:val="Tabletext"/>
              <w:keepLines/>
              <w:tabs>
                <w:tab w:val="left" w:leader="dot" w:pos="7938"/>
                <w:tab w:val="center" w:pos="9526"/>
              </w:tabs>
              <w:spacing w:before="0" w:after="0"/>
              <w:ind w:left="567" w:hanging="567"/>
            </w:pPr>
            <w:r w:rsidRPr="00631E19">
              <w:t>Recommendation ITU-R M.1730</w:t>
            </w:r>
          </w:p>
          <w:p w:rsidR="004D546E" w:rsidRPr="00631E19" w:rsidRDefault="004D546E" w:rsidP="00DA6027">
            <w:pPr>
              <w:pStyle w:val="Tabletext"/>
              <w:spacing w:before="0" w:after="0"/>
            </w:pPr>
            <w:r w:rsidRPr="00631E19">
              <w:t>Recommendation ITU-R M.1461</w:t>
            </w:r>
          </w:p>
          <w:p w:rsidR="004D546E" w:rsidRPr="00631E19" w:rsidRDefault="004D546E" w:rsidP="00DA6027">
            <w:pPr>
              <w:pStyle w:val="Tabletext"/>
              <w:spacing w:before="0" w:after="0"/>
              <w:rPr>
                <w:rFonts w:ascii="TimesNewRoman" w:hAnsi="TimesNewRoman" w:cs="TimesNewRoman"/>
              </w:rPr>
            </w:pPr>
            <w:r w:rsidRPr="00631E19">
              <w:t>Recommendation ITU-R M.1851</w:t>
            </w:r>
          </w:p>
        </w:tc>
        <w:tc>
          <w:tcPr>
            <w:tcW w:w="2348" w:type="dxa"/>
          </w:tcPr>
          <w:p w:rsidR="004D546E" w:rsidRPr="00631E19" w:rsidRDefault="004D546E" w:rsidP="00DA6027">
            <w:pPr>
              <w:pStyle w:val="Tabletext"/>
              <w:spacing w:before="0" w:after="0"/>
            </w:pPr>
            <w:r w:rsidRPr="00631E19">
              <w:t>Report ITU-R М.2221</w:t>
            </w:r>
          </w:p>
          <w:p w:rsidR="004D546E" w:rsidRPr="00631E19" w:rsidRDefault="004D546E" w:rsidP="00DA6027">
            <w:pPr>
              <w:pStyle w:val="Tabletext"/>
              <w:spacing w:before="0" w:after="0"/>
            </w:pPr>
            <w:r w:rsidRPr="00631E19">
              <w:t>Report ITU-R М.2170</w:t>
            </w:r>
          </w:p>
        </w:tc>
      </w:tr>
      <w:tr w:rsidR="004D546E" w:rsidRPr="00631E19" w:rsidTr="00DA6027">
        <w:trPr>
          <w:jc w:val="center"/>
        </w:trPr>
        <w:tc>
          <w:tcPr>
            <w:tcW w:w="2110" w:type="dxa"/>
          </w:tcPr>
          <w:p w:rsidR="004D546E" w:rsidRPr="00631E19" w:rsidRDefault="004D546E" w:rsidP="00DA6027">
            <w:pPr>
              <w:pStyle w:val="Tabletext"/>
              <w:spacing w:before="0" w:after="0"/>
              <w:rPr>
                <w:lang w:eastAsia="zh-CN"/>
              </w:rPr>
            </w:pPr>
            <w:r w:rsidRPr="00631E19">
              <w:rPr>
                <w:lang w:eastAsia="zh-CN"/>
              </w:rPr>
              <w:t>Aeronautical Radionavigation</w:t>
            </w:r>
          </w:p>
        </w:tc>
        <w:tc>
          <w:tcPr>
            <w:tcW w:w="4253" w:type="dxa"/>
          </w:tcPr>
          <w:p w:rsidR="004D546E" w:rsidRPr="00631E19" w:rsidRDefault="004D546E" w:rsidP="00DA6027">
            <w:pPr>
              <w:pStyle w:val="Tabletext"/>
              <w:spacing w:before="0" w:after="0"/>
              <w:rPr>
                <w:lang w:eastAsia="zh-CN"/>
              </w:rPr>
            </w:pPr>
            <w:r w:rsidRPr="00631E19">
              <w:rPr>
                <w:lang w:eastAsia="zh-CN"/>
              </w:rPr>
              <w:t>Recommendation ITU-R S.1340</w:t>
            </w:r>
          </w:p>
        </w:tc>
        <w:tc>
          <w:tcPr>
            <w:tcW w:w="2348" w:type="dxa"/>
          </w:tcPr>
          <w:p w:rsidR="004D546E" w:rsidRPr="00631E19" w:rsidRDefault="004D546E" w:rsidP="00DA6027">
            <w:pPr>
              <w:pStyle w:val="Tabletext"/>
              <w:spacing w:before="0" w:after="0"/>
            </w:pPr>
            <w:r w:rsidRPr="00631E19">
              <w:t>Report ITU-R М.2221</w:t>
            </w:r>
          </w:p>
          <w:p w:rsidR="004D546E" w:rsidRPr="00631E19" w:rsidRDefault="004D546E" w:rsidP="00DA6027">
            <w:pPr>
              <w:pStyle w:val="Tabletext"/>
              <w:keepLines/>
              <w:tabs>
                <w:tab w:val="left" w:leader="dot" w:pos="7938"/>
                <w:tab w:val="center" w:pos="9526"/>
              </w:tabs>
              <w:spacing w:before="0" w:after="0"/>
              <w:ind w:left="567" w:hanging="567"/>
            </w:pPr>
            <w:r w:rsidRPr="00631E19">
              <w:t>Report ITU-R M.2230</w:t>
            </w:r>
          </w:p>
        </w:tc>
      </w:tr>
      <w:tr w:rsidR="004D546E" w:rsidRPr="00631E19" w:rsidTr="00DA6027">
        <w:trPr>
          <w:jc w:val="center"/>
        </w:trPr>
        <w:tc>
          <w:tcPr>
            <w:tcW w:w="2110" w:type="dxa"/>
          </w:tcPr>
          <w:p w:rsidR="004D546E" w:rsidRPr="00631E19" w:rsidRDefault="004D546E" w:rsidP="00DA6027">
            <w:pPr>
              <w:pStyle w:val="Tabletext"/>
              <w:spacing w:before="0" w:after="0"/>
              <w:rPr>
                <w:lang w:eastAsia="zh-CN"/>
              </w:rPr>
            </w:pPr>
            <w:proofErr w:type="spellStart"/>
            <w:r w:rsidRPr="00631E19">
              <w:rPr>
                <w:lang w:eastAsia="zh-CN"/>
              </w:rPr>
              <w:t>Radioastronomy</w:t>
            </w:r>
            <w:proofErr w:type="spellEnd"/>
          </w:p>
        </w:tc>
        <w:tc>
          <w:tcPr>
            <w:tcW w:w="4253" w:type="dxa"/>
          </w:tcPr>
          <w:p w:rsidR="004D546E" w:rsidRPr="00631E19" w:rsidRDefault="004D546E" w:rsidP="00DA6027">
            <w:pPr>
              <w:pStyle w:val="Tabletext"/>
              <w:keepLines/>
              <w:tabs>
                <w:tab w:val="left" w:leader="dot" w:pos="7938"/>
                <w:tab w:val="center" w:pos="9526"/>
              </w:tabs>
              <w:spacing w:before="0" w:after="0"/>
              <w:ind w:left="567" w:hanging="567"/>
            </w:pPr>
            <w:r w:rsidRPr="00631E19">
              <w:t>Report ITU-R RA.769</w:t>
            </w:r>
          </w:p>
        </w:tc>
        <w:tc>
          <w:tcPr>
            <w:tcW w:w="2348" w:type="dxa"/>
          </w:tcPr>
          <w:p w:rsidR="004D546E" w:rsidRPr="00631E19" w:rsidRDefault="004D546E" w:rsidP="00DA6027">
            <w:pPr>
              <w:pStyle w:val="Tabletext"/>
              <w:spacing w:before="0" w:after="0"/>
            </w:pPr>
            <w:r w:rsidRPr="00631E19">
              <w:t>Report ITU-R М.2170</w:t>
            </w:r>
          </w:p>
          <w:p w:rsidR="004D546E" w:rsidRPr="00631E19" w:rsidRDefault="004D546E" w:rsidP="00DA6027">
            <w:pPr>
              <w:pStyle w:val="Tabletext"/>
              <w:spacing w:before="0" w:after="0"/>
              <w:rPr>
                <w:lang w:eastAsia="zh-CN"/>
              </w:rPr>
            </w:pPr>
            <w:r w:rsidRPr="00631E19">
              <w:t>Report ITU-R М.2221</w:t>
            </w:r>
          </w:p>
        </w:tc>
      </w:tr>
      <w:tr w:rsidR="004D546E" w:rsidRPr="00631E19" w:rsidTr="00DA6027">
        <w:trPr>
          <w:jc w:val="center"/>
        </w:trPr>
        <w:tc>
          <w:tcPr>
            <w:tcW w:w="2110" w:type="dxa"/>
          </w:tcPr>
          <w:p w:rsidR="004D546E" w:rsidRPr="00631E19" w:rsidRDefault="004D546E" w:rsidP="00DA6027">
            <w:pPr>
              <w:pStyle w:val="Tabletext"/>
              <w:spacing w:before="0" w:after="0"/>
              <w:rPr>
                <w:lang w:eastAsia="zh-CN"/>
              </w:rPr>
            </w:pPr>
            <w:r w:rsidRPr="00631E19">
              <w:rPr>
                <w:lang w:eastAsia="zh-CN"/>
              </w:rPr>
              <w:t>Fixed-satellite</w:t>
            </w:r>
          </w:p>
        </w:tc>
        <w:tc>
          <w:tcPr>
            <w:tcW w:w="4253" w:type="dxa"/>
          </w:tcPr>
          <w:p w:rsidR="004D546E" w:rsidRPr="00631E19" w:rsidRDefault="004D546E" w:rsidP="00DA6027">
            <w:pPr>
              <w:pStyle w:val="Tabletext"/>
              <w:spacing w:before="0" w:after="0"/>
              <w:rPr>
                <w:lang w:eastAsia="zh-CN"/>
              </w:rPr>
            </w:pPr>
            <w:r w:rsidRPr="00631E19">
              <w:rPr>
                <w:lang w:eastAsia="zh-CN"/>
              </w:rPr>
              <w:t>Recommendation ITU-R S.1340</w:t>
            </w:r>
          </w:p>
        </w:tc>
        <w:tc>
          <w:tcPr>
            <w:tcW w:w="2348" w:type="dxa"/>
          </w:tcPr>
          <w:p w:rsidR="004D546E" w:rsidRPr="00631E19" w:rsidRDefault="004D546E" w:rsidP="00DA6027">
            <w:pPr>
              <w:pStyle w:val="Tabletext"/>
              <w:spacing w:before="0" w:after="0"/>
              <w:rPr>
                <w:lang w:eastAsia="ko-KR"/>
              </w:rPr>
            </w:pPr>
          </w:p>
        </w:tc>
      </w:tr>
    </w:tbl>
    <w:p w:rsidR="004D546E" w:rsidRPr="00631E19" w:rsidRDefault="004D546E" w:rsidP="004D546E">
      <w:pPr>
        <w:pStyle w:val="Note"/>
        <w:spacing w:before="0"/>
        <w:ind w:left="480"/>
        <w:jc w:val="left"/>
        <w:rPr>
          <w:sz w:val="24"/>
          <w:szCs w:val="24"/>
          <w:lang w:val="en-GB"/>
        </w:rPr>
      </w:pPr>
    </w:p>
    <w:p w:rsidR="004D546E" w:rsidRPr="00631E19" w:rsidRDefault="004D546E" w:rsidP="000D0239">
      <w:pPr>
        <w:ind w:left="360"/>
        <w:rPr>
          <w:lang w:val="en-GB"/>
        </w:rPr>
      </w:pPr>
    </w:p>
    <w:p w:rsidR="000D0239" w:rsidRPr="00631E19" w:rsidRDefault="000D0239" w:rsidP="000D0239">
      <w:pPr>
        <w:ind w:left="360"/>
        <w:rPr>
          <w:lang w:val="en-GB"/>
        </w:rPr>
      </w:pPr>
    </w:p>
    <w:p w:rsidR="000D0239" w:rsidRPr="00631E19" w:rsidRDefault="000D0239" w:rsidP="000D4BDA">
      <w:pPr>
        <w:pStyle w:val="ListParagraph"/>
        <w:numPr>
          <w:ilvl w:val="2"/>
          <w:numId w:val="42"/>
        </w:numPr>
        <w:ind w:leftChars="0"/>
        <w:rPr>
          <w:b/>
          <w:lang w:val="en-GB"/>
        </w:rPr>
      </w:pPr>
      <w:r w:rsidRPr="00631E19">
        <w:rPr>
          <w:b/>
          <w:lang w:val="en-GB"/>
        </w:rPr>
        <w:t>Review of studies performed in the band 15.43-15.63 GHz:</w:t>
      </w:r>
    </w:p>
    <w:p w:rsidR="000D0239" w:rsidRPr="00631E19" w:rsidRDefault="000D0239" w:rsidP="000D0239">
      <w:pPr>
        <w:ind w:left="360"/>
        <w:rPr>
          <w:lang w:val="en-GB"/>
        </w:rPr>
      </w:pPr>
    </w:p>
    <w:p w:rsidR="000D0239" w:rsidRPr="00631E19" w:rsidRDefault="000D0239" w:rsidP="000D0239">
      <w:pPr>
        <w:ind w:left="426"/>
        <w:rPr>
          <w:lang w:val="en-GB"/>
        </w:rPr>
      </w:pPr>
      <w:r w:rsidRPr="00631E19">
        <w:rPr>
          <w:b/>
          <w:bCs/>
          <w:lang w:val="en-GB"/>
        </w:rPr>
        <w:t xml:space="preserve">Aeronautical </w:t>
      </w:r>
      <w:proofErr w:type="spellStart"/>
      <w:r w:rsidRPr="00631E19">
        <w:rPr>
          <w:b/>
          <w:bCs/>
          <w:lang w:val="en-GB"/>
        </w:rPr>
        <w:t>radionavigation</w:t>
      </w:r>
      <w:proofErr w:type="spellEnd"/>
      <w:r w:rsidRPr="00631E19">
        <w:rPr>
          <w:b/>
          <w:bCs/>
          <w:lang w:val="en-GB"/>
        </w:rPr>
        <w:t xml:space="preserve"> service (ARNS)</w:t>
      </w:r>
    </w:p>
    <w:p w:rsidR="000D0239" w:rsidRPr="00631E19" w:rsidRDefault="000D0239" w:rsidP="000D0239">
      <w:pPr>
        <w:tabs>
          <w:tab w:val="left" w:pos="4333"/>
        </w:tabs>
        <w:ind w:left="426"/>
        <w:rPr>
          <w:lang w:val="en-GB"/>
        </w:rPr>
      </w:pPr>
      <w:r w:rsidRPr="00631E19">
        <w:rPr>
          <w:lang w:val="en-GB"/>
        </w:rPr>
        <w:tab/>
      </w:r>
    </w:p>
    <w:p w:rsidR="000D0239" w:rsidRPr="00631E19" w:rsidRDefault="000D0239" w:rsidP="000D0239">
      <w:pPr>
        <w:ind w:left="426"/>
        <w:rPr>
          <w:lang w:val="en-GB"/>
        </w:rPr>
      </w:pPr>
      <w:r w:rsidRPr="00631E19">
        <w:rPr>
          <w:lang w:val="en-GB"/>
        </w:rPr>
        <w:t>This band is allocated to the ARNS on a primary basis and provision RR No. 4.10 (addressing safety-related services) applies. The entire 15.43-15.63 GHz band is used in several countries for aircraft landing systems (ALS). The characteristics of aeronautical radionavigation systems (including ALS) which operate in the band 15.4-15.7 GHz are contained in Annex 1 of Recommendation ITU</w:t>
      </w:r>
      <w:r w:rsidRPr="00631E19">
        <w:rPr>
          <w:lang w:val="en-GB"/>
        </w:rPr>
        <w:noBreakHyphen/>
        <w:t xml:space="preserve">R S.1340 as well as in Report ITU-R M.2170. </w:t>
      </w:r>
    </w:p>
    <w:p w:rsidR="000D0239" w:rsidRPr="00631E19" w:rsidRDefault="000D0239" w:rsidP="000D0239">
      <w:pPr>
        <w:ind w:left="360"/>
        <w:rPr>
          <w:lang w:val="en-GB"/>
        </w:rPr>
      </w:pPr>
    </w:p>
    <w:p w:rsidR="000D0239" w:rsidRPr="00631E19" w:rsidRDefault="000D0239" w:rsidP="000D0239">
      <w:pPr>
        <w:ind w:left="360"/>
        <w:rPr>
          <w:lang w:val="en-GB"/>
        </w:rPr>
      </w:pPr>
    </w:p>
    <w:p w:rsidR="00C017A4" w:rsidRPr="00631E19" w:rsidRDefault="00C017A4" w:rsidP="000D0239">
      <w:pPr>
        <w:ind w:left="360"/>
        <w:rPr>
          <w:lang w:val="en-GB"/>
        </w:rPr>
      </w:pPr>
    </w:p>
    <w:p w:rsidR="000D0239" w:rsidRPr="00631E19" w:rsidRDefault="000D0239" w:rsidP="00E75CBD">
      <w:pPr>
        <w:numPr>
          <w:ilvl w:val="1"/>
          <w:numId w:val="42"/>
        </w:numPr>
        <w:ind w:left="851" w:hanging="425"/>
        <w:rPr>
          <w:b/>
          <w:lang w:val="en-GB"/>
        </w:rPr>
      </w:pPr>
      <w:r w:rsidRPr="00631E19">
        <w:rPr>
          <w:b/>
          <w:lang w:val="en-GB"/>
        </w:rPr>
        <w:t>Frequency band: 15.63-15.7 GHz</w:t>
      </w:r>
    </w:p>
    <w:p w:rsidR="000D0239" w:rsidRPr="00631E19" w:rsidRDefault="000D0239" w:rsidP="000D0239">
      <w:pPr>
        <w:ind w:left="360"/>
        <w:rPr>
          <w:lang w:val="en-GB"/>
        </w:rPr>
      </w:pPr>
    </w:p>
    <w:p w:rsidR="000D0239" w:rsidRPr="00631E19" w:rsidRDefault="000D0239" w:rsidP="000D0239">
      <w:pPr>
        <w:ind w:left="426"/>
        <w:rPr>
          <w:lang w:val="en-GB"/>
        </w:rPr>
      </w:pPr>
      <w:r w:rsidRPr="00631E19">
        <w:rPr>
          <w:lang w:val="en-GB"/>
        </w:rPr>
        <w:t xml:space="preserve">The allocations in this band according to RR Article </w:t>
      </w:r>
      <w:r w:rsidRPr="00631E19">
        <w:rPr>
          <w:bCs/>
          <w:lang w:val="en-GB"/>
        </w:rPr>
        <w:t>5</w:t>
      </w:r>
      <w:r w:rsidRPr="00631E19">
        <w:rPr>
          <w:lang w:val="en-GB"/>
        </w:rPr>
        <w:t xml:space="preserve"> are as shown below:</w:t>
      </w:r>
    </w:p>
    <w:p w:rsidR="000D0239" w:rsidRPr="00631E19" w:rsidRDefault="000D0239" w:rsidP="000D0239">
      <w:pPr>
        <w:rPr>
          <w:lang w:val="en-GB"/>
        </w:rPr>
      </w:pPr>
    </w:p>
    <w:tbl>
      <w:tblPr>
        <w:tblW w:w="898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0D0239" w:rsidRPr="00631E19" w:rsidTr="00833ED0">
        <w:tc>
          <w:tcPr>
            <w:tcW w:w="8982" w:type="dxa"/>
          </w:tcPr>
          <w:p w:rsidR="000D0239" w:rsidRPr="00631E19" w:rsidRDefault="000D0239" w:rsidP="00833ED0">
            <w:pPr>
              <w:jc w:val="both"/>
              <w:rPr>
                <w:lang w:val="en-GB"/>
              </w:rPr>
            </w:pPr>
            <w:r w:rsidRPr="00631E19">
              <w:rPr>
                <w:b/>
                <w:bCs/>
                <w:lang w:val="en-GB"/>
              </w:rPr>
              <w:t>15.63-15.7</w:t>
            </w:r>
            <w:r w:rsidRPr="00631E19">
              <w:rPr>
                <w:lang w:val="en-GB"/>
              </w:rPr>
              <w:tab/>
            </w:r>
            <w:r w:rsidRPr="00631E19">
              <w:rPr>
                <w:lang w:val="en-GB"/>
              </w:rPr>
              <w:tab/>
              <w:t xml:space="preserve">   RADIOLOCATION 5.511E 5.511F</w:t>
            </w:r>
          </w:p>
          <w:p w:rsidR="000D0239" w:rsidRPr="00631E19" w:rsidRDefault="000D0239" w:rsidP="00833ED0">
            <w:pPr>
              <w:ind w:left="2346"/>
              <w:jc w:val="both"/>
              <w:rPr>
                <w:lang w:val="en-GB"/>
              </w:rPr>
            </w:pPr>
            <w:r w:rsidRPr="00631E19">
              <w:rPr>
                <w:lang w:val="en-GB"/>
              </w:rPr>
              <w:t>AERONAUTICAL RADIONAVIGATION</w:t>
            </w:r>
          </w:p>
          <w:p w:rsidR="000D0239" w:rsidRPr="00631E19" w:rsidRDefault="000D0239" w:rsidP="00833ED0">
            <w:pPr>
              <w:jc w:val="both"/>
              <w:rPr>
                <w:lang w:val="en-GB"/>
              </w:rPr>
            </w:pPr>
            <w:r w:rsidRPr="00631E19">
              <w:rPr>
                <w:lang w:val="en-GB"/>
              </w:rPr>
              <w:lastRenderedPageBreak/>
              <w:tab/>
            </w:r>
            <w:r w:rsidRPr="00631E19">
              <w:rPr>
                <w:lang w:val="en-GB"/>
              </w:rPr>
              <w:tab/>
            </w:r>
            <w:r w:rsidRPr="00631E19">
              <w:rPr>
                <w:lang w:val="en-GB"/>
              </w:rPr>
              <w:tab/>
              <w:t xml:space="preserve">   5.511D</w:t>
            </w:r>
          </w:p>
        </w:tc>
      </w:tr>
    </w:tbl>
    <w:p w:rsidR="000D0239" w:rsidRPr="00631E19" w:rsidRDefault="000D0239" w:rsidP="000D0239">
      <w:pPr>
        <w:ind w:left="450"/>
        <w:rPr>
          <w:lang w:val="en-GB"/>
        </w:rPr>
      </w:pPr>
    </w:p>
    <w:p w:rsidR="000D0239" w:rsidRPr="00631E19" w:rsidRDefault="000D0239" w:rsidP="000D0239">
      <w:pPr>
        <w:autoSpaceDE w:val="0"/>
        <w:autoSpaceDN w:val="0"/>
        <w:adjustRightInd w:val="0"/>
        <w:ind w:left="450"/>
        <w:rPr>
          <w:rFonts w:eastAsia="Batang"/>
          <w:lang w:val="en-GB" w:eastAsia="zh-CN"/>
        </w:rPr>
      </w:pPr>
      <w:r w:rsidRPr="00631E19">
        <w:rPr>
          <w:rFonts w:eastAsia="Batang"/>
          <w:b/>
          <w:bCs/>
          <w:lang w:val="en-GB" w:eastAsia="zh-CN"/>
        </w:rPr>
        <w:t>5.511E</w:t>
      </w:r>
      <w:r w:rsidRPr="00631E19">
        <w:rPr>
          <w:lang w:val="en-GB"/>
        </w:rPr>
        <w:tab/>
      </w:r>
      <w:r w:rsidRPr="00631E19">
        <w:rPr>
          <w:rFonts w:eastAsia="Batang"/>
          <w:lang w:val="en-GB" w:eastAsia="zh-CN"/>
        </w:rPr>
        <w:t>In the frequency band 15.4-15.7 GHz, stations operating in the radiolocation service shall not cause harmful interference to, or claim protection from, stations operating in the aeronautical radionavigation service. (WRC-12)</w:t>
      </w:r>
    </w:p>
    <w:p w:rsidR="000D0239" w:rsidRPr="00631E19" w:rsidRDefault="000D0239" w:rsidP="000D0239">
      <w:pPr>
        <w:autoSpaceDE w:val="0"/>
        <w:autoSpaceDN w:val="0"/>
        <w:adjustRightInd w:val="0"/>
        <w:ind w:left="450"/>
        <w:rPr>
          <w:rFonts w:eastAsia="Batang"/>
          <w:lang w:val="en-GB" w:eastAsia="zh-CN"/>
        </w:rPr>
      </w:pPr>
    </w:p>
    <w:p w:rsidR="000D0239" w:rsidRPr="00631E19" w:rsidRDefault="000D0239" w:rsidP="000D0239">
      <w:pPr>
        <w:autoSpaceDE w:val="0"/>
        <w:autoSpaceDN w:val="0"/>
        <w:adjustRightInd w:val="0"/>
        <w:ind w:left="450"/>
        <w:rPr>
          <w:rFonts w:eastAsia="Batang"/>
          <w:lang w:val="en-GB" w:eastAsia="zh-CN"/>
        </w:rPr>
      </w:pPr>
      <w:r w:rsidRPr="00631E19">
        <w:rPr>
          <w:rFonts w:eastAsia="Batang"/>
          <w:b/>
          <w:bCs/>
          <w:lang w:val="en-GB" w:eastAsia="zh-CN"/>
        </w:rPr>
        <w:t>5.511F</w:t>
      </w:r>
      <w:r w:rsidRPr="00631E19">
        <w:rPr>
          <w:rFonts w:eastAsia="Batang"/>
          <w:lang w:val="en-GB" w:eastAsia="zh-CN"/>
        </w:rPr>
        <w:tab/>
        <w:t xml:space="preserve"> In order to protect the radio astronomy service in the frequency band 15.35-15.4 GHz, radiolocation stations operating in the frequency band 15.4-15.7 GHz shall not exceed the power flux-density level of −156 </w:t>
      </w:r>
      <w:proofErr w:type="gramStart"/>
      <w:r w:rsidRPr="00631E19">
        <w:rPr>
          <w:rFonts w:eastAsia="Batang"/>
          <w:lang w:val="en-GB" w:eastAsia="zh-CN"/>
        </w:rPr>
        <w:t>dB(</w:t>
      </w:r>
      <w:proofErr w:type="gramEnd"/>
      <w:r w:rsidRPr="00631E19">
        <w:rPr>
          <w:rFonts w:eastAsia="Batang"/>
          <w:lang w:val="en-GB" w:eastAsia="zh-CN"/>
        </w:rPr>
        <w:t>W/m2) in a 50 MHz bandwidth in the frequency band 15.35-15.4 GHz, at any radio astronomy observatory site for more than 2 per cent of the time. (WRC-12)</w:t>
      </w:r>
    </w:p>
    <w:p w:rsidR="000D0239" w:rsidRPr="00631E19" w:rsidRDefault="000D0239" w:rsidP="000D0239">
      <w:pPr>
        <w:ind w:left="450"/>
        <w:rPr>
          <w:b/>
          <w:bCs/>
          <w:lang w:val="en-GB"/>
        </w:rPr>
      </w:pPr>
    </w:p>
    <w:p w:rsidR="000D0239" w:rsidRPr="00631E19" w:rsidRDefault="000D0239" w:rsidP="000D0239">
      <w:pPr>
        <w:ind w:left="450"/>
        <w:rPr>
          <w:lang w:val="en-GB"/>
        </w:rPr>
      </w:pPr>
      <w:r w:rsidRPr="00631E19">
        <w:rPr>
          <w:b/>
          <w:bCs/>
          <w:lang w:val="en-GB"/>
        </w:rPr>
        <w:t>5.511D</w:t>
      </w:r>
      <w:r w:rsidRPr="00631E19">
        <w:rPr>
          <w:lang w:val="en-GB"/>
        </w:rPr>
        <w:t xml:space="preserve"> </w:t>
      </w:r>
      <w:r w:rsidRPr="00631E19">
        <w:rPr>
          <w:lang w:val="en-GB"/>
        </w:rPr>
        <w:tab/>
        <w:t xml:space="preserve">Fixed-satellite service systems for which complete information for advance publication has been received by the Bureau by 21 November 1997 may operate in the bands 15.4-15.43 GHz and 15.63-15.7 GHz in the space-to-Earth direction and 15.63-15.65 GHz in the Earth-to-space direction. In the bands 15.4-15.43 GHz and 15.65-15.7 GHz, emissions from a non-geostationary space station shall not exceed the power flux-density limits at the Earth’s surface of –146 </w:t>
      </w:r>
      <w:proofErr w:type="gramStart"/>
      <w:r w:rsidRPr="00631E19">
        <w:rPr>
          <w:lang w:val="en-GB"/>
        </w:rPr>
        <w:t>dB(</w:t>
      </w:r>
      <w:proofErr w:type="gramEnd"/>
      <w:r w:rsidRPr="00631E19">
        <w:rPr>
          <w:lang w:val="en-GB"/>
        </w:rPr>
        <w:t xml:space="preserve">W/(m2.MHz)) for any angle of arrival. In the band 15.63-15.65 GHz, where an administration plans emissions from a non-geostationary space station that exceed –146 </w:t>
      </w:r>
      <w:proofErr w:type="gramStart"/>
      <w:r w:rsidRPr="00631E19">
        <w:rPr>
          <w:lang w:val="en-GB"/>
        </w:rPr>
        <w:t>dB(</w:t>
      </w:r>
      <w:proofErr w:type="gramEnd"/>
      <w:r w:rsidRPr="00631E19">
        <w:rPr>
          <w:lang w:val="en-GB"/>
        </w:rPr>
        <w:t xml:space="preserve">W/(m2.MHz)) for any angle of arrival, it shall coordinate under No. </w:t>
      </w:r>
      <w:r w:rsidRPr="00631E19">
        <w:rPr>
          <w:b/>
          <w:bCs/>
          <w:lang w:val="en-GB"/>
        </w:rPr>
        <w:t>9.11A</w:t>
      </w:r>
      <w:r w:rsidRPr="00631E19">
        <w:rPr>
          <w:lang w:val="en-GB"/>
        </w:rPr>
        <w:t xml:space="preserve"> with the affected administrations. Stations in the fixed-satellite service operating in the band 15.63</w:t>
      </w:r>
      <w:r w:rsidRPr="00631E19">
        <w:rPr>
          <w:lang w:val="en-GB"/>
        </w:rPr>
        <w:noBreakHyphen/>
        <w:t>15.65 GHz in the Earth-to-space direction shall not cause harmful interference to stations in the aeronautical radionavigation service (No. </w:t>
      </w:r>
      <w:r w:rsidRPr="00631E19">
        <w:rPr>
          <w:b/>
          <w:bCs/>
          <w:lang w:val="en-GB"/>
        </w:rPr>
        <w:t>4.10</w:t>
      </w:r>
      <w:r w:rsidRPr="00631E19">
        <w:rPr>
          <w:lang w:val="en-GB"/>
        </w:rPr>
        <w:t> applies). (WRC-97)</w:t>
      </w:r>
    </w:p>
    <w:p w:rsidR="0094207C" w:rsidRPr="00631E19" w:rsidRDefault="0094207C" w:rsidP="00640DC4">
      <w:pPr>
        <w:ind w:left="450"/>
        <w:rPr>
          <w:lang w:val="en-GB"/>
        </w:rPr>
      </w:pPr>
    </w:p>
    <w:p w:rsidR="00D0035D" w:rsidRPr="00631E19" w:rsidRDefault="00D0035D" w:rsidP="00D0035D">
      <w:pPr>
        <w:rPr>
          <w:lang w:val="en-GB" w:eastAsia="ko-KR"/>
        </w:rPr>
      </w:pPr>
      <w:r w:rsidRPr="00631E19">
        <w:rPr>
          <w:lang w:val="en-GB"/>
        </w:rPr>
        <w:t>A list of relevant</w:t>
      </w:r>
      <w:r w:rsidRPr="00631E19">
        <w:rPr>
          <w:lang w:val="en-GB" w:eastAsia="ko-KR"/>
        </w:rPr>
        <w:t xml:space="preserve"> ITU-R</w:t>
      </w:r>
      <w:r w:rsidRPr="00631E19">
        <w:rPr>
          <w:lang w:val="en-GB"/>
        </w:rPr>
        <w:t xml:space="preserve"> Recommendations</w:t>
      </w:r>
      <w:r w:rsidRPr="00631E19">
        <w:rPr>
          <w:lang w:val="en-GB" w:eastAsia="ko-KR"/>
        </w:rPr>
        <w:t xml:space="preserve"> and Reports</w:t>
      </w:r>
      <w:r w:rsidRPr="00631E19">
        <w:rPr>
          <w:lang w:val="en-GB"/>
        </w:rPr>
        <w:t xml:space="preserve"> that may be useful for sharing studies is summarized in Table </w:t>
      </w:r>
      <w:r w:rsidRPr="00631E19">
        <w:rPr>
          <w:lang w:val="en-GB" w:eastAsia="ko-KR"/>
        </w:rPr>
        <w:t>11.</w:t>
      </w:r>
    </w:p>
    <w:p w:rsidR="00D0035D" w:rsidRPr="00631E19" w:rsidRDefault="00D0035D" w:rsidP="00D0035D">
      <w:pPr>
        <w:ind w:left="360"/>
        <w:rPr>
          <w:lang w:val="en-GB"/>
        </w:rPr>
      </w:pPr>
    </w:p>
    <w:p w:rsidR="00D0035D" w:rsidRPr="00631E19" w:rsidRDefault="00D0035D" w:rsidP="00D0035D">
      <w:pPr>
        <w:pStyle w:val="TableNo"/>
        <w:spacing w:before="240"/>
        <w:rPr>
          <w:lang w:eastAsia="ko-KR"/>
        </w:rPr>
      </w:pPr>
      <w:r w:rsidRPr="00631E19">
        <w:t xml:space="preserve">Table </w:t>
      </w:r>
      <w:r w:rsidRPr="00631E19">
        <w:rPr>
          <w:lang w:eastAsia="ko-KR"/>
        </w:rPr>
        <w:t>11</w:t>
      </w:r>
    </w:p>
    <w:p w:rsidR="00D0035D" w:rsidRPr="00631E19" w:rsidRDefault="00D0035D" w:rsidP="00D0035D">
      <w:pPr>
        <w:pStyle w:val="Tabletitle"/>
        <w:rPr>
          <w:rFonts w:hint="eastAsia"/>
          <w:sz w:val="18"/>
          <w:szCs w:val="18"/>
        </w:rPr>
      </w:pPr>
      <w:r w:rsidRPr="00631E19">
        <w:t xml:space="preserve">Summary of relevant Recommendations/Reports that may be useful for </w:t>
      </w:r>
      <w:r w:rsidRPr="00631E19">
        <w:br/>
      </w:r>
      <w:r w:rsidR="00406A32" w:rsidRPr="00631E19">
        <w:t>sharing studies in the band 15.63-15.7</w:t>
      </w:r>
      <w:r w:rsidRPr="00631E19">
        <w:t> GHz</w:t>
      </w:r>
    </w:p>
    <w:tbl>
      <w:tblPr>
        <w:tblW w:w="8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110"/>
        <w:gridCol w:w="4253"/>
        <w:gridCol w:w="2348"/>
      </w:tblGrid>
      <w:tr w:rsidR="00D0035D" w:rsidRPr="00631E19" w:rsidTr="00DA6027">
        <w:trPr>
          <w:jc w:val="center"/>
        </w:trPr>
        <w:tc>
          <w:tcPr>
            <w:tcW w:w="2110" w:type="dxa"/>
          </w:tcPr>
          <w:p w:rsidR="00D0035D" w:rsidRPr="00631E19" w:rsidRDefault="00D0035D" w:rsidP="00DA6027">
            <w:pPr>
              <w:pStyle w:val="Tablehead"/>
              <w:spacing w:before="0" w:after="0"/>
              <w:rPr>
                <w:lang w:eastAsia="zh-CN"/>
              </w:rPr>
            </w:pPr>
            <w:r w:rsidRPr="00631E19">
              <w:rPr>
                <w:lang w:eastAsia="zh-CN"/>
              </w:rPr>
              <w:t>Service:</w:t>
            </w:r>
          </w:p>
        </w:tc>
        <w:tc>
          <w:tcPr>
            <w:tcW w:w="4253" w:type="dxa"/>
          </w:tcPr>
          <w:p w:rsidR="00D0035D" w:rsidRPr="00631E19" w:rsidRDefault="00D0035D" w:rsidP="00DA6027">
            <w:pPr>
              <w:pStyle w:val="Tablehead"/>
              <w:spacing w:before="0" w:after="0"/>
              <w:rPr>
                <w:lang w:eastAsia="zh-CN"/>
              </w:rPr>
            </w:pPr>
            <w:r w:rsidRPr="00631E19">
              <w:rPr>
                <w:lang w:eastAsia="zh-CN"/>
              </w:rPr>
              <w:t>Relevant Recommendation:</w:t>
            </w:r>
          </w:p>
        </w:tc>
        <w:tc>
          <w:tcPr>
            <w:tcW w:w="2348" w:type="dxa"/>
          </w:tcPr>
          <w:p w:rsidR="00D0035D" w:rsidRPr="00631E19" w:rsidRDefault="00D0035D" w:rsidP="00DA6027">
            <w:pPr>
              <w:pStyle w:val="Tablehead"/>
              <w:spacing w:before="0" w:after="0"/>
              <w:rPr>
                <w:lang w:eastAsia="zh-CN"/>
              </w:rPr>
            </w:pPr>
            <w:r w:rsidRPr="00631E19">
              <w:rPr>
                <w:lang w:eastAsia="zh-CN"/>
              </w:rPr>
              <w:t>Relevant Report</w:t>
            </w:r>
          </w:p>
        </w:tc>
      </w:tr>
      <w:tr w:rsidR="00D0035D" w:rsidRPr="00631E19" w:rsidTr="00DA6027">
        <w:trPr>
          <w:jc w:val="center"/>
        </w:trPr>
        <w:tc>
          <w:tcPr>
            <w:tcW w:w="2110" w:type="dxa"/>
          </w:tcPr>
          <w:p w:rsidR="00D0035D" w:rsidRPr="00631E19" w:rsidRDefault="00D0035D" w:rsidP="00DA6027">
            <w:pPr>
              <w:pStyle w:val="Tabletext"/>
              <w:spacing w:before="0" w:after="0"/>
              <w:rPr>
                <w:lang w:eastAsia="zh-CN"/>
              </w:rPr>
            </w:pPr>
            <w:r w:rsidRPr="00631E19">
              <w:rPr>
                <w:lang w:eastAsia="zh-CN"/>
              </w:rPr>
              <w:t>Radiolocation</w:t>
            </w:r>
          </w:p>
        </w:tc>
        <w:tc>
          <w:tcPr>
            <w:tcW w:w="4253" w:type="dxa"/>
          </w:tcPr>
          <w:p w:rsidR="00D0035D" w:rsidRPr="00631E19" w:rsidRDefault="00D0035D" w:rsidP="00DA6027">
            <w:pPr>
              <w:pStyle w:val="Tabletext"/>
              <w:keepLines/>
              <w:tabs>
                <w:tab w:val="left" w:leader="dot" w:pos="7938"/>
                <w:tab w:val="center" w:pos="9526"/>
              </w:tabs>
              <w:spacing w:before="0" w:after="0"/>
              <w:ind w:left="567" w:hanging="567"/>
            </w:pPr>
            <w:r w:rsidRPr="00631E19">
              <w:t>Recommendation ITU-R M.1730</w:t>
            </w:r>
          </w:p>
          <w:p w:rsidR="00D0035D" w:rsidRPr="00631E19" w:rsidRDefault="00D0035D" w:rsidP="00DA6027">
            <w:pPr>
              <w:pStyle w:val="Tabletext"/>
              <w:spacing w:before="0" w:after="0"/>
            </w:pPr>
            <w:r w:rsidRPr="00631E19">
              <w:t>Recommendation ITU-R M.1461</w:t>
            </w:r>
          </w:p>
          <w:p w:rsidR="00D0035D" w:rsidRPr="00631E19" w:rsidRDefault="00D0035D" w:rsidP="00DA6027">
            <w:pPr>
              <w:pStyle w:val="Tabletext"/>
              <w:spacing w:before="0" w:after="0"/>
              <w:rPr>
                <w:rFonts w:ascii="TimesNewRoman" w:hAnsi="TimesNewRoman" w:cs="TimesNewRoman"/>
              </w:rPr>
            </w:pPr>
            <w:r w:rsidRPr="00631E19">
              <w:t>Recommendation ITU-R M.1851</w:t>
            </w:r>
          </w:p>
        </w:tc>
        <w:tc>
          <w:tcPr>
            <w:tcW w:w="2348" w:type="dxa"/>
          </w:tcPr>
          <w:p w:rsidR="00D0035D" w:rsidRPr="00631E19" w:rsidRDefault="00D0035D" w:rsidP="00DA6027">
            <w:pPr>
              <w:pStyle w:val="Tabletext"/>
              <w:spacing w:before="0" w:after="0"/>
            </w:pPr>
            <w:r w:rsidRPr="00631E19">
              <w:t>Report ITU-R М.2221</w:t>
            </w:r>
          </w:p>
          <w:p w:rsidR="00D0035D" w:rsidRPr="00631E19" w:rsidRDefault="00D0035D" w:rsidP="00DA6027">
            <w:pPr>
              <w:pStyle w:val="Tabletext"/>
              <w:spacing w:before="0" w:after="0"/>
            </w:pPr>
            <w:r w:rsidRPr="00631E19">
              <w:t>Report ITU-R М.2170</w:t>
            </w:r>
          </w:p>
        </w:tc>
      </w:tr>
      <w:tr w:rsidR="00D0035D" w:rsidRPr="00631E19" w:rsidTr="00DA6027">
        <w:trPr>
          <w:jc w:val="center"/>
        </w:trPr>
        <w:tc>
          <w:tcPr>
            <w:tcW w:w="2110" w:type="dxa"/>
          </w:tcPr>
          <w:p w:rsidR="00D0035D" w:rsidRPr="00631E19" w:rsidRDefault="00D0035D" w:rsidP="00DA6027">
            <w:pPr>
              <w:pStyle w:val="Tabletext"/>
              <w:spacing w:before="0" w:after="0"/>
              <w:rPr>
                <w:lang w:eastAsia="zh-CN"/>
              </w:rPr>
            </w:pPr>
            <w:r w:rsidRPr="00631E19">
              <w:rPr>
                <w:lang w:eastAsia="zh-CN"/>
              </w:rPr>
              <w:t>Aeronautical Radionavigation</w:t>
            </w:r>
          </w:p>
        </w:tc>
        <w:tc>
          <w:tcPr>
            <w:tcW w:w="4253" w:type="dxa"/>
          </w:tcPr>
          <w:p w:rsidR="00D0035D" w:rsidRPr="00631E19" w:rsidRDefault="00D0035D" w:rsidP="00DA6027">
            <w:pPr>
              <w:pStyle w:val="Tabletext"/>
              <w:spacing w:before="0" w:after="0"/>
              <w:rPr>
                <w:lang w:eastAsia="zh-CN"/>
              </w:rPr>
            </w:pPr>
            <w:r w:rsidRPr="00631E19">
              <w:rPr>
                <w:lang w:eastAsia="zh-CN"/>
              </w:rPr>
              <w:t>Recommendation ITU-R S.1340</w:t>
            </w:r>
          </w:p>
        </w:tc>
        <w:tc>
          <w:tcPr>
            <w:tcW w:w="2348" w:type="dxa"/>
          </w:tcPr>
          <w:p w:rsidR="00D0035D" w:rsidRPr="00631E19" w:rsidRDefault="00D0035D" w:rsidP="00DA6027">
            <w:pPr>
              <w:pStyle w:val="Tabletext"/>
              <w:spacing w:before="0" w:after="0"/>
            </w:pPr>
            <w:r w:rsidRPr="00631E19">
              <w:t>Report ITU-R М.2221</w:t>
            </w:r>
          </w:p>
          <w:p w:rsidR="00D0035D" w:rsidRPr="00631E19" w:rsidRDefault="00D0035D" w:rsidP="00DA6027">
            <w:pPr>
              <w:pStyle w:val="Tabletext"/>
              <w:keepLines/>
              <w:tabs>
                <w:tab w:val="left" w:leader="dot" w:pos="7938"/>
                <w:tab w:val="center" w:pos="9526"/>
              </w:tabs>
              <w:spacing w:before="0" w:after="0"/>
              <w:ind w:left="567" w:hanging="567"/>
            </w:pPr>
            <w:r w:rsidRPr="00631E19">
              <w:t>Report ITU-R M.2230</w:t>
            </w:r>
          </w:p>
        </w:tc>
      </w:tr>
      <w:tr w:rsidR="00D0035D" w:rsidRPr="00631E19" w:rsidTr="00DA6027">
        <w:trPr>
          <w:jc w:val="center"/>
        </w:trPr>
        <w:tc>
          <w:tcPr>
            <w:tcW w:w="2110" w:type="dxa"/>
          </w:tcPr>
          <w:p w:rsidR="00D0035D" w:rsidRPr="00631E19" w:rsidRDefault="00D0035D" w:rsidP="00DA6027">
            <w:pPr>
              <w:pStyle w:val="Tabletext"/>
              <w:spacing w:before="0" w:after="0"/>
              <w:rPr>
                <w:lang w:eastAsia="zh-CN"/>
              </w:rPr>
            </w:pPr>
            <w:proofErr w:type="spellStart"/>
            <w:r w:rsidRPr="00631E19">
              <w:rPr>
                <w:lang w:eastAsia="zh-CN"/>
              </w:rPr>
              <w:t>Radioastronomy</w:t>
            </w:r>
            <w:proofErr w:type="spellEnd"/>
          </w:p>
        </w:tc>
        <w:tc>
          <w:tcPr>
            <w:tcW w:w="4253" w:type="dxa"/>
          </w:tcPr>
          <w:p w:rsidR="00D0035D" w:rsidRPr="00631E19" w:rsidRDefault="00D0035D" w:rsidP="00DA6027">
            <w:pPr>
              <w:pStyle w:val="Tabletext"/>
              <w:keepLines/>
              <w:tabs>
                <w:tab w:val="left" w:leader="dot" w:pos="7938"/>
                <w:tab w:val="center" w:pos="9526"/>
              </w:tabs>
              <w:spacing w:before="0" w:after="0"/>
              <w:ind w:left="567" w:hanging="567"/>
            </w:pPr>
            <w:r w:rsidRPr="00631E19">
              <w:t>Report ITU-R RA.769</w:t>
            </w:r>
          </w:p>
        </w:tc>
        <w:tc>
          <w:tcPr>
            <w:tcW w:w="2348" w:type="dxa"/>
          </w:tcPr>
          <w:p w:rsidR="00D0035D" w:rsidRPr="00631E19" w:rsidRDefault="00D0035D" w:rsidP="00DA6027">
            <w:pPr>
              <w:pStyle w:val="Tabletext"/>
              <w:spacing w:before="0" w:after="0"/>
            </w:pPr>
            <w:r w:rsidRPr="00631E19">
              <w:t>Report ITU-R М.2170</w:t>
            </w:r>
          </w:p>
          <w:p w:rsidR="00D0035D" w:rsidRPr="00631E19" w:rsidRDefault="00D0035D" w:rsidP="00DA6027">
            <w:pPr>
              <w:pStyle w:val="Tabletext"/>
              <w:spacing w:before="0" w:after="0"/>
              <w:rPr>
                <w:lang w:eastAsia="zh-CN"/>
              </w:rPr>
            </w:pPr>
            <w:r w:rsidRPr="00631E19">
              <w:t>Report ITU-R М.2221</w:t>
            </w:r>
          </w:p>
        </w:tc>
      </w:tr>
      <w:tr w:rsidR="00D0035D" w:rsidRPr="00631E19" w:rsidTr="00DA6027">
        <w:trPr>
          <w:jc w:val="center"/>
        </w:trPr>
        <w:tc>
          <w:tcPr>
            <w:tcW w:w="2110" w:type="dxa"/>
          </w:tcPr>
          <w:p w:rsidR="00D0035D" w:rsidRPr="00631E19" w:rsidRDefault="00D0035D" w:rsidP="00DA6027">
            <w:pPr>
              <w:pStyle w:val="Tabletext"/>
              <w:spacing w:before="0" w:after="0"/>
              <w:rPr>
                <w:lang w:eastAsia="zh-CN"/>
              </w:rPr>
            </w:pPr>
            <w:r w:rsidRPr="00631E19">
              <w:rPr>
                <w:lang w:eastAsia="zh-CN"/>
              </w:rPr>
              <w:t>Fixed-satellite</w:t>
            </w:r>
          </w:p>
        </w:tc>
        <w:tc>
          <w:tcPr>
            <w:tcW w:w="4253" w:type="dxa"/>
          </w:tcPr>
          <w:p w:rsidR="00D0035D" w:rsidRPr="00631E19" w:rsidRDefault="00D0035D" w:rsidP="00DA6027">
            <w:pPr>
              <w:pStyle w:val="Tabletext"/>
              <w:spacing w:before="0" w:after="0"/>
              <w:rPr>
                <w:lang w:eastAsia="zh-CN"/>
              </w:rPr>
            </w:pPr>
            <w:r w:rsidRPr="00631E19">
              <w:rPr>
                <w:lang w:eastAsia="zh-CN"/>
              </w:rPr>
              <w:t>Recommendation ITU-R S.1340</w:t>
            </w:r>
          </w:p>
        </w:tc>
        <w:tc>
          <w:tcPr>
            <w:tcW w:w="2348" w:type="dxa"/>
          </w:tcPr>
          <w:p w:rsidR="00D0035D" w:rsidRPr="00631E19" w:rsidRDefault="00D0035D" w:rsidP="00DA6027">
            <w:pPr>
              <w:pStyle w:val="Tabletext"/>
              <w:spacing w:before="0" w:after="0"/>
              <w:rPr>
                <w:lang w:eastAsia="ko-KR"/>
              </w:rPr>
            </w:pPr>
          </w:p>
        </w:tc>
      </w:tr>
    </w:tbl>
    <w:p w:rsidR="00D0035D" w:rsidRPr="00631E19" w:rsidRDefault="00D0035D" w:rsidP="00D0035D">
      <w:pPr>
        <w:pStyle w:val="Note"/>
        <w:spacing w:before="0"/>
        <w:ind w:left="480"/>
        <w:jc w:val="left"/>
        <w:rPr>
          <w:sz w:val="24"/>
          <w:szCs w:val="24"/>
          <w:lang w:val="en-GB"/>
        </w:rPr>
      </w:pPr>
    </w:p>
    <w:p w:rsidR="00C017A4" w:rsidRPr="00631E19" w:rsidRDefault="00C017A4" w:rsidP="00640DC4">
      <w:pPr>
        <w:ind w:left="450"/>
        <w:rPr>
          <w:lang w:val="en-GB"/>
        </w:rPr>
      </w:pPr>
    </w:p>
    <w:p w:rsidR="0094207C" w:rsidRPr="00631E19" w:rsidRDefault="0094207C" w:rsidP="00640DC4">
      <w:pPr>
        <w:ind w:left="360"/>
        <w:rPr>
          <w:lang w:val="en-GB"/>
        </w:rPr>
      </w:pPr>
    </w:p>
    <w:p w:rsidR="004158B3" w:rsidRPr="00631E19" w:rsidRDefault="004158B3" w:rsidP="00E75CBD">
      <w:pPr>
        <w:numPr>
          <w:ilvl w:val="1"/>
          <w:numId w:val="42"/>
        </w:numPr>
        <w:ind w:left="851" w:hanging="425"/>
        <w:rPr>
          <w:b/>
          <w:lang w:val="en-GB"/>
        </w:rPr>
      </w:pPr>
      <w:r w:rsidRPr="00631E19">
        <w:rPr>
          <w:b/>
          <w:lang w:val="en-GB"/>
        </w:rPr>
        <w:t>Frequency band: 15.7-16.6 GHz</w:t>
      </w:r>
    </w:p>
    <w:p w:rsidR="0094207C" w:rsidRPr="00631E19" w:rsidRDefault="0094207C" w:rsidP="00640DC4">
      <w:pPr>
        <w:ind w:left="360"/>
        <w:rPr>
          <w:lang w:val="en-GB"/>
        </w:rPr>
      </w:pPr>
    </w:p>
    <w:p w:rsidR="0094207C" w:rsidRPr="00631E19" w:rsidRDefault="0094207C" w:rsidP="00640DC4">
      <w:pPr>
        <w:ind w:left="426"/>
        <w:rPr>
          <w:lang w:val="en-GB"/>
        </w:rPr>
      </w:pPr>
      <w:r w:rsidRPr="00631E19">
        <w:rPr>
          <w:lang w:val="en-GB"/>
        </w:rPr>
        <w:t xml:space="preserve">The allocations </w:t>
      </w:r>
      <w:r w:rsidR="00CE5912" w:rsidRPr="00631E19">
        <w:rPr>
          <w:lang w:val="en-GB"/>
        </w:rPr>
        <w:t xml:space="preserve">in </w:t>
      </w:r>
      <w:r w:rsidRPr="00631E19">
        <w:rPr>
          <w:lang w:val="en-GB"/>
        </w:rPr>
        <w:t xml:space="preserve">this band </w:t>
      </w:r>
      <w:r w:rsidR="00CE5912" w:rsidRPr="00631E19">
        <w:rPr>
          <w:lang w:val="en-GB"/>
        </w:rPr>
        <w:t xml:space="preserve">according to </w:t>
      </w:r>
      <w:r w:rsidRPr="00631E19">
        <w:rPr>
          <w:lang w:val="en-GB"/>
        </w:rPr>
        <w:t xml:space="preserve">RR Article </w:t>
      </w:r>
      <w:r w:rsidRPr="00631E19">
        <w:rPr>
          <w:b/>
          <w:bCs/>
          <w:lang w:val="en-GB"/>
        </w:rPr>
        <w:t>5</w:t>
      </w:r>
      <w:r w:rsidRPr="00631E19">
        <w:rPr>
          <w:lang w:val="en-GB"/>
        </w:rPr>
        <w:t xml:space="preserve"> are as shown below:</w:t>
      </w:r>
    </w:p>
    <w:p w:rsidR="0094207C" w:rsidRPr="00631E19" w:rsidRDefault="0094207C" w:rsidP="00640DC4">
      <w:pPr>
        <w:rPr>
          <w:lang w:val="en-GB"/>
        </w:rPr>
      </w:pPr>
    </w:p>
    <w:tbl>
      <w:tblPr>
        <w:tblW w:w="898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94207C" w:rsidRPr="00631E19" w:rsidTr="00CD7469">
        <w:tc>
          <w:tcPr>
            <w:tcW w:w="8982" w:type="dxa"/>
          </w:tcPr>
          <w:p w:rsidR="0094207C" w:rsidRPr="00631E19" w:rsidRDefault="0094207C" w:rsidP="00640DC4">
            <w:pPr>
              <w:jc w:val="both"/>
              <w:rPr>
                <w:lang w:val="en-GB"/>
              </w:rPr>
            </w:pPr>
            <w:r w:rsidRPr="00631E19">
              <w:rPr>
                <w:b/>
                <w:bCs/>
                <w:lang w:val="en-GB"/>
              </w:rPr>
              <w:t>15.7-16.6</w:t>
            </w:r>
            <w:r w:rsidRPr="00631E19">
              <w:rPr>
                <w:lang w:val="en-GB"/>
              </w:rPr>
              <w:t xml:space="preserve">                            RADIOLOCATION</w:t>
            </w:r>
          </w:p>
          <w:p w:rsidR="0094207C" w:rsidRPr="00631E19" w:rsidRDefault="0094207C" w:rsidP="00640DC4">
            <w:pPr>
              <w:jc w:val="both"/>
              <w:rPr>
                <w:lang w:val="en-GB"/>
              </w:rPr>
            </w:pPr>
            <w:r w:rsidRPr="00631E19">
              <w:rPr>
                <w:lang w:val="en-GB"/>
              </w:rPr>
              <w:t xml:space="preserve">                                           5.512 5.513</w:t>
            </w:r>
          </w:p>
        </w:tc>
      </w:tr>
    </w:tbl>
    <w:p w:rsidR="0094207C" w:rsidRPr="00631E19" w:rsidRDefault="0094207C" w:rsidP="00640DC4">
      <w:pPr>
        <w:pStyle w:val="Normalaftertitle"/>
        <w:spacing w:before="0"/>
        <w:rPr>
          <w:b/>
          <w:bCs/>
          <w:sz w:val="20"/>
        </w:rPr>
      </w:pPr>
    </w:p>
    <w:p w:rsidR="00225070" w:rsidRPr="00631E19" w:rsidRDefault="0094207C" w:rsidP="00640DC4">
      <w:pPr>
        <w:ind w:left="426"/>
        <w:rPr>
          <w:rFonts w:eastAsia="Batang"/>
          <w:lang w:val="en-GB" w:eastAsia="zh-CN"/>
        </w:rPr>
      </w:pPr>
      <w:r w:rsidRPr="00631E19">
        <w:rPr>
          <w:b/>
          <w:bCs/>
          <w:lang w:val="en-GB"/>
        </w:rPr>
        <w:lastRenderedPageBreak/>
        <w:t>5.512</w:t>
      </w:r>
      <w:r w:rsidRPr="00631E19">
        <w:rPr>
          <w:lang w:val="en-GB"/>
        </w:rPr>
        <w:tab/>
      </w:r>
      <w:r w:rsidR="00225070" w:rsidRPr="00631E19">
        <w:rPr>
          <w:rFonts w:eastAsia="Batang"/>
          <w:i/>
          <w:iCs/>
          <w:lang w:val="en-GB" w:eastAsia="zh-CN"/>
        </w:rPr>
        <w:t xml:space="preserve">Additional allocation: </w:t>
      </w:r>
      <w:r w:rsidR="00225070" w:rsidRPr="00631E19">
        <w:rPr>
          <w:rFonts w:eastAsia="Batang"/>
          <w:lang w:val="en-GB" w:eastAsia="zh-CN"/>
        </w:rPr>
        <w:t>in Algeria, Angola, Saudi Arabia, Austria, Bahrain, Bangladesh, Brunei Darussalam, Cameroon, Congo (Rep. of the), Costa Rica, Egypt, El Salvador, the United Arab Emirates, Eritrea, Finland, Guatemala, India, Indonesia, Iran (Islamic Republic of), Jordan, Kenya, Kuwait, Lebanon, Libya, Malaysia, Mali, Morocco, Mauritania, Montenegro, Nepal, Nicaragua, Niger, Oman, Pakistan, Qatar, Syrian Arab Republic, the Dem. Rep. of the Congo, Serbia, Singapore, Somalia, Sudan, South Sudan, Tanzania, Chad, Togo and Yemen, the band 15.7-17.3 GHz is also allocated to the fixed and mobile services on a primary basis. (WRC-12)</w:t>
      </w:r>
    </w:p>
    <w:p w:rsidR="0094207C" w:rsidRPr="00631E19" w:rsidRDefault="0094207C" w:rsidP="00640DC4">
      <w:pPr>
        <w:ind w:left="426"/>
        <w:rPr>
          <w:lang w:val="en-GB"/>
        </w:rPr>
      </w:pPr>
    </w:p>
    <w:p w:rsidR="0094207C" w:rsidRPr="00631E19" w:rsidRDefault="0094207C" w:rsidP="00640DC4">
      <w:pPr>
        <w:ind w:left="426"/>
        <w:rPr>
          <w:lang w:val="en-GB"/>
        </w:rPr>
      </w:pPr>
      <w:r w:rsidRPr="00631E19">
        <w:rPr>
          <w:b/>
          <w:bCs/>
          <w:lang w:val="en-GB"/>
        </w:rPr>
        <w:t>5.513</w:t>
      </w:r>
      <w:r w:rsidRPr="00631E19">
        <w:rPr>
          <w:lang w:val="en-GB"/>
        </w:rPr>
        <w:tab/>
      </w:r>
      <w:r w:rsidRPr="00631E19">
        <w:rPr>
          <w:i/>
          <w:lang w:val="en-GB"/>
        </w:rPr>
        <w:t>Additional allocation:</w:t>
      </w:r>
      <w:r w:rsidRPr="00631E19">
        <w:rPr>
          <w:lang w:val="en-GB"/>
        </w:rPr>
        <w:t xml:space="preserve"> in Israel, the band 15.7-17.3 GHz is also allocated to the fixed and mobile services on a primary basis. These services shall not claim protection from or cause harmful interference to services operating in accordance with the Table in countries other than those included in No. </w:t>
      </w:r>
      <w:r w:rsidRPr="00631E19">
        <w:rPr>
          <w:b/>
          <w:bCs/>
          <w:lang w:val="en-GB"/>
        </w:rPr>
        <w:t>5.512</w:t>
      </w:r>
      <w:r w:rsidRPr="00631E19">
        <w:rPr>
          <w:lang w:val="en-GB"/>
        </w:rPr>
        <w:t>.</w:t>
      </w:r>
    </w:p>
    <w:p w:rsidR="0094207C" w:rsidRPr="00631E19" w:rsidRDefault="0094207C" w:rsidP="00640DC4">
      <w:pPr>
        <w:rPr>
          <w:lang w:val="en-GB"/>
        </w:rPr>
      </w:pPr>
    </w:p>
    <w:p w:rsidR="0094207C" w:rsidRPr="00631E19" w:rsidRDefault="0094207C" w:rsidP="00E75CBD">
      <w:pPr>
        <w:pStyle w:val="ListParagraph"/>
        <w:numPr>
          <w:ilvl w:val="2"/>
          <w:numId w:val="42"/>
        </w:numPr>
        <w:ind w:leftChars="0"/>
        <w:rPr>
          <w:b/>
          <w:lang w:val="en-GB"/>
        </w:rPr>
      </w:pPr>
      <w:r w:rsidRPr="00631E19">
        <w:rPr>
          <w:b/>
          <w:lang w:val="en-GB"/>
        </w:rPr>
        <w:t>Review of studies performed in the band 15.7-16.6 GHz:</w:t>
      </w:r>
    </w:p>
    <w:p w:rsidR="0094207C" w:rsidRPr="00631E19" w:rsidRDefault="0094207C" w:rsidP="00640DC4">
      <w:pPr>
        <w:ind w:left="360"/>
        <w:rPr>
          <w:lang w:val="en-GB"/>
        </w:rPr>
      </w:pPr>
    </w:p>
    <w:p w:rsidR="0094207C" w:rsidRPr="00631E19" w:rsidRDefault="0094207C" w:rsidP="00640DC4">
      <w:pPr>
        <w:ind w:left="851" w:hanging="425"/>
        <w:rPr>
          <w:lang w:val="en-GB"/>
        </w:rPr>
      </w:pPr>
    </w:p>
    <w:p w:rsidR="002554DC" w:rsidRPr="00631E19" w:rsidRDefault="002554DC" w:rsidP="00640DC4">
      <w:pPr>
        <w:ind w:left="360"/>
        <w:rPr>
          <w:lang w:val="en-GB"/>
        </w:rPr>
      </w:pPr>
      <w:r w:rsidRPr="00631E19">
        <w:rPr>
          <w:lang w:val="en-GB"/>
        </w:rPr>
        <w:t>A list of relevant recommendations that may be useful for sharing studies in the band 15.7-16.6 GHz is summarized in Table </w:t>
      </w:r>
      <w:r w:rsidR="001D6E26" w:rsidRPr="00631E19">
        <w:rPr>
          <w:lang w:val="en-GB" w:eastAsia="ko-KR"/>
        </w:rPr>
        <w:t>12</w:t>
      </w:r>
      <w:r w:rsidRPr="00631E19">
        <w:rPr>
          <w:lang w:val="en-GB"/>
        </w:rPr>
        <w:t xml:space="preserve">. </w:t>
      </w:r>
    </w:p>
    <w:p w:rsidR="002554DC" w:rsidRPr="00631E19" w:rsidRDefault="002554DC" w:rsidP="00640DC4">
      <w:pPr>
        <w:pStyle w:val="Tabletitle"/>
        <w:spacing w:after="0"/>
        <w:ind w:left="720"/>
        <w:jc w:val="left"/>
        <w:rPr>
          <w:rFonts w:ascii="Times New Roman" w:hAnsi="Times New Roman"/>
          <w:sz w:val="24"/>
          <w:szCs w:val="24"/>
        </w:rPr>
      </w:pPr>
    </w:p>
    <w:p w:rsidR="002554DC" w:rsidRPr="00631E19" w:rsidRDefault="002554DC" w:rsidP="00640DC4">
      <w:pPr>
        <w:pStyle w:val="Tabletitle"/>
        <w:spacing w:after="0"/>
        <w:rPr>
          <w:rFonts w:ascii="Times New Roman" w:hAnsi="Times New Roman"/>
          <w:sz w:val="24"/>
          <w:szCs w:val="24"/>
        </w:rPr>
      </w:pPr>
      <w:r w:rsidRPr="00631E19">
        <w:rPr>
          <w:rFonts w:ascii="Times New Roman" w:hAnsi="Times New Roman"/>
          <w:sz w:val="24"/>
          <w:szCs w:val="24"/>
        </w:rPr>
        <w:t xml:space="preserve">Table </w:t>
      </w:r>
      <w:r w:rsidR="001D6E26" w:rsidRPr="00631E19">
        <w:rPr>
          <w:rFonts w:ascii="Times New Roman" w:eastAsia="Malgun Gothic" w:hAnsi="Times New Roman"/>
          <w:sz w:val="24"/>
          <w:szCs w:val="24"/>
          <w:lang w:eastAsia="ko-KR"/>
        </w:rPr>
        <w:t>12</w:t>
      </w:r>
      <w:r w:rsidRPr="00631E19">
        <w:rPr>
          <w:rFonts w:ascii="Times New Roman" w:hAnsi="Times New Roman"/>
          <w:sz w:val="24"/>
          <w:szCs w:val="24"/>
        </w:rPr>
        <w:t xml:space="preserve">: Summary of relevant recommendations that may be useful for </w:t>
      </w:r>
      <w:r w:rsidRPr="00631E19">
        <w:rPr>
          <w:rFonts w:ascii="Times New Roman" w:hAnsi="Times New Roman"/>
          <w:sz w:val="24"/>
          <w:szCs w:val="24"/>
        </w:rPr>
        <w:br/>
        <w:t>sharing studies in the band 15.7-16.6 GHz</w:t>
      </w:r>
    </w:p>
    <w:tbl>
      <w:tblPr>
        <w:tblW w:w="7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573"/>
        <w:gridCol w:w="5332"/>
      </w:tblGrid>
      <w:tr w:rsidR="005A41A0" w:rsidRPr="00631E19" w:rsidTr="00C94484">
        <w:trPr>
          <w:jc w:val="center"/>
        </w:trPr>
        <w:tc>
          <w:tcPr>
            <w:tcW w:w="2573" w:type="dxa"/>
          </w:tcPr>
          <w:p w:rsidR="005A41A0" w:rsidRPr="00631E19" w:rsidRDefault="005A41A0" w:rsidP="00C94484">
            <w:pPr>
              <w:pStyle w:val="Tablehead"/>
            </w:pPr>
            <w:r w:rsidRPr="00631E19">
              <w:t>Service</w:t>
            </w:r>
          </w:p>
        </w:tc>
        <w:tc>
          <w:tcPr>
            <w:tcW w:w="5332" w:type="dxa"/>
          </w:tcPr>
          <w:p w:rsidR="005A41A0" w:rsidRPr="00631E19" w:rsidRDefault="005A41A0" w:rsidP="00C94484">
            <w:pPr>
              <w:pStyle w:val="Tablehead"/>
            </w:pPr>
            <w:r w:rsidRPr="00631E19">
              <w:t>Relevant Recommendations/Reports</w:t>
            </w:r>
          </w:p>
        </w:tc>
      </w:tr>
      <w:tr w:rsidR="005A41A0" w:rsidRPr="00631E19" w:rsidTr="00C94484">
        <w:trPr>
          <w:jc w:val="center"/>
        </w:trPr>
        <w:tc>
          <w:tcPr>
            <w:tcW w:w="2573" w:type="dxa"/>
          </w:tcPr>
          <w:p w:rsidR="005A41A0" w:rsidRPr="00631E19" w:rsidRDefault="005A41A0" w:rsidP="00C94484">
            <w:pPr>
              <w:pStyle w:val="Tabletext"/>
              <w:rPr>
                <w:lang w:eastAsia="zh-CN"/>
              </w:rPr>
            </w:pPr>
            <w:r w:rsidRPr="00631E19">
              <w:rPr>
                <w:lang w:eastAsia="zh-CN"/>
              </w:rPr>
              <w:t>Radiolocation</w:t>
            </w:r>
          </w:p>
        </w:tc>
        <w:tc>
          <w:tcPr>
            <w:tcW w:w="5332" w:type="dxa"/>
          </w:tcPr>
          <w:p w:rsidR="005A41A0" w:rsidRPr="00631E19" w:rsidRDefault="005A41A0" w:rsidP="00C94484">
            <w:pPr>
              <w:pStyle w:val="Tabletext"/>
              <w:keepLines/>
              <w:tabs>
                <w:tab w:val="left" w:leader="dot" w:pos="7938"/>
                <w:tab w:val="center" w:pos="9526"/>
              </w:tabs>
              <w:ind w:left="567" w:hanging="567"/>
            </w:pPr>
            <w:r w:rsidRPr="00631E19">
              <w:t>Recommendation ITU-R M.1730</w:t>
            </w:r>
          </w:p>
          <w:p w:rsidR="005A41A0" w:rsidRPr="00631E19" w:rsidRDefault="005A41A0" w:rsidP="00C94484">
            <w:pPr>
              <w:pStyle w:val="Tabletext"/>
              <w:keepLines/>
              <w:tabs>
                <w:tab w:val="left" w:leader="dot" w:pos="7938"/>
                <w:tab w:val="center" w:pos="9526"/>
              </w:tabs>
              <w:ind w:left="567" w:hanging="567"/>
            </w:pPr>
            <w:r w:rsidRPr="00631E19">
              <w:t>Recommendation ITU-R M.1461</w:t>
            </w:r>
          </w:p>
          <w:p w:rsidR="005A41A0" w:rsidRPr="00631E19" w:rsidRDefault="005A41A0" w:rsidP="00C94484">
            <w:pPr>
              <w:pStyle w:val="Tabletext"/>
            </w:pPr>
            <w:r w:rsidRPr="00631E19">
              <w:t>Recommendation ITU-R M.1851</w:t>
            </w:r>
          </w:p>
          <w:p w:rsidR="005A41A0" w:rsidRPr="00631E19" w:rsidRDefault="005A41A0" w:rsidP="00C94484">
            <w:pPr>
              <w:pStyle w:val="Tabletext"/>
              <w:rPr>
                <w:lang w:eastAsia="zh-CN"/>
              </w:rPr>
            </w:pPr>
            <w:r w:rsidRPr="00631E19">
              <w:t>Report ITU-R M.2170</w:t>
            </w:r>
          </w:p>
        </w:tc>
      </w:tr>
      <w:tr w:rsidR="005A41A0" w:rsidRPr="00631E19" w:rsidTr="00C94484">
        <w:trPr>
          <w:jc w:val="center"/>
        </w:trPr>
        <w:tc>
          <w:tcPr>
            <w:tcW w:w="2573" w:type="dxa"/>
          </w:tcPr>
          <w:p w:rsidR="005A41A0" w:rsidRPr="00631E19" w:rsidRDefault="005A41A0" w:rsidP="00C94484">
            <w:pPr>
              <w:pStyle w:val="Tabletext"/>
              <w:rPr>
                <w:lang w:eastAsia="zh-CN"/>
              </w:rPr>
            </w:pPr>
            <w:r w:rsidRPr="00631E19">
              <w:rPr>
                <w:lang w:eastAsia="zh-CN"/>
              </w:rPr>
              <w:t>Fixed</w:t>
            </w:r>
          </w:p>
        </w:tc>
        <w:tc>
          <w:tcPr>
            <w:tcW w:w="5332" w:type="dxa"/>
          </w:tcPr>
          <w:p w:rsidR="005A41A0" w:rsidRPr="00631E19" w:rsidRDefault="005A41A0" w:rsidP="00C94484">
            <w:pPr>
              <w:pStyle w:val="Tabletext"/>
            </w:pPr>
            <w:r w:rsidRPr="00631E19">
              <w:t>Recommendation ITU-R F.699</w:t>
            </w:r>
          </w:p>
          <w:p w:rsidR="005A41A0" w:rsidRPr="00631E19" w:rsidRDefault="005A41A0" w:rsidP="00C94484">
            <w:pPr>
              <w:pStyle w:val="Tabletext"/>
            </w:pPr>
            <w:r w:rsidRPr="00631E19">
              <w:t xml:space="preserve">Recommendation ITU-R F.758 </w:t>
            </w:r>
          </w:p>
          <w:p w:rsidR="005A41A0" w:rsidRPr="00631E19" w:rsidRDefault="005A41A0" w:rsidP="00C94484">
            <w:pPr>
              <w:pStyle w:val="Tabletext"/>
            </w:pPr>
            <w:r w:rsidRPr="00631E19">
              <w:t xml:space="preserve">Recommendation ITU-R F.1107 </w:t>
            </w:r>
          </w:p>
          <w:p w:rsidR="005A41A0" w:rsidRPr="00631E19" w:rsidRDefault="005A41A0" w:rsidP="00C94484">
            <w:pPr>
              <w:pStyle w:val="Tabletext"/>
            </w:pPr>
            <w:r w:rsidRPr="00631E19">
              <w:t>Recommendation ITU-R F.1245</w:t>
            </w:r>
          </w:p>
          <w:p w:rsidR="005A41A0" w:rsidRPr="00631E19" w:rsidRDefault="005A41A0" w:rsidP="00C94484">
            <w:pPr>
              <w:pStyle w:val="Tabletext"/>
            </w:pPr>
            <w:r w:rsidRPr="00631E19">
              <w:t>Recommendation ITU-R F.1333</w:t>
            </w:r>
          </w:p>
          <w:p w:rsidR="005A41A0" w:rsidRPr="00631E19" w:rsidRDefault="005A41A0" w:rsidP="00C94484">
            <w:pPr>
              <w:pStyle w:val="Tabletext"/>
            </w:pPr>
            <w:r w:rsidRPr="00631E19">
              <w:t xml:space="preserve">Recommendation ITU-R F.1336 </w:t>
            </w:r>
          </w:p>
          <w:p w:rsidR="005A41A0" w:rsidRPr="00631E19" w:rsidRDefault="005A41A0" w:rsidP="00C94484">
            <w:pPr>
              <w:pStyle w:val="Tabletext"/>
            </w:pPr>
            <w:r w:rsidRPr="00631E19">
              <w:t>Recommendation ITU-R F.1777</w:t>
            </w:r>
          </w:p>
        </w:tc>
      </w:tr>
      <w:tr w:rsidR="005A41A0" w:rsidRPr="00631E19" w:rsidTr="00C94484">
        <w:trPr>
          <w:jc w:val="center"/>
        </w:trPr>
        <w:tc>
          <w:tcPr>
            <w:tcW w:w="2573" w:type="dxa"/>
          </w:tcPr>
          <w:p w:rsidR="005A41A0" w:rsidRPr="00631E19" w:rsidRDefault="005A41A0" w:rsidP="00C94484">
            <w:pPr>
              <w:pStyle w:val="Tabletext"/>
              <w:rPr>
                <w:lang w:eastAsia="zh-CN"/>
              </w:rPr>
            </w:pPr>
            <w:r w:rsidRPr="00631E19">
              <w:rPr>
                <w:lang w:eastAsia="zh-CN"/>
              </w:rPr>
              <w:t>Mobile</w:t>
            </w:r>
          </w:p>
        </w:tc>
        <w:tc>
          <w:tcPr>
            <w:tcW w:w="5332" w:type="dxa"/>
          </w:tcPr>
          <w:p w:rsidR="005A41A0" w:rsidRPr="00631E19" w:rsidRDefault="005A41A0" w:rsidP="00C94484">
            <w:pPr>
              <w:pStyle w:val="Tabletext"/>
            </w:pPr>
            <w:r w:rsidRPr="00631E19">
              <w:t>Recommendation ITU-R M.1824</w:t>
            </w:r>
          </w:p>
        </w:tc>
      </w:tr>
    </w:tbl>
    <w:p w:rsidR="002554DC" w:rsidRPr="00631E19" w:rsidRDefault="002554DC" w:rsidP="00640DC4">
      <w:pPr>
        <w:ind w:left="851" w:hanging="425"/>
        <w:rPr>
          <w:lang w:val="en-GB" w:eastAsia="ko-KR"/>
        </w:rPr>
      </w:pPr>
    </w:p>
    <w:p w:rsidR="0094207C" w:rsidRPr="00631E19" w:rsidRDefault="0094207C" w:rsidP="00640DC4">
      <w:pPr>
        <w:ind w:left="426"/>
        <w:rPr>
          <w:lang w:val="en-GB"/>
        </w:rPr>
      </w:pPr>
      <w:r w:rsidRPr="00631E19">
        <w:rPr>
          <w:lang w:val="en-GB"/>
        </w:rPr>
        <w:t xml:space="preserve">Sharing studies for additional allocation to FSS </w:t>
      </w:r>
      <w:r w:rsidR="00CE5912" w:rsidRPr="00631E19">
        <w:rPr>
          <w:lang w:val="en-GB"/>
        </w:rPr>
        <w:t xml:space="preserve">(Earth-to-space) </w:t>
      </w:r>
      <w:r w:rsidRPr="00631E19">
        <w:rPr>
          <w:lang w:val="en-GB"/>
        </w:rPr>
        <w:t xml:space="preserve">could be conducted in the band of 15.7-16.6 GHz taking into consideration the current allocations of radiolocation, fixed and mobile services in this band. This proposal is grounded </w:t>
      </w:r>
      <w:r w:rsidR="00CE5912" w:rsidRPr="00631E19">
        <w:rPr>
          <w:lang w:val="en-GB"/>
        </w:rPr>
        <w:t>o</w:t>
      </w:r>
      <w:r w:rsidRPr="00631E19">
        <w:rPr>
          <w:lang w:val="en-GB"/>
        </w:rPr>
        <w:t xml:space="preserve">n the fact that it is possible to have allocations for FSS </w:t>
      </w:r>
      <w:r w:rsidR="00CE5912" w:rsidRPr="00631E19">
        <w:rPr>
          <w:lang w:val="en-GB"/>
        </w:rPr>
        <w:t>(Earth-to-space)</w:t>
      </w:r>
      <w:r w:rsidRPr="00631E19">
        <w:rPr>
          <w:lang w:val="en-GB"/>
        </w:rPr>
        <w:t xml:space="preserve">, radiolocation, fixed and mobile (additional allocations via footnotes) services as indicated in the frequency band of 13.75-14 GHz. In this band, it is noted that there are antenna size and power flux-density limits imposed on the operation of FSS in order to protect the radiolocation services through RR No. </w:t>
      </w:r>
      <w:r w:rsidRPr="00631E19">
        <w:rPr>
          <w:b/>
          <w:bCs/>
          <w:lang w:val="en-GB"/>
        </w:rPr>
        <w:t>5.502</w:t>
      </w:r>
      <w:r w:rsidRPr="00631E19">
        <w:rPr>
          <w:lang w:val="en-GB"/>
        </w:rPr>
        <w:t xml:space="preserve">. In addition, the FSS </w:t>
      </w:r>
      <w:r w:rsidR="00CE5912" w:rsidRPr="00631E19">
        <w:rPr>
          <w:lang w:val="en-GB"/>
        </w:rPr>
        <w:t xml:space="preserve">Earth </w:t>
      </w:r>
      <w:r w:rsidRPr="00631E19">
        <w:rPr>
          <w:lang w:val="en-GB"/>
        </w:rPr>
        <w:t xml:space="preserve">stations in this band are also subject to the off-axis </w:t>
      </w:r>
      <w:proofErr w:type="spellStart"/>
      <w:r w:rsidRPr="00631E19">
        <w:rPr>
          <w:lang w:val="en-GB"/>
        </w:rPr>
        <w:t>e.i.r.p</w:t>
      </w:r>
      <w:proofErr w:type="spellEnd"/>
      <w:r w:rsidRPr="00631E19">
        <w:rPr>
          <w:lang w:val="en-GB"/>
        </w:rPr>
        <w:t xml:space="preserve">. limits in RR Nos. </w:t>
      </w:r>
      <w:r w:rsidRPr="00631E19">
        <w:rPr>
          <w:b/>
          <w:bCs/>
          <w:lang w:val="en-GB"/>
        </w:rPr>
        <w:t>22.26</w:t>
      </w:r>
      <w:r w:rsidRPr="00631E19">
        <w:rPr>
          <w:lang w:val="en-GB"/>
        </w:rPr>
        <w:t xml:space="preserve">, </w:t>
      </w:r>
      <w:r w:rsidRPr="00631E19">
        <w:rPr>
          <w:b/>
          <w:bCs/>
          <w:lang w:val="en-GB"/>
        </w:rPr>
        <w:t>22.27</w:t>
      </w:r>
      <w:r w:rsidRPr="00631E19">
        <w:rPr>
          <w:lang w:val="en-GB"/>
        </w:rPr>
        <w:t xml:space="preserve"> and </w:t>
      </w:r>
      <w:r w:rsidRPr="00631E19">
        <w:rPr>
          <w:b/>
          <w:bCs/>
          <w:lang w:val="en-GB"/>
        </w:rPr>
        <w:t>22.28</w:t>
      </w:r>
      <w:r w:rsidRPr="00631E19">
        <w:rPr>
          <w:lang w:val="en-GB"/>
        </w:rPr>
        <w:t xml:space="preserve"> as mentioned in RR No. </w:t>
      </w:r>
      <w:r w:rsidRPr="00631E19">
        <w:rPr>
          <w:b/>
          <w:bCs/>
          <w:lang w:val="en-GB"/>
        </w:rPr>
        <w:t>22.29</w:t>
      </w:r>
      <w:r w:rsidRPr="00631E19">
        <w:rPr>
          <w:lang w:val="en-GB"/>
        </w:rPr>
        <w:t>.</w:t>
      </w:r>
    </w:p>
    <w:p w:rsidR="0094207C" w:rsidRPr="00631E19" w:rsidRDefault="0094207C" w:rsidP="00640DC4">
      <w:pPr>
        <w:rPr>
          <w:lang w:val="en-GB"/>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94207C" w:rsidRPr="00631E19" w:rsidTr="00CD7469">
        <w:tc>
          <w:tcPr>
            <w:tcW w:w="8788" w:type="dxa"/>
          </w:tcPr>
          <w:p w:rsidR="0094207C" w:rsidRPr="00631E19" w:rsidRDefault="0094207C" w:rsidP="00640DC4">
            <w:pPr>
              <w:rPr>
                <w:lang w:val="en-GB" w:eastAsia="zh-CN"/>
              </w:rPr>
            </w:pPr>
            <w:r w:rsidRPr="00631E19">
              <w:rPr>
                <w:b/>
                <w:bCs/>
                <w:lang w:val="en-GB" w:eastAsia="zh-CN"/>
              </w:rPr>
              <w:t xml:space="preserve">13.75-14                          </w:t>
            </w:r>
            <w:r w:rsidRPr="00631E19">
              <w:rPr>
                <w:lang w:val="en-GB" w:eastAsia="zh-CN"/>
              </w:rPr>
              <w:t>FIXED-SATELLITE (Earth-to-space) 5.484A</w:t>
            </w:r>
          </w:p>
          <w:p w:rsidR="0094207C" w:rsidRPr="00631E19" w:rsidRDefault="0094207C" w:rsidP="00640DC4">
            <w:pPr>
              <w:rPr>
                <w:lang w:val="en-GB" w:eastAsia="zh-CN"/>
              </w:rPr>
            </w:pPr>
            <w:r w:rsidRPr="00631E19">
              <w:rPr>
                <w:lang w:val="en-GB" w:eastAsia="zh-CN"/>
              </w:rPr>
              <w:t xml:space="preserve">                                        RADIOLOCATION</w:t>
            </w:r>
          </w:p>
          <w:p w:rsidR="0094207C" w:rsidRPr="00631E19" w:rsidRDefault="0094207C" w:rsidP="00640DC4">
            <w:pPr>
              <w:rPr>
                <w:lang w:val="en-GB" w:eastAsia="zh-CN"/>
              </w:rPr>
            </w:pPr>
            <w:r w:rsidRPr="00631E19">
              <w:rPr>
                <w:lang w:val="en-GB" w:eastAsia="zh-CN"/>
              </w:rPr>
              <w:t xml:space="preserve">                                        Earth exploration-satellite</w:t>
            </w:r>
          </w:p>
          <w:p w:rsidR="0094207C" w:rsidRPr="00631E19" w:rsidRDefault="0094207C" w:rsidP="00640DC4">
            <w:pPr>
              <w:rPr>
                <w:lang w:val="en-GB" w:eastAsia="zh-CN"/>
              </w:rPr>
            </w:pPr>
            <w:r w:rsidRPr="00631E19">
              <w:rPr>
                <w:lang w:val="en-GB" w:eastAsia="zh-CN"/>
              </w:rPr>
              <w:lastRenderedPageBreak/>
              <w:t xml:space="preserve">                                        Standard frequency and time signal-satellite (Earth-to-space)</w:t>
            </w:r>
          </w:p>
          <w:p w:rsidR="0094207C" w:rsidRPr="00631E19" w:rsidRDefault="0094207C" w:rsidP="00640DC4">
            <w:pPr>
              <w:rPr>
                <w:lang w:val="en-GB" w:eastAsia="zh-CN"/>
              </w:rPr>
            </w:pPr>
            <w:r w:rsidRPr="00631E19">
              <w:rPr>
                <w:lang w:val="en-GB" w:eastAsia="zh-CN"/>
              </w:rPr>
              <w:t xml:space="preserve">                                        Space research</w:t>
            </w:r>
          </w:p>
          <w:p w:rsidR="0094207C" w:rsidRPr="00631E19" w:rsidRDefault="0094207C" w:rsidP="00640DC4">
            <w:pPr>
              <w:rPr>
                <w:lang w:val="en-GB" w:eastAsia="zh-CN"/>
              </w:rPr>
            </w:pPr>
            <w:r w:rsidRPr="00631E19">
              <w:rPr>
                <w:lang w:val="en-GB" w:eastAsia="zh-CN"/>
              </w:rPr>
              <w:t xml:space="preserve">                                        5.499 5.500 5.501 5.502 5.503</w:t>
            </w:r>
          </w:p>
        </w:tc>
      </w:tr>
    </w:tbl>
    <w:p w:rsidR="0094207C" w:rsidRPr="00631E19" w:rsidRDefault="0094207C" w:rsidP="00640DC4">
      <w:pPr>
        <w:rPr>
          <w:rFonts w:ascii="TimesNewRoman,Bold" w:hAnsi="TimesNewRoman,Bold" w:cs="TimesNewRoman,Bold"/>
          <w:b/>
          <w:bCs/>
          <w:lang w:val="en-GB" w:eastAsia="zh-CN"/>
        </w:rPr>
      </w:pPr>
    </w:p>
    <w:p w:rsidR="0094207C" w:rsidRPr="00631E19" w:rsidRDefault="0094207C" w:rsidP="00640DC4">
      <w:pPr>
        <w:ind w:left="426"/>
        <w:rPr>
          <w:lang w:val="en-GB" w:eastAsia="zh-CN"/>
        </w:rPr>
      </w:pPr>
      <w:r w:rsidRPr="00631E19">
        <w:rPr>
          <w:b/>
          <w:bCs/>
          <w:lang w:val="en-GB" w:eastAsia="zh-CN"/>
        </w:rPr>
        <w:t xml:space="preserve">5.484A </w:t>
      </w:r>
      <w:r w:rsidRPr="00631E19">
        <w:rPr>
          <w:b/>
          <w:bCs/>
          <w:lang w:val="en-GB" w:eastAsia="zh-CN"/>
        </w:rPr>
        <w:tab/>
      </w:r>
      <w:r w:rsidRPr="00631E19">
        <w:rPr>
          <w:lang w:val="en-GB" w:eastAsia="zh-CN"/>
        </w:rPr>
        <w:t xml:space="preserve">The use of the bands 10.95-11.2 GHz (space-to-Earth), 11.45-11.7 GHz (space-to-Earth), 11.7-12.2 GHz (space-to-Earth) in Region 2, 12.2-12.75 GHz (space-to-Earth) in Region 3, 12.5-12.75 GHz (space-to-Earth) in Region 1, 13.75-14.5 GHz (Earth-to-space), 17.8-18.6 GHz (space-to-Earth), 19.7-20.2 GHz (space-to-Earth), 27.5-28.6 GHz (Earth-to-space), 29.5-30 GHz (Earth-to-space) by a non-geostationary-satellite system in the fixed-satellite service is subject to application of the provisions of No. </w:t>
      </w:r>
      <w:r w:rsidRPr="00631E19">
        <w:rPr>
          <w:b/>
          <w:bCs/>
          <w:lang w:val="en-GB" w:eastAsia="zh-CN"/>
        </w:rPr>
        <w:t xml:space="preserve">9.12 </w:t>
      </w:r>
      <w:r w:rsidRPr="00631E19">
        <w:rPr>
          <w:lang w:val="en-GB" w:eastAsia="zh-CN"/>
        </w:rPr>
        <w:t xml:space="preserve">for coordination with other non-geostationary 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 satellite service and of the complete coordination or notification information, as appropriate, for the geostationary satellite networks, and No. </w:t>
      </w:r>
      <w:r w:rsidRPr="00631E19">
        <w:rPr>
          <w:b/>
          <w:bCs/>
          <w:lang w:val="en-GB" w:eastAsia="zh-CN"/>
        </w:rPr>
        <w:t xml:space="preserve">5.43A </w:t>
      </w:r>
      <w:r w:rsidRPr="00631E19">
        <w:rPr>
          <w:lang w:val="en-GB" w:eastAsia="zh-CN"/>
        </w:rPr>
        <w:t>does not apply. Non-geostationary-satellite systems in the fixed-satellite service in the above bands shall be operated in such a way that any unacceptable interference that may occur during their operation shall be rapidly eliminated. (WRC-2000)</w:t>
      </w:r>
    </w:p>
    <w:p w:rsidR="0094207C" w:rsidRPr="00631E19" w:rsidRDefault="0094207C" w:rsidP="00640DC4">
      <w:pPr>
        <w:rPr>
          <w:rFonts w:ascii="TimesNewRoman,Bold" w:hAnsi="TimesNewRoman,Bold" w:cs="TimesNewRoman,Bold"/>
          <w:b/>
          <w:bCs/>
          <w:lang w:val="en-GB" w:eastAsia="zh-CN"/>
        </w:rPr>
      </w:pPr>
    </w:p>
    <w:p w:rsidR="002554DC" w:rsidRPr="00631E19" w:rsidRDefault="002554DC" w:rsidP="00640DC4">
      <w:pPr>
        <w:ind w:left="426"/>
        <w:rPr>
          <w:rFonts w:ascii="TimesNewRoman" w:hAnsi="TimesNewRoman" w:cs="TimesNewRoman"/>
          <w:lang w:val="en-GB" w:eastAsia="zh-CN"/>
        </w:rPr>
      </w:pPr>
      <w:r w:rsidRPr="00631E19">
        <w:rPr>
          <w:rFonts w:ascii="TimesNewRoman,Bold" w:hAnsi="TimesNewRoman,Bold" w:cs="TimesNewRoman,Bold"/>
          <w:b/>
          <w:bCs/>
          <w:lang w:val="en-GB" w:eastAsia="zh-CN"/>
        </w:rPr>
        <w:t>5.499</w:t>
      </w:r>
      <w:r w:rsidRPr="00631E19">
        <w:rPr>
          <w:rFonts w:ascii="TimesNewRoman,Bold" w:hAnsi="TimesNewRoman,Bold" w:cs="TimesNewRoman,Bold"/>
          <w:b/>
          <w:bCs/>
          <w:lang w:val="en-GB" w:eastAsia="zh-CN"/>
        </w:rPr>
        <w:tab/>
        <w:t xml:space="preserve"> </w:t>
      </w:r>
      <w:r w:rsidRPr="00631E19">
        <w:rPr>
          <w:i/>
          <w:iCs/>
          <w:lang w:val="en-GB" w:eastAsia="zh-CN"/>
        </w:rPr>
        <w:t xml:space="preserve">Additional allocation: </w:t>
      </w:r>
      <w:r w:rsidRPr="00631E19">
        <w:rPr>
          <w:rFonts w:ascii="TimesNewRoman" w:hAnsi="TimesNewRoman" w:cs="TimesNewRoman"/>
          <w:lang w:val="en-GB" w:eastAsia="zh-CN"/>
        </w:rPr>
        <w:t>in Bangladesh and India, the band 13.25-14 GHz is also allocated to the fixed service on a primary basis. In Pakistan, the band 13.25-13.75 GHz is allocated to the fixed service on a primary basis. (WRC-12)</w:t>
      </w:r>
    </w:p>
    <w:p w:rsidR="002554DC" w:rsidRPr="00631E19" w:rsidRDefault="002554DC" w:rsidP="00640DC4">
      <w:pPr>
        <w:rPr>
          <w:rFonts w:ascii="TimesNewRoman" w:hAnsi="TimesNewRoman" w:cs="TimesNewRoman"/>
          <w:lang w:val="en-GB" w:eastAsia="zh-CN"/>
        </w:rPr>
      </w:pPr>
    </w:p>
    <w:p w:rsidR="002554DC" w:rsidRPr="00631E19" w:rsidRDefault="002554DC" w:rsidP="00640DC4">
      <w:pPr>
        <w:ind w:left="426"/>
        <w:rPr>
          <w:rFonts w:ascii="TimesNewRoman" w:hAnsi="TimesNewRoman" w:cs="TimesNewRoman"/>
          <w:lang w:val="en-GB" w:eastAsia="zh-CN"/>
        </w:rPr>
      </w:pPr>
      <w:r w:rsidRPr="00631E19">
        <w:rPr>
          <w:rFonts w:ascii="TimesNewRoman,Bold" w:hAnsi="TimesNewRoman,Bold" w:cs="TimesNewRoman,Bold"/>
          <w:b/>
          <w:bCs/>
          <w:lang w:val="en-GB" w:eastAsia="zh-CN"/>
        </w:rPr>
        <w:t>5.500</w:t>
      </w:r>
      <w:r w:rsidRPr="00631E19">
        <w:rPr>
          <w:rFonts w:ascii="TimesNewRoman,Bold" w:hAnsi="TimesNewRoman,Bold" w:cs="TimesNewRoman,Bold"/>
          <w:b/>
          <w:bCs/>
          <w:lang w:val="en-GB" w:eastAsia="zh-CN"/>
        </w:rPr>
        <w:tab/>
        <w:t xml:space="preserve"> </w:t>
      </w:r>
      <w:r w:rsidRPr="00631E19">
        <w:rPr>
          <w:i/>
          <w:iCs/>
          <w:lang w:val="en-GB" w:eastAsia="zh-CN"/>
        </w:rPr>
        <w:t xml:space="preserve">Additional allocation: </w:t>
      </w:r>
      <w:r w:rsidRPr="00631E19">
        <w:rPr>
          <w:rFonts w:ascii="TimesNewRoman" w:hAnsi="TimesNewRoman" w:cs="TimesNewRoman"/>
          <w:lang w:val="en-GB" w:eastAsia="zh-CN"/>
        </w:rPr>
        <w:t>in Algeria, Angola, Saudi Arabia, Bahrain, Brunei Darussalam, Cameroon, Egypt, the United Arab Emirates, Gabon, Indonesia, Iran (Islamic Republic of), Iraq, Israel, Jordan, Kuwait, Lebanon, Madagascar, Malaysia, Mali, Morocco, Mauritania, Niger, Nigeria, Oman, Qatar, the Syrian Arab Republic, Singapore, Sudan, South Sudan, Chad and Tunisia, the band 13.4-14 GHz is also allocated to the fixed and mobile services on a primary basis. In Pakistan, the band 13.4-13.75 GHz is also allocated to the fixed and mobile services on a primary basis. (WRC-12)</w:t>
      </w:r>
    </w:p>
    <w:p w:rsidR="002554DC" w:rsidRPr="00631E19" w:rsidRDefault="002554DC" w:rsidP="00640DC4">
      <w:pPr>
        <w:rPr>
          <w:rFonts w:ascii="TimesNewRoman" w:hAnsi="TimesNewRoman" w:cs="TimesNewRoman"/>
          <w:lang w:val="en-GB" w:eastAsia="zh-CN"/>
        </w:rPr>
      </w:pPr>
    </w:p>
    <w:p w:rsidR="002554DC" w:rsidRPr="00631E19" w:rsidRDefault="002554DC" w:rsidP="00640DC4">
      <w:pPr>
        <w:ind w:left="426"/>
        <w:rPr>
          <w:rFonts w:ascii="TimesNewRoman" w:hAnsi="TimesNewRoman" w:cs="TimesNewRoman"/>
          <w:lang w:val="en-GB" w:eastAsia="zh-CN"/>
        </w:rPr>
      </w:pPr>
      <w:r w:rsidRPr="00631E19">
        <w:rPr>
          <w:rFonts w:ascii="TimesNewRoman,Bold" w:hAnsi="TimesNewRoman,Bold" w:cs="TimesNewRoman,Bold"/>
          <w:b/>
          <w:bCs/>
          <w:lang w:val="en-GB" w:eastAsia="zh-CN"/>
        </w:rPr>
        <w:t>5.501</w:t>
      </w:r>
      <w:r w:rsidRPr="00631E19">
        <w:rPr>
          <w:rFonts w:ascii="TimesNewRoman,Bold" w:hAnsi="TimesNewRoman,Bold" w:cs="TimesNewRoman,Bold"/>
          <w:b/>
          <w:bCs/>
          <w:lang w:val="en-GB" w:eastAsia="zh-CN"/>
        </w:rPr>
        <w:tab/>
        <w:t xml:space="preserve"> </w:t>
      </w:r>
      <w:r w:rsidRPr="00631E19">
        <w:rPr>
          <w:i/>
          <w:iCs/>
          <w:lang w:val="en-GB" w:eastAsia="zh-CN"/>
        </w:rPr>
        <w:t xml:space="preserve">Additional allocation: </w:t>
      </w:r>
      <w:r w:rsidRPr="00631E19">
        <w:rPr>
          <w:rFonts w:ascii="TimesNewRoman" w:hAnsi="TimesNewRoman" w:cs="TimesNewRoman"/>
          <w:lang w:val="en-GB" w:eastAsia="zh-CN"/>
        </w:rPr>
        <w:t>in Azerbaijan, Hungary, Japan, Kyrgyzstan, Romania and Turkmenistan, the band 13.4-14 GHz is also allocated to the radionavigation service on a primary basis. (WRC-12)</w:t>
      </w:r>
    </w:p>
    <w:p w:rsidR="0094207C" w:rsidRPr="00631E19" w:rsidRDefault="0094207C" w:rsidP="00640DC4">
      <w:pPr>
        <w:rPr>
          <w:rFonts w:ascii="TimesNewRoman" w:hAnsi="TimesNewRoman" w:cs="TimesNewRoman"/>
          <w:lang w:val="en-GB" w:eastAsia="zh-CN"/>
        </w:rPr>
      </w:pPr>
    </w:p>
    <w:p w:rsidR="0094207C" w:rsidRPr="00631E19" w:rsidRDefault="0094207C" w:rsidP="00640DC4">
      <w:pPr>
        <w:ind w:left="426"/>
        <w:rPr>
          <w:rFonts w:ascii="TimesNewRoman,Bold" w:hAnsi="TimesNewRoman,Bold" w:cs="TimesNewRoman,Bold"/>
          <w:b/>
          <w:bCs/>
          <w:lang w:val="en-GB" w:eastAsia="zh-CN"/>
        </w:rPr>
      </w:pPr>
      <w:r w:rsidRPr="00631E19">
        <w:rPr>
          <w:rFonts w:ascii="TimesNewRoman,Bold" w:hAnsi="TimesNewRoman,Bold" w:cs="TimesNewRoman,Bold"/>
          <w:b/>
          <w:bCs/>
          <w:lang w:val="en-GB" w:eastAsia="zh-CN"/>
        </w:rPr>
        <w:t xml:space="preserve">5.502 </w:t>
      </w:r>
      <w:r w:rsidRPr="00631E19">
        <w:rPr>
          <w:rFonts w:ascii="TimesNewRoman,Bold" w:hAnsi="TimesNewRoman,Bold" w:cs="TimesNewRoman,Bold"/>
          <w:b/>
          <w:bCs/>
          <w:lang w:val="en-GB" w:eastAsia="zh-CN"/>
        </w:rPr>
        <w:tab/>
      </w:r>
      <w:r w:rsidRPr="00631E19">
        <w:rPr>
          <w:rFonts w:ascii="TimesNewRoman" w:hAnsi="TimesNewRoman" w:cs="TimesNewRoman"/>
          <w:lang w:val="en-GB" w:eastAsia="zh-CN"/>
        </w:rPr>
        <w:t xml:space="preserve">In the band 13.75-14 GHz, an earth station of a geostationary fixed-satellite service network shall have a minimum antenna diameter of 1.2 m and an earth station of a non-geostationary fixed-satellite service system shall have a minimum antenna diameter of 4.5 m. In addition, the </w:t>
      </w:r>
      <w:proofErr w:type="spellStart"/>
      <w:r w:rsidRPr="00631E19">
        <w:rPr>
          <w:rFonts w:ascii="TimesNewRoman" w:hAnsi="TimesNewRoman" w:cs="TimesNewRoman"/>
          <w:lang w:val="en-GB" w:eastAsia="zh-CN"/>
        </w:rPr>
        <w:t>e.i.r.p</w:t>
      </w:r>
      <w:proofErr w:type="spellEnd"/>
      <w:r w:rsidRPr="00631E19">
        <w:rPr>
          <w:rFonts w:ascii="TimesNewRoman" w:hAnsi="TimesNewRoman" w:cs="TimesNewRoman"/>
          <w:lang w:val="en-GB" w:eastAsia="zh-CN"/>
        </w:rPr>
        <w:t xml:space="preserve">., averaged over one second, radiated by a station in the radiolocation or radionavigation services shall not exceed 59 </w:t>
      </w:r>
      <w:proofErr w:type="spellStart"/>
      <w:r w:rsidRPr="00631E19">
        <w:rPr>
          <w:rFonts w:ascii="TimesNewRoman" w:hAnsi="TimesNewRoman" w:cs="TimesNewRoman"/>
          <w:lang w:val="en-GB" w:eastAsia="zh-CN"/>
        </w:rPr>
        <w:t>dBW</w:t>
      </w:r>
      <w:proofErr w:type="spellEnd"/>
      <w:r w:rsidRPr="00631E19">
        <w:rPr>
          <w:rFonts w:ascii="TimesNewRoman" w:hAnsi="TimesNewRoman" w:cs="TimesNewRoman"/>
          <w:lang w:val="en-GB" w:eastAsia="zh-CN"/>
        </w:rPr>
        <w:t xml:space="preserve"> for elevation angles above 2° and 65 </w:t>
      </w:r>
      <w:proofErr w:type="spellStart"/>
      <w:r w:rsidRPr="00631E19">
        <w:rPr>
          <w:rFonts w:ascii="TimesNewRoman" w:hAnsi="TimesNewRoman" w:cs="TimesNewRoman"/>
          <w:lang w:val="en-GB" w:eastAsia="zh-CN"/>
        </w:rPr>
        <w:t>dBW</w:t>
      </w:r>
      <w:proofErr w:type="spellEnd"/>
      <w:r w:rsidRPr="00631E19">
        <w:rPr>
          <w:rFonts w:ascii="TimesNewRoman" w:hAnsi="TimesNewRoman" w:cs="TimesNewRoman"/>
          <w:lang w:val="en-GB" w:eastAsia="zh-CN"/>
        </w:rPr>
        <w:t xml:space="preserve"> at lower angles. Before an administration brings into use an earth station in a geostationary-satellite network in the fixed-satellite service in this band with an antenna diameter smaller than 4.5 m, it shall ensure that the power flux-density produced by this earth station does not exceed:</w:t>
      </w:r>
    </w:p>
    <w:p w:rsidR="0094207C" w:rsidRPr="00631E19" w:rsidRDefault="0094207C" w:rsidP="00640DC4">
      <w:pPr>
        <w:rPr>
          <w:rFonts w:ascii="TimesNewRoman" w:hAnsi="TimesNewRoman" w:cs="TimesNewRoman"/>
          <w:lang w:val="en-GB" w:eastAsia="zh-CN"/>
        </w:rPr>
      </w:pPr>
    </w:p>
    <w:p w:rsidR="0094207C" w:rsidRPr="00631E19" w:rsidRDefault="0094207C" w:rsidP="00640DC4">
      <w:pPr>
        <w:numPr>
          <w:ilvl w:val="0"/>
          <w:numId w:val="13"/>
        </w:numPr>
        <w:ind w:left="851" w:firstLine="0"/>
        <w:rPr>
          <w:rFonts w:ascii="TimesNewRoman" w:hAnsi="TimesNewRoman" w:cs="TimesNewRoman"/>
          <w:lang w:val="en-GB" w:eastAsia="zh-CN"/>
        </w:rPr>
      </w:pPr>
      <w:r w:rsidRPr="00631E19">
        <w:rPr>
          <w:rFonts w:ascii="TimesNewRoman" w:hAnsi="TimesNewRoman" w:cs="TimesNewRoman"/>
          <w:lang w:val="en-GB" w:eastAsia="zh-CN"/>
        </w:rPr>
        <w:t>-115 dB(W/(m</w:t>
      </w:r>
      <w:r w:rsidRPr="00631E19">
        <w:rPr>
          <w:rFonts w:ascii="TimesNewRoman" w:hAnsi="TimesNewRoman" w:cs="TimesNewRoman"/>
          <w:vertAlign w:val="superscript"/>
          <w:lang w:val="en-GB" w:eastAsia="zh-CN"/>
        </w:rPr>
        <w:t>2</w:t>
      </w:r>
      <w:r w:rsidRPr="00631E19">
        <w:rPr>
          <w:rFonts w:ascii="TimesNewRoman" w:hAnsi="TimesNewRoman" w:cs="TimesNewRoman"/>
          <w:lang w:val="en-GB" w:eastAsia="zh-CN"/>
        </w:rPr>
        <w:t xml:space="preserve"> · 10 MHz)) for more than 1% of the time produced at 36 m above sea level at the low water mark, as officially recognized by the coastal State;</w:t>
      </w:r>
    </w:p>
    <w:p w:rsidR="0094207C" w:rsidRPr="00631E19" w:rsidRDefault="0094207C" w:rsidP="00640DC4">
      <w:pPr>
        <w:ind w:left="426"/>
        <w:rPr>
          <w:rFonts w:ascii="TimesNewRoman" w:hAnsi="TimesNewRoman" w:cs="TimesNewRoman"/>
          <w:lang w:val="en-GB" w:eastAsia="zh-CN"/>
        </w:rPr>
      </w:pPr>
    </w:p>
    <w:p w:rsidR="0094207C" w:rsidRPr="00631E19" w:rsidRDefault="0094207C" w:rsidP="00640DC4">
      <w:pPr>
        <w:numPr>
          <w:ilvl w:val="0"/>
          <w:numId w:val="13"/>
        </w:numPr>
        <w:ind w:left="851" w:firstLine="0"/>
        <w:rPr>
          <w:rFonts w:ascii="TimesNewRoman" w:hAnsi="TimesNewRoman" w:cs="TimesNewRoman"/>
          <w:lang w:val="en-GB" w:eastAsia="zh-CN"/>
        </w:rPr>
      </w:pPr>
      <w:r w:rsidRPr="00631E19">
        <w:rPr>
          <w:rFonts w:ascii="TimesNewRoman" w:hAnsi="TimesNewRoman" w:cs="TimesNewRoman"/>
          <w:lang w:val="en-GB" w:eastAsia="zh-CN"/>
        </w:rPr>
        <w:lastRenderedPageBreak/>
        <w:t>-115 dB(W/(m</w:t>
      </w:r>
      <w:r w:rsidRPr="00631E19">
        <w:rPr>
          <w:rFonts w:ascii="TimesNewRoman" w:hAnsi="TimesNewRoman" w:cs="TimesNewRoman"/>
          <w:vertAlign w:val="superscript"/>
          <w:lang w:val="en-GB" w:eastAsia="zh-CN"/>
        </w:rPr>
        <w:t>2</w:t>
      </w:r>
      <w:r w:rsidRPr="00631E19">
        <w:rPr>
          <w:rFonts w:ascii="TimesNewRoman" w:hAnsi="TimesNewRoman" w:cs="TimesNewRoman"/>
          <w:lang w:val="en-GB" w:eastAsia="zh-CN"/>
        </w:rPr>
        <w:t xml:space="preserve"> · 10 MHz)) for more than 1% of the time produced 3 m above ground at the border of the territory of an administration deploying or planning to deploy land mobile radars in this band, unless prior agreement has been obtained.</w:t>
      </w:r>
    </w:p>
    <w:p w:rsidR="0094207C" w:rsidRPr="00631E19" w:rsidRDefault="0094207C" w:rsidP="00640DC4">
      <w:pPr>
        <w:ind w:left="720"/>
        <w:rPr>
          <w:rFonts w:ascii="TimesNewRoman" w:hAnsi="TimesNewRoman" w:cs="TimesNewRoman"/>
          <w:lang w:val="en-GB" w:eastAsia="zh-CN"/>
        </w:rPr>
      </w:pPr>
    </w:p>
    <w:p w:rsidR="0094207C" w:rsidRPr="00631E19" w:rsidRDefault="0094207C" w:rsidP="00640DC4">
      <w:pPr>
        <w:ind w:left="851"/>
        <w:rPr>
          <w:rFonts w:ascii="TimesNewRoman" w:hAnsi="TimesNewRoman" w:cs="TimesNewRoman"/>
          <w:lang w:val="en-GB" w:eastAsia="zh-CN"/>
        </w:rPr>
      </w:pPr>
      <w:r w:rsidRPr="00631E19">
        <w:rPr>
          <w:rFonts w:ascii="TimesNewRoman" w:hAnsi="TimesNewRoman" w:cs="TimesNewRoman"/>
          <w:lang w:val="en-GB" w:eastAsia="zh-CN"/>
        </w:rPr>
        <w:t xml:space="preserve">For earth stations within the fixed-satellite service having an antenna diameter greater than or equal to 4.5 m, the </w:t>
      </w:r>
      <w:proofErr w:type="spellStart"/>
      <w:r w:rsidRPr="00631E19">
        <w:rPr>
          <w:rFonts w:ascii="TimesNewRoman" w:hAnsi="TimesNewRoman" w:cs="TimesNewRoman"/>
          <w:lang w:val="en-GB" w:eastAsia="zh-CN"/>
        </w:rPr>
        <w:t>e.i.r.p</w:t>
      </w:r>
      <w:proofErr w:type="spellEnd"/>
      <w:r w:rsidRPr="00631E19">
        <w:rPr>
          <w:rFonts w:ascii="TimesNewRoman" w:hAnsi="TimesNewRoman" w:cs="TimesNewRoman"/>
          <w:lang w:val="en-GB" w:eastAsia="zh-CN"/>
        </w:rPr>
        <w:t xml:space="preserve">. of any emission should be at least 68 </w:t>
      </w:r>
      <w:proofErr w:type="spellStart"/>
      <w:r w:rsidRPr="00631E19">
        <w:rPr>
          <w:rFonts w:ascii="TimesNewRoman" w:hAnsi="TimesNewRoman" w:cs="TimesNewRoman"/>
          <w:lang w:val="en-GB" w:eastAsia="zh-CN"/>
        </w:rPr>
        <w:t>dBW</w:t>
      </w:r>
      <w:proofErr w:type="spellEnd"/>
      <w:r w:rsidRPr="00631E19">
        <w:rPr>
          <w:rFonts w:ascii="TimesNewRoman" w:hAnsi="TimesNewRoman" w:cs="TimesNewRoman"/>
          <w:lang w:val="en-GB" w:eastAsia="zh-CN"/>
        </w:rPr>
        <w:t xml:space="preserve"> and should not exceed 85 </w:t>
      </w:r>
      <w:proofErr w:type="spellStart"/>
      <w:r w:rsidRPr="00631E19">
        <w:rPr>
          <w:rFonts w:ascii="TimesNewRoman" w:hAnsi="TimesNewRoman" w:cs="TimesNewRoman"/>
          <w:lang w:val="en-GB" w:eastAsia="zh-CN"/>
        </w:rPr>
        <w:t>dBW</w:t>
      </w:r>
      <w:proofErr w:type="spellEnd"/>
      <w:r w:rsidRPr="00631E19">
        <w:rPr>
          <w:rFonts w:ascii="TimesNewRoman" w:hAnsi="TimesNewRoman" w:cs="TimesNewRoman"/>
          <w:lang w:val="en-GB" w:eastAsia="zh-CN"/>
        </w:rPr>
        <w:t>. (WRC-03)</w:t>
      </w:r>
    </w:p>
    <w:p w:rsidR="0094207C" w:rsidRPr="00631E19" w:rsidRDefault="0094207C" w:rsidP="00640DC4">
      <w:pPr>
        <w:rPr>
          <w:rFonts w:ascii="TimesNewRoman,Bold" w:hAnsi="TimesNewRoman,Bold" w:cs="TimesNewRoman,Bold"/>
          <w:b/>
          <w:bCs/>
          <w:lang w:val="en-GB" w:eastAsia="zh-CN"/>
        </w:rPr>
      </w:pPr>
    </w:p>
    <w:p w:rsidR="0094207C" w:rsidRPr="00631E19" w:rsidRDefault="0094207C" w:rsidP="00640DC4">
      <w:pPr>
        <w:ind w:left="426"/>
        <w:rPr>
          <w:rFonts w:ascii="TimesNewRoman" w:hAnsi="TimesNewRoman" w:cs="TimesNewRoman"/>
          <w:lang w:val="en-GB" w:eastAsia="zh-CN"/>
        </w:rPr>
      </w:pPr>
      <w:r w:rsidRPr="00631E19">
        <w:rPr>
          <w:rFonts w:ascii="TimesNewRoman,Bold" w:hAnsi="TimesNewRoman,Bold" w:cs="TimesNewRoman,Bold"/>
          <w:b/>
          <w:bCs/>
          <w:lang w:val="en-GB" w:eastAsia="zh-CN"/>
        </w:rPr>
        <w:t xml:space="preserve">5.503 </w:t>
      </w:r>
      <w:r w:rsidRPr="00631E19">
        <w:rPr>
          <w:rFonts w:ascii="TimesNewRoman,Bold" w:hAnsi="TimesNewRoman,Bold" w:cs="TimesNewRoman,Bold"/>
          <w:b/>
          <w:bCs/>
          <w:lang w:val="en-GB" w:eastAsia="zh-CN"/>
        </w:rPr>
        <w:tab/>
      </w:r>
      <w:r w:rsidRPr="00631E19">
        <w:rPr>
          <w:rFonts w:ascii="TimesNewRoman" w:hAnsi="TimesNewRoman" w:cs="TimesNewRoman"/>
          <w:lang w:val="en-GB" w:eastAsia="zh-CN"/>
        </w:rPr>
        <w:t>In the band 13.75-14 GHz, geostationary space stations in the space research service for which information for advance publication has been received by the Bureau prior to 31 January 1992 shall operate on an equal basis with stations in the fixed-satellite service; after that date, new geostationary space stations in the space research service will operate on a secondary basis. Until those geostationary space stations in the space research service for which information for advance publication has been received by the Bureau prior to 31 January 1992 cease to operate in this band:</w:t>
      </w:r>
    </w:p>
    <w:p w:rsidR="0094207C" w:rsidRPr="00631E19" w:rsidRDefault="0094207C" w:rsidP="00640DC4">
      <w:pPr>
        <w:ind w:left="720"/>
        <w:rPr>
          <w:rFonts w:ascii="TimesNewRoman" w:hAnsi="TimesNewRoman" w:cs="TimesNewRoman"/>
          <w:lang w:val="en-GB" w:eastAsia="zh-CN"/>
        </w:rPr>
      </w:pPr>
    </w:p>
    <w:p w:rsidR="0094207C" w:rsidRPr="00631E19" w:rsidRDefault="0094207C" w:rsidP="00640DC4">
      <w:pPr>
        <w:numPr>
          <w:ilvl w:val="0"/>
          <w:numId w:val="13"/>
        </w:numPr>
        <w:ind w:left="851" w:firstLine="0"/>
        <w:rPr>
          <w:rFonts w:ascii="TimesNewRoman" w:hAnsi="TimesNewRoman" w:cs="TimesNewRoman"/>
          <w:lang w:val="en-GB" w:eastAsia="zh-CN"/>
        </w:rPr>
      </w:pPr>
      <w:r w:rsidRPr="00631E19">
        <w:rPr>
          <w:rFonts w:ascii="TimesNewRoman" w:hAnsi="TimesNewRoman" w:cs="TimesNewRoman"/>
          <w:lang w:val="en-GB" w:eastAsia="zh-CN"/>
        </w:rPr>
        <w:t xml:space="preserve">in the band 13.77-13.78 GHz, the </w:t>
      </w:r>
      <w:proofErr w:type="spellStart"/>
      <w:r w:rsidRPr="00631E19">
        <w:rPr>
          <w:rFonts w:ascii="TimesNewRoman" w:hAnsi="TimesNewRoman" w:cs="TimesNewRoman"/>
          <w:lang w:val="en-GB" w:eastAsia="zh-CN"/>
        </w:rPr>
        <w:t>e.i.r.p</w:t>
      </w:r>
      <w:proofErr w:type="spellEnd"/>
      <w:r w:rsidRPr="00631E19">
        <w:rPr>
          <w:rFonts w:ascii="TimesNewRoman" w:hAnsi="TimesNewRoman" w:cs="TimesNewRoman"/>
          <w:lang w:val="en-GB" w:eastAsia="zh-CN"/>
        </w:rPr>
        <w:t>. density of emissions from any earth station in the fixed-satellite service operating with a space station in geostationary-satellite orbit shall not exceed:</w:t>
      </w:r>
    </w:p>
    <w:p w:rsidR="0094207C" w:rsidRPr="00631E19" w:rsidRDefault="0094207C" w:rsidP="00640DC4">
      <w:pPr>
        <w:ind w:left="720"/>
        <w:rPr>
          <w:rFonts w:ascii="TimesNewRoman" w:hAnsi="TimesNewRoman" w:cs="TimesNewRoman"/>
          <w:lang w:val="en-GB" w:eastAsia="zh-CN"/>
        </w:rPr>
      </w:pPr>
    </w:p>
    <w:p w:rsidR="0094207C" w:rsidRPr="00631E19" w:rsidRDefault="0094207C" w:rsidP="00640DC4">
      <w:pPr>
        <w:pStyle w:val="ListParagraph"/>
        <w:numPr>
          <w:ilvl w:val="0"/>
          <w:numId w:val="12"/>
        </w:numPr>
        <w:autoSpaceDE w:val="0"/>
        <w:autoSpaceDN w:val="0"/>
        <w:adjustRightInd w:val="0"/>
        <w:ind w:leftChars="0" w:left="851" w:firstLine="0"/>
        <w:contextualSpacing/>
        <w:rPr>
          <w:rFonts w:ascii="TimesNewRoman" w:hAnsi="TimesNewRoman" w:cs="TimesNewRoman"/>
          <w:lang w:val="en-GB" w:eastAsia="zh-CN"/>
        </w:rPr>
      </w:pPr>
      <w:r w:rsidRPr="00631E19">
        <w:rPr>
          <w:rFonts w:ascii="TimesNewRoman" w:hAnsi="TimesNewRoman" w:cs="TimesNewRoman"/>
          <w:lang w:val="en-GB" w:eastAsia="zh-CN"/>
        </w:rPr>
        <w:t>4.7</w:t>
      </w:r>
      <w:r w:rsidRPr="00631E19">
        <w:rPr>
          <w:i/>
          <w:iCs/>
          <w:lang w:val="en-GB" w:eastAsia="zh-CN"/>
        </w:rPr>
        <w:t xml:space="preserve">D </w:t>
      </w:r>
      <w:r w:rsidRPr="00631E19">
        <w:rPr>
          <w:rFonts w:ascii="Symbol" w:hAnsi="Symbol" w:cs="Symbol"/>
          <w:lang w:val="en-GB" w:eastAsia="zh-CN"/>
        </w:rPr>
        <w:t></w:t>
      </w:r>
      <w:r w:rsidRPr="00631E19">
        <w:rPr>
          <w:rFonts w:ascii="Symbol" w:hAnsi="Symbol" w:cs="Symbol"/>
          <w:lang w:val="en-GB" w:eastAsia="zh-CN"/>
        </w:rPr>
        <w:t></w:t>
      </w:r>
      <w:r w:rsidRPr="00631E19">
        <w:rPr>
          <w:rFonts w:ascii="TimesNewRoman" w:hAnsi="TimesNewRoman" w:cs="TimesNewRoman"/>
          <w:lang w:val="en-GB" w:eastAsia="zh-CN"/>
        </w:rPr>
        <w:t xml:space="preserve">28 dB(W/40 kHz), where </w:t>
      </w:r>
      <w:r w:rsidRPr="00631E19">
        <w:rPr>
          <w:i/>
          <w:iCs/>
          <w:lang w:val="en-GB" w:eastAsia="zh-CN"/>
        </w:rPr>
        <w:t xml:space="preserve">D </w:t>
      </w:r>
      <w:r w:rsidRPr="00631E19">
        <w:rPr>
          <w:rFonts w:ascii="TimesNewRoman" w:hAnsi="TimesNewRoman" w:cs="TimesNewRoman"/>
          <w:lang w:val="en-GB" w:eastAsia="zh-CN"/>
        </w:rPr>
        <w:t>is the fixed-satellite service earth station antenna diameter (m) for antenna diameters equal to or greater than 1.2 m and less than 4.5 m;</w:t>
      </w:r>
    </w:p>
    <w:p w:rsidR="0094207C" w:rsidRPr="00631E19" w:rsidRDefault="0094207C" w:rsidP="00640DC4">
      <w:pPr>
        <w:pStyle w:val="ListParagraph"/>
        <w:rPr>
          <w:rFonts w:ascii="TimesNewRoman" w:hAnsi="TimesNewRoman" w:cs="TimesNewRoman"/>
          <w:lang w:val="en-GB" w:eastAsia="zh-CN"/>
        </w:rPr>
      </w:pPr>
    </w:p>
    <w:p w:rsidR="0094207C" w:rsidRPr="00631E19" w:rsidRDefault="0094207C" w:rsidP="00640DC4">
      <w:pPr>
        <w:pStyle w:val="ListParagraph"/>
        <w:numPr>
          <w:ilvl w:val="0"/>
          <w:numId w:val="12"/>
        </w:numPr>
        <w:autoSpaceDE w:val="0"/>
        <w:autoSpaceDN w:val="0"/>
        <w:adjustRightInd w:val="0"/>
        <w:ind w:leftChars="0" w:left="851" w:firstLine="0"/>
        <w:contextualSpacing/>
        <w:rPr>
          <w:rFonts w:ascii="TimesNewRoman" w:hAnsi="TimesNewRoman" w:cs="TimesNewRoman"/>
          <w:lang w:val="en-GB" w:eastAsia="zh-CN"/>
        </w:rPr>
      </w:pPr>
      <w:r w:rsidRPr="00631E19">
        <w:rPr>
          <w:rFonts w:ascii="TimesNewRoman" w:hAnsi="TimesNewRoman" w:cs="TimesNewRoman"/>
          <w:lang w:val="en-GB" w:eastAsia="zh-CN"/>
        </w:rPr>
        <w:t xml:space="preserve">49.2 </w:t>
      </w:r>
      <w:r w:rsidRPr="00631E19">
        <w:rPr>
          <w:rFonts w:ascii="Symbol" w:hAnsi="Symbol" w:cs="Symbol"/>
          <w:lang w:val="en-GB" w:eastAsia="zh-CN"/>
        </w:rPr>
        <w:t></w:t>
      </w:r>
      <w:r w:rsidRPr="00631E19">
        <w:rPr>
          <w:rFonts w:ascii="Symbol" w:hAnsi="Symbol" w:cs="Symbol"/>
          <w:lang w:val="en-GB" w:eastAsia="zh-CN"/>
        </w:rPr>
        <w:t></w:t>
      </w:r>
      <w:r w:rsidRPr="00631E19">
        <w:rPr>
          <w:rFonts w:ascii="TimesNewRoman" w:hAnsi="TimesNewRoman" w:cs="TimesNewRoman"/>
          <w:lang w:val="en-GB" w:eastAsia="zh-CN"/>
        </w:rPr>
        <w:t>20 log(</w:t>
      </w:r>
      <w:r w:rsidRPr="00631E19">
        <w:rPr>
          <w:i/>
          <w:iCs/>
          <w:lang w:val="en-GB" w:eastAsia="zh-CN"/>
        </w:rPr>
        <w:t>D</w:t>
      </w:r>
      <w:r w:rsidRPr="00631E19">
        <w:rPr>
          <w:rFonts w:ascii="TimesNewRoman" w:hAnsi="TimesNewRoman" w:cs="TimesNewRoman"/>
          <w:lang w:val="en-GB" w:eastAsia="zh-CN"/>
        </w:rPr>
        <w:t xml:space="preserve">/4.5) dB(W/40 kHz), where </w:t>
      </w:r>
      <w:r w:rsidRPr="00631E19">
        <w:rPr>
          <w:i/>
          <w:iCs/>
          <w:lang w:val="en-GB" w:eastAsia="zh-CN"/>
        </w:rPr>
        <w:t xml:space="preserve">D </w:t>
      </w:r>
      <w:r w:rsidRPr="00631E19">
        <w:rPr>
          <w:rFonts w:ascii="TimesNewRoman" w:hAnsi="TimesNewRoman" w:cs="TimesNewRoman"/>
          <w:lang w:val="en-GB" w:eastAsia="zh-CN"/>
        </w:rPr>
        <w:t>is the fixed-satellite service earth station antenna diameter (m) for antenna diameters equal to or greater than 4.5 m and less than 31.9 m;</w:t>
      </w:r>
    </w:p>
    <w:p w:rsidR="0094207C" w:rsidRPr="00631E19" w:rsidRDefault="0094207C" w:rsidP="00640DC4">
      <w:pPr>
        <w:ind w:left="851"/>
        <w:rPr>
          <w:rFonts w:ascii="TimesNewRoman" w:hAnsi="TimesNewRoman" w:cs="TimesNewRoman"/>
          <w:lang w:val="en-GB" w:eastAsia="zh-CN"/>
        </w:rPr>
      </w:pPr>
    </w:p>
    <w:p w:rsidR="0094207C" w:rsidRPr="00631E19" w:rsidRDefault="0094207C" w:rsidP="00640DC4">
      <w:pPr>
        <w:pStyle w:val="ListParagraph"/>
        <w:numPr>
          <w:ilvl w:val="0"/>
          <w:numId w:val="12"/>
        </w:numPr>
        <w:autoSpaceDE w:val="0"/>
        <w:autoSpaceDN w:val="0"/>
        <w:adjustRightInd w:val="0"/>
        <w:ind w:leftChars="0" w:left="851" w:firstLine="0"/>
        <w:contextualSpacing/>
        <w:rPr>
          <w:rFonts w:ascii="TimesNewRoman" w:hAnsi="TimesNewRoman" w:cs="TimesNewRoman"/>
          <w:lang w:val="en-GB" w:eastAsia="zh-CN"/>
        </w:rPr>
      </w:pPr>
      <w:r w:rsidRPr="00631E19">
        <w:rPr>
          <w:rFonts w:ascii="TimesNewRoman" w:hAnsi="TimesNewRoman" w:cs="TimesNewRoman"/>
          <w:lang w:val="en-GB" w:eastAsia="zh-CN"/>
        </w:rPr>
        <w:t>66.2 dB(W/40 kHz) for any fixed-satellite service earth station for antenna diameters (m) equal to or greater than 31.9 m;</w:t>
      </w:r>
    </w:p>
    <w:p w:rsidR="0094207C" w:rsidRPr="00631E19" w:rsidRDefault="0094207C" w:rsidP="00640DC4">
      <w:pPr>
        <w:ind w:left="1134" w:hanging="414"/>
        <w:rPr>
          <w:rFonts w:ascii="TimesNewRoman" w:hAnsi="TimesNewRoman" w:cs="TimesNewRoman"/>
          <w:lang w:val="en-GB" w:eastAsia="zh-CN"/>
        </w:rPr>
      </w:pPr>
    </w:p>
    <w:p w:rsidR="0094207C" w:rsidRPr="00631E19" w:rsidRDefault="0094207C" w:rsidP="00640DC4">
      <w:pPr>
        <w:pStyle w:val="ListParagraph"/>
        <w:numPr>
          <w:ilvl w:val="0"/>
          <w:numId w:val="12"/>
        </w:numPr>
        <w:autoSpaceDE w:val="0"/>
        <w:autoSpaceDN w:val="0"/>
        <w:adjustRightInd w:val="0"/>
        <w:ind w:leftChars="0" w:left="851" w:firstLine="0"/>
        <w:contextualSpacing/>
        <w:rPr>
          <w:rFonts w:ascii="TimesNewRoman" w:hAnsi="TimesNewRoman" w:cs="TimesNewRoman"/>
          <w:lang w:val="en-GB" w:eastAsia="zh-CN"/>
        </w:rPr>
      </w:pPr>
      <w:r w:rsidRPr="00631E19">
        <w:rPr>
          <w:rFonts w:ascii="TimesNewRoman" w:hAnsi="TimesNewRoman" w:cs="TimesNewRoman"/>
          <w:lang w:val="en-GB" w:eastAsia="zh-CN"/>
        </w:rPr>
        <w:t>56.2 dB(W/4 kHz) for narrow-band (less than 40 kHz of necessary bandwidth) fixed satellite service earth station emissions from any fixed-satellite service earth station having an antenna diameter of 4.5 m or greater;</w:t>
      </w:r>
    </w:p>
    <w:p w:rsidR="0094207C" w:rsidRPr="00631E19" w:rsidRDefault="0094207C" w:rsidP="00640DC4">
      <w:pPr>
        <w:ind w:left="851"/>
        <w:rPr>
          <w:rFonts w:ascii="TimesNewRoman" w:hAnsi="TimesNewRoman" w:cs="TimesNewRoman"/>
          <w:lang w:val="en-GB" w:eastAsia="zh-CN"/>
        </w:rPr>
      </w:pPr>
    </w:p>
    <w:p w:rsidR="0094207C" w:rsidRPr="00631E19" w:rsidRDefault="0094207C" w:rsidP="00640DC4">
      <w:pPr>
        <w:numPr>
          <w:ilvl w:val="0"/>
          <w:numId w:val="13"/>
        </w:numPr>
        <w:ind w:left="851" w:firstLine="0"/>
        <w:rPr>
          <w:rFonts w:ascii="TimesNewRoman" w:hAnsi="TimesNewRoman" w:cs="TimesNewRoman"/>
          <w:lang w:val="en-GB" w:eastAsia="zh-CN"/>
        </w:rPr>
      </w:pPr>
      <w:r w:rsidRPr="00631E19">
        <w:rPr>
          <w:i/>
          <w:iCs/>
          <w:lang w:val="en-GB" w:eastAsia="zh-CN"/>
        </w:rPr>
        <w:t xml:space="preserve"> </w:t>
      </w:r>
      <w:proofErr w:type="gramStart"/>
      <w:r w:rsidRPr="00631E19">
        <w:rPr>
          <w:rFonts w:ascii="TimesNewRoman" w:hAnsi="TimesNewRoman" w:cs="TimesNewRoman"/>
          <w:lang w:val="en-GB" w:eastAsia="zh-CN"/>
        </w:rPr>
        <w:t>the</w:t>
      </w:r>
      <w:proofErr w:type="gramEnd"/>
      <w:r w:rsidRPr="00631E19">
        <w:rPr>
          <w:rFonts w:ascii="TimesNewRoman" w:hAnsi="TimesNewRoman" w:cs="TimesNewRoman"/>
          <w:lang w:val="en-GB" w:eastAsia="zh-CN"/>
        </w:rPr>
        <w:t xml:space="preserve"> </w:t>
      </w:r>
      <w:proofErr w:type="spellStart"/>
      <w:r w:rsidRPr="00631E19">
        <w:rPr>
          <w:rFonts w:ascii="TimesNewRoman" w:hAnsi="TimesNewRoman" w:cs="TimesNewRoman"/>
          <w:lang w:val="en-GB" w:eastAsia="zh-CN"/>
        </w:rPr>
        <w:t>e.i.r.p</w:t>
      </w:r>
      <w:proofErr w:type="spellEnd"/>
      <w:r w:rsidRPr="00631E19">
        <w:rPr>
          <w:rFonts w:ascii="TimesNewRoman" w:hAnsi="TimesNewRoman" w:cs="TimesNewRoman"/>
          <w:lang w:val="en-GB" w:eastAsia="zh-CN"/>
        </w:rPr>
        <w:t xml:space="preserve">. density of emissions from any earth station in the fixed-satellite service operating with a space station in non-geostationary-satellite orbit shall not exceed 51 </w:t>
      </w:r>
      <w:proofErr w:type="spellStart"/>
      <w:r w:rsidRPr="00631E19">
        <w:rPr>
          <w:rFonts w:ascii="TimesNewRoman" w:hAnsi="TimesNewRoman" w:cs="TimesNewRoman"/>
          <w:lang w:val="en-GB" w:eastAsia="zh-CN"/>
        </w:rPr>
        <w:t>dBW</w:t>
      </w:r>
      <w:proofErr w:type="spellEnd"/>
      <w:r w:rsidRPr="00631E19">
        <w:rPr>
          <w:rFonts w:ascii="TimesNewRoman" w:hAnsi="TimesNewRoman" w:cs="TimesNewRoman"/>
          <w:lang w:val="en-GB" w:eastAsia="zh-CN"/>
        </w:rPr>
        <w:t xml:space="preserve"> in the 6 MHz band from 13.772 to 13.778 GHz.</w:t>
      </w:r>
    </w:p>
    <w:p w:rsidR="0094207C" w:rsidRPr="00631E19" w:rsidRDefault="0094207C" w:rsidP="00640DC4">
      <w:pPr>
        <w:ind w:left="851"/>
        <w:rPr>
          <w:rFonts w:ascii="TimesNewRoman" w:hAnsi="TimesNewRoman" w:cs="TimesNewRoman"/>
          <w:lang w:val="en-GB" w:eastAsia="zh-CN"/>
        </w:rPr>
      </w:pPr>
    </w:p>
    <w:p w:rsidR="0094207C" w:rsidRPr="00631E19" w:rsidRDefault="0094207C" w:rsidP="00640DC4">
      <w:pPr>
        <w:ind w:left="426"/>
        <w:rPr>
          <w:rFonts w:ascii="TimesNewRoman" w:hAnsi="TimesNewRoman" w:cs="TimesNewRoman"/>
          <w:lang w:val="en-GB" w:eastAsia="zh-CN"/>
        </w:rPr>
      </w:pPr>
      <w:r w:rsidRPr="00631E19">
        <w:rPr>
          <w:rFonts w:ascii="TimesNewRoman" w:hAnsi="TimesNewRoman" w:cs="TimesNewRoman"/>
          <w:lang w:val="en-GB" w:eastAsia="zh-CN"/>
        </w:rPr>
        <w:t xml:space="preserve">Automatic power control may be used to increase the </w:t>
      </w:r>
      <w:proofErr w:type="spellStart"/>
      <w:r w:rsidRPr="00631E19">
        <w:rPr>
          <w:rFonts w:ascii="TimesNewRoman" w:hAnsi="TimesNewRoman" w:cs="TimesNewRoman"/>
          <w:lang w:val="en-GB" w:eastAsia="zh-CN"/>
        </w:rPr>
        <w:t>e.i.r.p</w:t>
      </w:r>
      <w:proofErr w:type="spellEnd"/>
      <w:r w:rsidRPr="00631E19">
        <w:rPr>
          <w:rFonts w:ascii="TimesNewRoman" w:hAnsi="TimesNewRoman" w:cs="TimesNewRoman"/>
          <w:lang w:val="en-GB" w:eastAsia="zh-CN"/>
        </w:rPr>
        <w:t xml:space="preserve">. density in these frequency ranges to compensate for rain attenuation, to the extent that the power flux-density at the fixed-satellite service space station does not exceed the value resulting from use by an earth station of an </w:t>
      </w:r>
      <w:proofErr w:type="spellStart"/>
      <w:r w:rsidRPr="00631E19">
        <w:rPr>
          <w:rFonts w:ascii="TimesNewRoman" w:hAnsi="TimesNewRoman" w:cs="TimesNewRoman"/>
          <w:lang w:val="en-GB" w:eastAsia="zh-CN"/>
        </w:rPr>
        <w:t>e.i.r.p</w:t>
      </w:r>
      <w:proofErr w:type="spellEnd"/>
      <w:r w:rsidRPr="00631E19">
        <w:rPr>
          <w:rFonts w:ascii="TimesNewRoman" w:hAnsi="TimesNewRoman" w:cs="TimesNewRoman"/>
          <w:lang w:val="en-GB" w:eastAsia="zh-CN"/>
        </w:rPr>
        <w:t>. meeting the above limits in clear-sky conditions. (WRC-03)</w:t>
      </w:r>
    </w:p>
    <w:p w:rsidR="0094207C" w:rsidRPr="00631E19" w:rsidRDefault="0094207C" w:rsidP="00640DC4">
      <w:pPr>
        <w:ind w:left="426"/>
        <w:rPr>
          <w:lang w:val="en-GB"/>
        </w:rPr>
      </w:pPr>
      <w:r w:rsidRPr="00631E19">
        <w:rPr>
          <w:lang w:val="en-GB"/>
        </w:rPr>
        <w:t xml:space="preserve">There is possibility that protection could also be accorded to the affected services in the band 15.7-16.6 GHz through similar mechanisms as used in the band 13.75-14 GHz. However, this proposal would be subject to further technical studies and regulatory considerations, to ensure compatibility with the existing services and allocations in the band 15.7-16.6 GHz. </w:t>
      </w:r>
    </w:p>
    <w:p w:rsidR="00717ED7" w:rsidRPr="00631E19" w:rsidRDefault="00717ED7" w:rsidP="00640DC4">
      <w:pPr>
        <w:ind w:left="426"/>
        <w:rPr>
          <w:lang w:val="en-GB"/>
        </w:rPr>
      </w:pPr>
    </w:p>
    <w:p w:rsidR="000D0239" w:rsidRPr="00631E19" w:rsidRDefault="000D0239" w:rsidP="000D0239">
      <w:pPr>
        <w:rPr>
          <w:lang w:val="en-GB"/>
        </w:rPr>
      </w:pPr>
    </w:p>
    <w:p w:rsidR="000D0239" w:rsidRPr="00631E19" w:rsidRDefault="000D0239" w:rsidP="00B56DE5">
      <w:pPr>
        <w:pStyle w:val="ListParagraph"/>
        <w:numPr>
          <w:ilvl w:val="0"/>
          <w:numId w:val="14"/>
        </w:numPr>
        <w:ind w:leftChars="0"/>
        <w:contextualSpacing/>
        <w:rPr>
          <w:b/>
          <w:lang w:val="en-GB" w:eastAsia="ko-KR"/>
        </w:rPr>
      </w:pPr>
      <w:r w:rsidRPr="00631E19">
        <w:rPr>
          <w:rFonts w:eastAsia="Malgun Gothic"/>
          <w:b/>
          <w:lang w:val="en-GB" w:eastAsia="ko-KR"/>
        </w:rPr>
        <w:t>Applicable Interference Mitigation Techniques</w:t>
      </w:r>
      <w:bookmarkStart w:id="4" w:name="OLE_LINK3"/>
    </w:p>
    <w:p w:rsidR="000D0239" w:rsidRPr="00631E19" w:rsidRDefault="000D0239" w:rsidP="000D0239">
      <w:pPr>
        <w:jc w:val="both"/>
        <w:rPr>
          <w:lang w:val="en-GB" w:eastAsia="ko-KR"/>
        </w:rPr>
      </w:pPr>
    </w:p>
    <w:p w:rsidR="000D0239" w:rsidRPr="00631E19" w:rsidRDefault="000D0239" w:rsidP="000D0239">
      <w:pPr>
        <w:jc w:val="both"/>
        <w:rPr>
          <w:lang w:val="en-GB" w:eastAsia="ko-KR"/>
        </w:rPr>
      </w:pPr>
      <w:r w:rsidRPr="00631E19">
        <w:rPr>
          <w:lang w:val="en-GB" w:eastAsia="ko-KR"/>
        </w:rPr>
        <w:t xml:space="preserve">When a certain frequency band which is already allocated to an existing service is considered allocated to the new service, compatibility of this new service with the existing services normally needs to be considered. To reduce interference and enhance compatibility to allow frequency sharing, interference mitigation techniques have been studied. Interference mitigation techniques and their effectiveness would depend on several factors such as local usage of the band, system characteristics, geographical situation and operating scheme of the systems. </w:t>
      </w:r>
    </w:p>
    <w:p w:rsidR="000D0239" w:rsidRPr="00631E19" w:rsidRDefault="000D0239" w:rsidP="000D0239">
      <w:pPr>
        <w:jc w:val="both"/>
        <w:rPr>
          <w:lang w:val="en-GB" w:eastAsia="ko-KR"/>
        </w:rPr>
      </w:pPr>
    </w:p>
    <w:p w:rsidR="000D0239" w:rsidRPr="00631E19" w:rsidRDefault="000D0239" w:rsidP="000D0239">
      <w:pPr>
        <w:jc w:val="both"/>
        <w:rPr>
          <w:lang w:val="en-GB" w:eastAsia="ko-KR"/>
        </w:rPr>
      </w:pPr>
      <w:r w:rsidRPr="00631E19">
        <w:rPr>
          <w:lang w:val="en-GB"/>
        </w:rPr>
        <w:t xml:space="preserve">As the deployment of FSS (Earth-to-space) stations is subject to licensing by the country on whose territory they are located and as the deployment is at the discretion of the licensing administration, </w:t>
      </w:r>
      <w:r w:rsidRPr="00631E19">
        <w:rPr>
          <w:lang w:val="en-GB" w:eastAsia="ko-KR"/>
        </w:rPr>
        <w:t xml:space="preserve">mitigation technique could be applied effectively to reduce the required separation distance with the stations of other services. </w:t>
      </w:r>
    </w:p>
    <w:p w:rsidR="000D0239" w:rsidRPr="00631E19" w:rsidRDefault="000D0239" w:rsidP="000D0239">
      <w:pPr>
        <w:jc w:val="both"/>
        <w:rPr>
          <w:lang w:val="en-GB" w:eastAsia="ko-KR"/>
        </w:rPr>
      </w:pPr>
    </w:p>
    <w:p w:rsidR="000D0239" w:rsidRPr="00631E19" w:rsidRDefault="000D0239" w:rsidP="000D0239">
      <w:pPr>
        <w:jc w:val="both"/>
        <w:rPr>
          <w:lang w:val="en-GB" w:eastAsia="ko-KR"/>
        </w:rPr>
      </w:pPr>
      <w:r w:rsidRPr="00631E19">
        <w:rPr>
          <w:lang w:val="en-GB" w:eastAsia="ko-KR"/>
        </w:rPr>
        <w:t>This section shows some typical interference mitigation techniques applicable for the satellite communication systems in frequency sharing situation with other radio systems. These techniques can be applied individually or in combination.</w:t>
      </w:r>
    </w:p>
    <w:p w:rsidR="000D0239" w:rsidRPr="00631E19" w:rsidRDefault="000D0239" w:rsidP="000D0239">
      <w:pPr>
        <w:jc w:val="both"/>
        <w:rPr>
          <w:lang w:val="en-GB" w:eastAsia="ko-KR"/>
        </w:rPr>
      </w:pPr>
      <w:r w:rsidRPr="00631E19">
        <w:rPr>
          <w:lang w:val="en-GB" w:eastAsia="ko-KR"/>
        </w:rPr>
        <w:t xml:space="preserve"> </w:t>
      </w:r>
    </w:p>
    <w:p w:rsidR="000D0239" w:rsidRPr="00631E19" w:rsidRDefault="000D0239" w:rsidP="000D0239">
      <w:pPr>
        <w:jc w:val="both"/>
        <w:rPr>
          <w:lang w:val="en-GB" w:eastAsia="ko-KR"/>
        </w:rPr>
      </w:pPr>
    </w:p>
    <w:p w:rsidR="000D0239" w:rsidRPr="00631E19" w:rsidRDefault="000D0239" w:rsidP="00B56DE5">
      <w:pPr>
        <w:pStyle w:val="ListParagraph"/>
        <w:numPr>
          <w:ilvl w:val="1"/>
          <w:numId w:val="14"/>
        </w:numPr>
        <w:ind w:leftChars="0" w:left="567" w:hanging="567"/>
        <w:rPr>
          <w:b/>
          <w:lang w:val="en-GB"/>
        </w:rPr>
      </w:pPr>
      <w:r w:rsidRPr="00631E19">
        <w:rPr>
          <w:b/>
          <w:lang w:val="en-GB"/>
        </w:rPr>
        <w:t>Adaptive power control</w:t>
      </w:r>
    </w:p>
    <w:p w:rsidR="000D0239" w:rsidRPr="00631E19" w:rsidRDefault="000D0239" w:rsidP="000D0239">
      <w:pPr>
        <w:ind w:left="426"/>
        <w:rPr>
          <w:u w:val="single"/>
          <w:lang w:val="en-GB"/>
        </w:rPr>
      </w:pPr>
    </w:p>
    <w:p w:rsidR="000D0239" w:rsidRPr="00631E19" w:rsidRDefault="000D0239" w:rsidP="000D0239">
      <w:pPr>
        <w:rPr>
          <w:lang w:val="en-GB"/>
        </w:rPr>
      </w:pPr>
      <w:r w:rsidRPr="00631E19">
        <w:rPr>
          <w:lang w:val="en-GB"/>
        </w:rPr>
        <w:t xml:space="preserve">Adaptive power control means that the transmitted power is limited to the level necessary to obtain the required service quality.  Studies have shown that the use of adaptive uplink power control will ease overall coordination between FSS </w:t>
      </w:r>
      <w:r w:rsidRPr="00631E19">
        <w:rPr>
          <w:lang w:val="en-GB" w:eastAsia="ko-KR"/>
        </w:rPr>
        <w:t xml:space="preserve">and other radio </w:t>
      </w:r>
      <w:r w:rsidRPr="00631E19">
        <w:rPr>
          <w:lang w:val="en-GB"/>
        </w:rPr>
        <w:t xml:space="preserve">networks. </w:t>
      </w:r>
    </w:p>
    <w:p w:rsidR="000D0239" w:rsidRPr="00631E19" w:rsidRDefault="000D0239" w:rsidP="000D0239">
      <w:pPr>
        <w:rPr>
          <w:lang w:val="en-GB"/>
        </w:rPr>
      </w:pPr>
    </w:p>
    <w:p w:rsidR="000D0239" w:rsidRPr="00631E19" w:rsidRDefault="000D0239" w:rsidP="000D0239">
      <w:pPr>
        <w:rPr>
          <w:lang w:val="en-GB"/>
        </w:rPr>
      </w:pPr>
      <w:r w:rsidRPr="00631E19">
        <w:rPr>
          <w:lang w:val="en-GB"/>
        </w:rPr>
        <w:t>Adaptive uplink power control may be used by;</w:t>
      </w:r>
    </w:p>
    <w:p w:rsidR="00833ED0" w:rsidRPr="00631E19" w:rsidRDefault="000D0239" w:rsidP="00F445CC">
      <w:pPr>
        <w:numPr>
          <w:ilvl w:val="0"/>
          <w:numId w:val="25"/>
        </w:numPr>
        <w:rPr>
          <w:lang w:val="en-GB" w:eastAsia="ko-KR"/>
        </w:rPr>
      </w:pPr>
      <w:r w:rsidRPr="00631E19">
        <w:rPr>
          <w:lang w:val="en-GB"/>
        </w:rPr>
        <w:t xml:space="preserve"> terrestrial networks to maintain system performance during times of increased levels of interference</w:t>
      </w:r>
      <w:r w:rsidRPr="00631E19">
        <w:rPr>
          <w:lang w:val="en-GB" w:eastAsia="ko-KR"/>
        </w:rPr>
        <w:t xml:space="preserve"> by increasing the power and;</w:t>
      </w:r>
    </w:p>
    <w:p w:rsidR="00833ED0" w:rsidRPr="00631E19" w:rsidRDefault="000D0239" w:rsidP="00F445CC">
      <w:pPr>
        <w:numPr>
          <w:ilvl w:val="0"/>
          <w:numId w:val="25"/>
        </w:numPr>
        <w:rPr>
          <w:lang w:val="en-GB" w:eastAsia="ko-KR"/>
        </w:rPr>
      </w:pPr>
      <w:r w:rsidRPr="00631E19">
        <w:rPr>
          <w:lang w:val="en-GB" w:eastAsia="ko-KR"/>
        </w:rPr>
        <w:t xml:space="preserve"> </w:t>
      </w:r>
      <w:proofErr w:type="gramStart"/>
      <w:r w:rsidRPr="00631E19">
        <w:rPr>
          <w:lang w:val="en-GB" w:eastAsia="ko-KR"/>
        </w:rPr>
        <w:t>by</w:t>
      </w:r>
      <w:proofErr w:type="gramEnd"/>
      <w:r w:rsidRPr="00631E19">
        <w:rPr>
          <w:lang w:val="en-GB" w:eastAsia="ko-KR"/>
        </w:rPr>
        <w:t xml:space="preserve"> Earth stations to reduce the power and correspondingly the interference by decreasing the transmit power to the lowest possible level to meet the performance objectives. This could also include uplink power control to allow operation at low power levels during non-faded conditions. </w:t>
      </w:r>
    </w:p>
    <w:p w:rsidR="000D0239" w:rsidRPr="00631E19" w:rsidRDefault="000D0239" w:rsidP="000D0239">
      <w:pPr>
        <w:tabs>
          <w:tab w:val="left" w:pos="977"/>
        </w:tabs>
        <w:rPr>
          <w:lang w:val="en-GB" w:eastAsia="ko-KR"/>
        </w:rPr>
      </w:pPr>
      <w:r w:rsidRPr="00631E19">
        <w:rPr>
          <w:lang w:val="en-GB" w:eastAsia="ko-KR"/>
        </w:rPr>
        <w:tab/>
      </w:r>
    </w:p>
    <w:p w:rsidR="000D0239" w:rsidRPr="00631E19" w:rsidRDefault="000D0239" w:rsidP="000D0239">
      <w:pPr>
        <w:rPr>
          <w:u w:val="single"/>
          <w:lang w:val="en-GB"/>
        </w:rPr>
      </w:pPr>
    </w:p>
    <w:p w:rsidR="000D0239" w:rsidRPr="00631E19" w:rsidRDefault="000D0239" w:rsidP="00B56DE5">
      <w:pPr>
        <w:numPr>
          <w:ilvl w:val="1"/>
          <w:numId w:val="14"/>
        </w:numPr>
        <w:ind w:left="567" w:hanging="567"/>
        <w:rPr>
          <w:b/>
          <w:lang w:val="en-GB"/>
        </w:rPr>
      </w:pPr>
      <w:r w:rsidRPr="00631E19">
        <w:rPr>
          <w:b/>
          <w:lang w:val="en-GB"/>
        </w:rPr>
        <w:t>Use of low side lobe antennas</w:t>
      </w:r>
    </w:p>
    <w:p w:rsidR="000D0239" w:rsidRPr="00631E19" w:rsidRDefault="000D0239" w:rsidP="000D0239">
      <w:pPr>
        <w:ind w:left="644"/>
        <w:rPr>
          <w:u w:val="single"/>
          <w:lang w:val="en-GB"/>
        </w:rPr>
      </w:pPr>
    </w:p>
    <w:p w:rsidR="000D0239" w:rsidRPr="00631E19" w:rsidRDefault="000D0239" w:rsidP="000D0239">
      <w:pPr>
        <w:rPr>
          <w:lang w:val="en-GB" w:eastAsia="ko-KR"/>
        </w:rPr>
      </w:pPr>
      <w:r w:rsidRPr="00631E19">
        <w:rPr>
          <w:lang w:val="en-GB" w:eastAsia="ko-KR"/>
        </w:rPr>
        <w:t xml:space="preserve">When the Earth station transmits power to the space station, the terrestrial stations may receive interference from the Earth station. In this case, the </w:t>
      </w:r>
      <w:proofErr w:type="spellStart"/>
      <w:r w:rsidRPr="00631E19">
        <w:rPr>
          <w:lang w:val="en-GB" w:eastAsia="ko-KR"/>
        </w:rPr>
        <w:t>e.i.r.p</w:t>
      </w:r>
      <w:proofErr w:type="spellEnd"/>
      <w:r w:rsidRPr="00631E19">
        <w:rPr>
          <w:lang w:val="en-GB" w:eastAsia="ko-KR"/>
        </w:rPr>
        <w:t xml:space="preserve"> towards the local horizon of the Earth station will be dominant in determining the level of interference encountered by the terrestrial receivers. An antenna with low off-axis antenna gain (</w:t>
      </w:r>
      <w:proofErr w:type="spellStart"/>
      <w:r w:rsidRPr="00631E19">
        <w:rPr>
          <w:lang w:val="en-GB" w:eastAsia="ko-KR"/>
        </w:rPr>
        <w:t>sidelobes</w:t>
      </w:r>
      <w:proofErr w:type="spellEnd"/>
      <w:r w:rsidRPr="00631E19">
        <w:rPr>
          <w:lang w:val="en-GB" w:eastAsia="ko-KR"/>
        </w:rPr>
        <w:t xml:space="preserve">) would reduce the interference towards the horizon and would reduce the interference into terrestrial receivers for the same levels of </w:t>
      </w:r>
      <w:proofErr w:type="spellStart"/>
      <w:r w:rsidRPr="00631E19">
        <w:rPr>
          <w:lang w:val="en-GB" w:eastAsia="ko-KR"/>
        </w:rPr>
        <w:t>e.i.r.p</w:t>
      </w:r>
      <w:proofErr w:type="spellEnd"/>
      <w:r w:rsidRPr="00631E19">
        <w:rPr>
          <w:lang w:val="en-GB" w:eastAsia="ko-KR"/>
        </w:rPr>
        <w:t xml:space="preserve">. towards the space station (on-axis </w:t>
      </w:r>
      <w:proofErr w:type="spellStart"/>
      <w:r w:rsidRPr="00631E19">
        <w:rPr>
          <w:lang w:val="en-GB" w:eastAsia="ko-KR"/>
        </w:rPr>
        <w:t>e.i.r.p</w:t>
      </w:r>
      <w:proofErr w:type="spellEnd"/>
      <w:r w:rsidRPr="00631E19">
        <w:rPr>
          <w:lang w:val="en-GB" w:eastAsia="ko-KR"/>
        </w:rPr>
        <w:t>.). This would be very helpful to obtain compatibility between an Earth station and terrestrial receivers.</w:t>
      </w:r>
    </w:p>
    <w:p w:rsidR="000D0239" w:rsidRPr="00631E19" w:rsidRDefault="000D0239" w:rsidP="000D0239">
      <w:pPr>
        <w:rPr>
          <w:lang w:val="en-GB" w:eastAsia="ko-KR"/>
        </w:rPr>
      </w:pPr>
    </w:p>
    <w:p w:rsidR="000D0239" w:rsidRPr="00631E19" w:rsidRDefault="000D0239" w:rsidP="00B56DE5">
      <w:pPr>
        <w:numPr>
          <w:ilvl w:val="1"/>
          <w:numId w:val="14"/>
        </w:numPr>
        <w:ind w:left="567" w:hanging="567"/>
        <w:rPr>
          <w:b/>
          <w:lang w:val="en-GB"/>
        </w:rPr>
      </w:pPr>
      <w:r w:rsidRPr="00631E19">
        <w:rPr>
          <w:b/>
          <w:lang w:val="en-GB"/>
        </w:rPr>
        <w:t>Minimum operational elevation angle</w:t>
      </w:r>
    </w:p>
    <w:p w:rsidR="000D0239" w:rsidRPr="00631E19" w:rsidRDefault="000D0239" w:rsidP="000D0239">
      <w:pPr>
        <w:rPr>
          <w:lang w:val="en-GB" w:eastAsia="ko-KR"/>
        </w:rPr>
      </w:pPr>
    </w:p>
    <w:p w:rsidR="000D0239" w:rsidRPr="00631E19" w:rsidRDefault="000D0239" w:rsidP="000D0239">
      <w:pPr>
        <w:rPr>
          <w:lang w:val="en-GB" w:eastAsia="ko-KR"/>
        </w:rPr>
      </w:pPr>
      <w:r w:rsidRPr="00631E19">
        <w:rPr>
          <w:lang w:val="en-GB" w:eastAsia="ko-KR"/>
        </w:rPr>
        <w:t>This could offer significant signal discrimination and therefore reduce the interference to the terrestrial station. This technique could be implemented relatively easily by an administration in controlling the orbital arc or satellites to which uplinks are licensed in their country.</w:t>
      </w:r>
    </w:p>
    <w:p w:rsidR="000D0239" w:rsidRPr="00631E19" w:rsidRDefault="000D0239" w:rsidP="000D0239">
      <w:pPr>
        <w:rPr>
          <w:lang w:val="en-GB" w:eastAsia="ko-KR"/>
        </w:rPr>
      </w:pPr>
    </w:p>
    <w:p w:rsidR="000D0239" w:rsidRPr="00631E19" w:rsidRDefault="000D0239" w:rsidP="00B56DE5">
      <w:pPr>
        <w:numPr>
          <w:ilvl w:val="1"/>
          <w:numId w:val="14"/>
        </w:numPr>
        <w:ind w:left="567" w:hanging="567"/>
        <w:rPr>
          <w:b/>
          <w:lang w:val="en-GB"/>
        </w:rPr>
      </w:pPr>
      <w:r w:rsidRPr="00631E19">
        <w:rPr>
          <w:b/>
          <w:lang w:val="en-GB"/>
        </w:rPr>
        <w:t>Geographic isolation and separation distance</w:t>
      </w:r>
    </w:p>
    <w:p w:rsidR="000D0239" w:rsidRPr="00631E19" w:rsidRDefault="000D0239" w:rsidP="000D0239">
      <w:pPr>
        <w:rPr>
          <w:lang w:val="en-GB"/>
        </w:rPr>
      </w:pPr>
    </w:p>
    <w:p w:rsidR="000D0239" w:rsidRPr="00631E19" w:rsidRDefault="000D0239" w:rsidP="000D0239">
      <w:pPr>
        <w:rPr>
          <w:lang w:val="en-GB" w:eastAsia="ko-KR"/>
        </w:rPr>
      </w:pPr>
      <w:r w:rsidRPr="00631E19">
        <w:rPr>
          <w:lang w:val="en-GB"/>
        </w:rPr>
        <w:lastRenderedPageBreak/>
        <w:t>V</w:t>
      </w:r>
      <w:r w:rsidRPr="00631E19">
        <w:rPr>
          <w:lang w:val="en-GB" w:eastAsia="ko-KR"/>
        </w:rPr>
        <w:t xml:space="preserve">arious </w:t>
      </w:r>
      <w:r w:rsidRPr="00631E19">
        <w:rPr>
          <w:lang w:val="en-GB"/>
        </w:rPr>
        <w:t>stud</w:t>
      </w:r>
      <w:r w:rsidRPr="00631E19">
        <w:rPr>
          <w:lang w:val="en-GB" w:eastAsia="ko-KR"/>
        </w:rPr>
        <w:t xml:space="preserve">ies have showed </w:t>
      </w:r>
      <w:r w:rsidRPr="00631E19">
        <w:rPr>
          <w:lang w:val="en-GB"/>
        </w:rPr>
        <w:t>that geographic isolation of earth station is an effective interference mitigation method,</w:t>
      </w:r>
      <w:r w:rsidRPr="00631E19">
        <w:rPr>
          <w:lang w:val="en-GB" w:eastAsia="ko-KR"/>
        </w:rPr>
        <w:t xml:space="preserve"> especially in respect of FS</w:t>
      </w:r>
      <w:r w:rsidRPr="00631E19">
        <w:rPr>
          <w:lang w:val="en-GB"/>
        </w:rPr>
        <w:t xml:space="preserve">. </w:t>
      </w:r>
      <w:r w:rsidRPr="00631E19">
        <w:rPr>
          <w:lang w:val="en-GB" w:eastAsia="ko-KR"/>
        </w:rPr>
        <w:t xml:space="preserve">The number of the FSS Earth stations as well as those of terrestrial stations is normally relatively small and confined to fixed known locations or geographical areas. This allows for administrations ensuring sufficient separation between transmitting earth stations and receiving terrestrial stations to avoid harmful interference. In many cases the Earth station and/or terrestrial stations is surrounded by mountains or buildings which blocks the line of </w:t>
      </w:r>
      <w:proofErr w:type="gramStart"/>
      <w:r w:rsidRPr="00631E19">
        <w:rPr>
          <w:lang w:val="en-GB" w:eastAsia="ko-KR"/>
        </w:rPr>
        <w:t>sight  to</w:t>
      </w:r>
      <w:proofErr w:type="gramEnd"/>
      <w:r w:rsidRPr="00631E19">
        <w:rPr>
          <w:lang w:val="en-GB" w:eastAsia="ko-KR"/>
        </w:rPr>
        <w:t xml:space="preserve"> the terrestrial stations. This will lead to significantly shorter separation distances. </w:t>
      </w:r>
    </w:p>
    <w:p w:rsidR="000D0239" w:rsidRPr="00631E19" w:rsidRDefault="000D0239" w:rsidP="000D0239">
      <w:pPr>
        <w:rPr>
          <w:lang w:val="en-GB" w:eastAsia="ko-KR"/>
        </w:rPr>
      </w:pPr>
    </w:p>
    <w:p w:rsidR="000D0239" w:rsidRPr="00631E19" w:rsidRDefault="000D0239" w:rsidP="000D0239">
      <w:pPr>
        <w:rPr>
          <w:lang w:val="en-GB" w:eastAsia="ko-KR"/>
        </w:rPr>
      </w:pPr>
      <w:r w:rsidRPr="00631E19">
        <w:rPr>
          <w:lang w:val="en-GB" w:eastAsia="ko-KR"/>
        </w:rPr>
        <w:t>In adopting this method, the estimation of the minimum separation distance is very important to increase the possibility of this method and the minimum separation distance would be determined by the acceptable interference level of the interfered stations and the path loss in the region.</w:t>
      </w:r>
    </w:p>
    <w:p w:rsidR="000D0239" w:rsidRPr="00631E19" w:rsidRDefault="000D0239" w:rsidP="000D0239">
      <w:pPr>
        <w:rPr>
          <w:lang w:val="en-GB" w:eastAsia="ko-KR"/>
        </w:rPr>
      </w:pPr>
    </w:p>
    <w:p w:rsidR="000D0239" w:rsidRPr="00631E19" w:rsidRDefault="000D0239" w:rsidP="00B56DE5">
      <w:pPr>
        <w:numPr>
          <w:ilvl w:val="1"/>
          <w:numId w:val="14"/>
        </w:numPr>
        <w:ind w:left="709" w:hanging="709"/>
        <w:rPr>
          <w:b/>
          <w:lang w:val="en-GB"/>
        </w:rPr>
      </w:pPr>
      <w:r w:rsidRPr="00631E19">
        <w:rPr>
          <w:b/>
          <w:lang w:val="en-GB"/>
        </w:rPr>
        <w:t>Natural or man-made site shielding</w:t>
      </w:r>
    </w:p>
    <w:p w:rsidR="000D0239" w:rsidRPr="00631E19" w:rsidRDefault="000D0239" w:rsidP="000D0239">
      <w:pPr>
        <w:ind w:firstLine="720"/>
        <w:rPr>
          <w:lang w:val="en-GB" w:eastAsia="ko-KR"/>
        </w:rPr>
      </w:pPr>
    </w:p>
    <w:p w:rsidR="000D0239" w:rsidRPr="00631E19" w:rsidRDefault="000D0239" w:rsidP="000D0239">
      <w:pPr>
        <w:rPr>
          <w:lang w:val="en-GB" w:eastAsia="ko-KR"/>
        </w:rPr>
      </w:pPr>
      <w:r w:rsidRPr="00631E19">
        <w:rPr>
          <w:lang w:val="en-GB" w:eastAsia="ko-KR"/>
        </w:rPr>
        <w:t xml:space="preserve">This method is very effective in adding additional diffraction or other losses in the vicinity of the transmitting earth station and/or the receiving terrestrial station to reduce the received interference signal by the terrestrial station. </w:t>
      </w:r>
    </w:p>
    <w:p w:rsidR="000D0239" w:rsidRPr="00631E19" w:rsidRDefault="000D0239" w:rsidP="000D0239">
      <w:pPr>
        <w:rPr>
          <w:lang w:val="en-GB" w:eastAsia="ko-KR"/>
        </w:rPr>
      </w:pPr>
      <w:r w:rsidRPr="00631E19">
        <w:rPr>
          <w:lang w:val="en-GB" w:eastAsia="ko-KR"/>
        </w:rPr>
        <w:t xml:space="preserve">The additional diffraction loss could be calculated in accordance with Recommendation ITU-R P.526. The required separation distance of the </w:t>
      </w:r>
      <w:proofErr w:type="gramStart"/>
      <w:r w:rsidRPr="00631E19">
        <w:rPr>
          <w:lang w:val="en-GB" w:eastAsia="ko-KR"/>
        </w:rPr>
        <w:t>FSS(</w:t>
      </w:r>
      <w:proofErr w:type="gramEnd"/>
      <w:r w:rsidRPr="00631E19">
        <w:rPr>
          <w:lang w:val="en-GB" w:eastAsia="ko-KR"/>
        </w:rPr>
        <w:t>Earth-to-space) stations and terrestrial stations could therefore be reduced significantly by applying this mitigation technique.</w:t>
      </w:r>
    </w:p>
    <w:p w:rsidR="000D0239" w:rsidRPr="00631E19" w:rsidRDefault="000D0239" w:rsidP="000D0239">
      <w:pPr>
        <w:rPr>
          <w:lang w:val="en-GB" w:eastAsia="ko-KR"/>
        </w:rPr>
      </w:pPr>
    </w:p>
    <w:p w:rsidR="000D0239" w:rsidRPr="00631E19" w:rsidRDefault="000D0239" w:rsidP="00B56DE5">
      <w:pPr>
        <w:numPr>
          <w:ilvl w:val="1"/>
          <w:numId w:val="14"/>
        </w:numPr>
        <w:ind w:left="709" w:hanging="709"/>
        <w:rPr>
          <w:b/>
          <w:lang w:val="en-GB"/>
        </w:rPr>
      </w:pPr>
      <w:r w:rsidRPr="00631E19">
        <w:rPr>
          <w:b/>
          <w:lang w:val="en-GB"/>
        </w:rPr>
        <w:t>Reduction of antenna height</w:t>
      </w:r>
    </w:p>
    <w:p w:rsidR="000D0239" w:rsidRPr="00631E19" w:rsidRDefault="000D0239" w:rsidP="000D0239">
      <w:pPr>
        <w:ind w:firstLine="720"/>
        <w:rPr>
          <w:lang w:val="en-GB" w:eastAsia="ko-KR"/>
        </w:rPr>
      </w:pPr>
    </w:p>
    <w:p w:rsidR="000D0239" w:rsidRPr="00631E19" w:rsidRDefault="000D0239" w:rsidP="000D0239">
      <w:pPr>
        <w:rPr>
          <w:lang w:val="en-GB" w:eastAsia="ko-KR"/>
        </w:rPr>
      </w:pPr>
      <w:r w:rsidRPr="00631E19">
        <w:rPr>
          <w:lang w:val="en-GB" w:eastAsia="ko-KR"/>
        </w:rPr>
        <w:t>Reduction of antenna height of the transmitting earth station and/or the receiving terrestrial station could lead to addition diffraction loss between the stations.</w:t>
      </w:r>
    </w:p>
    <w:p w:rsidR="000D0239" w:rsidRPr="00631E19" w:rsidRDefault="000D0239" w:rsidP="000D0239">
      <w:pPr>
        <w:rPr>
          <w:lang w:val="en-GB" w:eastAsia="ko-KR"/>
        </w:rPr>
      </w:pPr>
      <w:r w:rsidRPr="00631E19">
        <w:rPr>
          <w:lang w:val="en-GB" w:eastAsia="ko-KR"/>
        </w:rPr>
        <w:t>The additional diffraction loss could be calculated in accordance with</w:t>
      </w:r>
      <w:r w:rsidR="00D96511" w:rsidRPr="00631E19">
        <w:rPr>
          <w:lang w:val="en-GB" w:eastAsia="ko-KR"/>
        </w:rPr>
        <w:t xml:space="preserve"> Recommendation ITU-R P.526. This</w:t>
      </w:r>
      <w:r w:rsidRPr="00631E19">
        <w:rPr>
          <w:lang w:val="en-GB" w:eastAsia="ko-KR"/>
        </w:rPr>
        <w:t xml:space="preserve"> could reduce the required separation distance of the </w:t>
      </w:r>
      <w:proofErr w:type="gramStart"/>
      <w:r w:rsidRPr="00631E19">
        <w:rPr>
          <w:lang w:val="en-GB" w:eastAsia="ko-KR"/>
        </w:rPr>
        <w:t>FSS(</w:t>
      </w:r>
      <w:proofErr w:type="gramEnd"/>
      <w:r w:rsidRPr="00631E19">
        <w:rPr>
          <w:lang w:val="en-GB" w:eastAsia="ko-KR"/>
        </w:rPr>
        <w:t>Earth-to-space) stations and terrestrial stations.</w:t>
      </w:r>
    </w:p>
    <w:p w:rsidR="000D0239" w:rsidRPr="00631E19" w:rsidRDefault="000D0239" w:rsidP="000D0239">
      <w:pPr>
        <w:rPr>
          <w:lang w:val="en-GB" w:eastAsia="ko-KR"/>
        </w:rPr>
      </w:pPr>
    </w:p>
    <w:p w:rsidR="000D0239" w:rsidRPr="00631E19" w:rsidRDefault="000D0239" w:rsidP="000D0239">
      <w:pPr>
        <w:rPr>
          <w:lang w:val="en-GB" w:eastAsia="ko-KR"/>
        </w:rPr>
      </w:pPr>
    </w:p>
    <w:p w:rsidR="000D0239" w:rsidRPr="00631E19" w:rsidRDefault="000D0239" w:rsidP="00B56DE5">
      <w:pPr>
        <w:numPr>
          <w:ilvl w:val="1"/>
          <w:numId w:val="14"/>
        </w:numPr>
        <w:ind w:left="709" w:hanging="709"/>
        <w:rPr>
          <w:b/>
          <w:lang w:val="en-GB"/>
        </w:rPr>
      </w:pPr>
      <w:r w:rsidRPr="00631E19">
        <w:rPr>
          <w:b/>
          <w:lang w:val="en-GB"/>
        </w:rPr>
        <w:t xml:space="preserve">Adaptive channel assignment </w:t>
      </w:r>
    </w:p>
    <w:p w:rsidR="000D0239" w:rsidRPr="00631E19" w:rsidRDefault="000D0239" w:rsidP="000D0239">
      <w:pPr>
        <w:rPr>
          <w:lang w:val="en-GB" w:eastAsia="ko-KR"/>
        </w:rPr>
      </w:pPr>
    </w:p>
    <w:p w:rsidR="000D0239" w:rsidRPr="00631E19" w:rsidRDefault="000D0239" w:rsidP="000D0239">
      <w:pPr>
        <w:rPr>
          <w:lang w:val="en-GB" w:eastAsia="ko-KR"/>
        </w:rPr>
      </w:pPr>
      <w:r w:rsidRPr="00631E19">
        <w:rPr>
          <w:lang w:val="en-GB" w:eastAsia="ko-KR"/>
        </w:rPr>
        <w:t>This section is addressing techniques:</w:t>
      </w:r>
      <w:r w:rsidRPr="00631E19">
        <w:rPr>
          <w:lang w:val="en-GB" w:eastAsia="ko-KR"/>
        </w:rPr>
        <w:br/>
      </w:r>
    </w:p>
    <w:p w:rsidR="000D0239" w:rsidRPr="00631E19" w:rsidRDefault="000D0239" w:rsidP="000D0239">
      <w:pPr>
        <w:pStyle w:val="enumlev1"/>
        <w:rPr>
          <w:lang w:eastAsia="ko-KR"/>
        </w:rPr>
      </w:pPr>
      <w:r w:rsidRPr="00631E19">
        <w:rPr>
          <w:lang w:eastAsia="ko-KR"/>
        </w:rPr>
        <w:t>•</w:t>
      </w:r>
      <w:r w:rsidRPr="00631E19">
        <w:rPr>
          <w:lang w:eastAsia="ko-KR"/>
        </w:rPr>
        <w:tab/>
      </w:r>
      <w:proofErr w:type="gramStart"/>
      <w:r w:rsidRPr="00631E19">
        <w:rPr>
          <w:lang w:eastAsia="ko-KR"/>
        </w:rPr>
        <w:t>wherein</w:t>
      </w:r>
      <w:proofErr w:type="gramEnd"/>
      <w:r w:rsidRPr="00631E19">
        <w:rPr>
          <w:lang w:eastAsia="ko-KR"/>
        </w:rPr>
        <w:t xml:space="preserve"> transmitting earth stations and receiving terrestrial stations are operated in identified, separated areas;</w:t>
      </w:r>
    </w:p>
    <w:p w:rsidR="000D0239" w:rsidRPr="00631E19" w:rsidRDefault="000D0239" w:rsidP="000D0239">
      <w:pPr>
        <w:pStyle w:val="enumlev1"/>
        <w:rPr>
          <w:lang w:eastAsia="ko-KR"/>
        </w:rPr>
      </w:pPr>
      <w:r w:rsidRPr="00631E19">
        <w:rPr>
          <w:lang w:eastAsia="ko-KR"/>
        </w:rPr>
        <w:t>•</w:t>
      </w:r>
      <w:r w:rsidRPr="00631E19">
        <w:rPr>
          <w:lang w:eastAsia="ko-KR"/>
        </w:rPr>
        <w:tab/>
        <w:t xml:space="preserve">wherein transmitting earth stations and receiving terrestrial stations operate in the same geographical area at the same time and use different portions of the frequency  band, </w:t>
      </w:r>
      <w:r w:rsidRPr="00631E19">
        <w:rPr>
          <w:lang w:eastAsia="ko-KR"/>
        </w:rPr>
        <w:br/>
        <w:t xml:space="preserve">or </w:t>
      </w:r>
    </w:p>
    <w:p w:rsidR="00833ED0" w:rsidRPr="00631E19" w:rsidRDefault="000D0239" w:rsidP="0032764D">
      <w:pPr>
        <w:pStyle w:val="enumlev1"/>
        <w:rPr>
          <w:lang w:eastAsia="ko-KR"/>
        </w:rPr>
      </w:pPr>
      <w:r w:rsidRPr="00631E19">
        <w:rPr>
          <w:lang w:eastAsia="ko-KR"/>
        </w:rPr>
        <w:t>•</w:t>
      </w:r>
      <w:r w:rsidRPr="00631E19">
        <w:rPr>
          <w:lang w:eastAsia="ko-KR"/>
        </w:rPr>
        <w:tab/>
      </w:r>
      <w:proofErr w:type="gramStart"/>
      <w:r w:rsidRPr="00631E19">
        <w:rPr>
          <w:lang w:eastAsia="ko-KR"/>
        </w:rPr>
        <w:t>where</w:t>
      </w:r>
      <w:proofErr w:type="gramEnd"/>
      <w:r w:rsidRPr="00631E19">
        <w:rPr>
          <w:lang w:eastAsia="ko-KR"/>
        </w:rPr>
        <w:t xml:space="preserve"> transmitting earth stations and receiving terrestrial stations use the band at different times in the same geographical area.</w:t>
      </w:r>
    </w:p>
    <w:p w:rsidR="000D0239" w:rsidRPr="00631E19" w:rsidRDefault="000D0239" w:rsidP="000D0239">
      <w:pPr>
        <w:rPr>
          <w:rFonts w:eastAsia="PMingLiU"/>
          <w:szCs w:val="20"/>
          <w:lang w:val="en-GB" w:eastAsia="ko-KR"/>
        </w:rPr>
      </w:pPr>
    </w:p>
    <w:p w:rsidR="000D0239" w:rsidRPr="00631E19" w:rsidRDefault="000D0239" w:rsidP="000D0239">
      <w:pPr>
        <w:rPr>
          <w:lang w:val="en-GB"/>
        </w:rPr>
      </w:pPr>
      <w:r w:rsidRPr="00631E19">
        <w:rPr>
          <w:lang w:val="en-GB" w:eastAsia="ko-KR"/>
        </w:rPr>
        <w:t xml:space="preserve">Adaptive channel assignment is currently receiving a lot of interest from the research community as it allows high flexibility for two services to co-exist by exploiting spectrum holes and non-utilized capacity. </w:t>
      </w:r>
      <w:r w:rsidRPr="00631E19">
        <w:rPr>
          <w:lang w:val="en-GB"/>
        </w:rPr>
        <w:t xml:space="preserve">The distribution of radio resources could either be static and/or dynamic depending on the local situation. </w:t>
      </w:r>
    </w:p>
    <w:p w:rsidR="000D0239" w:rsidRPr="00631E19" w:rsidRDefault="000D0239" w:rsidP="000D0239">
      <w:pPr>
        <w:rPr>
          <w:lang w:val="en-GB"/>
        </w:rPr>
      </w:pPr>
    </w:p>
    <w:p w:rsidR="000D0239" w:rsidRPr="00631E19" w:rsidRDefault="000D0239" w:rsidP="000D0239">
      <w:pPr>
        <w:rPr>
          <w:lang w:val="en-GB" w:eastAsia="ko-KR"/>
        </w:rPr>
      </w:pPr>
      <w:r w:rsidRPr="00631E19">
        <w:rPr>
          <w:lang w:val="en-GB" w:eastAsia="ko-KR"/>
        </w:rPr>
        <w:lastRenderedPageBreak/>
        <w:t>The application of dynamic adaptive channel assignment assumes one “primary” service and one “secondary” service based upon pre-defined criteria (e.g. national preferences, geographical location or operational frequency) and consists of two main functions.</w:t>
      </w:r>
    </w:p>
    <w:bookmarkEnd w:id="4"/>
    <w:p w:rsidR="000D0239" w:rsidRPr="00631E19" w:rsidRDefault="000D0239" w:rsidP="000D0239">
      <w:pPr>
        <w:rPr>
          <w:lang w:val="en-GB" w:eastAsia="ko-KR"/>
        </w:rPr>
      </w:pPr>
    </w:p>
    <w:p w:rsidR="000D0239" w:rsidRPr="00631E19" w:rsidRDefault="008F157E" w:rsidP="000D0239">
      <w:pPr>
        <w:pStyle w:val="ListParagraph"/>
        <w:numPr>
          <w:ilvl w:val="0"/>
          <w:numId w:val="24"/>
        </w:numPr>
        <w:ind w:leftChars="0"/>
        <w:contextualSpacing/>
        <w:rPr>
          <w:u w:val="single"/>
          <w:lang w:val="en-GB" w:eastAsia="ko-KR"/>
        </w:rPr>
      </w:pPr>
      <w:r w:rsidRPr="00631E19">
        <w:rPr>
          <w:u w:val="single"/>
          <w:lang w:val="en-GB" w:eastAsia="ko-KR"/>
        </w:rPr>
        <w:t xml:space="preserve">Spectrum opportunity identification: </w:t>
      </w:r>
    </w:p>
    <w:p w:rsidR="00833ED0" w:rsidRPr="00631E19" w:rsidRDefault="000D0239" w:rsidP="009F0536">
      <w:pPr>
        <w:pStyle w:val="ListParagraph"/>
        <w:ind w:leftChars="0" w:left="800"/>
        <w:contextualSpacing/>
        <w:rPr>
          <w:lang w:val="en-GB" w:eastAsia="ko-KR"/>
        </w:rPr>
      </w:pPr>
      <w:r w:rsidRPr="00631E19">
        <w:rPr>
          <w:lang w:val="en-GB" w:eastAsia="ko-KR"/>
        </w:rPr>
        <w:t xml:space="preserve">It is necessary to identify available frequency bands that can be used by a transmitter at a given location and how it can be used. </w:t>
      </w:r>
    </w:p>
    <w:p w:rsidR="00833ED0" w:rsidRPr="00631E19" w:rsidRDefault="000D0239" w:rsidP="009F0536">
      <w:pPr>
        <w:pStyle w:val="ListParagraph"/>
        <w:ind w:leftChars="0" w:left="800"/>
        <w:contextualSpacing/>
        <w:rPr>
          <w:lang w:val="en-GB" w:eastAsia="ko-KR"/>
        </w:rPr>
      </w:pPr>
      <w:r w:rsidRPr="00631E19">
        <w:rPr>
          <w:lang w:val="en-GB" w:eastAsia="ko-KR"/>
        </w:rPr>
        <w:t xml:space="preserve">For a band to be available at a given location, knowledge about the usage of that band by other users in this location and the impact on </w:t>
      </w:r>
      <w:proofErr w:type="gramStart"/>
      <w:r w:rsidRPr="00631E19">
        <w:rPr>
          <w:lang w:val="en-GB" w:eastAsia="ko-KR"/>
        </w:rPr>
        <w:t>this,</w:t>
      </w:r>
      <w:proofErr w:type="gramEnd"/>
      <w:r w:rsidRPr="00631E19">
        <w:rPr>
          <w:lang w:val="en-GB" w:eastAsia="ko-KR"/>
        </w:rPr>
        <w:t xml:space="preserve"> is required.</w:t>
      </w:r>
    </w:p>
    <w:p w:rsidR="00080ED2" w:rsidRPr="00631E19" w:rsidRDefault="00080ED2" w:rsidP="009F0536">
      <w:pPr>
        <w:pStyle w:val="ListParagraph"/>
        <w:ind w:leftChars="0" w:left="800"/>
        <w:contextualSpacing/>
        <w:rPr>
          <w:lang w:val="en-GB" w:eastAsia="ko-KR"/>
        </w:rPr>
      </w:pPr>
    </w:p>
    <w:p w:rsidR="000D0239" w:rsidRPr="00631E19" w:rsidRDefault="008F157E" w:rsidP="000D0239">
      <w:pPr>
        <w:pStyle w:val="ListParagraph"/>
        <w:numPr>
          <w:ilvl w:val="0"/>
          <w:numId w:val="24"/>
        </w:numPr>
        <w:ind w:leftChars="0"/>
        <w:contextualSpacing/>
        <w:rPr>
          <w:u w:val="single"/>
          <w:lang w:val="en-GB" w:eastAsia="ko-KR"/>
        </w:rPr>
      </w:pPr>
      <w:r w:rsidRPr="00631E19">
        <w:rPr>
          <w:u w:val="single"/>
          <w:lang w:val="en-GB" w:eastAsia="ko-KR"/>
        </w:rPr>
        <w:t xml:space="preserve">Spectrum opportunity exploitation: </w:t>
      </w:r>
    </w:p>
    <w:p w:rsidR="00833ED0" w:rsidRPr="00631E19" w:rsidRDefault="000D0239" w:rsidP="009F0536">
      <w:pPr>
        <w:pStyle w:val="ListParagraph"/>
        <w:ind w:leftChars="0" w:left="800"/>
        <w:contextualSpacing/>
        <w:rPr>
          <w:lang w:val="en-GB" w:eastAsia="ko-KR"/>
        </w:rPr>
      </w:pPr>
      <w:r w:rsidRPr="00631E19">
        <w:rPr>
          <w:lang w:val="en-GB" w:eastAsia="ko-KR"/>
        </w:rPr>
        <w:t xml:space="preserve">Once spectrum opportunities are detected, prospective users can decide whether and how to exploit them within the specified limitations and if service objective can be met. </w:t>
      </w:r>
    </w:p>
    <w:p w:rsidR="000D0239" w:rsidRPr="00631E19" w:rsidRDefault="000D0239" w:rsidP="000D0239">
      <w:pPr>
        <w:ind w:left="426"/>
        <w:jc w:val="both"/>
        <w:rPr>
          <w:b/>
          <w:u w:val="single"/>
          <w:lang w:val="en-GB"/>
        </w:rPr>
      </w:pPr>
    </w:p>
    <w:p w:rsidR="004E109B" w:rsidRPr="00631E19" w:rsidRDefault="004E109B" w:rsidP="00640DC4">
      <w:pPr>
        <w:rPr>
          <w:lang w:val="en-GB"/>
        </w:rPr>
      </w:pPr>
    </w:p>
    <w:p w:rsidR="001331B1" w:rsidRPr="00631E19" w:rsidRDefault="001331B1" w:rsidP="00640DC4">
      <w:pPr>
        <w:rPr>
          <w:lang w:val="en-GB"/>
        </w:rPr>
      </w:pPr>
    </w:p>
    <w:p w:rsidR="001331B1" w:rsidRPr="00631E19" w:rsidRDefault="001331B1" w:rsidP="00B56DE5">
      <w:pPr>
        <w:pStyle w:val="ListParagraph"/>
        <w:numPr>
          <w:ilvl w:val="0"/>
          <w:numId w:val="14"/>
        </w:numPr>
        <w:ind w:leftChars="0" w:left="567" w:hanging="567"/>
        <w:contextualSpacing/>
        <w:rPr>
          <w:rFonts w:eastAsia="Malgun Gothic"/>
          <w:b/>
          <w:lang w:val="en-GB" w:eastAsia="ko-KR"/>
        </w:rPr>
      </w:pPr>
      <w:r w:rsidRPr="00631E19">
        <w:rPr>
          <w:rFonts w:eastAsia="Malgun Gothic"/>
          <w:b/>
          <w:lang w:val="en-GB" w:eastAsia="ko-KR"/>
        </w:rPr>
        <w:t xml:space="preserve">Conclusions </w:t>
      </w:r>
    </w:p>
    <w:p w:rsidR="001331B1" w:rsidRPr="00631E19" w:rsidRDefault="001331B1" w:rsidP="001331B1">
      <w:pPr>
        <w:rPr>
          <w:b/>
          <w:u w:val="single"/>
          <w:lang w:val="en-GB"/>
        </w:rPr>
      </w:pPr>
    </w:p>
    <w:p w:rsidR="001331B1" w:rsidRPr="00631E19" w:rsidRDefault="001331B1" w:rsidP="001331B1">
      <w:pPr>
        <w:rPr>
          <w:lang w:val="en-GB" w:eastAsia="ko-KR"/>
        </w:rPr>
      </w:pPr>
      <w:r w:rsidRPr="00631E19">
        <w:rPr>
          <w:lang w:val="en-GB" w:eastAsia="ko-KR"/>
        </w:rPr>
        <w:t xml:space="preserve">In ITU-R Region 3, the spectrum allocated to the unplanned FSS in the Earth-to-space and space-to-Earth directions in the 10-15 GHz is 750 MHz and 1 050 MHz, respectively. </w:t>
      </w:r>
      <w:r w:rsidR="00161B5A" w:rsidRPr="00631E19">
        <w:rPr>
          <w:lang w:val="en-GB" w:eastAsia="ko-KR"/>
        </w:rPr>
        <w:t>T</w:t>
      </w:r>
      <w:r w:rsidRPr="00631E19">
        <w:rPr>
          <w:lang w:val="en-GB" w:eastAsia="ko-KR"/>
        </w:rPr>
        <w:t>he difference of capacity may create bandwidth limitation in the Earth-to-space direction and it may restrict satellite operators from fully utilizing the limited frequency resource. If additional frequency bands are considered in order to resolve the difficulties, the studies on compatibility with incumbent services and development of frequency sharing criteria should be required.</w:t>
      </w:r>
    </w:p>
    <w:p w:rsidR="002A1F43" w:rsidRPr="00631E19" w:rsidRDefault="002A1F43" w:rsidP="001331B1">
      <w:pPr>
        <w:rPr>
          <w:lang w:val="en-GB" w:eastAsia="ko-KR"/>
        </w:rPr>
      </w:pPr>
    </w:p>
    <w:p w:rsidR="001331B1" w:rsidRPr="00631E19" w:rsidRDefault="001331B1" w:rsidP="001331B1">
      <w:pPr>
        <w:rPr>
          <w:lang w:val="en-GB" w:eastAsia="ko-KR"/>
        </w:rPr>
      </w:pPr>
      <w:r w:rsidRPr="00631E19">
        <w:rPr>
          <w:lang w:val="en-GB" w:eastAsia="ko-KR"/>
        </w:rPr>
        <w:t>The frequen</w:t>
      </w:r>
      <w:r w:rsidR="002A1F43" w:rsidRPr="00631E19">
        <w:rPr>
          <w:lang w:val="en-GB" w:eastAsia="ko-KR"/>
        </w:rPr>
        <w:t xml:space="preserve">cy band 13.25 – 17 GHz is significant </w:t>
      </w:r>
      <w:r w:rsidRPr="00631E19">
        <w:rPr>
          <w:lang w:val="en-GB" w:eastAsia="ko-KR"/>
        </w:rPr>
        <w:t>for both satellite and terrestrial radio communication services because some radio communication and/or broadcasting systems have already been operated commer</w:t>
      </w:r>
      <w:r w:rsidR="002A1F43" w:rsidRPr="00631E19">
        <w:rPr>
          <w:lang w:val="en-GB" w:eastAsia="ko-KR"/>
        </w:rPr>
        <w:t>cially in the band and EESS/</w:t>
      </w:r>
      <w:r w:rsidRPr="00631E19">
        <w:rPr>
          <w:lang w:val="en-GB" w:eastAsia="ko-KR"/>
        </w:rPr>
        <w:t>ARNS s</w:t>
      </w:r>
      <w:r w:rsidR="002A1F43" w:rsidRPr="00631E19">
        <w:rPr>
          <w:lang w:val="en-GB" w:eastAsia="ko-KR"/>
        </w:rPr>
        <w:t>ystems are very sensitive to</w:t>
      </w:r>
      <w:r w:rsidRPr="00631E19">
        <w:rPr>
          <w:lang w:val="en-GB" w:eastAsia="ko-KR"/>
        </w:rPr>
        <w:t xml:space="preserve"> radio interference. Additionally, it</w:t>
      </w:r>
      <w:r w:rsidR="002A1F43" w:rsidRPr="00631E19">
        <w:rPr>
          <w:lang w:val="en-GB" w:eastAsia="ko-KR"/>
        </w:rPr>
        <w:t xml:space="preserve"> is noted that the </w:t>
      </w:r>
      <w:r w:rsidRPr="00631E19">
        <w:rPr>
          <w:lang w:val="en-GB" w:eastAsia="ko-KR"/>
        </w:rPr>
        <w:t xml:space="preserve">BSS feeder links in the 14.5 – 14.8 GHz </w:t>
      </w:r>
      <w:r w:rsidR="007D434D" w:rsidRPr="00631E19">
        <w:rPr>
          <w:lang w:val="en-GB" w:eastAsia="ko-KR"/>
        </w:rPr>
        <w:t xml:space="preserve">pursuant to </w:t>
      </w:r>
      <w:r w:rsidRPr="00631E19">
        <w:rPr>
          <w:lang w:val="en-GB" w:eastAsia="ko-KR"/>
        </w:rPr>
        <w:t>Appendix 30A of Radio Regulations</w:t>
      </w:r>
      <w:r w:rsidR="007D434D" w:rsidRPr="00631E19">
        <w:rPr>
          <w:lang w:val="en-GB" w:eastAsia="ko-KR"/>
        </w:rPr>
        <w:t xml:space="preserve"> (Planned Bands) is very important especially to</w:t>
      </w:r>
      <w:r w:rsidRPr="00631E19">
        <w:rPr>
          <w:lang w:val="en-GB" w:eastAsia="ko-KR"/>
        </w:rPr>
        <w:t xml:space="preserve"> developin</w:t>
      </w:r>
      <w:r w:rsidR="007D434D" w:rsidRPr="00631E19">
        <w:rPr>
          <w:lang w:val="en-GB" w:eastAsia="ko-KR"/>
        </w:rPr>
        <w:t>g countries</w:t>
      </w:r>
      <w:r w:rsidRPr="00631E19">
        <w:rPr>
          <w:lang w:val="en-GB" w:eastAsia="ko-KR"/>
        </w:rPr>
        <w:t>.</w:t>
      </w:r>
      <w:r w:rsidR="002A6F81" w:rsidRPr="00631E19">
        <w:rPr>
          <w:lang w:val="en-GB" w:eastAsia="ko-KR"/>
        </w:rPr>
        <w:t xml:space="preserve"> </w:t>
      </w:r>
    </w:p>
    <w:p w:rsidR="007D434D" w:rsidRPr="00631E19" w:rsidRDefault="007D434D" w:rsidP="001331B1">
      <w:pPr>
        <w:rPr>
          <w:lang w:val="en-GB" w:eastAsia="ko-KR"/>
        </w:rPr>
      </w:pPr>
    </w:p>
    <w:p w:rsidR="00C83BC0" w:rsidRPr="00631E19" w:rsidRDefault="001331B1" w:rsidP="001331B1">
      <w:pPr>
        <w:rPr>
          <w:lang w:val="en-GB" w:eastAsia="ko-KR"/>
        </w:rPr>
      </w:pPr>
      <w:r w:rsidRPr="00631E19">
        <w:rPr>
          <w:lang w:val="en-GB" w:eastAsia="ko-KR"/>
        </w:rPr>
        <w:t xml:space="preserve">Therefore, the studies on additional frequency for FSS in the </w:t>
      </w:r>
      <w:r w:rsidR="002A6F81" w:rsidRPr="00631E19">
        <w:rPr>
          <w:lang w:val="en-GB" w:eastAsia="ko-KR"/>
        </w:rPr>
        <w:t xml:space="preserve">Unplanned </w:t>
      </w:r>
      <w:r w:rsidRPr="00631E19">
        <w:rPr>
          <w:lang w:val="en-GB" w:eastAsia="ko-KR"/>
        </w:rPr>
        <w:t>Ku band should be conducted based on the relevant ITU-R recomme</w:t>
      </w:r>
      <w:r w:rsidR="00866E56" w:rsidRPr="00631E19">
        <w:rPr>
          <w:lang w:val="en-GB" w:eastAsia="ko-KR"/>
        </w:rPr>
        <w:t>ndations and reports listed in prev</w:t>
      </w:r>
      <w:r w:rsidRPr="00631E19">
        <w:rPr>
          <w:lang w:val="en-GB" w:eastAsia="ko-KR"/>
        </w:rPr>
        <w:t>ious sections</w:t>
      </w:r>
      <w:r w:rsidR="002A6F81" w:rsidRPr="00631E19">
        <w:rPr>
          <w:lang w:val="en-GB" w:eastAsia="ko-KR"/>
        </w:rPr>
        <w:t>,</w:t>
      </w:r>
      <w:r w:rsidRPr="00631E19">
        <w:rPr>
          <w:lang w:val="en-GB" w:eastAsia="ko-KR"/>
        </w:rPr>
        <w:t xml:space="preserve"> including the consider</w:t>
      </w:r>
      <w:r w:rsidR="00866E56" w:rsidRPr="00631E19">
        <w:rPr>
          <w:lang w:val="en-GB" w:eastAsia="ko-KR"/>
        </w:rPr>
        <w:t>ation of bands within the range</w:t>
      </w:r>
      <w:r w:rsidRPr="00631E19">
        <w:rPr>
          <w:lang w:val="en-GB" w:eastAsia="ko-KR"/>
        </w:rPr>
        <w:t xml:space="preserve"> </w:t>
      </w:r>
      <w:r w:rsidR="002A6F81" w:rsidRPr="00631E19">
        <w:rPr>
          <w:lang w:val="en-GB" w:eastAsia="ko-KR"/>
        </w:rPr>
        <w:t xml:space="preserve">and </w:t>
      </w:r>
      <w:r w:rsidR="00866E56" w:rsidRPr="00631E19">
        <w:rPr>
          <w:lang w:val="en-GB" w:eastAsia="ko-KR"/>
        </w:rPr>
        <w:t>taking into account appropriate</w:t>
      </w:r>
      <w:r w:rsidRPr="00631E19">
        <w:rPr>
          <w:lang w:val="en-GB" w:eastAsia="ko-KR"/>
        </w:rPr>
        <w:t xml:space="preserve"> protection for the existing and planned systems under current frequency allocation</w:t>
      </w:r>
      <w:r w:rsidR="002A6F81" w:rsidRPr="00631E19">
        <w:rPr>
          <w:lang w:val="en-GB" w:eastAsia="ko-KR"/>
        </w:rPr>
        <w:t xml:space="preserve">s. </w:t>
      </w:r>
    </w:p>
    <w:p w:rsidR="00C83BC0" w:rsidRPr="00631E19" w:rsidRDefault="00C83BC0" w:rsidP="001331B1">
      <w:pPr>
        <w:rPr>
          <w:lang w:val="en-GB" w:eastAsia="ko-KR"/>
        </w:rPr>
      </w:pPr>
    </w:p>
    <w:p w:rsidR="001331B1" w:rsidRPr="00631E19" w:rsidRDefault="001331B1" w:rsidP="00640DC4">
      <w:pPr>
        <w:rPr>
          <w:lang w:val="en-GB"/>
        </w:rPr>
      </w:pPr>
    </w:p>
    <w:p w:rsidR="00280C88" w:rsidRPr="00631E19" w:rsidRDefault="00280C88" w:rsidP="00640DC4">
      <w:pPr>
        <w:jc w:val="both"/>
        <w:rPr>
          <w:lang w:val="en-GB"/>
        </w:rPr>
      </w:pPr>
    </w:p>
    <w:p w:rsidR="00280C88" w:rsidRPr="00631E19" w:rsidRDefault="00280C88" w:rsidP="00640DC4">
      <w:pPr>
        <w:jc w:val="both"/>
        <w:rPr>
          <w:lang w:val="en-GB"/>
        </w:rPr>
      </w:pPr>
    </w:p>
    <w:p w:rsidR="00280C88" w:rsidRPr="00631E19" w:rsidRDefault="00280C88" w:rsidP="00640DC4">
      <w:pPr>
        <w:jc w:val="both"/>
        <w:rPr>
          <w:lang w:val="en-GB"/>
        </w:rPr>
      </w:pPr>
    </w:p>
    <w:p w:rsidR="00280C88" w:rsidRPr="00631E19" w:rsidRDefault="00280C88" w:rsidP="00640DC4">
      <w:pPr>
        <w:jc w:val="both"/>
        <w:rPr>
          <w:lang w:val="en-GB"/>
        </w:rPr>
      </w:pPr>
    </w:p>
    <w:p w:rsidR="00280C88" w:rsidRPr="00631E19" w:rsidRDefault="00280C88" w:rsidP="00640DC4">
      <w:pPr>
        <w:jc w:val="both"/>
        <w:rPr>
          <w:lang w:val="en-GB"/>
        </w:rPr>
      </w:pPr>
    </w:p>
    <w:p w:rsidR="0035595E" w:rsidRPr="00631E19" w:rsidRDefault="0035595E" w:rsidP="00640DC4">
      <w:pPr>
        <w:tabs>
          <w:tab w:val="left" w:pos="1830"/>
        </w:tabs>
        <w:jc w:val="center"/>
        <w:rPr>
          <w:lang w:val="en-GB"/>
        </w:rPr>
      </w:pPr>
    </w:p>
    <w:p w:rsidR="00DA7595" w:rsidRPr="00631E19" w:rsidRDefault="00C357AD" w:rsidP="00640DC4">
      <w:pPr>
        <w:tabs>
          <w:tab w:val="left" w:pos="1830"/>
        </w:tabs>
        <w:jc w:val="center"/>
        <w:rPr>
          <w:lang w:val="en-GB"/>
        </w:rPr>
      </w:pPr>
      <w:r w:rsidRPr="00631E19">
        <w:rPr>
          <w:lang w:val="en-GB"/>
        </w:rPr>
        <w:t>_________</w:t>
      </w:r>
      <w:bookmarkStart w:id="5" w:name="_GoBack"/>
      <w:bookmarkEnd w:id="5"/>
    </w:p>
    <w:sectPr w:rsidR="00DA7595" w:rsidRPr="00631E19" w:rsidSect="00126C32">
      <w:headerReference w:type="default" r:id="rId25"/>
      <w:footerReference w:type="even" r:id="rId26"/>
      <w:footerReference w:type="default" r:id="rId27"/>
      <w:footerReference w:type="first" r:id="rId28"/>
      <w:pgSz w:w="11909" w:h="16834" w:code="9"/>
      <w:pgMar w:top="1195" w:right="1152" w:bottom="1138"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9B" w:rsidRDefault="00864B9B">
      <w:r>
        <w:separator/>
      </w:r>
    </w:p>
  </w:endnote>
  <w:endnote w:type="continuationSeparator" w:id="0">
    <w:p w:rsidR="00864B9B" w:rsidRDefault="00864B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Ital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B1" w:rsidRDefault="00111BB1"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1BB1" w:rsidRDefault="00111BB1" w:rsidP="00DB0A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B1" w:rsidRDefault="00111BB1" w:rsidP="0031332B">
    <w:pPr>
      <w:pStyle w:val="Footer"/>
      <w:tabs>
        <w:tab w:val="clear" w:pos="4320"/>
      </w:tabs>
      <w:ind w:right="360"/>
      <w:rPr>
        <w:rStyle w:val="PageNumber"/>
      </w:rPr>
    </w:pPr>
    <w:r>
      <w:rPr>
        <w:rStyle w:val="PageNumber"/>
      </w:rPr>
      <w:t>APT/AWG/REP-45</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20C28">
      <w:rPr>
        <w:rStyle w:val="PageNumber"/>
        <w:noProof/>
      </w:rPr>
      <w:t>16</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20C28">
      <w:rPr>
        <w:rStyle w:val="PageNumber"/>
        <w:noProof/>
      </w:rPr>
      <w:t>31</w:t>
    </w:r>
    <w:r w:rsidRPr="002C7EA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B1" w:rsidRDefault="00111BB1"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1BB1" w:rsidRDefault="00111BB1" w:rsidP="00DB0A68">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91A" w:rsidRDefault="003D091A" w:rsidP="003D091A">
    <w:pPr>
      <w:pStyle w:val="Footer"/>
      <w:tabs>
        <w:tab w:val="clear" w:pos="4320"/>
      </w:tabs>
      <w:ind w:right="360"/>
      <w:rPr>
        <w:rStyle w:val="PageNumber"/>
      </w:rPr>
    </w:pPr>
    <w:r>
      <w:rPr>
        <w:rStyle w:val="PageNumber"/>
      </w:rPr>
      <w:t>APT/AWG/REP-45</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20C28">
      <w:rPr>
        <w:rStyle w:val="PageNumber"/>
        <w:noProof/>
      </w:rPr>
      <w:t>31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20C28">
      <w:rPr>
        <w:rStyle w:val="PageNumber"/>
        <w:noProof/>
      </w:rPr>
      <w:t>31</w:t>
    </w:r>
    <w:r w:rsidRPr="002C7EA9">
      <w:rPr>
        <w:rStyle w:val="PageNumber"/>
      </w:rPr>
      <w:fldChar w:fldCharType="end"/>
    </w:r>
  </w:p>
  <w:p w:rsidR="00111BB1" w:rsidRPr="003D091A" w:rsidRDefault="00111BB1" w:rsidP="003D091A">
    <w:pPr>
      <w:pStyle w:val="Footer"/>
      <w:rPr>
        <w:rStyle w:val="PageNumb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111BB1" w:rsidTr="001A2AB5">
      <w:trPr>
        <w:cantSplit/>
        <w:trHeight w:val="204"/>
        <w:jc w:val="center"/>
      </w:trPr>
      <w:tc>
        <w:tcPr>
          <w:tcW w:w="1617" w:type="dxa"/>
        </w:tcPr>
        <w:p w:rsidR="00111BB1" w:rsidRDefault="00111BB1" w:rsidP="00CA1B52">
          <w:pPr>
            <w:rPr>
              <w:b/>
              <w:bCs/>
            </w:rPr>
          </w:pPr>
        </w:p>
      </w:tc>
      <w:tc>
        <w:tcPr>
          <w:tcW w:w="4394" w:type="dxa"/>
        </w:tcPr>
        <w:p w:rsidR="00111BB1" w:rsidRDefault="00111BB1" w:rsidP="00CA1B52">
          <w:pPr>
            <w:pStyle w:val="Equation"/>
            <w:tabs>
              <w:tab w:val="clear" w:pos="4820"/>
              <w:tab w:val="clear" w:pos="9639"/>
              <w:tab w:val="left" w:pos="1191"/>
              <w:tab w:val="left" w:pos="1588"/>
              <w:tab w:val="left" w:pos="1985"/>
            </w:tabs>
            <w:spacing w:beforeLines="0"/>
            <w:rPr>
              <w:rFonts w:eastAsia="Batang"/>
            </w:rPr>
          </w:pPr>
        </w:p>
      </w:tc>
      <w:tc>
        <w:tcPr>
          <w:tcW w:w="3912" w:type="dxa"/>
        </w:tcPr>
        <w:p w:rsidR="00111BB1" w:rsidRDefault="00111BB1" w:rsidP="001A2AB5">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12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3D091A">
            <w:rPr>
              <w:rStyle w:val="PageNumber"/>
              <w:noProof/>
            </w:rPr>
            <w:t>2</w:t>
          </w:r>
          <w:r w:rsidRPr="002C7EA9">
            <w:rPr>
              <w:rStyle w:val="PageNumber"/>
            </w:rPr>
            <w:fldChar w:fldCharType="end"/>
          </w:r>
        </w:p>
        <w:p w:rsidR="00111BB1" w:rsidRDefault="00111BB1" w:rsidP="00CA1B52">
          <w:pPr>
            <w:rPr>
              <w:lang w:eastAsia="ja-JP"/>
            </w:rPr>
          </w:pPr>
        </w:p>
      </w:tc>
    </w:tr>
  </w:tbl>
  <w:p w:rsidR="00111BB1" w:rsidRPr="007A06F3" w:rsidRDefault="00111BB1" w:rsidP="007A0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9B" w:rsidRDefault="00864B9B">
      <w:r>
        <w:separator/>
      </w:r>
    </w:p>
  </w:footnote>
  <w:footnote w:type="continuationSeparator" w:id="0">
    <w:p w:rsidR="00864B9B" w:rsidRDefault="00864B9B">
      <w:r>
        <w:continuationSeparator/>
      </w:r>
    </w:p>
  </w:footnote>
  <w:footnote w:id="1">
    <w:p w:rsidR="00111BB1" w:rsidRPr="007538B0" w:rsidRDefault="00111BB1" w:rsidP="0098467D">
      <w:pPr>
        <w:pStyle w:val="FootnoteText"/>
        <w:rPr>
          <w:sz w:val="20"/>
        </w:rPr>
      </w:pPr>
      <w:r>
        <w:rPr>
          <w:rStyle w:val="FootnoteReference"/>
          <w:rFonts w:eastAsia="BatangChe"/>
        </w:rPr>
        <w:footnoteRef/>
      </w:r>
      <w:r>
        <w:tab/>
      </w:r>
      <w:r w:rsidRPr="007538B0">
        <w:rPr>
          <w:sz w:val="20"/>
        </w:rPr>
        <w:t>Accounts for current frequency reuse involving spot beams. Current frequency reuse is on the order of 1.2.</w:t>
      </w:r>
    </w:p>
  </w:footnote>
  <w:footnote w:id="2">
    <w:p w:rsidR="00111BB1" w:rsidRPr="007538B0" w:rsidRDefault="00111BB1" w:rsidP="0098467D">
      <w:pPr>
        <w:pStyle w:val="FootnoteText"/>
        <w:rPr>
          <w:sz w:val="20"/>
          <w:lang w:val="en-US"/>
        </w:rPr>
      </w:pPr>
      <w:r w:rsidRPr="007538B0">
        <w:rPr>
          <w:rStyle w:val="FootnoteReference"/>
          <w:rFonts w:eastAsia="BatangChe"/>
          <w:sz w:val="20"/>
        </w:rPr>
        <w:footnoteRef/>
      </w:r>
      <w:r w:rsidRPr="007538B0">
        <w:rPr>
          <w:sz w:val="20"/>
        </w:rPr>
        <w:t xml:space="preserve"> </w:t>
      </w:r>
      <w:r w:rsidRPr="007538B0">
        <w:rPr>
          <w:sz w:val="20"/>
          <w:lang w:val="en-US"/>
        </w:rPr>
        <w:tab/>
      </w:r>
      <w:r w:rsidRPr="007538B0">
        <w:rPr>
          <w:sz w:val="20"/>
        </w:rPr>
        <w:t xml:space="preserve">The peak antenna gain is estimated at the </w:t>
      </w:r>
      <w:proofErr w:type="spellStart"/>
      <w:r w:rsidRPr="007538B0">
        <w:rPr>
          <w:sz w:val="20"/>
        </w:rPr>
        <w:t>center</w:t>
      </w:r>
      <w:proofErr w:type="spellEnd"/>
      <w:r w:rsidRPr="007538B0">
        <w:rPr>
          <w:sz w:val="20"/>
        </w:rPr>
        <w:t xml:space="preserve"> of the band (14.25 GHz) and 65% efficiency.</w:t>
      </w:r>
    </w:p>
  </w:footnote>
  <w:footnote w:id="3">
    <w:p w:rsidR="00111BB1" w:rsidRPr="007538B0" w:rsidRDefault="00111BB1" w:rsidP="0098467D">
      <w:pPr>
        <w:pStyle w:val="FootnoteText"/>
        <w:rPr>
          <w:sz w:val="20"/>
        </w:rPr>
      </w:pPr>
      <w:r w:rsidRPr="007538B0">
        <w:rPr>
          <w:rStyle w:val="FootnoteReference"/>
          <w:rFonts w:eastAsia="BatangChe"/>
          <w:sz w:val="20"/>
        </w:rPr>
        <w:footnoteRef/>
      </w:r>
      <w:r w:rsidRPr="007538B0">
        <w:rPr>
          <w:sz w:val="20"/>
        </w:rPr>
        <w:tab/>
        <w:t xml:space="preserve">The 3 dB </w:t>
      </w:r>
      <w:proofErr w:type="spellStart"/>
      <w:r w:rsidRPr="007538B0">
        <w:rPr>
          <w:sz w:val="20"/>
        </w:rPr>
        <w:t>beamwidth</w:t>
      </w:r>
      <w:proofErr w:type="spellEnd"/>
      <w:r w:rsidRPr="007538B0">
        <w:rPr>
          <w:sz w:val="20"/>
        </w:rPr>
        <w:t xml:space="preserve"> was calculated assuming non-uniform illumination using 70° as the coefficient relating the ratio λ/D to the </w:t>
      </w:r>
      <w:proofErr w:type="spellStart"/>
      <w:r w:rsidRPr="007538B0">
        <w:rPr>
          <w:sz w:val="20"/>
        </w:rPr>
        <w:t>beamwidth</w:t>
      </w:r>
      <w:proofErr w:type="spellEnd"/>
      <w:r w:rsidRPr="007538B0">
        <w:rPr>
          <w:sz w:val="20"/>
        </w:rPr>
        <w:t xml:space="preserve"> (θ</w:t>
      </w:r>
      <w:r w:rsidRPr="007538B0">
        <w:rPr>
          <w:sz w:val="20"/>
          <w:vertAlign w:val="subscript"/>
        </w:rPr>
        <w:t>3dB</w:t>
      </w:r>
      <w:r w:rsidRPr="007538B0">
        <w:rPr>
          <w:sz w:val="20"/>
        </w:rPr>
        <w:t xml:space="preserve">=70λ/D). </w:t>
      </w:r>
    </w:p>
  </w:footnote>
  <w:footnote w:id="4">
    <w:p w:rsidR="00111BB1" w:rsidRPr="007538B0" w:rsidRDefault="00111BB1" w:rsidP="0098467D">
      <w:pPr>
        <w:pStyle w:val="FootnoteText"/>
        <w:rPr>
          <w:sz w:val="20"/>
        </w:rPr>
      </w:pPr>
      <w:r w:rsidRPr="007538B0">
        <w:rPr>
          <w:rStyle w:val="FootnoteReference"/>
          <w:rFonts w:eastAsia="BatangChe"/>
          <w:sz w:val="20"/>
        </w:rPr>
        <w:footnoteRef/>
      </w:r>
      <w:r w:rsidRPr="007538B0">
        <w:rPr>
          <w:sz w:val="20"/>
        </w:rPr>
        <w:t xml:space="preserve"> </w:t>
      </w:r>
      <w:r w:rsidRPr="007538B0">
        <w:rPr>
          <w:sz w:val="20"/>
        </w:rPr>
        <w:tab/>
        <w:t xml:space="preserve">This level is derived based on Recommendation ITU-R S.728 and is 8 dB higher than one known administration’s domestic rules for routine licensing of VSAT earth stations. Currently, there </w:t>
      </w:r>
      <w:proofErr w:type="gramStart"/>
      <w:r w:rsidRPr="007538B0">
        <w:rPr>
          <w:sz w:val="20"/>
        </w:rPr>
        <w:t>are</w:t>
      </w:r>
      <w:proofErr w:type="gramEnd"/>
      <w:r w:rsidRPr="007538B0">
        <w:rPr>
          <w:sz w:val="20"/>
        </w:rPr>
        <w:t xml:space="preserve"> a small number of ESs operating at this power level.</w:t>
      </w:r>
    </w:p>
  </w:footnote>
  <w:footnote w:id="5">
    <w:p w:rsidR="00111BB1" w:rsidRPr="007538B0" w:rsidRDefault="00111BB1" w:rsidP="0098467D">
      <w:pPr>
        <w:pStyle w:val="FootnoteText"/>
        <w:rPr>
          <w:sz w:val="20"/>
        </w:rPr>
      </w:pPr>
      <w:r w:rsidRPr="007538B0">
        <w:rPr>
          <w:rStyle w:val="FootnoteReference"/>
          <w:rFonts w:eastAsia="BatangChe"/>
          <w:sz w:val="20"/>
        </w:rPr>
        <w:footnoteRef/>
      </w:r>
      <w:r w:rsidRPr="007538B0">
        <w:rPr>
          <w:sz w:val="20"/>
        </w:rPr>
        <w:tab/>
        <w:t>This level is equivalent to one known administration’s domestic rules for routine licensing of FSS earth stations.</w:t>
      </w:r>
    </w:p>
  </w:footnote>
  <w:footnote w:id="6">
    <w:p w:rsidR="00111BB1" w:rsidRPr="007538B0" w:rsidRDefault="00111BB1" w:rsidP="0098467D">
      <w:pPr>
        <w:tabs>
          <w:tab w:val="left" w:pos="794"/>
          <w:tab w:val="left" w:pos="1191"/>
          <w:tab w:val="left" w:pos="1588"/>
          <w:tab w:val="left" w:pos="1985"/>
        </w:tabs>
        <w:spacing w:before="240"/>
        <w:rPr>
          <w:sz w:val="20"/>
          <w:szCs w:val="20"/>
        </w:rPr>
      </w:pPr>
      <w:r w:rsidRPr="007538B0">
        <w:rPr>
          <w:rStyle w:val="FootnoteReference"/>
          <w:sz w:val="20"/>
          <w:szCs w:val="20"/>
        </w:rPr>
        <w:footnoteRef/>
      </w:r>
      <w:r w:rsidRPr="007538B0">
        <w:rPr>
          <w:sz w:val="20"/>
          <w:szCs w:val="20"/>
        </w:rPr>
        <w:t xml:space="preserve"> Sharing studies could be conducted with a value as low as PSD of -60 </w:t>
      </w:r>
      <w:proofErr w:type="spellStart"/>
      <w:r w:rsidRPr="007538B0">
        <w:rPr>
          <w:sz w:val="20"/>
          <w:szCs w:val="20"/>
        </w:rPr>
        <w:t>dBW</w:t>
      </w:r>
      <w:proofErr w:type="spellEnd"/>
      <w:r w:rsidRPr="007538B0">
        <w:rPr>
          <w:sz w:val="20"/>
          <w:szCs w:val="20"/>
        </w:rPr>
        <w:t xml:space="preserve">/Hz.  Should studies show that sharing is only possible at this lower PSD level, regulatory considerations would need to be developed to match these values for all antenna </w:t>
      </w:r>
      <w:proofErr w:type="gramStart"/>
      <w:r w:rsidRPr="007538B0">
        <w:rPr>
          <w:sz w:val="20"/>
          <w:szCs w:val="20"/>
        </w:rPr>
        <w:t>sizes.</w:t>
      </w:r>
      <w:proofErr w:type="gramEnd"/>
    </w:p>
  </w:footnote>
  <w:footnote w:id="7">
    <w:p w:rsidR="00111BB1" w:rsidRPr="007538B0" w:rsidRDefault="00111BB1" w:rsidP="0098467D">
      <w:pPr>
        <w:pStyle w:val="FootnoteText"/>
        <w:rPr>
          <w:sz w:val="20"/>
        </w:rPr>
      </w:pPr>
      <w:r w:rsidRPr="007538B0">
        <w:rPr>
          <w:rStyle w:val="FootnoteReference"/>
          <w:rFonts w:eastAsia="BatangChe"/>
          <w:sz w:val="20"/>
        </w:rPr>
        <w:footnoteRef/>
      </w:r>
      <w:r w:rsidRPr="007538B0">
        <w:rPr>
          <w:sz w:val="20"/>
        </w:rPr>
        <w:t xml:space="preserve"> </w:t>
      </w:r>
      <w:r w:rsidRPr="007538B0">
        <w:rPr>
          <w:sz w:val="20"/>
        </w:rPr>
        <w:tab/>
        <w:t xml:space="preserve">The maximum </w:t>
      </w:r>
      <w:proofErr w:type="spellStart"/>
      <w:r w:rsidRPr="007538B0">
        <w:rPr>
          <w:sz w:val="20"/>
        </w:rPr>
        <w:t>e.i.r.p</w:t>
      </w:r>
      <w:proofErr w:type="spellEnd"/>
      <w:r w:rsidRPr="007538B0">
        <w:rPr>
          <w:sz w:val="20"/>
        </w:rPr>
        <w:t xml:space="preserve">. density at the antenna port is the actual maximum </w:t>
      </w:r>
      <w:proofErr w:type="spellStart"/>
      <w:r w:rsidRPr="007538B0">
        <w:rPr>
          <w:sz w:val="20"/>
        </w:rPr>
        <w:t>e.i.r.p</w:t>
      </w:r>
      <w:proofErr w:type="spellEnd"/>
      <w:r w:rsidRPr="007538B0">
        <w:rPr>
          <w:sz w:val="20"/>
        </w:rPr>
        <w:t xml:space="preserve">. seen in operation. It corresponds to gains values of 43.5 </w:t>
      </w:r>
      <w:proofErr w:type="spellStart"/>
      <w:r w:rsidRPr="007538B0">
        <w:rPr>
          <w:sz w:val="20"/>
        </w:rPr>
        <w:t>dBi</w:t>
      </w:r>
      <w:proofErr w:type="spellEnd"/>
      <w:r w:rsidRPr="007538B0">
        <w:rPr>
          <w:sz w:val="20"/>
        </w:rPr>
        <w:t xml:space="preserve"> (1.2 m), 52 </w:t>
      </w:r>
      <w:proofErr w:type="spellStart"/>
      <w:r w:rsidRPr="007538B0">
        <w:rPr>
          <w:sz w:val="20"/>
        </w:rPr>
        <w:t>dBi</w:t>
      </w:r>
      <w:proofErr w:type="spellEnd"/>
      <w:r w:rsidRPr="007538B0">
        <w:rPr>
          <w:sz w:val="20"/>
        </w:rPr>
        <w:t xml:space="preserve"> (3.3 m), and 53.5 </w:t>
      </w:r>
      <w:proofErr w:type="spellStart"/>
      <w:r w:rsidRPr="007538B0">
        <w:rPr>
          <w:sz w:val="20"/>
        </w:rPr>
        <w:t>dBi</w:t>
      </w:r>
      <w:proofErr w:type="spellEnd"/>
      <w:r w:rsidRPr="007538B0">
        <w:rPr>
          <w:sz w:val="20"/>
        </w:rPr>
        <w:t xml:space="preserve"> (3.9 m) for VSAT, wideband, and point-to-point respectively, transmitting the maximum PSD quoted in the table.</w:t>
      </w:r>
    </w:p>
  </w:footnote>
  <w:footnote w:id="8">
    <w:p w:rsidR="00111BB1" w:rsidRPr="007538B0" w:rsidRDefault="00111BB1" w:rsidP="0098467D">
      <w:pPr>
        <w:pStyle w:val="FootnoteText"/>
        <w:rPr>
          <w:sz w:val="20"/>
        </w:rPr>
      </w:pPr>
      <w:r w:rsidRPr="007538B0">
        <w:rPr>
          <w:rStyle w:val="FootnoteReference"/>
          <w:rFonts w:eastAsia="BatangChe"/>
          <w:sz w:val="20"/>
        </w:rPr>
        <w:footnoteRef/>
      </w:r>
      <w:r w:rsidRPr="007538B0">
        <w:rPr>
          <w:sz w:val="20"/>
        </w:rPr>
        <w:tab/>
        <w:t>Recommendation ITU-R S.728-1, “</w:t>
      </w:r>
      <w:r w:rsidRPr="007538B0">
        <w:rPr>
          <w:i/>
          <w:sz w:val="20"/>
        </w:rPr>
        <w:t xml:space="preserve">Maximum permissible level of off-axis </w:t>
      </w:r>
      <w:proofErr w:type="spellStart"/>
      <w:r w:rsidRPr="007538B0">
        <w:rPr>
          <w:i/>
          <w:sz w:val="20"/>
        </w:rPr>
        <w:t>e.i.r.p</w:t>
      </w:r>
      <w:proofErr w:type="spellEnd"/>
      <w:r w:rsidRPr="007538B0">
        <w:rPr>
          <w:i/>
          <w:sz w:val="20"/>
        </w:rPr>
        <w:t>. density from very small aperture terminals (VSATs)</w:t>
      </w:r>
      <w:r w:rsidRPr="007538B0">
        <w:rPr>
          <w:sz w:val="20"/>
        </w:rPr>
        <w:t>”.</w:t>
      </w:r>
    </w:p>
  </w:footnote>
  <w:footnote w:id="9">
    <w:p w:rsidR="00111BB1" w:rsidRPr="007100B8" w:rsidRDefault="00111BB1" w:rsidP="003E3543">
      <w:pPr>
        <w:pStyle w:val="FootnoteText"/>
        <w:rPr>
          <w:sz w:val="20"/>
          <w:lang w:val="en-US"/>
        </w:rPr>
      </w:pPr>
      <w:r w:rsidRPr="007100B8">
        <w:rPr>
          <w:rStyle w:val="FootnoteReference"/>
          <w:rFonts w:eastAsia="BatangChe"/>
          <w:sz w:val="14"/>
        </w:rPr>
        <w:footnoteRef/>
      </w:r>
      <w:r w:rsidRPr="007100B8">
        <w:rPr>
          <w:sz w:val="20"/>
        </w:rPr>
        <w:t xml:space="preserve"> </w:t>
      </w:r>
      <w:r w:rsidRPr="007100B8">
        <w:rPr>
          <w:sz w:val="20"/>
          <w:lang w:val="en-US"/>
        </w:rPr>
        <w:t>500 MHz, dual polarization</w:t>
      </w:r>
    </w:p>
  </w:footnote>
  <w:footnote w:id="10">
    <w:p w:rsidR="00111BB1" w:rsidRPr="007100B8" w:rsidRDefault="00111BB1" w:rsidP="00F64A55">
      <w:pPr>
        <w:pStyle w:val="FootnoteText"/>
        <w:rPr>
          <w:sz w:val="20"/>
          <w:lang w:val="en-US"/>
        </w:rPr>
      </w:pPr>
      <w:r w:rsidRPr="007100B8">
        <w:rPr>
          <w:rStyle w:val="FootnoteReference"/>
          <w:rFonts w:eastAsia="BatangChe"/>
          <w:sz w:val="20"/>
        </w:rPr>
        <w:footnoteRef/>
      </w:r>
      <w:r w:rsidRPr="007100B8">
        <w:rPr>
          <w:sz w:val="20"/>
        </w:rPr>
        <w:tab/>
        <w:t xml:space="preserve">See </w:t>
      </w:r>
      <w:r w:rsidRPr="007100B8">
        <w:rPr>
          <w:sz w:val="20"/>
          <w:lang w:val="en-US" w:eastAsia="zh-CN"/>
        </w:rPr>
        <w:t>draft revisi</w:t>
      </w:r>
      <w:r>
        <w:rPr>
          <w:sz w:val="20"/>
          <w:lang w:val="en-US" w:eastAsia="zh-CN"/>
        </w:rPr>
        <w:t>on Recommendation ITU-R SA.1414</w:t>
      </w:r>
      <w:r w:rsidRPr="007100B8">
        <w:rPr>
          <w:sz w:val="20"/>
          <w:lang w:val="en-US"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B1" w:rsidRDefault="00111BB1" w:rsidP="00BC76EB">
    <w:pPr>
      <w:pStyle w:val="Header"/>
      <w:tabs>
        <w:tab w:val="center" w:pos="4763"/>
        <w:tab w:val="left" w:pos="5820"/>
      </w:tabs>
      <w:ind w:left="4320" w:hanging="4320"/>
      <w:rPr>
        <w:lang w:eastAsia="ko-KR"/>
      </w:rPr>
    </w:pPr>
    <w:r>
      <w:rPr>
        <w:lang w:eastAsia="ko-KR"/>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BB1" w:rsidRDefault="00111BB1" w:rsidP="00C15633">
    <w:pPr>
      <w:pStyle w:val="Header"/>
      <w:tabs>
        <w:tab w:val="center" w:pos="4763"/>
        <w:tab w:val="left" w:pos="5820"/>
      </w:tabs>
      <w:rPr>
        <w:lang w:eastAsia="ko-KR"/>
      </w:rPr>
    </w:pPr>
    <w:r>
      <w:rPr>
        <w:lang w:eastAsia="ko-KR"/>
      </w:rPr>
      <w:tab/>
    </w:r>
  </w:p>
  <w:p w:rsidR="00111BB1" w:rsidRDefault="00111BB1" w:rsidP="00AD7E5F">
    <w:pPr>
      <w:pStyle w:val="Header"/>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42"/>
    <w:multiLevelType w:val="multilevel"/>
    <w:tmpl w:val="F9D404AE"/>
    <w:lvl w:ilvl="0">
      <w:start w:val="1"/>
      <w:numFmt w:val="decimal"/>
      <w:lvlText w:val="%1."/>
      <w:lvlJc w:val="left"/>
      <w:pPr>
        <w:ind w:left="360" w:hanging="360"/>
      </w:pPr>
    </w:lvl>
    <w:lvl w:ilvl="1">
      <w:start w:val="1"/>
      <w:numFmt w:val="decimal"/>
      <w:lvlText w:val="4.5.%2."/>
      <w:lvlJc w:val="left"/>
      <w:pPr>
        <w:ind w:left="1425"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0C13E4"/>
    <w:multiLevelType w:val="hybridMultilevel"/>
    <w:tmpl w:val="8114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67013"/>
    <w:multiLevelType w:val="hybridMultilevel"/>
    <w:tmpl w:val="079AFFDE"/>
    <w:lvl w:ilvl="0" w:tplc="7B783BE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5D74416"/>
    <w:multiLevelType w:val="multilevel"/>
    <w:tmpl w:val="CE6E0A9A"/>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4">
    <w:nsid w:val="0C804004"/>
    <w:multiLevelType w:val="hybridMultilevel"/>
    <w:tmpl w:val="0FC4293E"/>
    <w:lvl w:ilvl="0" w:tplc="3DE83EFE">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0F2C4AE1"/>
    <w:multiLevelType w:val="multilevel"/>
    <w:tmpl w:val="CE6E0A9A"/>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7">
    <w:nsid w:val="119C53BF"/>
    <w:multiLevelType w:val="hybridMultilevel"/>
    <w:tmpl w:val="4140ACB6"/>
    <w:lvl w:ilvl="0" w:tplc="AA96C7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D3904"/>
    <w:multiLevelType w:val="multilevel"/>
    <w:tmpl w:val="D5AEEF6E"/>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nsid w:val="213072B9"/>
    <w:multiLevelType w:val="hybridMultilevel"/>
    <w:tmpl w:val="422C121E"/>
    <w:lvl w:ilvl="0" w:tplc="0409001B">
      <w:start w:val="1"/>
      <w:numFmt w:val="lowerRoman"/>
      <w:lvlText w:val="%1."/>
      <w:lvlJc w:val="right"/>
      <w:pPr>
        <w:ind w:left="1718" w:hanging="420"/>
      </w:pPr>
    </w:lvl>
    <w:lvl w:ilvl="1" w:tplc="04090019" w:tentative="1">
      <w:start w:val="1"/>
      <w:numFmt w:val="lowerLetter"/>
      <w:lvlText w:val="%2)"/>
      <w:lvlJc w:val="left"/>
      <w:pPr>
        <w:ind w:left="2138" w:hanging="420"/>
      </w:pPr>
    </w:lvl>
    <w:lvl w:ilvl="2" w:tplc="0409001B" w:tentative="1">
      <w:start w:val="1"/>
      <w:numFmt w:val="lowerRoman"/>
      <w:lvlText w:val="%3."/>
      <w:lvlJc w:val="right"/>
      <w:pPr>
        <w:ind w:left="2558" w:hanging="420"/>
      </w:pPr>
    </w:lvl>
    <w:lvl w:ilvl="3" w:tplc="0409000F" w:tentative="1">
      <w:start w:val="1"/>
      <w:numFmt w:val="decimal"/>
      <w:lvlText w:val="%4."/>
      <w:lvlJc w:val="left"/>
      <w:pPr>
        <w:ind w:left="2978" w:hanging="420"/>
      </w:pPr>
    </w:lvl>
    <w:lvl w:ilvl="4" w:tplc="04090019" w:tentative="1">
      <w:start w:val="1"/>
      <w:numFmt w:val="lowerLetter"/>
      <w:lvlText w:val="%5)"/>
      <w:lvlJc w:val="left"/>
      <w:pPr>
        <w:ind w:left="3398" w:hanging="420"/>
      </w:pPr>
    </w:lvl>
    <w:lvl w:ilvl="5" w:tplc="0409001B" w:tentative="1">
      <w:start w:val="1"/>
      <w:numFmt w:val="lowerRoman"/>
      <w:lvlText w:val="%6."/>
      <w:lvlJc w:val="right"/>
      <w:pPr>
        <w:ind w:left="3818" w:hanging="420"/>
      </w:pPr>
    </w:lvl>
    <w:lvl w:ilvl="6" w:tplc="0409000F" w:tentative="1">
      <w:start w:val="1"/>
      <w:numFmt w:val="decimal"/>
      <w:lvlText w:val="%7."/>
      <w:lvlJc w:val="left"/>
      <w:pPr>
        <w:ind w:left="4238" w:hanging="420"/>
      </w:pPr>
    </w:lvl>
    <w:lvl w:ilvl="7" w:tplc="04090019" w:tentative="1">
      <w:start w:val="1"/>
      <w:numFmt w:val="lowerLetter"/>
      <w:lvlText w:val="%8)"/>
      <w:lvlJc w:val="left"/>
      <w:pPr>
        <w:ind w:left="4658" w:hanging="420"/>
      </w:pPr>
    </w:lvl>
    <w:lvl w:ilvl="8" w:tplc="0409001B" w:tentative="1">
      <w:start w:val="1"/>
      <w:numFmt w:val="lowerRoman"/>
      <w:lvlText w:val="%9."/>
      <w:lvlJc w:val="right"/>
      <w:pPr>
        <w:ind w:left="5078" w:hanging="420"/>
      </w:pPr>
    </w:lvl>
  </w:abstractNum>
  <w:abstractNum w:abstractNumId="11">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233D1954"/>
    <w:multiLevelType w:val="hybridMultilevel"/>
    <w:tmpl w:val="6E8459F8"/>
    <w:lvl w:ilvl="0" w:tplc="F274D75E">
      <w:start w:val="2"/>
      <w:numFmt w:val="bullet"/>
      <w:lvlText w:val="–"/>
      <w:lvlJc w:val="left"/>
      <w:pPr>
        <w:ind w:left="1221" w:hanging="360"/>
      </w:pPr>
      <w:rPr>
        <w:rFonts w:ascii="Times New Roman" w:eastAsia="PMingLiU" w:hAnsi="Times New Roman" w:cs="Times New Roman"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3">
    <w:nsid w:val="24A0408B"/>
    <w:multiLevelType w:val="hybridMultilevel"/>
    <w:tmpl w:val="33D26046"/>
    <w:lvl w:ilvl="0" w:tplc="1396BEB8">
      <w:start w:val="6"/>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nsid w:val="28A03E5E"/>
    <w:multiLevelType w:val="multilevel"/>
    <w:tmpl w:val="3A786308"/>
    <w:lvl w:ilvl="0">
      <w:start w:val="15"/>
      <w:numFmt w:val="decimal"/>
      <w:lvlText w:val="%1"/>
      <w:lvlJc w:val="left"/>
      <w:pPr>
        <w:tabs>
          <w:tab w:val="num" w:pos="2595"/>
        </w:tabs>
        <w:ind w:left="2595" w:hanging="2595"/>
      </w:pPr>
      <w:rPr>
        <w:rFonts w:cs="Times New Roman" w:hint="default"/>
      </w:rPr>
    </w:lvl>
    <w:lvl w:ilvl="1">
      <w:start w:val="43"/>
      <w:numFmt w:val="decimal"/>
      <w:lvlText w:val="%1.%2"/>
      <w:lvlJc w:val="left"/>
      <w:pPr>
        <w:tabs>
          <w:tab w:val="num" w:pos="2595"/>
        </w:tabs>
        <w:ind w:left="2595" w:hanging="2595"/>
      </w:pPr>
      <w:rPr>
        <w:rFonts w:cs="Times New Roman" w:hint="default"/>
      </w:rPr>
    </w:lvl>
    <w:lvl w:ilvl="2">
      <w:start w:val="15"/>
      <w:numFmt w:val="decimal"/>
      <w:lvlText w:val="%1.%2-%3"/>
      <w:lvlJc w:val="left"/>
      <w:pPr>
        <w:tabs>
          <w:tab w:val="num" w:pos="2595"/>
        </w:tabs>
        <w:ind w:left="2595" w:hanging="2595"/>
      </w:pPr>
      <w:rPr>
        <w:rFonts w:cs="Times New Roman" w:hint="default"/>
      </w:rPr>
    </w:lvl>
    <w:lvl w:ilvl="3">
      <w:start w:val="63"/>
      <w:numFmt w:val="decimal"/>
      <w:lvlText w:val="%1.%2-%3.%4"/>
      <w:lvlJc w:val="left"/>
      <w:pPr>
        <w:tabs>
          <w:tab w:val="num" w:pos="2595"/>
        </w:tabs>
        <w:ind w:left="2595" w:hanging="2595"/>
      </w:pPr>
      <w:rPr>
        <w:rFonts w:cs="Times New Roman" w:hint="default"/>
        <w:b/>
        <w:bCs/>
      </w:rPr>
    </w:lvl>
    <w:lvl w:ilvl="4">
      <w:start w:val="1"/>
      <w:numFmt w:val="decimal"/>
      <w:lvlText w:val="%1.%2-%3.%4.%5"/>
      <w:lvlJc w:val="left"/>
      <w:pPr>
        <w:tabs>
          <w:tab w:val="num" w:pos="2595"/>
        </w:tabs>
        <w:ind w:left="2595" w:hanging="2595"/>
      </w:pPr>
      <w:rPr>
        <w:rFonts w:cs="Times New Roman" w:hint="default"/>
      </w:rPr>
    </w:lvl>
    <w:lvl w:ilvl="5">
      <w:start w:val="1"/>
      <w:numFmt w:val="decimal"/>
      <w:lvlText w:val="%1.%2-%3.%4.%5.%6"/>
      <w:lvlJc w:val="left"/>
      <w:pPr>
        <w:tabs>
          <w:tab w:val="num" w:pos="2595"/>
        </w:tabs>
        <w:ind w:left="2595" w:hanging="2595"/>
      </w:pPr>
      <w:rPr>
        <w:rFonts w:cs="Times New Roman" w:hint="default"/>
      </w:rPr>
    </w:lvl>
    <w:lvl w:ilvl="6">
      <w:start w:val="1"/>
      <w:numFmt w:val="decimal"/>
      <w:lvlText w:val="%1.%2-%3.%4.%5.%6.%7"/>
      <w:lvlJc w:val="left"/>
      <w:pPr>
        <w:tabs>
          <w:tab w:val="num" w:pos="2595"/>
        </w:tabs>
        <w:ind w:left="2595" w:hanging="2595"/>
      </w:pPr>
      <w:rPr>
        <w:rFonts w:cs="Times New Roman" w:hint="default"/>
      </w:rPr>
    </w:lvl>
    <w:lvl w:ilvl="7">
      <w:start w:val="1"/>
      <w:numFmt w:val="decimal"/>
      <w:lvlText w:val="%1.%2-%3.%4.%5.%6.%7.%8"/>
      <w:lvlJc w:val="left"/>
      <w:pPr>
        <w:tabs>
          <w:tab w:val="num" w:pos="2595"/>
        </w:tabs>
        <w:ind w:left="2595" w:hanging="2595"/>
      </w:pPr>
      <w:rPr>
        <w:rFonts w:cs="Times New Roman" w:hint="default"/>
      </w:rPr>
    </w:lvl>
    <w:lvl w:ilvl="8">
      <w:start w:val="1"/>
      <w:numFmt w:val="decimal"/>
      <w:lvlText w:val="%1.%2-%3.%4.%5.%6.%7.%8.%9"/>
      <w:lvlJc w:val="left"/>
      <w:pPr>
        <w:tabs>
          <w:tab w:val="num" w:pos="2595"/>
        </w:tabs>
        <w:ind w:left="2595" w:hanging="2595"/>
      </w:pPr>
      <w:rPr>
        <w:rFonts w:cs="Times New Roman" w:hint="default"/>
      </w:rPr>
    </w:lvl>
  </w:abstractNum>
  <w:abstractNum w:abstractNumId="1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nsid w:val="30FD05B9"/>
    <w:multiLevelType w:val="multilevel"/>
    <w:tmpl w:val="89980F80"/>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18">
    <w:nsid w:val="327F7A10"/>
    <w:multiLevelType w:val="multilevel"/>
    <w:tmpl w:val="39E43FC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435917"/>
    <w:multiLevelType w:val="multilevel"/>
    <w:tmpl w:val="89980F80"/>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2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nsid w:val="38765386"/>
    <w:multiLevelType w:val="hybridMultilevel"/>
    <w:tmpl w:val="9068769C"/>
    <w:lvl w:ilvl="0" w:tplc="AA96C7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4B7A6E"/>
    <w:multiLevelType w:val="multilevel"/>
    <w:tmpl w:val="CE6E0A9A"/>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24">
    <w:nsid w:val="3DEF2D43"/>
    <w:multiLevelType w:val="hybridMultilevel"/>
    <w:tmpl w:val="7B142C32"/>
    <w:lvl w:ilvl="0" w:tplc="0612471A">
      <w:start w:val="1"/>
      <w:numFmt w:val="lowerLetter"/>
      <w:lvlText w:val="%1)"/>
      <w:lvlJc w:val="left"/>
      <w:pPr>
        <w:ind w:left="360" w:hanging="360"/>
      </w:pPr>
      <w:rPr>
        <w:rFonts w:ascii="Sylfaen" w:hAnsi="Sylfaen" w:cs="Times New Roman" w:hint="default"/>
        <w:i/>
        <w:i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F4C77CF"/>
    <w:multiLevelType w:val="hybridMultilevel"/>
    <w:tmpl w:val="714E2E8A"/>
    <w:lvl w:ilvl="0" w:tplc="A9D6F8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0BF2548"/>
    <w:multiLevelType w:val="multilevel"/>
    <w:tmpl w:val="9782C952"/>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lvlText w:val="4.7.%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27">
    <w:nsid w:val="46DD6101"/>
    <w:multiLevelType w:val="hybridMultilevel"/>
    <w:tmpl w:val="ECCCFAE0"/>
    <w:lvl w:ilvl="0" w:tplc="AA96C7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107D05"/>
    <w:multiLevelType w:val="hybridMultilevel"/>
    <w:tmpl w:val="718442E2"/>
    <w:lvl w:ilvl="0" w:tplc="833C1C50">
      <w:start w:val="6"/>
      <w:numFmt w:val="decimal"/>
      <w:lvlText w:val="%1."/>
      <w:lvlJc w:val="left"/>
      <w:pPr>
        <w:ind w:left="786" w:hanging="360"/>
      </w:pPr>
    </w:lvl>
    <w:lvl w:ilvl="1" w:tplc="04090019">
      <w:start w:val="1"/>
      <w:numFmt w:val="upperLetter"/>
      <w:lvlText w:val="%2."/>
      <w:lvlJc w:val="left"/>
      <w:pPr>
        <w:ind w:left="1226" w:hanging="400"/>
      </w:pPr>
    </w:lvl>
    <w:lvl w:ilvl="2" w:tplc="0409001B">
      <w:start w:val="1"/>
      <w:numFmt w:val="lowerRoman"/>
      <w:lvlText w:val="%3."/>
      <w:lvlJc w:val="right"/>
      <w:pPr>
        <w:ind w:left="1626" w:hanging="400"/>
      </w:pPr>
    </w:lvl>
    <w:lvl w:ilvl="3" w:tplc="0409000F">
      <w:start w:val="1"/>
      <w:numFmt w:val="decimal"/>
      <w:lvlText w:val="%4."/>
      <w:lvlJc w:val="left"/>
      <w:pPr>
        <w:ind w:left="2026" w:hanging="400"/>
      </w:pPr>
    </w:lvl>
    <w:lvl w:ilvl="4" w:tplc="04090019">
      <w:start w:val="1"/>
      <w:numFmt w:val="upperLetter"/>
      <w:lvlText w:val="%5."/>
      <w:lvlJc w:val="left"/>
      <w:pPr>
        <w:ind w:left="2426" w:hanging="400"/>
      </w:pPr>
    </w:lvl>
    <w:lvl w:ilvl="5" w:tplc="0409001B">
      <w:start w:val="1"/>
      <w:numFmt w:val="lowerRoman"/>
      <w:lvlText w:val="%6."/>
      <w:lvlJc w:val="right"/>
      <w:pPr>
        <w:ind w:left="2826" w:hanging="400"/>
      </w:pPr>
    </w:lvl>
    <w:lvl w:ilvl="6" w:tplc="0409000F">
      <w:start w:val="1"/>
      <w:numFmt w:val="decimal"/>
      <w:lvlText w:val="%7."/>
      <w:lvlJc w:val="left"/>
      <w:pPr>
        <w:ind w:left="3226" w:hanging="400"/>
      </w:pPr>
    </w:lvl>
    <w:lvl w:ilvl="7" w:tplc="04090019">
      <w:start w:val="1"/>
      <w:numFmt w:val="upperLetter"/>
      <w:lvlText w:val="%8."/>
      <w:lvlJc w:val="left"/>
      <w:pPr>
        <w:ind w:left="3626" w:hanging="400"/>
      </w:pPr>
    </w:lvl>
    <w:lvl w:ilvl="8" w:tplc="0409001B">
      <w:start w:val="1"/>
      <w:numFmt w:val="lowerRoman"/>
      <w:lvlText w:val="%9."/>
      <w:lvlJc w:val="right"/>
      <w:pPr>
        <w:ind w:left="4026" w:hanging="400"/>
      </w:pPr>
    </w:lvl>
  </w:abstractNum>
  <w:abstractNum w:abstractNumId="29">
    <w:nsid w:val="487028D5"/>
    <w:multiLevelType w:val="multilevel"/>
    <w:tmpl w:val="39E43FC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9285A46"/>
    <w:multiLevelType w:val="multilevel"/>
    <w:tmpl w:val="AB7A12D4"/>
    <w:lvl w:ilvl="0">
      <w:start w:val="5"/>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4E6661F6"/>
    <w:multiLevelType w:val="multilevel"/>
    <w:tmpl w:val="CE6E0A9A"/>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32">
    <w:nsid w:val="50F87BF0"/>
    <w:multiLevelType w:val="hybridMultilevel"/>
    <w:tmpl w:val="F732BA54"/>
    <w:lvl w:ilvl="0" w:tplc="C0287A22">
      <w:start w:val="1"/>
      <w:numFmt w:val="bullet"/>
      <w:lvlText w:val="-"/>
      <w:lvlJc w:val="left"/>
      <w:pPr>
        <w:ind w:left="786" w:hanging="360"/>
      </w:pPr>
      <w:rPr>
        <w:rFonts w:ascii="Times New Roman" w:eastAsia="BatangChe"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51E762C6"/>
    <w:multiLevelType w:val="hybridMultilevel"/>
    <w:tmpl w:val="739465CA"/>
    <w:lvl w:ilvl="0" w:tplc="AA96C7F0">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5BAF1157"/>
    <w:multiLevelType w:val="multilevel"/>
    <w:tmpl w:val="DD023912"/>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lvlText w:val="4.7.%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35">
    <w:nsid w:val="66DB38F7"/>
    <w:multiLevelType w:val="hybridMultilevel"/>
    <w:tmpl w:val="3F74B472"/>
    <w:lvl w:ilvl="0" w:tplc="61F67934">
      <w:start w:val="1"/>
      <w:numFmt w:val="lowerRoman"/>
      <w:lvlText w:val="%1."/>
      <w:lvlJc w:val="left"/>
      <w:pPr>
        <w:ind w:left="2166" w:hanging="72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6">
    <w:nsid w:val="675C7BD4"/>
    <w:multiLevelType w:val="multilevel"/>
    <w:tmpl w:val="CE6E0A9A"/>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37">
    <w:nsid w:val="69621E60"/>
    <w:multiLevelType w:val="hybridMultilevel"/>
    <w:tmpl w:val="9A9E4074"/>
    <w:lvl w:ilvl="0" w:tplc="6E96D62A">
      <w:start w:val="1"/>
      <w:numFmt w:val="lowerLetter"/>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F462031"/>
    <w:multiLevelType w:val="hybridMultilevel"/>
    <w:tmpl w:val="89D2C8E4"/>
    <w:lvl w:ilvl="0" w:tplc="AA96C7F0">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0">
    <w:nsid w:val="72EB671F"/>
    <w:multiLevelType w:val="multilevel"/>
    <w:tmpl w:val="CE6E0A9A"/>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1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41">
    <w:nsid w:val="732F1F80"/>
    <w:multiLevelType w:val="hybridMultilevel"/>
    <w:tmpl w:val="4698B226"/>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490766C"/>
    <w:multiLevelType w:val="multilevel"/>
    <w:tmpl w:val="37EE2046"/>
    <w:lvl w:ilvl="0">
      <w:start w:val="1"/>
      <w:numFmt w:val="decimal"/>
      <w:lvlText w:val="%1."/>
      <w:lvlJc w:val="left"/>
      <w:pPr>
        <w:ind w:left="720" w:hanging="360"/>
      </w:pPr>
      <w:rPr>
        <w:rFonts w:hint="default"/>
      </w:rPr>
    </w:lvl>
    <w:lvl w:ilvl="1">
      <w:start w:val="1"/>
      <w:numFmt w:val="decimal"/>
      <w:isLgl/>
      <w:lvlText w:val="%1.%2"/>
      <w:lvlJc w:val="left"/>
      <w:pPr>
        <w:ind w:left="10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362" w:hanging="1440"/>
      </w:pPr>
      <w:rPr>
        <w:rFonts w:hint="default"/>
      </w:rPr>
    </w:lvl>
    <w:lvl w:ilvl="8">
      <w:start w:val="1"/>
      <w:numFmt w:val="decimal"/>
      <w:isLgl/>
      <w:lvlText w:val="%1.%2.%3.%4.%5.%6.%7.%8.%9"/>
      <w:lvlJc w:val="left"/>
      <w:pPr>
        <w:ind w:left="5088" w:hanging="1800"/>
      </w:pPr>
      <w:rPr>
        <w:rFonts w:hint="default"/>
      </w:rPr>
    </w:lvl>
  </w:abstractNum>
  <w:abstractNum w:abstractNumId="43">
    <w:nsid w:val="79917524"/>
    <w:multiLevelType w:val="multilevel"/>
    <w:tmpl w:val="300C9A2C"/>
    <w:lvl w:ilvl="0">
      <w:start w:val="15"/>
      <w:numFmt w:val="decimal"/>
      <w:lvlText w:val="%1"/>
      <w:lvlJc w:val="left"/>
      <w:pPr>
        <w:tabs>
          <w:tab w:val="num" w:pos="2655"/>
        </w:tabs>
        <w:ind w:left="2655" w:hanging="2655"/>
      </w:pPr>
      <w:rPr>
        <w:rFonts w:cs="Times New Roman" w:hint="default"/>
      </w:rPr>
    </w:lvl>
    <w:lvl w:ilvl="1">
      <w:start w:val="4"/>
      <w:numFmt w:val="decimal"/>
      <w:lvlText w:val="%1.%2"/>
      <w:lvlJc w:val="left"/>
      <w:pPr>
        <w:tabs>
          <w:tab w:val="num" w:pos="2655"/>
        </w:tabs>
        <w:ind w:left="2655" w:hanging="2655"/>
      </w:pPr>
      <w:rPr>
        <w:rFonts w:cs="Times New Roman" w:hint="default"/>
      </w:rPr>
    </w:lvl>
    <w:lvl w:ilvl="2">
      <w:start w:val="15"/>
      <w:numFmt w:val="decimal"/>
      <w:lvlText w:val="%1.%2-%3"/>
      <w:lvlJc w:val="left"/>
      <w:pPr>
        <w:tabs>
          <w:tab w:val="num" w:pos="2655"/>
        </w:tabs>
        <w:ind w:left="2655" w:hanging="2655"/>
      </w:pPr>
      <w:rPr>
        <w:rFonts w:cs="Times New Roman" w:hint="default"/>
      </w:rPr>
    </w:lvl>
    <w:lvl w:ilvl="3">
      <w:start w:val="43"/>
      <w:numFmt w:val="decimal"/>
      <w:lvlText w:val="%1.%2-%3.%4"/>
      <w:lvlJc w:val="left"/>
      <w:pPr>
        <w:tabs>
          <w:tab w:val="num" w:pos="3555"/>
        </w:tabs>
        <w:ind w:left="3555" w:hanging="2655"/>
      </w:pPr>
      <w:rPr>
        <w:rFonts w:cs="Times New Roman" w:hint="default"/>
        <w:b/>
        <w:bCs/>
      </w:rPr>
    </w:lvl>
    <w:lvl w:ilvl="4">
      <w:start w:val="1"/>
      <w:numFmt w:val="decimal"/>
      <w:lvlText w:val="%1.%2-%3.%4.%5"/>
      <w:lvlJc w:val="left"/>
      <w:pPr>
        <w:tabs>
          <w:tab w:val="num" w:pos="2655"/>
        </w:tabs>
        <w:ind w:left="2655" w:hanging="2655"/>
      </w:pPr>
      <w:rPr>
        <w:rFonts w:cs="Times New Roman" w:hint="default"/>
      </w:rPr>
    </w:lvl>
    <w:lvl w:ilvl="5">
      <w:start w:val="1"/>
      <w:numFmt w:val="decimal"/>
      <w:lvlText w:val="%1.%2-%3.%4.%5.%6"/>
      <w:lvlJc w:val="left"/>
      <w:pPr>
        <w:tabs>
          <w:tab w:val="num" w:pos="2655"/>
        </w:tabs>
        <w:ind w:left="2655" w:hanging="2655"/>
      </w:pPr>
      <w:rPr>
        <w:rFonts w:cs="Times New Roman" w:hint="default"/>
      </w:rPr>
    </w:lvl>
    <w:lvl w:ilvl="6">
      <w:start w:val="1"/>
      <w:numFmt w:val="decimal"/>
      <w:lvlText w:val="%1.%2-%3.%4.%5.%6.%7"/>
      <w:lvlJc w:val="left"/>
      <w:pPr>
        <w:tabs>
          <w:tab w:val="num" w:pos="2655"/>
        </w:tabs>
        <w:ind w:left="2655" w:hanging="2655"/>
      </w:pPr>
      <w:rPr>
        <w:rFonts w:cs="Times New Roman" w:hint="default"/>
      </w:rPr>
    </w:lvl>
    <w:lvl w:ilvl="7">
      <w:start w:val="1"/>
      <w:numFmt w:val="decimal"/>
      <w:lvlText w:val="%1.%2-%3.%4.%5.%6.%7.%8"/>
      <w:lvlJc w:val="left"/>
      <w:pPr>
        <w:tabs>
          <w:tab w:val="num" w:pos="2655"/>
        </w:tabs>
        <w:ind w:left="2655" w:hanging="2655"/>
      </w:pPr>
      <w:rPr>
        <w:rFonts w:cs="Times New Roman" w:hint="default"/>
      </w:rPr>
    </w:lvl>
    <w:lvl w:ilvl="8">
      <w:start w:val="1"/>
      <w:numFmt w:val="decimal"/>
      <w:lvlText w:val="%1.%2-%3.%4.%5.%6.%7.%8.%9"/>
      <w:lvlJc w:val="left"/>
      <w:pPr>
        <w:tabs>
          <w:tab w:val="num" w:pos="2655"/>
        </w:tabs>
        <w:ind w:left="2655" w:hanging="2655"/>
      </w:pPr>
      <w:rPr>
        <w:rFonts w:cs="Times New Roman" w:hint="default"/>
      </w:rPr>
    </w:lvl>
  </w:abstractNum>
  <w:abstractNum w:abstractNumId="44">
    <w:nsid w:val="7D4D4F72"/>
    <w:multiLevelType w:val="hybridMultilevel"/>
    <w:tmpl w:val="6B4845EA"/>
    <w:lvl w:ilvl="0" w:tplc="170A573E">
      <w:start w:val="5"/>
      <w:numFmt w:val="bullet"/>
      <w:lvlText w:val="–"/>
      <w:lvlJc w:val="left"/>
      <w:pPr>
        <w:ind w:left="1256" w:hanging="360"/>
      </w:pPr>
      <w:rPr>
        <w:rFonts w:ascii="TimesNewRoman" w:eastAsia="BatangChe" w:hAnsi="TimesNewRoman" w:cs="TimesNewRoman"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num w:numId="1">
    <w:abstractNumId w:val="20"/>
  </w:num>
  <w:num w:numId="2">
    <w:abstractNumId w:val="14"/>
  </w:num>
  <w:num w:numId="3">
    <w:abstractNumId w:val="11"/>
  </w:num>
  <w:num w:numId="4">
    <w:abstractNumId w:val="39"/>
  </w:num>
  <w:num w:numId="5">
    <w:abstractNumId w:val="16"/>
  </w:num>
  <w:num w:numId="6">
    <w:abstractNumId w:val="21"/>
  </w:num>
  <w:num w:numId="7">
    <w:abstractNumId w:val="9"/>
  </w:num>
  <w:num w:numId="8">
    <w:abstractNumId w:val="5"/>
  </w:num>
  <w:num w:numId="9">
    <w:abstractNumId w:val="4"/>
  </w:num>
  <w:num w:numId="10">
    <w:abstractNumId w:val="43"/>
  </w:num>
  <w:num w:numId="11">
    <w:abstractNumId w:val="15"/>
  </w:num>
  <w:num w:numId="12">
    <w:abstractNumId w:val="2"/>
  </w:num>
  <w:num w:numId="13">
    <w:abstractNumId w:val="44"/>
  </w:num>
  <w:num w:numId="14">
    <w:abstractNumId w:val="42"/>
  </w:num>
  <w:num w:numId="15">
    <w:abstractNumId w:val="33"/>
  </w:num>
  <w:num w:numId="16">
    <w:abstractNumId w:val="12"/>
  </w:num>
  <w:num w:numId="17">
    <w:abstractNumId w:val="37"/>
  </w:num>
  <w:num w:numId="18">
    <w:abstractNumId w:val="27"/>
  </w:num>
  <w:num w:numId="19">
    <w:abstractNumId w:val="7"/>
  </w:num>
  <w:num w:numId="20">
    <w:abstractNumId w:val="22"/>
  </w:num>
  <w:num w:numId="21">
    <w:abstractNumId w:val="38"/>
  </w:num>
  <w:num w:numId="22">
    <w:abstractNumId w:val="24"/>
  </w:num>
  <w:num w:numId="23">
    <w:abstractNumId w:val="30"/>
  </w:num>
  <w:num w:numId="24">
    <w:abstractNumId w:val="41"/>
  </w:num>
  <w:num w:numId="25">
    <w:abstractNumId w:val="32"/>
  </w:num>
  <w:num w:numId="26">
    <w:abstractNumId w:val="10"/>
  </w:num>
  <w:num w:numId="27">
    <w:abstractNumId w:val="35"/>
  </w:num>
  <w:num w:numId="28">
    <w:abstractNumId w:val="8"/>
  </w:num>
  <w:num w:numId="29">
    <w:abstractNumId w:val="40"/>
  </w:num>
  <w:num w:numId="30">
    <w:abstractNumId w:val="26"/>
  </w:num>
  <w:num w:numId="31">
    <w:abstractNumId w:val="36"/>
  </w:num>
  <w:num w:numId="32">
    <w:abstractNumId w:val="6"/>
  </w:num>
  <w:num w:numId="33">
    <w:abstractNumId w:val="3"/>
  </w:num>
  <w:num w:numId="34">
    <w:abstractNumId w:val="23"/>
  </w:num>
  <w:num w:numId="35">
    <w:abstractNumId w:val="31"/>
  </w:num>
  <w:num w:numId="36">
    <w:abstractNumId w:val="34"/>
  </w:num>
  <w:num w:numId="37">
    <w:abstractNumId w:val="0"/>
  </w:num>
  <w:num w:numId="38">
    <w:abstractNumId w:val="1"/>
  </w:num>
  <w:num w:numId="39">
    <w:abstractNumId w:val="25"/>
  </w:num>
  <w:num w:numId="40">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8"/>
  </w:num>
  <w:num w:numId="43">
    <w:abstractNumId w:val="17"/>
  </w:num>
  <w:num w:numId="44">
    <w:abstractNumId w:val="19"/>
  </w:num>
  <w:num w:numId="4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T Secretariat">
    <w15:presenceInfo w15:providerId="Windows Live" w15:userId="76677f5e0fbe19d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applyBreakingRules/>
    <w:useFELayout/>
  </w:compat>
  <w:rsids>
    <w:rsidRoot w:val="00C15633"/>
    <w:rsid w:val="000011E8"/>
    <w:rsid w:val="00002C29"/>
    <w:rsid w:val="00010E4A"/>
    <w:rsid w:val="0001270A"/>
    <w:rsid w:val="00012A39"/>
    <w:rsid w:val="00020C28"/>
    <w:rsid w:val="00024614"/>
    <w:rsid w:val="00026FB1"/>
    <w:rsid w:val="0003595B"/>
    <w:rsid w:val="000526CA"/>
    <w:rsid w:val="0005309B"/>
    <w:rsid w:val="0005471D"/>
    <w:rsid w:val="00057C49"/>
    <w:rsid w:val="00061C3A"/>
    <w:rsid w:val="000628DC"/>
    <w:rsid w:val="00062FEA"/>
    <w:rsid w:val="00063699"/>
    <w:rsid w:val="0006369E"/>
    <w:rsid w:val="00070461"/>
    <w:rsid w:val="000807CA"/>
    <w:rsid w:val="00080ED2"/>
    <w:rsid w:val="000869CB"/>
    <w:rsid w:val="00094D17"/>
    <w:rsid w:val="000A01F2"/>
    <w:rsid w:val="000A4256"/>
    <w:rsid w:val="000A72EC"/>
    <w:rsid w:val="000A7400"/>
    <w:rsid w:val="000B00FA"/>
    <w:rsid w:val="000C0B77"/>
    <w:rsid w:val="000C28D4"/>
    <w:rsid w:val="000D0239"/>
    <w:rsid w:val="000D145A"/>
    <w:rsid w:val="000D4BDA"/>
    <w:rsid w:val="000E67F5"/>
    <w:rsid w:val="000F4583"/>
    <w:rsid w:val="000F5540"/>
    <w:rsid w:val="00103129"/>
    <w:rsid w:val="00106C94"/>
    <w:rsid w:val="00107BE6"/>
    <w:rsid w:val="00110F53"/>
    <w:rsid w:val="00111BB1"/>
    <w:rsid w:val="00126652"/>
    <w:rsid w:val="00126C32"/>
    <w:rsid w:val="00127DAE"/>
    <w:rsid w:val="001331B1"/>
    <w:rsid w:val="00136424"/>
    <w:rsid w:val="0014702B"/>
    <w:rsid w:val="0015396F"/>
    <w:rsid w:val="001570AD"/>
    <w:rsid w:val="00161B5A"/>
    <w:rsid w:val="00167115"/>
    <w:rsid w:val="001727D9"/>
    <w:rsid w:val="00176940"/>
    <w:rsid w:val="00185279"/>
    <w:rsid w:val="0019053E"/>
    <w:rsid w:val="001915D8"/>
    <w:rsid w:val="001956A2"/>
    <w:rsid w:val="00196568"/>
    <w:rsid w:val="001A2AB5"/>
    <w:rsid w:val="001B18C2"/>
    <w:rsid w:val="001B34E2"/>
    <w:rsid w:val="001C01CF"/>
    <w:rsid w:val="001C15B4"/>
    <w:rsid w:val="001D4195"/>
    <w:rsid w:val="001D5D7E"/>
    <w:rsid w:val="001D6E26"/>
    <w:rsid w:val="001E46E3"/>
    <w:rsid w:val="001F2D02"/>
    <w:rsid w:val="001F7A18"/>
    <w:rsid w:val="00203743"/>
    <w:rsid w:val="002072E9"/>
    <w:rsid w:val="0021619F"/>
    <w:rsid w:val="00225070"/>
    <w:rsid w:val="00235462"/>
    <w:rsid w:val="0025340D"/>
    <w:rsid w:val="00254A1B"/>
    <w:rsid w:val="002554DC"/>
    <w:rsid w:val="00262EAB"/>
    <w:rsid w:val="00262ECC"/>
    <w:rsid w:val="00272F00"/>
    <w:rsid w:val="00276B60"/>
    <w:rsid w:val="00277420"/>
    <w:rsid w:val="0028062E"/>
    <w:rsid w:val="00280C88"/>
    <w:rsid w:val="0028454D"/>
    <w:rsid w:val="00285BB6"/>
    <w:rsid w:val="002926D4"/>
    <w:rsid w:val="00292C49"/>
    <w:rsid w:val="00296AB8"/>
    <w:rsid w:val="002A1F43"/>
    <w:rsid w:val="002A2C5B"/>
    <w:rsid w:val="002A43BC"/>
    <w:rsid w:val="002A6F81"/>
    <w:rsid w:val="002B3D5A"/>
    <w:rsid w:val="002C067A"/>
    <w:rsid w:val="002C07DA"/>
    <w:rsid w:val="002C18DD"/>
    <w:rsid w:val="002C3E15"/>
    <w:rsid w:val="002C7EA9"/>
    <w:rsid w:val="002D2141"/>
    <w:rsid w:val="002D485A"/>
    <w:rsid w:val="002D4EA9"/>
    <w:rsid w:val="002D5D59"/>
    <w:rsid w:val="002F25D8"/>
    <w:rsid w:val="002F2C66"/>
    <w:rsid w:val="0031332B"/>
    <w:rsid w:val="0032764D"/>
    <w:rsid w:val="003329E4"/>
    <w:rsid w:val="00346B57"/>
    <w:rsid w:val="0035595E"/>
    <w:rsid w:val="00370E5A"/>
    <w:rsid w:val="0037767E"/>
    <w:rsid w:val="003914E3"/>
    <w:rsid w:val="003918AD"/>
    <w:rsid w:val="00391FAF"/>
    <w:rsid w:val="003932F9"/>
    <w:rsid w:val="00397131"/>
    <w:rsid w:val="003A232C"/>
    <w:rsid w:val="003B6263"/>
    <w:rsid w:val="003C03E9"/>
    <w:rsid w:val="003C6155"/>
    <w:rsid w:val="003C64A7"/>
    <w:rsid w:val="003D091A"/>
    <w:rsid w:val="003D1816"/>
    <w:rsid w:val="003D3FDA"/>
    <w:rsid w:val="003D4768"/>
    <w:rsid w:val="003D4964"/>
    <w:rsid w:val="003E3543"/>
    <w:rsid w:val="003E71EA"/>
    <w:rsid w:val="003F0B0F"/>
    <w:rsid w:val="003F2317"/>
    <w:rsid w:val="00400CFB"/>
    <w:rsid w:val="004012A8"/>
    <w:rsid w:val="00406A32"/>
    <w:rsid w:val="004158B3"/>
    <w:rsid w:val="00416486"/>
    <w:rsid w:val="00420822"/>
    <w:rsid w:val="00420FE5"/>
    <w:rsid w:val="00422F7B"/>
    <w:rsid w:val="00443703"/>
    <w:rsid w:val="00446F37"/>
    <w:rsid w:val="00447D7B"/>
    <w:rsid w:val="004505F1"/>
    <w:rsid w:val="0045458F"/>
    <w:rsid w:val="0045733F"/>
    <w:rsid w:val="004651E5"/>
    <w:rsid w:val="00471B26"/>
    <w:rsid w:val="0047484D"/>
    <w:rsid w:val="00486F61"/>
    <w:rsid w:val="00490966"/>
    <w:rsid w:val="00494FF6"/>
    <w:rsid w:val="004A46AB"/>
    <w:rsid w:val="004A605D"/>
    <w:rsid w:val="004B15FB"/>
    <w:rsid w:val="004B6487"/>
    <w:rsid w:val="004C6FC6"/>
    <w:rsid w:val="004C7E57"/>
    <w:rsid w:val="004D546E"/>
    <w:rsid w:val="004E109B"/>
    <w:rsid w:val="004E2820"/>
    <w:rsid w:val="004E6E1B"/>
    <w:rsid w:val="004F2FA4"/>
    <w:rsid w:val="00515582"/>
    <w:rsid w:val="00520C9F"/>
    <w:rsid w:val="00523F31"/>
    <w:rsid w:val="00524B0A"/>
    <w:rsid w:val="00530E8C"/>
    <w:rsid w:val="0053273E"/>
    <w:rsid w:val="005329E4"/>
    <w:rsid w:val="0053323F"/>
    <w:rsid w:val="0055323D"/>
    <w:rsid w:val="00554ED8"/>
    <w:rsid w:val="00557DC4"/>
    <w:rsid w:val="00565423"/>
    <w:rsid w:val="00583DBC"/>
    <w:rsid w:val="00587875"/>
    <w:rsid w:val="00596364"/>
    <w:rsid w:val="005A41A0"/>
    <w:rsid w:val="005A57BE"/>
    <w:rsid w:val="005A65A2"/>
    <w:rsid w:val="005C381B"/>
    <w:rsid w:val="005C7E76"/>
    <w:rsid w:val="005D0987"/>
    <w:rsid w:val="005D1538"/>
    <w:rsid w:val="005D6B5F"/>
    <w:rsid w:val="005E6D9E"/>
    <w:rsid w:val="005F045A"/>
    <w:rsid w:val="005F0BF4"/>
    <w:rsid w:val="005F7339"/>
    <w:rsid w:val="005F7A08"/>
    <w:rsid w:val="00600EDB"/>
    <w:rsid w:val="00607E2B"/>
    <w:rsid w:val="00614171"/>
    <w:rsid w:val="006145DF"/>
    <w:rsid w:val="006150E1"/>
    <w:rsid w:val="006175B9"/>
    <w:rsid w:val="00621DB0"/>
    <w:rsid w:val="00626BBB"/>
    <w:rsid w:val="00627E64"/>
    <w:rsid w:val="0063062B"/>
    <w:rsid w:val="00631E19"/>
    <w:rsid w:val="0063351F"/>
    <w:rsid w:val="00640DC4"/>
    <w:rsid w:val="00646B1A"/>
    <w:rsid w:val="00647221"/>
    <w:rsid w:val="00664009"/>
    <w:rsid w:val="00667229"/>
    <w:rsid w:val="00682BE5"/>
    <w:rsid w:val="00687CBF"/>
    <w:rsid w:val="006953DC"/>
    <w:rsid w:val="006A2F86"/>
    <w:rsid w:val="006C030A"/>
    <w:rsid w:val="006C7325"/>
    <w:rsid w:val="006D3707"/>
    <w:rsid w:val="006D4B0E"/>
    <w:rsid w:val="006E1A74"/>
    <w:rsid w:val="006E306F"/>
    <w:rsid w:val="006E5079"/>
    <w:rsid w:val="006E5A0D"/>
    <w:rsid w:val="006E5ED6"/>
    <w:rsid w:val="00703027"/>
    <w:rsid w:val="007100B8"/>
    <w:rsid w:val="007121D3"/>
    <w:rsid w:val="007132B4"/>
    <w:rsid w:val="00717108"/>
    <w:rsid w:val="00717ED7"/>
    <w:rsid w:val="0072045F"/>
    <w:rsid w:val="007267DD"/>
    <w:rsid w:val="0074190C"/>
    <w:rsid w:val="00746B59"/>
    <w:rsid w:val="007516DE"/>
    <w:rsid w:val="007532C4"/>
    <w:rsid w:val="007538B0"/>
    <w:rsid w:val="00760D4B"/>
    <w:rsid w:val="00762576"/>
    <w:rsid w:val="0076284B"/>
    <w:rsid w:val="0076340A"/>
    <w:rsid w:val="00774DBE"/>
    <w:rsid w:val="0078049B"/>
    <w:rsid w:val="00790678"/>
    <w:rsid w:val="007919D9"/>
    <w:rsid w:val="00792C33"/>
    <w:rsid w:val="007A06F3"/>
    <w:rsid w:val="007A67C7"/>
    <w:rsid w:val="007B17FC"/>
    <w:rsid w:val="007C30C9"/>
    <w:rsid w:val="007C33F1"/>
    <w:rsid w:val="007C40DF"/>
    <w:rsid w:val="007C5C67"/>
    <w:rsid w:val="007D188F"/>
    <w:rsid w:val="007D1F7E"/>
    <w:rsid w:val="007D434D"/>
    <w:rsid w:val="007D43A5"/>
    <w:rsid w:val="007E0B51"/>
    <w:rsid w:val="007F1786"/>
    <w:rsid w:val="007F76DE"/>
    <w:rsid w:val="0080570B"/>
    <w:rsid w:val="008148E1"/>
    <w:rsid w:val="008179D9"/>
    <w:rsid w:val="00820B06"/>
    <w:rsid w:val="00833ED0"/>
    <w:rsid w:val="008436A8"/>
    <w:rsid w:val="00846547"/>
    <w:rsid w:val="00847A69"/>
    <w:rsid w:val="008605EA"/>
    <w:rsid w:val="00861F78"/>
    <w:rsid w:val="00864B9B"/>
    <w:rsid w:val="00865017"/>
    <w:rsid w:val="00866E56"/>
    <w:rsid w:val="00871FF7"/>
    <w:rsid w:val="008726B9"/>
    <w:rsid w:val="00890A5B"/>
    <w:rsid w:val="00891988"/>
    <w:rsid w:val="00891DA1"/>
    <w:rsid w:val="00892C36"/>
    <w:rsid w:val="008974F9"/>
    <w:rsid w:val="008A32C0"/>
    <w:rsid w:val="008A3A07"/>
    <w:rsid w:val="008B12F1"/>
    <w:rsid w:val="008B3616"/>
    <w:rsid w:val="008B61DB"/>
    <w:rsid w:val="008B7B8A"/>
    <w:rsid w:val="008C00A0"/>
    <w:rsid w:val="008C075B"/>
    <w:rsid w:val="008C65DB"/>
    <w:rsid w:val="008C701E"/>
    <w:rsid w:val="008C7535"/>
    <w:rsid w:val="008D0E09"/>
    <w:rsid w:val="008D1CCB"/>
    <w:rsid w:val="008D1F65"/>
    <w:rsid w:val="008D2A69"/>
    <w:rsid w:val="008D7FA9"/>
    <w:rsid w:val="008F157E"/>
    <w:rsid w:val="008F69F4"/>
    <w:rsid w:val="008F7D3B"/>
    <w:rsid w:val="009012D5"/>
    <w:rsid w:val="009254B0"/>
    <w:rsid w:val="00926C9B"/>
    <w:rsid w:val="009273F5"/>
    <w:rsid w:val="00930FE3"/>
    <w:rsid w:val="0094207C"/>
    <w:rsid w:val="009454B7"/>
    <w:rsid w:val="0095056A"/>
    <w:rsid w:val="00952EAF"/>
    <w:rsid w:val="009555EE"/>
    <w:rsid w:val="009566B8"/>
    <w:rsid w:val="00960D70"/>
    <w:rsid w:val="00965E44"/>
    <w:rsid w:val="00971B94"/>
    <w:rsid w:val="0097693B"/>
    <w:rsid w:val="0098467D"/>
    <w:rsid w:val="00986374"/>
    <w:rsid w:val="00992EC1"/>
    <w:rsid w:val="009932B6"/>
    <w:rsid w:val="009A1AE5"/>
    <w:rsid w:val="009A4A6D"/>
    <w:rsid w:val="009B11A4"/>
    <w:rsid w:val="009B12A6"/>
    <w:rsid w:val="009C3A88"/>
    <w:rsid w:val="009D439A"/>
    <w:rsid w:val="009E6FD8"/>
    <w:rsid w:val="009E7761"/>
    <w:rsid w:val="009F0536"/>
    <w:rsid w:val="009F0B30"/>
    <w:rsid w:val="009F0B71"/>
    <w:rsid w:val="009F2E3B"/>
    <w:rsid w:val="009F48DF"/>
    <w:rsid w:val="00A022C8"/>
    <w:rsid w:val="00A13587"/>
    <w:rsid w:val="00A2190B"/>
    <w:rsid w:val="00A263E4"/>
    <w:rsid w:val="00A32270"/>
    <w:rsid w:val="00A366D5"/>
    <w:rsid w:val="00A438A8"/>
    <w:rsid w:val="00A44BFA"/>
    <w:rsid w:val="00A46756"/>
    <w:rsid w:val="00A515F1"/>
    <w:rsid w:val="00A548EF"/>
    <w:rsid w:val="00A6248D"/>
    <w:rsid w:val="00A76077"/>
    <w:rsid w:val="00A765CF"/>
    <w:rsid w:val="00A7742A"/>
    <w:rsid w:val="00A9229F"/>
    <w:rsid w:val="00A948CF"/>
    <w:rsid w:val="00AA41DB"/>
    <w:rsid w:val="00AA474C"/>
    <w:rsid w:val="00AB1FBE"/>
    <w:rsid w:val="00AB51FF"/>
    <w:rsid w:val="00AB5CF9"/>
    <w:rsid w:val="00AC2893"/>
    <w:rsid w:val="00AD015A"/>
    <w:rsid w:val="00AD1DAE"/>
    <w:rsid w:val="00AD1E40"/>
    <w:rsid w:val="00AD42BC"/>
    <w:rsid w:val="00AD7E5F"/>
    <w:rsid w:val="00AF18BC"/>
    <w:rsid w:val="00AF3171"/>
    <w:rsid w:val="00AF3CCA"/>
    <w:rsid w:val="00B1488B"/>
    <w:rsid w:val="00B2020E"/>
    <w:rsid w:val="00B25D6A"/>
    <w:rsid w:val="00B30C81"/>
    <w:rsid w:val="00B32C17"/>
    <w:rsid w:val="00B3589C"/>
    <w:rsid w:val="00B439BA"/>
    <w:rsid w:val="00B46599"/>
    <w:rsid w:val="00B50888"/>
    <w:rsid w:val="00B56DE5"/>
    <w:rsid w:val="00B57E03"/>
    <w:rsid w:val="00B650A5"/>
    <w:rsid w:val="00B71DC4"/>
    <w:rsid w:val="00B759C6"/>
    <w:rsid w:val="00B81A22"/>
    <w:rsid w:val="00B846B6"/>
    <w:rsid w:val="00B86696"/>
    <w:rsid w:val="00B917B3"/>
    <w:rsid w:val="00B9296F"/>
    <w:rsid w:val="00BA0AB9"/>
    <w:rsid w:val="00BA0EF0"/>
    <w:rsid w:val="00BA13CC"/>
    <w:rsid w:val="00BA1482"/>
    <w:rsid w:val="00BA6358"/>
    <w:rsid w:val="00BB3DA1"/>
    <w:rsid w:val="00BB4D83"/>
    <w:rsid w:val="00BB5145"/>
    <w:rsid w:val="00BC76EB"/>
    <w:rsid w:val="00BD3967"/>
    <w:rsid w:val="00BD7049"/>
    <w:rsid w:val="00BE18D0"/>
    <w:rsid w:val="00BE38D3"/>
    <w:rsid w:val="00BE69D3"/>
    <w:rsid w:val="00BF3513"/>
    <w:rsid w:val="00BF5878"/>
    <w:rsid w:val="00BF663E"/>
    <w:rsid w:val="00C017A4"/>
    <w:rsid w:val="00C036ED"/>
    <w:rsid w:val="00C05010"/>
    <w:rsid w:val="00C15633"/>
    <w:rsid w:val="00C2007F"/>
    <w:rsid w:val="00C357AD"/>
    <w:rsid w:val="00C414D4"/>
    <w:rsid w:val="00C42963"/>
    <w:rsid w:val="00C42EFF"/>
    <w:rsid w:val="00C50937"/>
    <w:rsid w:val="00C5610C"/>
    <w:rsid w:val="00C675B6"/>
    <w:rsid w:val="00C73DDE"/>
    <w:rsid w:val="00C76CAB"/>
    <w:rsid w:val="00C83562"/>
    <w:rsid w:val="00C83BC0"/>
    <w:rsid w:val="00C84730"/>
    <w:rsid w:val="00C92CA6"/>
    <w:rsid w:val="00C94484"/>
    <w:rsid w:val="00C95CCD"/>
    <w:rsid w:val="00CA105A"/>
    <w:rsid w:val="00CA1B52"/>
    <w:rsid w:val="00CA3E20"/>
    <w:rsid w:val="00CA4554"/>
    <w:rsid w:val="00CA6D76"/>
    <w:rsid w:val="00CD494D"/>
    <w:rsid w:val="00CD5431"/>
    <w:rsid w:val="00CD7469"/>
    <w:rsid w:val="00CD75B4"/>
    <w:rsid w:val="00CE0FEC"/>
    <w:rsid w:val="00CE3927"/>
    <w:rsid w:val="00CE5912"/>
    <w:rsid w:val="00CE74EB"/>
    <w:rsid w:val="00CF2491"/>
    <w:rsid w:val="00D0021C"/>
    <w:rsid w:val="00D0035D"/>
    <w:rsid w:val="00D0491D"/>
    <w:rsid w:val="00D0569B"/>
    <w:rsid w:val="00D155C3"/>
    <w:rsid w:val="00D16734"/>
    <w:rsid w:val="00D3074C"/>
    <w:rsid w:val="00D34663"/>
    <w:rsid w:val="00D44822"/>
    <w:rsid w:val="00D57772"/>
    <w:rsid w:val="00D62E62"/>
    <w:rsid w:val="00D6704F"/>
    <w:rsid w:val="00D75A4D"/>
    <w:rsid w:val="00D8478B"/>
    <w:rsid w:val="00D86151"/>
    <w:rsid w:val="00D95ED1"/>
    <w:rsid w:val="00D96511"/>
    <w:rsid w:val="00D96FF5"/>
    <w:rsid w:val="00DA6027"/>
    <w:rsid w:val="00DA669C"/>
    <w:rsid w:val="00DA7595"/>
    <w:rsid w:val="00DB0A68"/>
    <w:rsid w:val="00DC43A3"/>
    <w:rsid w:val="00DD0312"/>
    <w:rsid w:val="00DE4D0D"/>
    <w:rsid w:val="00DE6007"/>
    <w:rsid w:val="00DF390C"/>
    <w:rsid w:val="00E035A1"/>
    <w:rsid w:val="00E03FA1"/>
    <w:rsid w:val="00E11266"/>
    <w:rsid w:val="00E11349"/>
    <w:rsid w:val="00E11CD0"/>
    <w:rsid w:val="00E15D87"/>
    <w:rsid w:val="00E16128"/>
    <w:rsid w:val="00E16529"/>
    <w:rsid w:val="00E22FD0"/>
    <w:rsid w:val="00E30B23"/>
    <w:rsid w:val="00E34222"/>
    <w:rsid w:val="00E36030"/>
    <w:rsid w:val="00E42C51"/>
    <w:rsid w:val="00E461E9"/>
    <w:rsid w:val="00E51FC3"/>
    <w:rsid w:val="00E549C3"/>
    <w:rsid w:val="00E674D3"/>
    <w:rsid w:val="00E75CBD"/>
    <w:rsid w:val="00E77217"/>
    <w:rsid w:val="00E823CA"/>
    <w:rsid w:val="00E829F3"/>
    <w:rsid w:val="00E91E10"/>
    <w:rsid w:val="00EA0469"/>
    <w:rsid w:val="00EA0847"/>
    <w:rsid w:val="00EA23D6"/>
    <w:rsid w:val="00EA3DB1"/>
    <w:rsid w:val="00EA5073"/>
    <w:rsid w:val="00EA524A"/>
    <w:rsid w:val="00EB6E76"/>
    <w:rsid w:val="00EC1A88"/>
    <w:rsid w:val="00EC2322"/>
    <w:rsid w:val="00EC25F8"/>
    <w:rsid w:val="00EC5B6B"/>
    <w:rsid w:val="00EE4AA2"/>
    <w:rsid w:val="00EE4B01"/>
    <w:rsid w:val="00EF5929"/>
    <w:rsid w:val="00F10E8E"/>
    <w:rsid w:val="00F30669"/>
    <w:rsid w:val="00F31A04"/>
    <w:rsid w:val="00F411C8"/>
    <w:rsid w:val="00F417FB"/>
    <w:rsid w:val="00F419DC"/>
    <w:rsid w:val="00F445CC"/>
    <w:rsid w:val="00F46563"/>
    <w:rsid w:val="00F525B4"/>
    <w:rsid w:val="00F56E47"/>
    <w:rsid w:val="00F6136E"/>
    <w:rsid w:val="00F62C14"/>
    <w:rsid w:val="00F64A55"/>
    <w:rsid w:val="00F65676"/>
    <w:rsid w:val="00F66DDC"/>
    <w:rsid w:val="00F70F49"/>
    <w:rsid w:val="00F84067"/>
    <w:rsid w:val="00F85125"/>
    <w:rsid w:val="00F86AC9"/>
    <w:rsid w:val="00FC2CE0"/>
    <w:rsid w:val="00FC503F"/>
    <w:rsid w:val="00FD2CE7"/>
    <w:rsid w:val="00FD592E"/>
    <w:rsid w:val="00FE1665"/>
    <w:rsid w:val="00FF474B"/>
    <w:rsid w:val="00FF531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7" type="connector" idref="#Straight Arrow Connector 15"/>
        <o:r id="V:Rule8" type="connector" idref="#Straight Arrow Connector 12"/>
        <o:r id="V:Rule9" type="connector" idref="#Straight Arrow Connector 14"/>
        <o:r id="V:Rule10" type="connector" idref="#Straight Arrow Connector 9"/>
        <o:r id="V:Rule11" type="connector" idref="#Straight Arrow Connector 11"/>
        <o:r id="V:Rule12"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94207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420FE5"/>
    <w:pPr>
      <w:keepNext/>
      <w:keepLines/>
      <w:spacing w:before="200"/>
      <w:outlineLvl w:val="2"/>
    </w:pPr>
    <w:rPr>
      <w:rFonts w:ascii="Cambria" w:eastAsia="Times New Roman" w:hAnsi="Cambria"/>
      <w:b/>
      <w:bCs/>
      <w:color w:val="4F81BD"/>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Normal"/>
    <w:next w:val="Normal"/>
    <w:link w:val="Heading9Char"/>
    <w:uiPriority w:val="99"/>
    <w:unhideWhenUsed/>
    <w:qFormat/>
    <w:rsid w:val="00F64A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Heading2Char">
    <w:name w:val="Heading 2 Char"/>
    <w:link w:val="Heading2"/>
    <w:rsid w:val="0094207C"/>
    <w:rPr>
      <w:rFonts w:ascii="Cambria" w:eastAsia="Times New Roman" w:hAnsi="Cambria"/>
      <w:b/>
      <w:bCs/>
      <w:i/>
      <w:iCs/>
      <w:sz w:val="28"/>
      <w:szCs w:val="28"/>
    </w:rPr>
  </w:style>
  <w:style w:type="paragraph" w:customStyle="1" w:styleId="Tabletext">
    <w:name w:val="Table_text"/>
    <w:basedOn w:val="Normal"/>
    <w:link w:val="TabletextChar"/>
    <w:rsid w:val="0094207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GB"/>
    </w:rPr>
  </w:style>
  <w:style w:type="paragraph" w:customStyle="1" w:styleId="Tablehead">
    <w:name w:val="Table_head"/>
    <w:basedOn w:val="Normal"/>
    <w:next w:val="Tabletext"/>
    <w:link w:val="TableheadChar"/>
    <w:rsid w:val="0094207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PMingLiU"/>
      <w:b/>
      <w:sz w:val="22"/>
      <w:szCs w:val="20"/>
      <w:lang w:val="en-GB"/>
    </w:rPr>
  </w:style>
  <w:style w:type="paragraph" w:customStyle="1" w:styleId="enumlev1">
    <w:name w:val="enumlev1"/>
    <w:basedOn w:val="Normal"/>
    <w:link w:val="enumlev1Char"/>
    <w:rsid w:val="0094207C"/>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PMingLiU"/>
      <w:szCs w:val="20"/>
      <w:lang w:val="en-GB"/>
    </w:rPr>
  </w:style>
  <w:style w:type="paragraph" w:customStyle="1" w:styleId="Tabletitle">
    <w:name w:val="Table_title"/>
    <w:basedOn w:val="Normal"/>
    <w:next w:val="Tabletext"/>
    <w:link w:val="TabletitleChar"/>
    <w:rsid w:val="0094207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PMingLiU" w:hAnsi="Times New Roman Bold"/>
      <w:b/>
      <w:sz w:val="20"/>
      <w:szCs w:val="20"/>
      <w:lang w:val="en-GB"/>
    </w:rPr>
  </w:style>
  <w:style w:type="character" w:customStyle="1" w:styleId="Artdef">
    <w:name w:val="Art_def"/>
    <w:rsid w:val="0094207C"/>
    <w:rPr>
      <w:rFonts w:ascii="Times New Roman" w:hAnsi="Times New Roman"/>
      <w:b/>
    </w:rPr>
  </w:style>
  <w:style w:type="character" w:customStyle="1" w:styleId="Artref">
    <w:name w:val="Art_ref"/>
    <w:rsid w:val="0094207C"/>
  </w:style>
  <w:style w:type="character" w:customStyle="1" w:styleId="Tablefreq">
    <w:name w:val="Table_freq"/>
    <w:rsid w:val="0094207C"/>
    <w:rPr>
      <w:b/>
      <w:color w:val="auto"/>
      <w:sz w:val="20"/>
    </w:rPr>
  </w:style>
  <w:style w:type="paragraph" w:customStyle="1" w:styleId="TableTextS5">
    <w:name w:val="Table_TextS5"/>
    <w:basedOn w:val="Normal"/>
    <w:rsid w:val="0094207C"/>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PMingLiU"/>
      <w:sz w:val="20"/>
      <w:szCs w:val="20"/>
      <w:lang w:val="en-GB"/>
    </w:rPr>
  </w:style>
  <w:style w:type="character" w:styleId="Hyperlink">
    <w:name w:val="Hyperlink"/>
    <w:rsid w:val="0094207C"/>
    <w:rPr>
      <w:color w:val="0000FF"/>
      <w:u w:val="single"/>
    </w:rPr>
  </w:style>
  <w:style w:type="paragraph" w:customStyle="1" w:styleId="Headingi">
    <w:name w:val="Heading_i"/>
    <w:basedOn w:val="Normal"/>
    <w:next w:val="Normal"/>
    <w:rsid w:val="0094207C"/>
    <w:pPr>
      <w:keepNext/>
      <w:tabs>
        <w:tab w:val="left" w:pos="1134"/>
        <w:tab w:val="left" w:pos="1871"/>
        <w:tab w:val="left" w:pos="2268"/>
      </w:tabs>
      <w:overflowPunct w:val="0"/>
      <w:autoSpaceDE w:val="0"/>
      <w:autoSpaceDN w:val="0"/>
      <w:adjustRightInd w:val="0"/>
      <w:spacing w:before="160"/>
      <w:textAlignment w:val="baseline"/>
    </w:pPr>
    <w:rPr>
      <w:rFonts w:ascii="Times" w:eastAsia="PMingLiU" w:hAnsi="Times"/>
      <w:i/>
      <w:szCs w:val="20"/>
      <w:lang w:val="en-GB"/>
    </w:rPr>
  </w:style>
  <w:style w:type="paragraph" w:styleId="ListParagraph">
    <w:name w:val="List Paragraph"/>
    <w:basedOn w:val="Normal"/>
    <w:uiPriority w:val="34"/>
    <w:qFormat/>
    <w:rsid w:val="0094207C"/>
    <w:pPr>
      <w:ind w:leftChars="200" w:left="480"/>
    </w:pPr>
  </w:style>
  <w:style w:type="character" w:customStyle="1" w:styleId="enumlev1Char">
    <w:name w:val="enumlev1 Char"/>
    <w:link w:val="enumlev1"/>
    <w:locked/>
    <w:rsid w:val="0094207C"/>
    <w:rPr>
      <w:rFonts w:eastAsia="PMingLiU"/>
      <w:sz w:val="24"/>
      <w:lang w:val="en-GB"/>
    </w:rPr>
  </w:style>
  <w:style w:type="paragraph" w:customStyle="1" w:styleId="Normalaftertitle">
    <w:name w:val="Normal after title"/>
    <w:basedOn w:val="Normal"/>
    <w:next w:val="Normal"/>
    <w:link w:val="NormalaftertitleChar"/>
    <w:rsid w:val="0094207C"/>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customStyle="1" w:styleId="NormalaftertitleChar">
    <w:name w:val="Normal after title Char"/>
    <w:link w:val="Normalaftertitle"/>
    <w:locked/>
    <w:rsid w:val="0094207C"/>
    <w:rPr>
      <w:rFonts w:eastAsia="Times New Roman"/>
      <w:sz w:val="24"/>
      <w:lang w:val="en-GB"/>
    </w:rPr>
  </w:style>
  <w:style w:type="character" w:customStyle="1" w:styleId="NoteChar">
    <w:name w:val="Note Char"/>
    <w:link w:val="Note"/>
    <w:locked/>
    <w:rsid w:val="0094207C"/>
    <w:rPr>
      <w:rFonts w:eastAsia="BatangChe"/>
      <w:noProof/>
      <w:lang w:eastAsia="ko-KR"/>
    </w:rPr>
  </w:style>
  <w:style w:type="paragraph" w:customStyle="1" w:styleId="Call">
    <w:name w:val="Call"/>
    <w:basedOn w:val="Normal"/>
    <w:next w:val="Normal"/>
    <w:link w:val="CallChar"/>
    <w:rsid w:val="0094207C"/>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character" w:customStyle="1" w:styleId="CallChar">
    <w:name w:val="Call Char"/>
    <w:link w:val="Call"/>
    <w:locked/>
    <w:rsid w:val="0094207C"/>
    <w:rPr>
      <w:rFonts w:eastAsia="Times New Roman"/>
      <w:i/>
      <w:sz w:val="24"/>
      <w:lang w:val="en-GB"/>
    </w:rPr>
  </w:style>
  <w:style w:type="paragraph" w:styleId="BalloonText">
    <w:name w:val="Balloon Text"/>
    <w:basedOn w:val="Normal"/>
    <w:link w:val="BalloonTextChar"/>
    <w:rsid w:val="00490966"/>
    <w:rPr>
      <w:rFonts w:ascii="Tahoma" w:hAnsi="Tahoma"/>
      <w:sz w:val="16"/>
      <w:szCs w:val="16"/>
    </w:rPr>
  </w:style>
  <w:style w:type="character" w:customStyle="1" w:styleId="BalloonTextChar">
    <w:name w:val="Balloon Text Char"/>
    <w:link w:val="BalloonText"/>
    <w:rsid w:val="00490966"/>
    <w:rPr>
      <w:rFonts w:ascii="Tahoma" w:eastAsia="BatangChe" w:hAnsi="Tahoma" w:cs="Tahoma"/>
      <w:sz w:val="16"/>
      <w:szCs w:val="16"/>
    </w:rPr>
  </w:style>
  <w:style w:type="character" w:customStyle="1" w:styleId="Heading3Char">
    <w:name w:val="Heading 3 Char"/>
    <w:link w:val="Heading3"/>
    <w:semiHidden/>
    <w:rsid w:val="00420FE5"/>
    <w:rPr>
      <w:rFonts w:ascii="Cambria" w:eastAsia="Times New Roman" w:hAnsi="Cambria" w:cs="Times New Roman"/>
      <w:b/>
      <w:bCs/>
      <w:color w:val="4F81BD"/>
      <w:sz w:val="24"/>
      <w:szCs w:val="24"/>
    </w:rPr>
  </w:style>
  <w:style w:type="paragraph" w:customStyle="1" w:styleId="TableNo">
    <w:name w:val="Table_No"/>
    <w:basedOn w:val="Normal"/>
    <w:next w:val="Tabletitle"/>
    <w:link w:val="TableNoChar"/>
    <w:uiPriority w:val="99"/>
    <w:rsid w:val="00E829F3"/>
    <w:pPr>
      <w:keepNext/>
      <w:tabs>
        <w:tab w:val="left" w:pos="1134"/>
        <w:tab w:val="left" w:pos="1871"/>
        <w:tab w:val="left" w:pos="2268"/>
      </w:tabs>
      <w:overflowPunct w:val="0"/>
      <w:autoSpaceDE w:val="0"/>
      <w:autoSpaceDN w:val="0"/>
      <w:adjustRightInd w:val="0"/>
      <w:spacing w:before="560" w:after="120"/>
      <w:jc w:val="center"/>
      <w:textAlignment w:val="baseline"/>
    </w:pPr>
    <w:rPr>
      <w:rFonts w:eastAsia="Batang"/>
      <w:caps/>
      <w:sz w:val="20"/>
      <w:szCs w:val="20"/>
      <w:lang w:val="en-GB"/>
    </w:rPr>
  </w:style>
  <w:style w:type="character" w:customStyle="1" w:styleId="TabletitleChar">
    <w:name w:val="Table_title Char"/>
    <w:basedOn w:val="DefaultParagraphFont"/>
    <w:link w:val="Tabletitle"/>
    <w:uiPriority w:val="99"/>
    <w:locked/>
    <w:rsid w:val="00E829F3"/>
    <w:rPr>
      <w:rFonts w:ascii="Times New Roman Bold" w:eastAsia="PMingLiU" w:hAnsi="Times New Roman Bold"/>
      <w:b/>
      <w:lang w:val="en-GB" w:eastAsia="en-US"/>
    </w:rPr>
  </w:style>
  <w:style w:type="character" w:customStyle="1" w:styleId="TabletextChar">
    <w:name w:val="Table_text Char"/>
    <w:link w:val="Tabletext"/>
    <w:locked/>
    <w:rsid w:val="00E829F3"/>
    <w:rPr>
      <w:sz w:val="22"/>
      <w:lang w:val="en-GB" w:eastAsia="en-US"/>
    </w:rPr>
  </w:style>
  <w:style w:type="character" w:customStyle="1" w:styleId="TableheadChar">
    <w:name w:val="Table_head Char"/>
    <w:link w:val="Tablehead"/>
    <w:uiPriority w:val="99"/>
    <w:locked/>
    <w:rsid w:val="00E829F3"/>
    <w:rPr>
      <w:rFonts w:eastAsia="PMingLiU"/>
      <w:b/>
      <w:sz w:val="22"/>
      <w:lang w:val="en-GB" w:eastAsia="en-US"/>
    </w:rPr>
  </w:style>
  <w:style w:type="character" w:customStyle="1" w:styleId="TableNoChar">
    <w:name w:val="Table_No Char"/>
    <w:link w:val="TableNo"/>
    <w:uiPriority w:val="99"/>
    <w:locked/>
    <w:rsid w:val="00E829F3"/>
    <w:rPr>
      <w:caps/>
      <w:lang w:val="en-GB" w:eastAsia="en-US"/>
    </w:rPr>
  </w:style>
  <w:style w:type="character" w:customStyle="1" w:styleId="href">
    <w:name w:val="href"/>
    <w:rsid w:val="00E829F3"/>
  </w:style>
  <w:style w:type="paragraph" w:customStyle="1" w:styleId="Default">
    <w:name w:val="Default"/>
    <w:rsid w:val="003329E4"/>
    <w:pPr>
      <w:widowControl w:val="0"/>
      <w:autoSpaceDE w:val="0"/>
      <w:autoSpaceDN w:val="0"/>
      <w:adjustRightInd w:val="0"/>
    </w:pPr>
    <w:rPr>
      <w:color w:val="000000"/>
      <w:sz w:val="24"/>
      <w:szCs w:val="24"/>
      <w:lang w:eastAsia="ko-KR" w:bidi="ar-SA"/>
    </w:rPr>
  </w:style>
  <w:style w:type="paragraph" w:styleId="Revision">
    <w:name w:val="Revision"/>
    <w:hidden/>
    <w:uiPriority w:val="99"/>
    <w:semiHidden/>
    <w:rsid w:val="000D145A"/>
    <w:rPr>
      <w:rFonts w:eastAsia="BatangChe"/>
      <w:sz w:val="24"/>
      <w:szCs w:val="24"/>
      <w:lang w:bidi="ar-SA"/>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uiPriority w:val="99"/>
    <w:rsid w:val="008C65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C65DB"/>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C65DB"/>
    <w:rPr>
      <w:rFonts w:eastAsia="Times New Roman"/>
      <w:sz w:val="24"/>
      <w:lang w:val="en-GB" w:bidi="ar-SA"/>
    </w:rPr>
  </w:style>
  <w:style w:type="table" w:styleId="TableGrid">
    <w:name w:val="Table Grid"/>
    <w:basedOn w:val="TableNormal"/>
    <w:uiPriority w:val="59"/>
    <w:rsid w:val="008C65DB"/>
    <w:rPr>
      <w:rFonts w:ascii="CG Times" w:eastAsia="Times New Roman" w:hAnsi="CG Times"/>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A366D5"/>
    <w:rPr>
      <w:rFonts w:eastAsia="BatangChe"/>
      <w:b/>
      <w:bCs/>
      <w:kern w:val="2"/>
      <w:lang w:eastAsia="ko-KR" w:bidi="ar-SA"/>
    </w:rPr>
  </w:style>
  <w:style w:type="character" w:customStyle="1" w:styleId="Heading1Char">
    <w:name w:val="Heading 1 Char"/>
    <w:basedOn w:val="DefaultParagraphFont"/>
    <w:link w:val="Heading1"/>
    <w:rsid w:val="00A366D5"/>
    <w:rPr>
      <w:rFonts w:eastAsia="BatangChe"/>
      <w:b/>
      <w:bCs/>
      <w:sz w:val="24"/>
      <w:szCs w:val="24"/>
      <w:u w:val="single"/>
      <w:lang w:bidi="ar-SA"/>
    </w:rPr>
  </w:style>
  <w:style w:type="character" w:styleId="FollowedHyperlink">
    <w:name w:val="FollowedHyperlink"/>
    <w:basedOn w:val="DefaultParagraphFont"/>
    <w:rsid w:val="00A022C8"/>
    <w:rPr>
      <w:color w:val="800080" w:themeColor="followedHyperlink"/>
      <w:u w:val="single"/>
    </w:rPr>
  </w:style>
  <w:style w:type="character" w:styleId="CommentReference">
    <w:name w:val="annotation reference"/>
    <w:basedOn w:val="DefaultParagraphFont"/>
    <w:uiPriority w:val="99"/>
    <w:rsid w:val="00CE0FEC"/>
    <w:rPr>
      <w:sz w:val="16"/>
      <w:szCs w:val="16"/>
    </w:rPr>
  </w:style>
  <w:style w:type="paragraph" w:styleId="CommentText">
    <w:name w:val="annotation text"/>
    <w:basedOn w:val="Normal"/>
    <w:link w:val="CommentTextChar"/>
    <w:uiPriority w:val="99"/>
    <w:rsid w:val="00CE0FEC"/>
    <w:rPr>
      <w:sz w:val="20"/>
      <w:szCs w:val="20"/>
    </w:rPr>
  </w:style>
  <w:style w:type="character" w:customStyle="1" w:styleId="CommentTextChar">
    <w:name w:val="Comment Text Char"/>
    <w:basedOn w:val="DefaultParagraphFont"/>
    <w:link w:val="CommentText"/>
    <w:uiPriority w:val="99"/>
    <w:rsid w:val="00CE0FEC"/>
    <w:rPr>
      <w:rFonts w:eastAsia="BatangChe"/>
      <w:lang w:bidi="ar-SA"/>
    </w:rPr>
  </w:style>
  <w:style w:type="paragraph" w:styleId="CommentSubject">
    <w:name w:val="annotation subject"/>
    <w:basedOn w:val="CommentText"/>
    <w:next w:val="CommentText"/>
    <w:link w:val="CommentSubjectChar"/>
    <w:rsid w:val="00CE0FEC"/>
    <w:rPr>
      <w:b/>
      <w:bCs/>
    </w:rPr>
  </w:style>
  <w:style w:type="character" w:customStyle="1" w:styleId="CommentSubjectChar">
    <w:name w:val="Comment Subject Char"/>
    <w:basedOn w:val="CommentTextChar"/>
    <w:link w:val="CommentSubject"/>
    <w:rsid w:val="00CE0FEC"/>
    <w:rPr>
      <w:rFonts w:eastAsia="BatangChe"/>
      <w:b/>
      <w:bCs/>
      <w:lang w:bidi="ar-SA"/>
    </w:rPr>
  </w:style>
  <w:style w:type="character" w:customStyle="1" w:styleId="Heading9Char">
    <w:name w:val="Heading 9 Char"/>
    <w:basedOn w:val="DefaultParagraphFont"/>
    <w:link w:val="Heading9"/>
    <w:uiPriority w:val="99"/>
    <w:rsid w:val="00F64A55"/>
    <w:rPr>
      <w:rFonts w:asciiTheme="majorHAnsi" w:eastAsiaTheme="majorEastAsia" w:hAnsiTheme="majorHAnsi" w:cstheme="majorBidi"/>
      <w:i/>
      <w:iCs/>
      <w:color w:val="404040" w:themeColor="text1" w:themeTint="B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94207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420FE5"/>
    <w:pPr>
      <w:keepNext/>
      <w:keepLines/>
      <w:spacing w:before="200"/>
      <w:outlineLvl w:val="2"/>
    </w:pPr>
    <w:rPr>
      <w:rFonts w:ascii="Cambria" w:eastAsia="Times New Roman" w:hAnsi="Cambria"/>
      <w:b/>
      <w:bCs/>
      <w:color w:val="4F81BD"/>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Normal"/>
    <w:next w:val="Normal"/>
    <w:link w:val="Heading9Char"/>
    <w:uiPriority w:val="99"/>
    <w:unhideWhenUsed/>
    <w:qFormat/>
    <w:rsid w:val="00F64A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Heading2Char">
    <w:name w:val="Heading 2 Char"/>
    <w:link w:val="Heading2"/>
    <w:rsid w:val="0094207C"/>
    <w:rPr>
      <w:rFonts w:ascii="Cambria" w:eastAsia="Times New Roman" w:hAnsi="Cambria"/>
      <w:b/>
      <w:bCs/>
      <w:i/>
      <w:iCs/>
      <w:sz w:val="28"/>
      <w:szCs w:val="28"/>
    </w:rPr>
  </w:style>
  <w:style w:type="paragraph" w:customStyle="1" w:styleId="Tabletext">
    <w:name w:val="Table_text"/>
    <w:basedOn w:val="Normal"/>
    <w:link w:val="TabletextChar"/>
    <w:rsid w:val="0094207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GB"/>
    </w:rPr>
  </w:style>
  <w:style w:type="paragraph" w:customStyle="1" w:styleId="Tablehead">
    <w:name w:val="Table_head"/>
    <w:basedOn w:val="Normal"/>
    <w:next w:val="Tabletext"/>
    <w:link w:val="TableheadChar"/>
    <w:rsid w:val="0094207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PMingLiU"/>
      <w:b/>
      <w:sz w:val="22"/>
      <w:szCs w:val="20"/>
      <w:lang w:val="en-GB"/>
    </w:rPr>
  </w:style>
  <w:style w:type="paragraph" w:customStyle="1" w:styleId="enumlev1">
    <w:name w:val="enumlev1"/>
    <w:basedOn w:val="Normal"/>
    <w:link w:val="enumlev1Char"/>
    <w:rsid w:val="0094207C"/>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PMingLiU"/>
      <w:szCs w:val="20"/>
      <w:lang w:val="en-GB"/>
    </w:rPr>
  </w:style>
  <w:style w:type="paragraph" w:customStyle="1" w:styleId="Tabletitle">
    <w:name w:val="Table_title"/>
    <w:basedOn w:val="Normal"/>
    <w:next w:val="Tabletext"/>
    <w:link w:val="TabletitleChar"/>
    <w:rsid w:val="0094207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PMingLiU" w:hAnsi="Times New Roman Bold"/>
      <w:b/>
      <w:sz w:val="20"/>
      <w:szCs w:val="20"/>
      <w:lang w:val="en-GB"/>
    </w:rPr>
  </w:style>
  <w:style w:type="character" w:customStyle="1" w:styleId="Artdef">
    <w:name w:val="Art_def"/>
    <w:rsid w:val="0094207C"/>
    <w:rPr>
      <w:rFonts w:ascii="Times New Roman" w:hAnsi="Times New Roman"/>
      <w:b/>
    </w:rPr>
  </w:style>
  <w:style w:type="character" w:customStyle="1" w:styleId="Artref">
    <w:name w:val="Art_ref"/>
    <w:rsid w:val="0094207C"/>
  </w:style>
  <w:style w:type="character" w:customStyle="1" w:styleId="Tablefreq">
    <w:name w:val="Table_freq"/>
    <w:rsid w:val="0094207C"/>
    <w:rPr>
      <w:b/>
      <w:color w:val="auto"/>
      <w:sz w:val="20"/>
    </w:rPr>
  </w:style>
  <w:style w:type="paragraph" w:customStyle="1" w:styleId="TableTextS5">
    <w:name w:val="Table_TextS5"/>
    <w:basedOn w:val="Normal"/>
    <w:rsid w:val="0094207C"/>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PMingLiU"/>
      <w:sz w:val="20"/>
      <w:szCs w:val="20"/>
      <w:lang w:val="en-GB"/>
    </w:rPr>
  </w:style>
  <w:style w:type="character" w:styleId="Hyperlink">
    <w:name w:val="Hyperlink"/>
    <w:rsid w:val="0094207C"/>
    <w:rPr>
      <w:color w:val="0000FF"/>
      <w:u w:val="single"/>
    </w:rPr>
  </w:style>
  <w:style w:type="paragraph" w:customStyle="1" w:styleId="Headingi">
    <w:name w:val="Heading_i"/>
    <w:basedOn w:val="Normal"/>
    <w:next w:val="Normal"/>
    <w:rsid w:val="0094207C"/>
    <w:pPr>
      <w:keepNext/>
      <w:tabs>
        <w:tab w:val="left" w:pos="1134"/>
        <w:tab w:val="left" w:pos="1871"/>
        <w:tab w:val="left" w:pos="2268"/>
      </w:tabs>
      <w:overflowPunct w:val="0"/>
      <w:autoSpaceDE w:val="0"/>
      <w:autoSpaceDN w:val="0"/>
      <w:adjustRightInd w:val="0"/>
      <w:spacing w:before="160"/>
      <w:textAlignment w:val="baseline"/>
    </w:pPr>
    <w:rPr>
      <w:rFonts w:ascii="Times" w:eastAsia="PMingLiU" w:hAnsi="Times"/>
      <w:i/>
      <w:szCs w:val="20"/>
      <w:lang w:val="en-GB"/>
    </w:rPr>
  </w:style>
  <w:style w:type="paragraph" w:styleId="ListParagraph">
    <w:name w:val="List Paragraph"/>
    <w:basedOn w:val="Normal"/>
    <w:uiPriority w:val="34"/>
    <w:qFormat/>
    <w:rsid w:val="0094207C"/>
    <w:pPr>
      <w:ind w:leftChars="200" w:left="480"/>
    </w:pPr>
  </w:style>
  <w:style w:type="character" w:customStyle="1" w:styleId="enumlev1Char">
    <w:name w:val="enumlev1 Char"/>
    <w:link w:val="enumlev1"/>
    <w:locked/>
    <w:rsid w:val="0094207C"/>
    <w:rPr>
      <w:rFonts w:eastAsia="PMingLiU"/>
      <w:sz w:val="24"/>
      <w:lang w:val="en-GB"/>
    </w:rPr>
  </w:style>
  <w:style w:type="paragraph" w:customStyle="1" w:styleId="Normalaftertitle">
    <w:name w:val="Normal after title"/>
    <w:basedOn w:val="Normal"/>
    <w:next w:val="Normal"/>
    <w:link w:val="NormalaftertitleChar"/>
    <w:rsid w:val="0094207C"/>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customStyle="1" w:styleId="NormalaftertitleChar">
    <w:name w:val="Normal after title Char"/>
    <w:link w:val="Normalaftertitle"/>
    <w:locked/>
    <w:rsid w:val="0094207C"/>
    <w:rPr>
      <w:rFonts w:eastAsia="Times New Roman"/>
      <w:sz w:val="24"/>
      <w:lang w:val="en-GB"/>
    </w:rPr>
  </w:style>
  <w:style w:type="character" w:customStyle="1" w:styleId="NoteChar">
    <w:name w:val="Note Char"/>
    <w:link w:val="Note"/>
    <w:locked/>
    <w:rsid w:val="0094207C"/>
    <w:rPr>
      <w:rFonts w:eastAsia="BatangChe"/>
      <w:noProof/>
      <w:lang w:eastAsia="ko-KR"/>
    </w:rPr>
  </w:style>
  <w:style w:type="paragraph" w:customStyle="1" w:styleId="Call">
    <w:name w:val="Call"/>
    <w:basedOn w:val="Normal"/>
    <w:next w:val="Normal"/>
    <w:link w:val="CallChar"/>
    <w:rsid w:val="0094207C"/>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character" w:customStyle="1" w:styleId="CallChar">
    <w:name w:val="Call Char"/>
    <w:link w:val="Call"/>
    <w:locked/>
    <w:rsid w:val="0094207C"/>
    <w:rPr>
      <w:rFonts w:eastAsia="Times New Roman"/>
      <w:i/>
      <w:sz w:val="24"/>
      <w:lang w:val="en-GB"/>
    </w:rPr>
  </w:style>
  <w:style w:type="paragraph" w:styleId="BalloonText">
    <w:name w:val="Balloon Text"/>
    <w:basedOn w:val="Normal"/>
    <w:link w:val="BalloonTextChar"/>
    <w:rsid w:val="00490966"/>
    <w:rPr>
      <w:rFonts w:ascii="Tahoma" w:hAnsi="Tahoma"/>
      <w:sz w:val="16"/>
      <w:szCs w:val="16"/>
    </w:rPr>
  </w:style>
  <w:style w:type="character" w:customStyle="1" w:styleId="BalloonTextChar">
    <w:name w:val="Balloon Text Char"/>
    <w:link w:val="BalloonText"/>
    <w:rsid w:val="00490966"/>
    <w:rPr>
      <w:rFonts w:ascii="Tahoma" w:eastAsia="BatangChe" w:hAnsi="Tahoma" w:cs="Tahoma"/>
      <w:sz w:val="16"/>
      <w:szCs w:val="16"/>
    </w:rPr>
  </w:style>
  <w:style w:type="character" w:customStyle="1" w:styleId="Heading3Char">
    <w:name w:val="Heading 3 Char"/>
    <w:link w:val="Heading3"/>
    <w:semiHidden/>
    <w:rsid w:val="00420FE5"/>
    <w:rPr>
      <w:rFonts w:ascii="Cambria" w:eastAsia="Times New Roman" w:hAnsi="Cambria" w:cs="Times New Roman"/>
      <w:b/>
      <w:bCs/>
      <w:color w:val="4F81BD"/>
      <w:sz w:val="24"/>
      <w:szCs w:val="24"/>
    </w:rPr>
  </w:style>
  <w:style w:type="paragraph" w:customStyle="1" w:styleId="TableNo">
    <w:name w:val="Table_No"/>
    <w:basedOn w:val="Normal"/>
    <w:next w:val="Tabletitle"/>
    <w:link w:val="TableNoChar"/>
    <w:uiPriority w:val="99"/>
    <w:rsid w:val="00E829F3"/>
    <w:pPr>
      <w:keepNext/>
      <w:tabs>
        <w:tab w:val="left" w:pos="1134"/>
        <w:tab w:val="left" w:pos="1871"/>
        <w:tab w:val="left" w:pos="2268"/>
      </w:tabs>
      <w:overflowPunct w:val="0"/>
      <w:autoSpaceDE w:val="0"/>
      <w:autoSpaceDN w:val="0"/>
      <w:adjustRightInd w:val="0"/>
      <w:spacing w:before="560" w:after="120"/>
      <w:jc w:val="center"/>
      <w:textAlignment w:val="baseline"/>
    </w:pPr>
    <w:rPr>
      <w:rFonts w:eastAsia="Batang"/>
      <w:caps/>
      <w:sz w:val="20"/>
      <w:szCs w:val="20"/>
      <w:lang w:val="en-GB"/>
    </w:rPr>
  </w:style>
  <w:style w:type="character" w:customStyle="1" w:styleId="TabletitleChar">
    <w:name w:val="Table_title Char"/>
    <w:basedOn w:val="DefaultParagraphFont"/>
    <w:link w:val="Tabletitle"/>
    <w:uiPriority w:val="99"/>
    <w:locked/>
    <w:rsid w:val="00E829F3"/>
    <w:rPr>
      <w:rFonts w:ascii="Times New Roman Bold" w:eastAsia="PMingLiU" w:hAnsi="Times New Roman Bold"/>
      <w:b/>
      <w:lang w:val="en-GB" w:eastAsia="en-US"/>
    </w:rPr>
  </w:style>
  <w:style w:type="character" w:customStyle="1" w:styleId="TabletextChar">
    <w:name w:val="Table_text Char"/>
    <w:link w:val="Tabletext"/>
    <w:locked/>
    <w:rsid w:val="00E829F3"/>
    <w:rPr>
      <w:sz w:val="22"/>
      <w:lang w:val="en-GB" w:eastAsia="en-US"/>
    </w:rPr>
  </w:style>
  <w:style w:type="character" w:customStyle="1" w:styleId="TableheadChar">
    <w:name w:val="Table_head Char"/>
    <w:link w:val="Tablehead"/>
    <w:uiPriority w:val="99"/>
    <w:locked/>
    <w:rsid w:val="00E829F3"/>
    <w:rPr>
      <w:rFonts w:eastAsia="PMingLiU"/>
      <w:b/>
      <w:sz w:val="22"/>
      <w:lang w:val="en-GB" w:eastAsia="en-US"/>
    </w:rPr>
  </w:style>
  <w:style w:type="character" w:customStyle="1" w:styleId="TableNoChar">
    <w:name w:val="Table_No Char"/>
    <w:link w:val="TableNo"/>
    <w:uiPriority w:val="99"/>
    <w:locked/>
    <w:rsid w:val="00E829F3"/>
    <w:rPr>
      <w:caps/>
      <w:lang w:val="en-GB" w:eastAsia="en-US"/>
    </w:rPr>
  </w:style>
  <w:style w:type="character" w:customStyle="1" w:styleId="href">
    <w:name w:val="href"/>
    <w:rsid w:val="00E829F3"/>
  </w:style>
  <w:style w:type="paragraph" w:customStyle="1" w:styleId="Default">
    <w:name w:val="Default"/>
    <w:rsid w:val="003329E4"/>
    <w:pPr>
      <w:widowControl w:val="0"/>
      <w:autoSpaceDE w:val="0"/>
      <w:autoSpaceDN w:val="0"/>
      <w:adjustRightInd w:val="0"/>
    </w:pPr>
    <w:rPr>
      <w:color w:val="000000"/>
      <w:sz w:val="24"/>
      <w:szCs w:val="24"/>
      <w:lang w:eastAsia="ko-KR" w:bidi="ar-SA"/>
    </w:rPr>
  </w:style>
  <w:style w:type="paragraph" w:styleId="Revision">
    <w:name w:val="Revision"/>
    <w:hidden/>
    <w:uiPriority w:val="99"/>
    <w:semiHidden/>
    <w:rsid w:val="000D145A"/>
    <w:rPr>
      <w:rFonts w:eastAsia="BatangChe"/>
      <w:sz w:val="24"/>
      <w:szCs w:val="24"/>
      <w:lang w:bidi="ar-SA"/>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uiPriority w:val="99"/>
    <w:rsid w:val="008C65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C65DB"/>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C65DB"/>
    <w:rPr>
      <w:rFonts w:eastAsia="Times New Roman"/>
      <w:sz w:val="24"/>
      <w:lang w:val="en-GB" w:bidi="ar-SA"/>
    </w:rPr>
  </w:style>
  <w:style w:type="table" w:styleId="TableGrid">
    <w:name w:val="Table Grid"/>
    <w:basedOn w:val="TableNormal"/>
    <w:uiPriority w:val="59"/>
    <w:rsid w:val="008C65DB"/>
    <w:rPr>
      <w:rFonts w:ascii="CG Times" w:eastAsia="Times New Roman" w:hAnsi="CG Times"/>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A366D5"/>
    <w:rPr>
      <w:rFonts w:eastAsia="BatangChe"/>
      <w:b/>
      <w:bCs/>
      <w:kern w:val="2"/>
      <w:lang w:eastAsia="ko-KR" w:bidi="ar-SA"/>
    </w:rPr>
  </w:style>
  <w:style w:type="character" w:customStyle="1" w:styleId="Heading1Char">
    <w:name w:val="Heading 1 Char"/>
    <w:basedOn w:val="DefaultParagraphFont"/>
    <w:link w:val="Heading1"/>
    <w:rsid w:val="00A366D5"/>
    <w:rPr>
      <w:rFonts w:eastAsia="BatangChe"/>
      <w:b/>
      <w:bCs/>
      <w:sz w:val="24"/>
      <w:szCs w:val="24"/>
      <w:u w:val="single"/>
      <w:lang w:bidi="ar-SA"/>
    </w:rPr>
  </w:style>
  <w:style w:type="character" w:styleId="FollowedHyperlink">
    <w:name w:val="FollowedHyperlink"/>
    <w:basedOn w:val="DefaultParagraphFont"/>
    <w:rsid w:val="00A022C8"/>
    <w:rPr>
      <w:color w:val="800080" w:themeColor="followedHyperlink"/>
      <w:u w:val="single"/>
    </w:rPr>
  </w:style>
  <w:style w:type="character" w:styleId="CommentReference">
    <w:name w:val="annotation reference"/>
    <w:basedOn w:val="DefaultParagraphFont"/>
    <w:uiPriority w:val="99"/>
    <w:rsid w:val="00CE0FEC"/>
    <w:rPr>
      <w:sz w:val="16"/>
      <w:szCs w:val="16"/>
    </w:rPr>
  </w:style>
  <w:style w:type="paragraph" w:styleId="CommentText">
    <w:name w:val="annotation text"/>
    <w:basedOn w:val="Normal"/>
    <w:link w:val="CommentTextChar"/>
    <w:uiPriority w:val="99"/>
    <w:rsid w:val="00CE0FEC"/>
    <w:rPr>
      <w:sz w:val="20"/>
      <w:szCs w:val="20"/>
    </w:rPr>
  </w:style>
  <w:style w:type="character" w:customStyle="1" w:styleId="CommentTextChar">
    <w:name w:val="Comment Text Char"/>
    <w:basedOn w:val="DefaultParagraphFont"/>
    <w:link w:val="CommentText"/>
    <w:uiPriority w:val="99"/>
    <w:rsid w:val="00CE0FEC"/>
    <w:rPr>
      <w:rFonts w:eastAsia="BatangChe"/>
      <w:lang w:bidi="ar-SA"/>
    </w:rPr>
  </w:style>
  <w:style w:type="paragraph" w:styleId="CommentSubject">
    <w:name w:val="annotation subject"/>
    <w:basedOn w:val="CommentText"/>
    <w:next w:val="CommentText"/>
    <w:link w:val="CommentSubjectChar"/>
    <w:rsid w:val="00CE0FEC"/>
    <w:rPr>
      <w:b/>
      <w:bCs/>
    </w:rPr>
  </w:style>
  <w:style w:type="character" w:customStyle="1" w:styleId="CommentSubjectChar">
    <w:name w:val="Comment Subject Char"/>
    <w:basedOn w:val="CommentTextChar"/>
    <w:link w:val="CommentSubject"/>
    <w:rsid w:val="00CE0FEC"/>
    <w:rPr>
      <w:rFonts w:eastAsia="BatangChe"/>
      <w:b/>
      <w:bCs/>
      <w:lang w:bidi="ar-SA"/>
    </w:rPr>
  </w:style>
  <w:style w:type="character" w:customStyle="1" w:styleId="Heading9Char">
    <w:name w:val="Heading 9 Char"/>
    <w:basedOn w:val="DefaultParagraphFont"/>
    <w:link w:val="Heading9"/>
    <w:uiPriority w:val="99"/>
    <w:rsid w:val="00F64A55"/>
    <w:rPr>
      <w:rFonts w:asciiTheme="majorHAnsi" w:eastAsiaTheme="majorEastAsia" w:hAnsiTheme="majorHAnsi" w:cstheme="majorBidi"/>
      <w:i/>
      <w:iCs/>
      <w:color w:val="404040" w:themeColor="text1" w:themeTint="BF"/>
      <w:lang w:bidi="ar-SA"/>
    </w:rPr>
  </w:style>
</w:styles>
</file>

<file path=word/webSettings.xml><?xml version="1.0" encoding="utf-8"?>
<w:webSettings xmlns:r="http://schemas.openxmlformats.org/officeDocument/2006/relationships" xmlns:w="http://schemas.openxmlformats.org/wordprocessingml/2006/main">
  <w:divs>
    <w:div w:id="64838855">
      <w:bodyDiv w:val="1"/>
      <w:marLeft w:val="0"/>
      <w:marRight w:val="0"/>
      <w:marTop w:val="0"/>
      <w:marBottom w:val="0"/>
      <w:divBdr>
        <w:top w:val="none" w:sz="0" w:space="0" w:color="auto"/>
        <w:left w:val="none" w:sz="0" w:space="0" w:color="auto"/>
        <w:bottom w:val="none" w:sz="0" w:space="0" w:color="auto"/>
        <w:right w:val="none" w:sz="0" w:space="0" w:color="auto"/>
      </w:divBdr>
    </w:div>
    <w:div w:id="78406467">
      <w:bodyDiv w:val="1"/>
      <w:marLeft w:val="0"/>
      <w:marRight w:val="0"/>
      <w:marTop w:val="0"/>
      <w:marBottom w:val="0"/>
      <w:divBdr>
        <w:top w:val="none" w:sz="0" w:space="0" w:color="auto"/>
        <w:left w:val="none" w:sz="0" w:space="0" w:color="auto"/>
        <w:bottom w:val="none" w:sz="0" w:space="0" w:color="auto"/>
        <w:right w:val="none" w:sz="0" w:space="0" w:color="auto"/>
      </w:divBdr>
    </w:div>
    <w:div w:id="13641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ctacular.com/facts/34%C2%B028'N_69%C2%B011'E" TargetMode="External"/><Relationship Id="rId18" Type="http://schemas.openxmlformats.org/officeDocument/2006/relationships/hyperlink" Target="http://factacular.com/facts/11%C2%B033'N_104%C2%B055'E"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factacular.com/facts/28%C2%B037'N_77%C2%B013'E"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factacular.com/facts/04%C2%B052'N_115%C2%B000'E" TargetMode="Externa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factacular.com/facts/27%C2%B031'N_89%C2%B045'E" TargetMode="External"/><Relationship Id="rId20" Type="http://schemas.openxmlformats.org/officeDocument/2006/relationships/hyperlink" Target="http://factacular.com/facts/18%C2%B006'S_178%C2%B030'E"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pt.int/sites/default/files/Upload-files/AWG/APT-AWG-REP-15-R1-APT_Report_on_Mobile_Freq-Tech-License.docx" TargetMode="External"/><Relationship Id="rId5" Type="http://schemas.openxmlformats.org/officeDocument/2006/relationships/settings" Target="settings.xml"/><Relationship Id="rId15" Type="http://schemas.openxmlformats.org/officeDocument/2006/relationships/hyperlink" Target="http://factacular.com/facts/23%C2%B043'N_90%C2%B026'E" TargetMode="External"/><Relationship Id="rId23" Type="http://schemas.openxmlformats.org/officeDocument/2006/relationships/hyperlink" Target="http://www.apt.int/sites/default/files/Upload-files/AWG/APT-AWG-REP-15-R1-APT_Report_on_Mobile_Freq-Tech-License.docx"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factacular.com/facts/39%C2%B055'N_116%C2%B020'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factacular.com/facts/35%C2%B015'S_149%C2%B008'E" TargetMode="External"/><Relationship Id="rId22" Type="http://schemas.openxmlformats.org/officeDocument/2006/relationships/hyperlink" Target="http://factacular.com/facts/06%C2%B009'S_106%C2%B049'E"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FB5A8-D3A4-4E68-AB23-2C91C0CA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12649</Words>
  <Characters>72101</Characters>
  <Application>Microsoft Office Word</Application>
  <DocSecurity>0</DocSecurity>
  <Lines>600</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AsiaSat</Company>
  <LinksUpToDate>false</LinksUpToDate>
  <CharactersWithSpaces>84581</CharactersWithSpaces>
  <SharedDoc>false</SharedDoc>
  <HLinks>
    <vt:vector size="60" baseType="variant">
      <vt:variant>
        <vt:i4>2621506</vt:i4>
      </vt:variant>
      <vt:variant>
        <vt:i4>27</vt:i4>
      </vt:variant>
      <vt:variant>
        <vt:i4>0</vt:i4>
      </vt:variant>
      <vt:variant>
        <vt:i4>5</vt:i4>
      </vt:variant>
      <vt:variant>
        <vt:lpwstr>http://factacular.com/facts/06%C2%B009'S_106%C2%B049'E</vt:lpwstr>
      </vt:variant>
      <vt:variant>
        <vt:lpwstr/>
      </vt:variant>
      <vt:variant>
        <vt:i4>4980839</vt:i4>
      </vt:variant>
      <vt:variant>
        <vt:i4>24</vt:i4>
      </vt:variant>
      <vt:variant>
        <vt:i4>0</vt:i4>
      </vt:variant>
      <vt:variant>
        <vt:i4>5</vt:i4>
      </vt:variant>
      <vt:variant>
        <vt:lpwstr>http://factacular.com/facts/28%C2%B037'N_77%C2%B013'E</vt:lpwstr>
      </vt:variant>
      <vt:variant>
        <vt:lpwstr/>
      </vt:variant>
      <vt:variant>
        <vt:i4>3014723</vt:i4>
      </vt:variant>
      <vt:variant>
        <vt:i4>21</vt:i4>
      </vt:variant>
      <vt:variant>
        <vt:i4>0</vt:i4>
      </vt:variant>
      <vt:variant>
        <vt:i4>5</vt:i4>
      </vt:variant>
      <vt:variant>
        <vt:lpwstr>http://factacular.com/facts/18%C2%B006'S_178%C2%B030'E</vt:lpwstr>
      </vt:variant>
      <vt:variant>
        <vt:lpwstr/>
      </vt:variant>
      <vt:variant>
        <vt:i4>4128835</vt:i4>
      </vt:variant>
      <vt:variant>
        <vt:i4>18</vt:i4>
      </vt:variant>
      <vt:variant>
        <vt:i4>0</vt:i4>
      </vt:variant>
      <vt:variant>
        <vt:i4>5</vt:i4>
      </vt:variant>
      <vt:variant>
        <vt:lpwstr>http://factacular.com/facts/39%C2%B055'N_116%C2%B020'E</vt:lpwstr>
      </vt:variant>
      <vt:variant>
        <vt:lpwstr/>
      </vt:variant>
      <vt:variant>
        <vt:i4>3539009</vt:i4>
      </vt:variant>
      <vt:variant>
        <vt:i4>15</vt:i4>
      </vt:variant>
      <vt:variant>
        <vt:i4>0</vt:i4>
      </vt:variant>
      <vt:variant>
        <vt:i4>5</vt:i4>
      </vt:variant>
      <vt:variant>
        <vt:lpwstr>http://factacular.com/facts/11%C2%B033'N_104%C2%B055'E</vt:lpwstr>
      </vt:variant>
      <vt:variant>
        <vt:lpwstr/>
      </vt:variant>
      <vt:variant>
        <vt:i4>3539010</vt:i4>
      </vt:variant>
      <vt:variant>
        <vt:i4>12</vt:i4>
      </vt:variant>
      <vt:variant>
        <vt:i4>0</vt:i4>
      </vt:variant>
      <vt:variant>
        <vt:i4>5</vt:i4>
      </vt:variant>
      <vt:variant>
        <vt:lpwstr>http://factacular.com/facts/04%C2%B052'N_115%C2%B000'E</vt:lpwstr>
      </vt:variant>
      <vt:variant>
        <vt:lpwstr/>
      </vt:variant>
      <vt:variant>
        <vt:i4>5177455</vt:i4>
      </vt:variant>
      <vt:variant>
        <vt:i4>9</vt:i4>
      </vt:variant>
      <vt:variant>
        <vt:i4>0</vt:i4>
      </vt:variant>
      <vt:variant>
        <vt:i4>5</vt:i4>
      </vt:variant>
      <vt:variant>
        <vt:lpwstr>http://factacular.com/facts/27%C2%B031'N_89%C2%B045'E</vt:lpwstr>
      </vt:variant>
      <vt:variant>
        <vt:lpwstr/>
      </vt:variant>
      <vt:variant>
        <vt:i4>5111906</vt:i4>
      </vt:variant>
      <vt:variant>
        <vt:i4>6</vt:i4>
      </vt:variant>
      <vt:variant>
        <vt:i4>0</vt:i4>
      </vt:variant>
      <vt:variant>
        <vt:i4>5</vt:i4>
      </vt:variant>
      <vt:variant>
        <vt:lpwstr>http://factacular.com/facts/23%C2%B043'N_90%C2%B026'E</vt:lpwstr>
      </vt:variant>
      <vt:variant>
        <vt:lpwstr/>
      </vt:variant>
      <vt:variant>
        <vt:i4>2687040</vt:i4>
      </vt:variant>
      <vt:variant>
        <vt:i4>3</vt:i4>
      </vt:variant>
      <vt:variant>
        <vt:i4>0</vt:i4>
      </vt:variant>
      <vt:variant>
        <vt:i4>5</vt:i4>
      </vt:variant>
      <vt:variant>
        <vt:lpwstr>http://factacular.com/facts/35%C2%B015'S_149%C2%B008'E</vt:lpwstr>
      </vt:variant>
      <vt:variant>
        <vt:lpwstr/>
      </vt:variant>
      <vt:variant>
        <vt:i4>5111915</vt:i4>
      </vt:variant>
      <vt:variant>
        <vt:i4>0</vt:i4>
      </vt:variant>
      <vt:variant>
        <vt:i4>0</vt:i4>
      </vt:variant>
      <vt:variant>
        <vt:i4>5</vt:i4>
      </vt:variant>
      <vt:variant>
        <vt:lpwstr>http://factacular.com/facts/34%C2%B028'N_69%C2%B011'E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Nyan Win</cp:lastModifiedBy>
  <cp:revision>2</cp:revision>
  <cp:lastPrinted>2014-03-10T11:09:00Z</cp:lastPrinted>
  <dcterms:created xsi:type="dcterms:W3CDTF">2014-04-01T03:16:00Z</dcterms:created>
  <dcterms:modified xsi:type="dcterms:W3CDTF">2014-04-01T03:16:00Z</dcterms:modified>
</cp:coreProperties>
</file>