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A77" w:rsidRPr="00385093" w:rsidRDefault="003D3A77" w:rsidP="003D3A77">
      <w:pPr>
        <w:contextualSpacing/>
      </w:pPr>
    </w:p>
    <w:p w:rsidR="003D3A77" w:rsidRPr="00385093" w:rsidRDefault="003D3A77" w:rsidP="003D3A77">
      <w:pPr>
        <w:jc w:val="center"/>
        <w:rPr>
          <w:b/>
        </w:rPr>
      </w:pPr>
      <w:r w:rsidRPr="00385093">
        <w:rPr>
          <w:b/>
          <w:bCs/>
          <w:noProof/>
        </w:rPr>
        <w:drawing>
          <wp:inline distT="0" distB="0" distL="0" distR="0" wp14:anchorId="36D6BA4C" wp14:editId="66B5B66C">
            <wp:extent cx="845185" cy="733425"/>
            <wp:effectExtent l="19050" t="0" r="0" b="0"/>
            <wp:docPr id="1"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tabs>
          <w:tab w:val="left" w:pos="6585"/>
        </w:tabs>
        <w:rPr>
          <w:b/>
        </w:rPr>
      </w:pPr>
    </w:p>
    <w:p w:rsidR="003D3A77" w:rsidRPr="00385093" w:rsidRDefault="003D3A77" w:rsidP="003D3A77">
      <w:pPr>
        <w:tabs>
          <w:tab w:val="left" w:pos="6585"/>
        </w:tabs>
        <w:rPr>
          <w:b/>
        </w:rPr>
      </w:pPr>
    </w:p>
    <w:p w:rsidR="003D3A77" w:rsidRPr="00385093" w:rsidRDefault="003D3A77" w:rsidP="003D3A77">
      <w:pPr>
        <w:tabs>
          <w:tab w:val="left" w:pos="6585"/>
        </w:tabs>
        <w:rPr>
          <w:b/>
        </w:rPr>
      </w:pPr>
    </w:p>
    <w:p w:rsidR="003D3A77" w:rsidRPr="00385093" w:rsidRDefault="003D3A77" w:rsidP="003D3A77">
      <w:pPr>
        <w:tabs>
          <w:tab w:val="left" w:pos="6585"/>
        </w:tabs>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bCs/>
          <w:caps/>
          <w:lang w:eastAsia="ja-JP"/>
        </w:rPr>
      </w:pPr>
      <w:r w:rsidRPr="00385093">
        <w:rPr>
          <w:b/>
          <w:bCs/>
          <w:caps/>
          <w:lang w:eastAsia="ja-JP"/>
        </w:rPr>
        <w:t xml:space="preserve">APT REPORT ON </w:t>
      </w:r>
    </w:p>
    <w:p w:rsidR="003D3A77" w:rsidRPr="00385093" w:rsidRDefault="003D3A77" w:rsidP="003D3A77">
      <w:pPr>
        <w:jc w:val="center"/>
        <w:rPr>
          <w:b/>
          <w:bCs/>
          <w:caps/>
          <w:lang w:val="en-GB"/>
        </w:rPr>
      </w:pPr>
    </w:p>
    <w:p w:rsidR="003D3A77" w:rsidRPr="00385093" w:rsidRDefault="003D3A77" w:rsidP="003D3A77">
      <w:pPr>
        <w:jc w:val="center"/>
        <w:outlineLvl w:val="0"/>
        <w:rPr>
          <w:b/>
          <w:bCs/>
          <w:caps/>
        </w:rPr>
      </w:pPr>
      <w:r w:rsidRPr="00D972F3">
        <w:rPr>
          <w:b/>
          <w:bCs/>
          <w:caps/>
        </w:rPr>
        <w:t>FREQUENCY RANGES USED FOR NON-BEAM WPT FOR ELECTRIC VEHICLES</w:t>
      </w:r>
    </w:p>
    <w:p w:rsidR="003D3A77" w:rsidRPr="00385093" w:rsidRDefault="003D3A77" w:rsidP="003D3A77">
      <w:pPr>
        <w:jc w:val="center"/>
        <w:outlineLvl w:val="0"/>
        <w:rPr>
          <w:b/>
        </w:rPr>
      </w:pPr>
    </w:p>
    <w:p w:rsidR="003D3A77" w:rsidRPr="00385093" w:rsidRDefault="003D3A77" w:rsidP="003D3A77">
      <w:pPr>
        <w:jc w:val="center"/>
        <w:rPr>
          <w:rFonts w:eastAsia="MS Mincho"/>
          <w:b/>
          <w:lang w:eastAsia="ja-JP"/>
        </w:rPr>
      </w:pPr>
      <w:r w:rsidRPr="00385093">
        <w:rPr>
          <w:b/>
        </w:rPr>
        <w:t>No.</w:t>
      </w:r>
      <w:r>
        <w:rPr>
          <w:b/>
        </w:rPr>
        <w:t xml:space="preserve"> APT/AWG/REP-76</w:t>
      </w:r>
      <w:r w:rsidRPr="00385093">
        <w:rPr>
          <w:b/>
        </w:rPr>
        <w:br/>
        <w:t>Edition: September 201</w:t>
      </w:r>
      <w:r w:rsidRPr="00385093">
        <w:rPr>
          <w:rFonts w:eastAsia="MS Mincho" w:hint="eastAsia"/>
          <w:b/>
          <w:lang w:eastAsia="ja-JP"/>
        </w:rPr>
        <w:t>7</w:t>
      </w: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p>
    <w:p w:rsidR="003D3A77" w:rsidRPr="00385093" w:rsidRDefault="003D3A77" w:rsidP="003D3A77">
      <w:pPr>
        <w:jc w:val="center"/>
        <w:rPr>
          <w:b/>
        </w:rPr>
      </w:pPr>
      <w:r w:rsidRPr="00385093">
        <w:rPr>
          <w:b/>
        </w:rPr>
        <w:t>Adopted by</w:t>
      </w:r>
    </w:p>
    <w:p w:rsidR="003D3A77" w:rsidRPr="00385093" w:rsidRDefault="003D3A77" w:rsidP="003D3A77">
      <w:pPr>
        <w:jc w:val="center"/>
        <w:rPr>
          <w:b/>
        </w:rPr>
      </w:pPr>
    </w:p>
    <w:p w:rsidR="003D3A77" w:rsidRPr="00385093" w:rsidRDefault="003D3A77" w:rsidP="003D3A77">
      <w:pPr>
        <w:jc w:val="center"/>
        <w:rPr>
          <w:b/>
        </w:rPr>
      </w:pPr>
      <w:r w:rsidRPr="00385093">
        <w:rPr>
          <w:b/>
        </w:rPr>
        <w:t>22nd Meeting of APT Wireless Group</w:t>
      </w:r>
      <w:r w:rsidRPr="00385093">
        <w:rPr>
          <w:b/>
        </w:rPr>
        <w:br/>
        <w:t xml:space="preserve">25 – 29 September 2017 </w:t>
      </w:r>
      <w:r w:rsidRPr="00385093">
        <w:rPr>
          <w:b/>
        </w:rPr>
        <w:br/>
        <w:t>Busan, Republic of Korea</w:t>
      </w:r>
    </w:p>
    <w:p w:rsidR="003D3A77" w:rsidRPr="00385093" w:rsidRDefault="003D3A77" w:rsidP="003D3A77">
      <w:pPr>
        <w:jc w:val="center"/>
        <w:rPr>
          <w:b/>
        </w:rPr>
      </w:pPr>
    </w:p>
    <w:p w:rsidR="003D3A77" w:rsidRPr="00385093" w:rsidRDefault="003D3A77" w:rsidP="003D3A77">
      <w:pPr>
        <w:jc w:val="center"/>
        <w:rPr>
          <w:b/>
        </w:rPr>
      </w:pPr>
      <w:r w:rsidRPr="00385093">
        <w:rPr>
          <w:b/>
          <w:i/>
          <w:iCs/>
        </w:rPr>
        <w:t>(Source: AWG-22/OUT-</w:t>
      </w:r>
      <w:r>
        <w:rPr>
          <w:b/>
          <w:i/>
          <w:iCs/>
        </w:rPr>
        <w:t>11</w:t>
      </w:r>
      <w:r w:rsidRPr="00385093">
        <w:rPr>
          <w:b/>
          <w:i/>
          <w:iCs/>
        </w:rPr>
        <w:t>)</w:t>
      </w:r>
    </w:p>
    <w:p w:rsidR="003D3A77" w:rsidRPr="00385093" w:rsidRDefault="003D3A77" w:rsidP="003D3A77"/>
    <w:p w:rsidR="003D3A77" w:rsidRDefault="003D3A77" w:rsidP="003D3A77">
      <w:pPr>
        <w:tabs>
          <w:tab w:val="center" w:pos="4657"/>
          <w:tab w:val="left" w:pos="6555"/>
        </w:tabs>
        <w:rPr>
          <w:b/>
          <w:color w:val="000000"/>
        </w:rPr>
      </w:pPr>
      <w:r w:rsidRPr="00385093">
        <w:rPr>
          <w:b/>
          <w:color w:val="000000"/>
        </w:rPr>
        <w:tab/>
      </w:r>
    </w:p>
    <w:p w:rsidR="003D3A77" w:rsidRDefault="003D3A77" w:rsidP="003D3A77">
      <w:pPr>
        <w:tabs>
          <w:tab w:val="left" w:pos="6180"/>
        </w:tabs>
        <w:rPr>
          <w:b/>
          <w:color w:val="000000"/>
        </w:rPr>
      </w:pPr>
      <w:r>
        <w:rPr>
          <w:b/>
          <w:color w:val="000000"/>
        </w:rPr>
        <w:tab/>
      </w:r>
    </w:p>
    <w:p w:rsidR="003D3A77" w:rsidRPr="00385093" w:rsidRDefault="003D3A77" w:rsidP="003D3A77">
      <w:pPr>
        <w:tabs>
          <w:tab w:val="center" w:pos="4657"/>
          <w:tab w:val="left" w:pos="6555"/>
        </w:tabs>
        <w:rPr>
          <w:b/>
          <w:color w:val="000000"/>
        </w:rPr>
      </w:pPr>
    </w:p>
    <w:p w:rsidR="003D3A77" w:rsidRDefault="003D3A77" w:rsidP="003D3A77">
      <w:pPr>
        <w:tabs>
          <w:tab w:val="center" w:pos="4657"/>
          <w:tab w:val="left" w:pos="6555"/>
        </w:tabs>
        <w:rPr>
          <w:b/>
          <w:lang w:val="en-GB"/>
        </w:rPr>
      </w:pPr>
    </w:p>
    <w:p w:rsidR="003D3A77" w:rsidRDefault="003D3A77" w:rsidP="003D3A77">
      <w:pPr>
        <w:tabs>
          <w:tab w:val="center" w:pos="4657"/>
          <w:tab w:val="left" w:pos="6555"/>
        </w:tabs>
        <w:rPr>
          <w:b/>
          <w:lang w:val="en-GB"/>
        </w:rPr>
      </w:pPr>
    </w:p>
    <w:p w:rsidR="003D3A77" w:rsidRDefault="003D3A77" w:rsidP="003D3A77">
      <w:pPr>
        <w:tabs>
          <w:tab w:val="center" w:pos="4657"/>
          <w:tab w:val="left" w:pos="6555"/>
        </w:tabs>
        <w:rPr>
          <w:b/>
          <w:lang w:val="en-GB"/>
        </w:rPr>
      </w:pPr>
    </w:p>
    <w:p w:rsidR="003D3A77" w:rsidRDefault="003D3A77" w:rsidP="003D3A77">
      <w:pPr>
        <w:tabs>
          <w:tab w:val="center" w:pos="4657"/>
          <w:tab w:val="left" w:pos="6555"/>
        </w:tabs>
        <w:rPr>
          <w:b/>
          <w:lang w:val="en-GB"/>
        </w:rPr>
      </w:pPr>
    </w:p>
    <w:p w:rsidR="003D3A77" w:rsidRDefault="003D3A77" w:rsidP="003D3A77">
      <w:pPr>
        <w:tabs>
          <w:tab w:val="center" w:pos="4657"/>
          <w:tab w:val="left" w:pos="6555"/>
        </w:tabs>
        <w:rPr>
          <w:b/>
          <w:lang w:val="en-GB"/>
        </w:rPr>
      </w:pPr>
    </w:p>
    <w:p w:rsidR="003D3A77" w:rsidRDefault="003D3A77" w:rsidP="003D3A77">
      <w:pPr>
        <w:tabs>
          <w:tab w:val="center" w:pos="4657"/>
          <w:tab w:val="left" w:pos="6555"/>
        </w:tabs>
        <w:rPr>
          <w:b/>
          <w:lang w:val="en-GB"/>
        </w:rPr>
      </w:pPr>
    </w:p>
    <w:p w:rsidR="003D3A77" w:rsidRPr="00385093" w:rsidRDefault="003D3A77" w:rsidP="003D3A77">
      <w:pPr>
        <w:tabs>
          <w:tab w:val="center" w:pos="4657"/>
          <w:tab w:val="left" w:pos="6555"/>
        </w:tabs>
        <w:rPr>
          <w:b/>
          <w:lang w:val="en-GB"/>
        </w:rPr>
      </w:pPr>
    </w:p>
    <w:p w:rsidR="003D3A77" w:rsidRDefault="003D3A77" w:rsidP="005D267F">
      <w:pPr>
        <w:jc w:val="center"/>
        <w:rPr>
          <w:b/>
          <w:bCs/>
          <w:caps/>
        </w:rPr>
      </w:pPr>
    </w:p>
    <w:p w:rsidR="00004EC8" w:rsidRPr="00D972F3" w:rsidRDefault="009662EC" w:rsidP="005D267F">
      <w:pPr>
        <w:jc w:val="center"/>
        <w:rPr>
          <w:b/>
          <w:bCs/>
          <w:caps/>
        </w:rPr>
      </w:pPr>
      <w:r w:rsidRPr="00D972F3">
        <w:rPr>
          <w:b/>
          <w:bCs/>
          <w:caps/>
        </w:rPr>
        <w:lastRenderedPageBreak/>
        <w:t xml:space="preserve">APT </w:t>
      </w:r>
      <w:r w:rsidR="005D267F" w:rsidRPr="00D972F3">
        <w:rPr>
          <w:b/>
          <w:bCs/>
          <w:caps/>
        </w:rPr>
        <w:t>REPOrt ON FREQUENCY RANGES USED FOR NON-BEAM WPT FOR ELECTRIC VEHICLES</w:t>
      </w:r>
      <w:r w:rsidR="005D267F" w:rsidRPr="00D972F3" w:rsidDel="005D267F">
        <w:rPr>
          <w:rFonts w:hint="eastAsia"/>
          <w:b/>
          <w:bCs/>
          <w:caps/>
        </w:rPr>
        <w:t xml:space="preserve"> </w:t>
      </w:r>
    </w:p>
    <w:p w:rsidR="00004EC8" w:rsidRPr="00077288" w:rsidRDefault="00004EC8">
      <w:pPr>
        <w:jc w:val="center"/>
        <w:rPr>
          <w:b/>
          <w:bCs/>
          <w:caps/>
          <w:sz w:val="28"/>
          <w:szCs w:val="28"/>
        </w:rPr>
      </w:pPr>
    </w:p>
    <w:p w:rsidR="005D267F" w:rsidRPr="003D65A7" w:rsidRDefault="005D267F" w:rsidP="00077288">
      <w:pPr>
        <w:rPr>
          <w:rFonts w:eastAsia="Malgun Gothic"/>
          <w:b/>
          <w:szCs w:val="20"/>
          <w:lang w:eastAsia="ko-KR"/>
        </w:rPr>
      </w:pPr>
    </w:p>
    <w:p w:rsidR="005D267F" w:rsidRDefault="005D267F" w:rsidP="005D267F">
      <w:r>
        <w:t>Contents</w:t>
      </w:r>
    </w:p>
    <w:p w:rsidR="005D267F" w:rsidRPr="005D267F" w:rsidRDefault="005D267F" w:rsidP="005D267F">
      <w:pPr>
        <w:pStyle w:val="TOC1"/>
        <w:tabs>
          <w:tab w:val="right" w:leader="dot" w:pos="9307"/>
        </w:tabs>
        <w:rPr>
          <w:rFonts w:ascii="Calibri" w:eastAsia="SimSun" w:hAnsi="Calibri"/>
          <w:b/>
          <w:caps/>
          <w:noProof/>
          <w:kern w:val="2"/>
          <w:sz w:val="21"/>
          <w:szCs w:val="22"/>
          <w:lang w:eastAsia="ja-JP"/>
        </w:rPr>
      </w:pPr>
      <w:r>
        <w:rPr>
          <w:rFonts w:cs="Angsana New"/>
          <w:caps/>
          <w:sz w:val="20"/>
          <w:szCs w:val="20"/>
          <w:lang w:val="en-GB" w:eastAsia="ko-KR"/>
        </w:rPr>
        <w:fldChar w:fldCharType="begin"/>
      </w:r>
      <w:r>
        <w:instrText xml:space="preserve"> TOC \o "1-3" \h \z \u </w:instrText>
      </w:r>
      <w:r>
        <w:rPr>
          <w:rFonts w:cs="Angsana New"/>
          <w:caps/>
          <w:sz w:val="20"/>
          <w:szCs w:val="20"/>
          <w:lang w:val="en-GB" w:eastAsia="ko-KR"/>
        </w:rPr>
        <w:fldChar w:fldCharType="separate"/>
      </w:r>
      <w:hyperlink w:anchor="_Toc494297278" w:history="1">
        <w:r w:rsidRPr="00EB3C7D">
          <w:rPr>
            <w:rStyle w:val="Hyperlink"/>
            <w:noProof/>
          </w:rPr>
          <w:t>1. Introduction</w:t>
        </w:r>
        <w:r>
          <w:rPr>
            <w:noProof/>
            <w:webHidden/>
          </w:rPr>
          <w:tab/>
        </w:r>
        <w:r>
          <w:rPr>
            <w:noProof/>
            <w:webHidden/>
          </w:rPr>
          <w:fldChar w:fldCharType="begin"/>
        </w:r>
        <w:r>
          <w:rPr>
            <w:noProof/>
            <w:webHidden/>
          </w:rPr>
          <w:instrText xml:space="preserve"> PAGEREF _Toc494297278 \h </w:instrText>
        </w:r>
        <w:r>
          <w:rPr>
            <w:noProof/>
            <w:webHidden/>
          </w:rPr>
        </w:r>
        <w:r>
          <w:rPr>
            <w:noProof/>
            <w:webHidden/>
          </w:rPr>
          <w:fldChar w:fldCharType="separate"/>
        </w:r>
        <w:r>
          <w:rPr>
            <w:noProof/>
            <w:webHidden/>
          </w:rPr>
          <w:t>3</w:t>
        </w:r>
        <w:r>
          <w:rPr>
            <w:noProof/>
            <w:webHidden/>
          </w:rPr>
          <w:fldChar w:fldCharType="end"/>
        </w:r>
      </w:hyperlink>
    </w:p>
    <w:p w:rsidR="005D267F" w:rsidRPr="005D267F" w:rsidRDefault="00036B40" w:rsidP="005D267F">
      <w:pPr>
        <w:pStyle w:val="TOC1"/>
        <w:tabs>
          <w:tab w:val="right" w:leader="dot" w:pos="9307"/>
        </w:tabs>
        <w:rPr>
          <w:rFonts w:ascii="Calibri" w:eastAsia="SimSun" w:hAnsi="Calibri"/>
          <w:b/>
          <w:caps/>
          <w:noProof/>
          <w:kern w:val="2"/>
          <w:sz w:val="21"/>
          <w:szCs w:val="22"/>
          <w:lang w:eastAsia="ja-JP"/>
        </w:rPr>
      </w:pPr>
      <w:hyperlink w:anchor="_Toc494297279" w:history="1">
        <w:r w:rsidR="005D267F" w:rsidRPr="00EB3C7D">
          <w:rPr>
            <w:rStyle w:val="Hyperlink"/>
            <w:noProof/>
          </w:rPr>
          <w:t>2. EV applications and technologies</w:t>
        </w:r>
        <w:r w:rsidR="005D267F">
          <w:rPr>
            <w:noProof/>
            <w:webHidden/>
          </w:rPr>
          <w:tab/>
        </w:r>
        <w:r w:rsidR="005D267F">
          <w:rPr>
            <w:noProof/>
            <w:webHidden/>
          </w:rPr>
          <w:fldChar w:fldCharType="begin"/>
        </w:r>
        <w:r w:rsidR="005D267F">
          <w:rPr>
            <w:noProof/>
            <w:webHidden/>
          </w:rPr>
          <w:instrText xml:space="preserve"> PAGEREF _Toc494297279 \h </w:instrText>
        </w:r>
        <w:r w:rsidR="005D267F">
          <w:rPr>
            <w:noProof/>
            <w:webHidden/>
          </w:rPr>
        </w:r>
        <w:r w:rsidR="005D267F">
          <w:rPr>
            <w:noProof/>
            <w:webHidden/>
          </w:rPr>
          <w:fldChar w:fldCharType="separate"/>
        </w:r>
        <w:r w:rsidR="005D267F">
          <w:rPr>
            <w:noProof/>
            <w:webHidden/>
          </w:rPr>
          <w:t>3</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80" w:history="1">
        <w:r w:rsidR="005D267F" w:rsidRPr="00EB3C7D">
          <w:rPr>
            <w:rStyle w:val="Hyperlink"/>
            <w:noProof/>
          </w:rPr>
          <w:t>2.1 Passenger vehicles</w:t>
        </w:r>
        <w:r w:rsidR="005D267F">
          <w:rPr>
            <w:noProof/>
            <w:webHidden/>
          </w:rPr>
          <w:tab/>
        </w:r>
        <w:r w:rsidR="005D267F">
          <w:rPr>
            <w:noProof/>
            <w:webHidden/>
          </w:rPr>
          <w:fldChar w:fldCharType="begin"/>
        </w:r>
        <w:r w:rsidR="005D267F">
          <w:rPr>
            <w:noProof/>
            <w:webHidden/>
          </w:rPr>
          <w:instrText xml:space="preserve"> PAGEREF _Toc494297280 \h </w:instrText>
        </w:r>
        <w:r w:rsidR="005D267F">
          <w:rPr>
            <w:noProof/>
            <w:webHidden/>
          </w:rPr>
        </w:r>
        <w:r w:rsidR="005D267F">
          <w:rPr>
            <w:noProof/>
            <w:webHidden/>
          </w:rPr>
          <w:fldChar w:fldCharType="separate"/>
        </w:r>
        <w:r w:rsidR="005D267F">
          <w:rPr>
            <w:noProof/>
            <w:webHidden/>
          </w:rPr>
          <w:t>3</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81" w:history="1">
        <w:r w:rsidR="005D267F" w:rsidRPr="00EB3C7D">
          <w:rPr>
            <w:rStyle w:val="Hyperlink"/>
            <w:noProof/>
          </w:rPr>
          <w:t>2.2 Buses and trucks</w:t>
        </w:r>
        <w:r w:rsidR="005D267F">
          <w:rPr>
            <w:noProof/>
            <w:webHidden/>
          </w:rPr>
          <w:tab/>
        </w:r>
        <w:r w:rsidR="005D267F">
          <w:rPr>
            <w:noProof/>
            <w:webHidden/>
          </w:rPr>
          <w:fldChar w:fldCharType="begin"/>
        </w:r>
        <w:r w:rsidR="005D267F">
          <w:rPr>
            <w:noProof/>
            <w:webHidden/>
          </w:rPr>
          <w:instrText xml:space="preserve"> PAGEREF _Toc494297281 \h </w:instrText>
        </w:r>
        <w:r w:rsidR="005D267F">
          <w:rPr>
            <w:noProof/>
            <w:webHidden/>
          </w:rPr>
        </w:r>
        <w:r w:rsidR="005D267F">
          <w:rPr>
            <w:noProof/>
            <w:webHidden/>
          </w:rPr>
          <w:fldChar w:fldCharType="separate"/>
        </w:r>
        <w:r w:rsidR="005D267F">
          <w:rPr>
            <w:noProof/>
            <w:webHidden/>
          </w:rPr>
          <w:t>5</w:t>
        </w:r>
        <w:r w:rsidR="005D267F">
          <w:rPr>
            <w:noProof/>
            <w:webHidden/>
          </w:rPr>
          <w:fldChar w:fldCharType="end"/>
        </w:r>
      </w:hyperlink>
    </w:p>
    <w:p w:rsidR="005D267F" w:rsidRPr="005D267F" w:rsidRDefault="00036B40" w:rsidP="005D267F">
      <w:pPr>
        <w:pStyle w:val="TOC1"/>
        <w:tabs>
          <w:tab w:val="right" w:leader="dot" w:pos="9307"/>
        </w:tabs>
        <w:rPr>
          <w:rFonts w:ascii="Calibri" w:eastAsia="SimSun" w:hAnsi="Calibri"/>
          <w:b/>
          <w:caps/>
          <w:noProof/>
          <w:kern w:val="2"/>
          <w:sz w:val="21"/>
          <w:szCs w:val="22"/>
          <w:lang w:eastAsia="ja-JP"/>
        </w:rPr>
      </w:pPr>
      <w:hyperlink w:anchor="_Toc494297282" w:history="1">
        <w:r w:rsidR="005D267F" w:rsidRPr="00EB3C7D">
          <w:rPr>
            <w:rStyle w:val="Hyperlink"/>
            <w:noProof/>
          </w:rPr>
          <w:t>3. Standardization status</w:t>
        </w:r>
        <w:r w:rsidR="005D267F">
          <w:rPr>
            <w:noProof/>
            <w:webHidden/>
          </w:rPr>
          <w:tab/>
        </w:r>
        <w:r w:rsidR="005D267F">
          <w:rPr>
            <w:noProof/>
            <w:webHidden/>
          </w:rPr>
          <w:fldChar w:fldCharType="begin"/>
        </w:r>
        <w:r w:rsidR="005D267F">
          <w:rPr>
            <w:noProof/>
            <w:webHidden/>
          </w:rPr>
          <w:instrText xml:space="preserve"> PAGEREF _Toc494297282 \h </w:instrText>
        </w:r>
        <w:r w:rsidR="005D267F">
          <w:rPr>
            <w:noProof/>
            <w:webHidden/>
          </w:rPr>
        </w:r>
        <w:r w:rsidR="005D267F">
          <w:rPr>
            <w:noProof/>
            <w:webHidden/>
          </w:rPr>
          <w:fldChar w:fldCharType="separate"/>
        </w:r>
        <w:r w:rsidR="005D267F">
          <w:rPr>
            <w:noProof/>
            <w:webHidden/>
          </w:rPr>
          <w:t>6</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83" w:history="1">
        <w:r w:rsidR="005D267F" w:rsidRPr="00EB3C7D">
          <w:rPr>
            <w:rStyle w:val="Hyperlink"/>
            <w:rFonts w:eastAsia="MS Mincho"/>
            <w:noProof/>
            <w:lang w:eastAsia="ja-JP"/>
          </w:rPr>
          <w:t>3.1</w:t>
        </w:r>
        <w:r w:rsidR="005D267F" w:rsidRPr="00EB3C7D">
          <w:rPr>
            <w:rStyle w:val="Hyperlink"/>
            <w:noProof/>
          </w:rPr>
          <w:t xml:space="preserve"> APT countries</w:t>
        </w:r>
        <w:r w:rsidR="005D267F">
          <w:rPr>
            <w:noProof/>
            <w:webHidden/>
          </w:rPr>
          <w:tab/>
        </w:r>
        <w:r w:rsidR="005D267F">
          <w:rPr>
            <w:noProof/>
            <w:webHidden/>
          </w:rPr>
          <w:fldChar w:fldCharType="begin"/>
        </w:r>
        <w:r w:rsidR="005D267F">
          <w:rPr>
            <w:noProof/>
            <w:webHidden/>
          </w:rPr>
          <w:instrText xml:space="preserve"> PAGEREF _Toc494297283 \h </w:instrText>
        </w:r>
        <w:r w:rsidR="005D267F">
          <w:rPr>
            <w:noProof/>
            <w:webHidden/>
          </w:rPr>
        </w:r>
        <w:r w:rsidR="005D267F">
          <w:rPr>
            <w:noProof/>
            <w:webHidden/>
          </w:rPr>
          <w:fldChar w:fldCharType="separate"/>
        </w:r>
        <w:r w:rsidR="005D267F">
          <w:rPr>
            <w:noProof/>
            <w:webHidden/>
          </w:rPr>
          <w:t>6</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84" w:history="1">
        <w:r w:rsidR="005D267F" w:rsidRPr="00EB3C7D">
          <w:rPr>
            <w:rStyle w:val="Hyperlink"/>
            <w:noProof/>
          </w:rPr>
          <w:t>3.1.1 China</w:t>
        </w:r>
        <w:r w:rsidR="005D267F">
          <w:rPr>
            <w:noProof/>
            <w:webHidden/>
          </w:rPr>
          <w:tab/>
        </w:r>
        <w:r w:rsidR="005D267F">
          <w:rPr>
            <w:noProof/>
            <w:webHidden/>
          </w:rPr>
          <w:fldChar w:fldCharType="begin"/>
        </w:r>
        <w:r w:rsidR="005D267F">
          <w:rPr>
            <w:noProof/>
            <w:webHidden/>
          </w:rPr>
          <w:instrText xml:space="preserve"> PAGEREF _Toc494297284 \h </w:instrText>
        </w:r>
        <w:r w:rsidR="005D267F">
          <w:rPr>
            <w:noProof/>
            <w:webHidden/>
          </w:rPr>
        </w:r>
        <w:r w:rsidR="005D267F">
          <w:rPr>
            <w:noProof/>
            <w:webHidden/>
          </w:rPr>
          <w:fldChar w:fldCharType="separate"/>
        </w:r>
        <w:r w:rsidR="005D267F">
          <w:rPr>
            <w:noProof/>
            <w:webHidden/>
          </w:rPr>
          <w:t>6</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85" w:history="1">
        <w:r w:rsidR="005D267F" w:rsidRPr="00EB3C7D">
          <w:rPr>
            <w:rStyle w:val="Hyperlink"/>
            <w:noProof/>
          </w:rPr>
          <w:t>3.1.2 Japan</w:t>
        </w:r>
        <w:r w:rsidR="005D267F">
          <w:rPr>
            <w:noProof/>
            <w:webHidden/>
          </w:rPr>
          <w:tab/>
        </w:r>
        <w:r w:rsidR="005D267F">
          <w:rPr>
            <w:noProof/>
            <w:webHidden/>
          </w:rPr>
          <w:fldChar w:fldCharType="begin"/>
        </w:r>
        <w:r w:rsidR="005D267F">
          <w:rPr>
            <w:noProof/>
            <w:webHidden/>
          </w:rPr>
          <w:instrText xml:space="preserve"> PAGEREF _Toc494297285 \h </w:instrText>
        </w:r>
        <w:r w:rsidR="005D267F">
          <w:rPr>
            <w:noProof/>
            <w:webHidden/>
          </w:rPr>
        </w:r>
        <w:r w:rsidR="005D267F">
          <w:rPr>
            <w:noProof/>
            <w:webHidden/>
          </w:rPr>
          <w:fldChar w:fldCharType="separate"/>
        </w:r>
        <w:r w:rsidR="005D267F">
          <w:rPr>
            <w:noProof/>
            <w:webHidden/>
          </w:rPr>
          <w:t>7</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86" w:history="1">
        <w:r w:rsidR="005D267F" w:rsidRPr="00EB3C7D">
          <w:rPr>
            <w:rStyle w:val="Hyperlink"/>
            <w:noProof/>
          </w:rPr>
          <w:t>3.1.3 Korea</w:t>
        </w:r>
        <w:r w:rsidR="005D267F">
          <w:rPr>
            <w:noProof/>
            <w:webHidden/>
          </w:rPr>
          <w:tab/>
        </w:r>
        <w:r w:rsidR="005D267F">
          <w:rPr>
            <w:noProof/>
            <w:webHidden/>
          </w:rPr>
          <w:fldChar w:fldCharType="begin"/>
        </w:r>
        <w:r w:rsidR="005D267F">
          <w:rPr>
            <w:noProof/>
            <w:webHidden/>
          </w:rPr>
          <w:instrText xml:space="preserve"> PAGEREF _Toc494297286 \h </w:instrText>
        </w:r>
        <w:r w:rsidR="005D267F">
          <w:rPr>
            <w:noProof/>
            <w:webHidden/>
          </w:rPr>
        </w:r>
        <w:r w:rsidR="005D267F">
          <w:rPr>
            <w:noProof/>
            <w:webHidden/>
          </w:rPr>
          <w:fldChar w:fldCharType="separate"/>
        </w:r>
        <w:r w:rsidR="005D267F">
          <w:rPr>
            <w:noProof/>
            <w:webHidden/>
          </w:rPr>
          <w:t>8</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87" w:history="1">
        <w:r w:rsidR="005D267F" w:rsidRPr="00EB3C7D">
          <w:rPr>
            <w:rStyle w:val="Hyperlink"/>
            <w:noProof/>
          </w:rPr>
          <w:t>3.2 IEC CISPR</w:t>
        </w:r>
        <w:r w:rsidR="005D267F">
          <w:rPr>
            <w:noProof/>
            <w:webHidden/>
          </w:rPr>
          <w:tab/>
        </w:r>
        <w:r w:rsidR="005D267F">
          <w:rPr>
            <w:noProof/>
            <w:webHidden/>
          </w:rPr>
          <w:fldChar w:fldCharType="begin"/>
        </w:r>
        <w:r w:rsidR="005D267F">
          <w:rPr>
            <w:noProof/>
            <w:webHidden/>
          </w:rPr>
          <w:instrText xml:space="preserve"> PAGEREF _Toc494297287 \h </w:instrText>
        </w:r>
        <w:r w:rsidR="005D267F">
          <w:rPr>
            <w:noProof/>
            <w:webHidden/>
          </w:rPr>
        </w:r>
        <w:r w:rsidR="005D267F">
          <w:rPr>
            <w:noProof/>
            <w:webHidden/>
          </w:rPr>
          <w:fldChar w:fldCharType="separate"/>
        </w:r>
        <w:r w:rsidR="005D267F">
          <w:rPr>
            <w:noProof/>
            <w:webHidden/>
          </w:rPr>
          <w:t>8</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88" w:history="1">
        <w:r w:rsidR="005D267F" w:rsidRPr="00EB3C7D">
          <w:rPr>
            <w:rStyle w:val="Hyperlink"/>
            <w:noProof/>
          </w:rPr>
          <w:t xml:space="preserve">3.3 Other global/regional orgs (e.g., IEC/ISO, SAE, ETSI, </w:t>
        </w:r>
        <w:r w:rsidR="005D267F" w:rsidRPr="00EB3C7D">
          <w:rPr>
            <w:rStyle w:val="Hyperlink"/>
            <w:rFonts w:hint="cs"/>
            <w:noProof/>
          </w:rPr>
          <w:t>…</w:t>
        </w:r>
        <w:r w:rsidR="005D267F" w:rsidRPr="00EB3C7D">
          <w:rPr>
            <w:rStyle w:val="Hyperlink"/>
            <w:noProof/>
          </w:rPr>
          <w:t>)</w:t>
        </w:r>
        <w:r w:rsidR="005D267F">
          <w:rPr>
            <w:noProof/>
            <w:webHidden/>
          </w:rPr>
          <w:tab/>
        </w:r>
        <w:r w:rsidR="005D267F">
          <w:rPr>
            <w:noProof/>
            <w:webHidden/>
          </w:rPr>
          <w:fldChar w:fldCharType="begin"/>
        </w:r>
        <w:r w:rsidR="005D267F">
          <w:rPr>
            <w:noProof/>
            <w:webHidden/>
          </w:rPr>
          <w:instrText xml:space="preserve"> PAGEREF _Toc494297288 \h </w:instrText>
        </w:r>
        <w:r w:rsidR="005D267F">
          <w:rPr>
            <w:noProof/>
            <w:webHidden/>
          </w:rPr>
        </w:r>
        <w:r w:rsidR="005D267F">
          <w:rPr>
            <w:noProof/>
            <w:webHidden/>
          </w:rPr>
          <w:fldChar w:fldCharType="separate"/>
        </w:r>
        <w:r w:rsidR="005D267F">
          <w:rPr>
            <w:noProof/>
            <w:webHidden/>
          </w:rPr>
          <w:t>10</w:t>
        </w:r>
        <w:r w:rsidR="005D267F">
          <w:rPr>
            <w:noProof/>
            <w:webHidden/>
          </w:rPr>
          <w:fldChar w:fldCharType="end"/>
        </w:r>
      </w:hyperlink>
    </w:p>
    <w:p w:rsidR="005D267F" w:rsidRPr="005D267F" w:rsidRDefault="00036B40" w:rsidP="005D267F">
      <w:pPr>
        <w:pStyle w:val="TOC1"/>
        <w:tabs>
          <w:tab w:val="right" w:leader="dot" w:pos="9307"/>
        </w:tabs>
        <w:rPr>
          <w:rFonts w:ascii="Calibri" w:eastAsia="SimSun" w:hAnsi="Calibri"/>
          <w:b/>
          <w:caps/>
          <w:noProof/>
          <w:kern w:val="2"/>
          <w:sz w:val="21"/>
          <w:szCs w:val="22"/>
          <w:lang w:eastAsia="ja-JP"/>
        </w:rPr>
      </w:pPr>
      <w:hyperlink w:anchor="_Toc494297289" w:history="1">
        <w:r w:rsidR="005D267F" w:rsidRPr="00EB3C7D">
          <w:rPr>
            <w:rStyle w:val="Hyperlink"/>
            <w:noProof/>
          </w:rPr>
          <w:t>4. National regulations on WPT for EV application in some APT member countries</w:t>
        </w:r>
        <w:r w:rsidR="005D267F">
          <w:rPr>
            <w:noProof/>
            <w:webHidden/>
          </w:rPr>
          <w:tab/>
        </w:r>
        <w:r w:rsidR="005D267F">
          <w:rPr>
            <w:noProof/>
            <w:webHidden/>
          </w:rPr>
          <w:fldChar w:fldCharType="begin"/>
        </w:r>
        <w:r w:rsidR="005D267F">
          <w:rPr>
            <w:noProof/>
            <w:webHidden/>
          </w:rPr>
          <w:instrText xml:space="preserve"> PAGEREF _Toc494297289 \h </w:instrText>
        </w:r>
        <w:r w:rsidR="005D267F">
          <w:rPr>
            <w:noProof/>
            <w:webHidden/>
          </w:rPr>
        </w:r>
        <w:r w:rsidR="005D267F">
          <w:rPr>
            <w:noProof/>
            <w:webHidden/>
          </w:rPr>
          <w:fldChar w:fldCharType="separate"/>
        </w:r>
        <w:r w:rsidR="005D267F">
          <w:rPr>
            <w:noProof/>
            <w:webHidden/>
          </w:rPr>
          <w:t>11</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90" w:history="1">
        <w:r w:rsidR="005D267F" w:rsidRPr="00EB3C7D">
          <w:rPr>
            <w:rStyle w:val="Hyperlink"/>
            <w:noProof/>
          </w:rPr>
          <w:t>4.1 China</w:t>
        </w:r>
        <w:r w:rsidR="005D267F">
          <w:rPr>
            <w:noProof/>
            <w:webHidden/>
          </w:rPr>
          <w:tab/>
        </w:r>
        <w:r w:rsidR="005D267F">
          <w:rPr>
            <w:noProof/>
            <w:webHidden/>
          </w:rPr>
          <w:fldChar w:fldCharType="begin"/>
        </w:r>
        <w:r w:rsidR="005D267F">
          <w:rPr>
            <w:noProof/>
            <w:webHidden/>
          </w:rPr>
          <w:instrText xml:space="preserve"> PAGEREF _Toc494297290 \h </w:instrText>
        </w:r>
        <w:r w:rsidR="005D267F">
          <w:rPr>
            <w:noProof/>
            <w:webHidden/>
          </w:rPr>
        </w:r>
        <w:r w:rsidR="005D267F">
          <w:rPr>
            <w:noProof/>
            <w:webHidden/>
          </w:rPr>
          <w:fldChar w:fldCharType="separate"/>
        </w:r>
        <w:r w:rsidR="005D267F">
          <w:rPr>
            <w:noProof/>
            <w:webHidden/>
          </w:rPr>
          <w:t>11</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91" w:history="1">
        <w:r w:rsidR="005D267F" w:rsidRPr="00EB3C7D">
          <w:rPr>
            <w:rStyle w:val="Hyperlink"/>
            <w:noProof/>
          </w:rPr>
          <w:t>4.2 Japan</w:t>
        </w:r>
        <w:r w:rsidR="005D267F">
          <w:rPr>
            <w:noProof/>
            <w:webHidden/>
          </w:rPr>
          <w:tab/>
        </w:r>
        <w:r w:rsidR="005D267F">
          <w:rPr>
            <w:noProof/>
            <w:webHidden/>
          </w:rPr>
          <w:fldChar w:fldCharType="begin"/>
        </w:r>
        <w:r w:rsidR="005D267F">
          <w:rPr>
            <w:noProof/>
            <w:webHidden/>
          </w:rPr>
          <w:instrText xml:space="preserve"> PAGEREF _Toc494297291 \h </w:instrText>
        </w:r>
        <w:r w:rsidR="005D267F">
          <w:rPr>
            <w:noProof/>
            <w:webHidden/>
          </w:rPr>
        </w:r>
        <w:r w:rsidR="005D267F">
          <w:rPr>
            <w:noProof/>
            <w:webHidden/>
          </w:rPr>
          <w:fldChar w:fldCharType="separate"/>
        </w:r>
        <w:r w:rsidR="005D267F">
          <w:rPr>
            <w:noProof/>
            <w:webHidden/>
          </w:rPr>
          <w:t>12</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92" w:history="1">
        <w:r w:rsidR="005D267F" w:rsidRPr="00EB3C7D">
          <w:rPr>
            <w:rStyle w:val="Hyperlink"/>
            <w:noProof/>
          </w:rPr>
          <w:t>4.3 Korea</w:t>
        </w:r>
        <w:r w:rsidR="005D267F">
          <w:rPr>
            <w:noProof/>
            <w:webHidden/>
          </w:rPr>
          <w:tab/>
        </w:r>
        <w:r w:rsidR="005D267F">
          <w:rPr>
            <w:noProof/>
            <w:webHidden/>
          </w:rPr>
          <w:fldChar w:fldCharType="begin"/>
        </w:r>
        <w:r w:rsidR="005D267F">
          <w:rPr>
            <w:noProof/>
            <w:webHidden/>
          </w:rPr>
          <w:instrText xml:space="preserve"> PAGEREF _Toc494297292 \h </w:instrText>
        </w:r>
        <w:r w:rsidR="005D267F">
          <w:rPr>
            <w:noProof/>
            <w:webHidden/>
          </w:rPr>
        </w:r>
        <w:r w:rsidR="005D267F">
          <w:rPr>
            <w:noProof/>
            <w:webHidden/>
          </w:rPr>
          <w:fldChar w:fldCharType="separate"/>
        </w:r>
        <w:r w:rsidR="005D267F">
          <w:rPr>
            <w:noProof/>
            <w:webHidden/>
          </w:rPr>
          <w:t>13</w:t>
        </w:r>
        <w:r w:rsidR="005D267F">
          <w:rPr>
            <w:noProof/>
            <w:webHidden/>
          </w:rPr>
          <w:fldChar w:fldCharType="end"/>
        </w:r>
      </w:hyperlink>
    </w:p>
    <w:p w:rsidR="005D267F" w:rsidRPr="005D267F" w:rsidRDefault="00036B40" w:rsidP="005D267F">
      <w:pPr>
        <w:pStyle w:val="TOC1"/>
        <w:tabs>
          <w:tab w:val="right" w:leader="dot" w:pos="9307"/>
        </w:tabs>
        <w:rPr>
          <w:rFonts w:ascii="Calibri" w:eastAsia="SimSun" w:hAnsi="Calibri"/>
          <w:b/>
          <w:caps/>
          <w:noProof/>
          <w:kern w:val="2"/>
          <w:sz w:val="21"/>
          <w:szCs w:val="22"/>
          <w:lang w:eastAsia="ja-JP"/>
        </w:rPr>
      </w:pPr>
      <w:hyperlink w:anchor="_Toc494297293" w:history="1">
        <w:r w:rsidR="005D267F" w:rsidRPr="00EB3C7D">
          <w:rPr>
            <w:rStyle w:val="Hyperlink"/>
            <w:noProof/>
          </w:rPr>
          <w:t>5. Frequency Bands Studies for WPT in Some APT Member Countries</w:t>
        </w:r>
        <w:r w:rsidR="005D267F">
          <w:rPr>
            <w:noProof/>
            <w:webHidden/>
          </w:rPr>
          <w:tab/>
        </w:r>
        <w:r w:rsidR="005D267F">
          <w:rPr>
            <w:noProof/>
            <w:webHidden/>
          </w:rPr>
          <w:fldChar w:fldCharType="begin"/>
        </w:r>
        <w:r w:rsidR="005D267F">
          <w:rPr>
            <w:noProof/>
            <w:webHidden/>
          </w:rPr>
          <w:instrText xml:space="preserve"> PAGEREF _Toc494297293 \h </w:instrText>
        </w:r>
        <w:r w:rsidR="005D267F">
          <w:rPr>
            <w:noProof/>
            <w:webHidden/>
          </w:rPr>
        </w:r>
        <w:r w:rsidR="005D267F">
          <w:rPr>
            <w:noProof/>
            <w:webHidden/>
          </w:rPr>
          <w:fldChar w:fldCharType="separate"/>
        </w:r>
        <w:r w:rsidR="005D267F">
          <w:rPr>
            <w:noProof/>
            <w:webHidden/>
          </w:rPr>
          <w:t>13</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94" w:history="1">
        <w:r w:rsidR="005D267F" w:rsidRPr="00EB3C7D">
          <w:rPr>
            <w:rStyle w:val="Hyperlink"/>
            <w:noProof/>
          </w:rPr>
          <w:t>5.1 Light duty (Passenger) electric vehicles</w:t>
        </w:r>
        <w:r w:rsidR="005D267F">
          <w:rPr>
            <w:noProof/>
            <w:webHidden/>
          </w:rPr>
          <w:tab/>
        </w:r>
        <w:r w:rsidR="005D267F">
          <w:rPr>
            <w:noProof/>
            <w:webHidden/>
          </w:rPr>
          <w:fldChar w:fldCharType="begin"/>
        </w:r>
        <w:r w:rsidR="005D267F">
          <w:rPr>
            <w:noProof/>
            <w:webHidden/>
          </w:rPr>
          <w:instrText xml:space="preserve"> PAGEREF _Toc494297294 \h </w:instrText>
        </w:r>
        <w:r w:rsidR="005D267F">
          <w:rPr>
            <w:noProof/>
            <w:webHidden/>
          </w:rPr>
        </w:r>
        <w:r w:rsidR="005D267F">
          <w:rPr>
            <w:noProof/>
            <w:webHidden/>
          </w:rPr>
          <w:fldChar w:fldCharType="separate"/>
        </w:r>
        <w:r w:rsidR="005D267F">
          <w:rPr>
            <w:noProof/>
            <w:webHidden/>
          </w:rPr>
          <w:t>13</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95" w:history="1">
        <w:r w:rsidR="005D267F" w:rsidRPr="00EB3C7D">
          <w:rPr>
            <w:rStyle w:val="Hyperlink"/>
            <w:noProof/>
          </w:rPr>
          <w:t>5.2 Heavy Duty Electric Vehicles</w:t>
        </w:r>
        <w:r w:rsidR="005D267F">
          <w:rPr>
            <w:noProof/>
            <w:webHidden/>
          </w:rPr>
          <w:tab/>
        </w:r>
        <w:r w:rsidR="005D267F">
          <w:rPr>
            <w:noProof/>
            <w:webHidden/>
          </w:rPr>
          <w:fldChar w:fldCharType="begin"/>
        </w:r>
        <w:r w:rsidR="005D267F">
          <w:rPr>
            <w:noProof/>
            <w:webHidden/>
          </w:rPr>
          <w:instrText xml:space="preserve"> PAGEREF _Toc494297295 \h </w:instrText>
        </w:r>
        <w:r w:rsidR="005D267F">
          <w:rPr>
            <w:noProof/>
            <w:webHidden/>
          </w:rPr>
        </w:r>
        <w:r w:rsidR="005D267F">
          <w:rPr>
            <w:noProof/>
            <w:webHidden/>
          </w:rPr>
          <w:fldChar w:fldCharType="separate"/>
        </w:r>
        <w:r w:rsidR="005D267F">
          <w:rPr>
            <w:noProof/>
            <w:webHidden/>
          </w:rPr>
          <w:t>14</w:t>
        </w:r>
        <w:r w:rsidR="005D267F">
          <w:rPr>
            <w:noProof/>
            <w:webHidden/>
          </w:rPr>
          <w:fldChar w:fldCharType="end"/>
        </w:r>
      </w:hyperlink>
    </w:p>
    <w:p w:rsidR="005D267F" w:rsidRPr="005D267F" w:rsidRDefault="00036B40" w:rsidP="005D267F">
      <w:pPr>
        <w:pStyle w:val="TOC1"/>
        <w:tabs>
          <w:tab w:val="right" w:leader="dot" w:pos="9307"/>
        </w:tabs>
        <w:rPr>
          <w:rFonts w:ascii="Calibri" w:eastAsia="SimSun" w:hAnsi="Calibri"/>
          <w:b/>
          <w:caps/>
          <w:noProof/>
          <w:kern w:val="2"/>
          <w:sz w:val="21"/>
          <w:szCs w:val="22"/>
          <w:lang w:eastAsia="ja-JP"/>
        </w:rPr>
      </w:pPr>
      <w:hyperlink w:anchor="_Toc494297296" w:history="1">
        <w:r w:rsidR="005D267F" w:rsidRPr="00EB3C7D">
          <w:rPr>
            <w:rStyle w:val="Hyperlink"/>
            <w:noProof/>
          </w:rPr>
          <w:t>6. Status of studies on the impact to the incumbent systems in some APT member countries</w:t>
        </w:r>
        <w:r w:rsidR="005D267F">
          <w:rPr>
            <w:noProof/>
            <w:webHidden/>
          </w:rPr>
          <w:tab/>
        </w:r>
        <w:r w:rsidR="005D267F">
          <w:rPr>
            <w:noProof/>
            <w:webHidden/>
          </w:rPr>
          <w:fldChar w:fldCharType="begin"/>
        </w:r>
        <w:r w:rsidR="005D267F">
          <w:rPr>
            <w:noProof/>
            <w:webHidden/>
          </w:rPr>
          <w:instrText xml:space="preserve"> PAGEREF _Toc494297296 \h </w:instrText>
        </w:r>
        <w:r w:rsidR="005D267F">
          <w:rPr>
            <w:noProof/>
            <w:webHidden/>
          </w:rPr>
        </w:r>
        <w:r w:rsidR="005D267F">
          <w:rPr>
            <w:noProof/>
            <w:webHidden/>
          </w:rPr>
          <w:fldChar w:fldCharType="separate"/>
        </w:r>
        <w:r w:rsidR="005D267F">
          <w:rPr>
            <w:noProof/>
            <w:webHidden/>
          </w:rPr>
          <w:t>17</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297" w:history="1">
        <w:r w:rsidR="005D267F" w:rsidRPr="00EB3C7D">
          <w:rPr>
            <w:rStyle w:val="Hyperlink"/>
            <w:noProof/>
          </w:rPr>
          <w:t>6.1 Impact studies in China</w:t>
        </w:r>
        <w:r w:rsidR="005D267F">
          <w:rPr>
            <w:noProof/>
            <w:webHidden/>
          </w:rPr>
          <w:tab/>
        </w:r>
        <w:r w:rsidR="005D267F">
          <w:rPr>
            <w:noProof/>
            <w:webHidden/>
          </w:rPr>
          <w:fldChar w:fldCharType="begin"/>
        </w:r>
        <w:r w:rsidR="005D267F">
          <w:rPr>
            <w:noProof/>
            <w:webHidden/>
          </w:rPr>
          <w:instrText xml:space="preserve"> PAGEREF _Toc494297297 \h </w:instrText>
        </w:r>
        <w:r w:rsidR="005D267F">
          <w:rPr>
            <w:noProof/>
            <w:webHidden/>
          </w:rPr>
        </w:r>
        <w:r w:rsidR="005D267F">
          <w:rPr>
            <w:noProof/>
            <w:webHidden/>
          </w:rPr>
          <w:fldChar w:fldCharType="separate"/>
        </w:r>
        <w:r w:rsidR="005D267F">
          <w:rPr>
            <w:noProof/>
            <w:webHidden/>
          </w:rPr>
          <w:t>17</w:t>
        </w:r>
        <w:r w:rsidR="005D267F">
          <w:rPr>
            <w:noProof/>
            <w:webHidden/>
          </w:rPr>
          <w:fldChar w:fldCharType="end"/>
        </w:r>
      </w:hyperlink>
    </w:p>
    <w:p w:rsidR="005D267F" w:rsidRPr="005D267F" w:rsidRDefault="00036B40" w:rsidP="005D267F">
      <w:pPr>
        <w:pStyle w:val="TOC2"/>
        <w:tabs>
          <w:tab w:val="left" w:pos="840"/>
          <w:tab w:val="right" w:leader="dot" w:pos="9307"/>
        </w:tabs>
        <w:rPr>
          <w:rFonts w:ascii="Calibri" w:eastAsia="SimSun" w:hAnsi="Calibri"/>
          <w:smallCaps/>
          <w:noProof/>
          <w:kern w:val="2"/>
          <w:sz w:val="21"/>
          <w:szCs w:val="22"/>
          <w:lang w:eastAsia="ja-JP"/>
        </w:rPr>
      </w:pPr>
      <w:hyperlink w:anchor="_Toc494297298" w:history="1">
        <w:r w:rsidR="005D267F" w:rsidRPr="00EB3C7D">
          <w:rPr>
            <w:rStyle w:val="Hyperlink"/>
            <w:noProof/>
          </w:rPr>
          <w:t xml:space="preserve">6.2 </w:t>
        </w:r>
        <w:r w:rsidR="005D267F" w:rsidRPr="005D267F">
          <w:rPr>
            <w:rFonts w:ascii="Calibri" w:eastAsia="SimSun" w:hAnsi="Calibri"/>
            <w:noProof/>
            <w:kern w:val="2"/>
            <w:sz w:val="21"/>
            <w:szCs w:val="22"/>
            <w:lang w:eastAsia="ja-JP"/>
          </w:rPr>
          <w:tab/>
        </w:r>
        <w:r w:rsidR="005D267F" w:rsidRPr="00EB3C7D">
          <w:rPr>
            <w:rStyle w:val="Hyperlink"/>
            <w:noProof/>
          </w:rPr>
          <w:t>Study results on WPT for passenger EVs in Japan</w:t>
        </w:r>
        <w:r w:rsidR="005D267F">
          <w:rPr>
            <w:noProof/>
            <w:webHidden/>
          </w:rPr>
          <w:tab/>
        </w:r>
        <w:r w:rsidR="005D267F">
          <w:rPr>
            <w:noProof/>
            <w:webHidden/>
          </w:rPr>
          <w:fldChar w:fldCharType="begin"/>
        </w:r>
        <w:r w:rsidR="005D267F">
          <w:rPr>
            <w:noProof/>
            <w:webHidden/>
          </w:rPr>
          <w:instrText xml:space="preserve"> PAGEREF _Toc494297298 \h </w:instrText>
        </w:r>
        <w:r w:rsidR="005D267F">
          <w:rPr>
            <w:noProof/>
            <w:webHidden/>
          </w:rPr>
        </w:r>
        <w:r w:rsidR="005D267F">
          <w:rPr>
            <w:noProof/>
            <w:webHidden/>
          </w:rPr>
          <w:fldChar w:fldCharType="separate"/>
        </w:r>
        <w:r w:rsidR="005D267F">
          <w:rPr>
            <w:noProof/>
            <w:webHidden/>
          </w:rPr>
          <w:t>17</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04" w:history="1">
        <w:r w:rsidR="005D267F" w:rsidRPr="00EB3C7D">
          <w:rPr>
            <w:rStyle w:val="Hyperlink"/>
            <w:noProof/>
          </w:rPr>
          <w:t>6.2.1</w:t>
        </w:r>
        <w:r w:rsidR="005D267F" w:rsidRPr="005D267F">
          <w:rPr>
            <w:rFonts w:ascii="Calibri" w:eastAsia="SimSun" w:hAnsi="Calibri"/>
            <w:noProof/>
            <w:kern w:val="2"/>
            <w:sz w:val="21"/>
            <w:szCs w:val="22"/>
            <w:lang w:eastAsia="ja-JP"/>
          </w:rPr>
          <w:tab/>
        </w:r>
        <w:r w:rsidR="005D267F" w:rsidRPr="00EB3C7D">
          <w:rPr>
            <w:rStyle w:val="Hyperlink"/>
            <w:noProof/>
          </w:rPr>
          <w:t>Objectives and preconditions for studies</w:t>
        </w:r>
        <w:r w:rsidR="005D267F">
          <w:rPr>
            <w:noProof/>
            <w:webHidden/>
          </w:rPr>
          <w:tab/>
        </w:r>
        <w:r w:rsidR="005D267F">
          <w:rPr>
            <w:noProof/>
            <w:webHidden/>
          </w:rPr>
          <w:fldChar w:fldCharType="begin"/>
        </w:r>
        <w:r w:rsidR="005D267F">
          <w:rPr>
            <w:noProof/>
            <w:webHidden/>
          </w:rPr>
          <w:instrText xml:space="preserve"> PAGEREF _Toc494297304 \h </w:instrText>
        </w:r>
        <w:r w:rsidR="005D267F">
          <w:rPr>
            <w:noProof/>
            <w:webHidden/>
          </w:rPr>
        </w:r>
        <w:r w:rsidR="005D267F">
          <w:rPr>
            <w:noProof/>
            <w:webHidden/>
          </w:rPr>
          <w:fldChar w:fldCharType="separate"/>
        </w:r>
        <w:r w:rsidR="005D267F">
          <w:rPr>
            <w:noProof/>
            <w:webHidden/>
          </w:rPr>
          <w:t>17</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05" w:history="1">
        <w:r w:rsidR="005D267F" w:rsidRPr="00EB3C7D">
          <w:rPr>
            <w:rStyle w:val="Hyperlink"/>
            <w:noProof/>
          </w:rPr>
          <w:t>6.2.2</w:t>
        </w:r>
        <w:r w:rsidR="005D267F" w:rsidRPr="005D267F">
          <w:rPr>
            <w:rFonts w:ascii="Calibri" w:eastAsia="SimSun" w:hAnsi="Calibri"/>
            <w:noProof/>
            <w:kern w:val="2"/>
            <w:sz w:val="21"/>
            <w:szCs w:val="22"/>
            <w:lang w:eastAsia="ja-JP"/>
          </w:rPr>
          <w:tab/>
        </w:r>
        <w:r w:rsidR="005D267F" w:rsidRPr="00EB3C7D">
          <w:rPr>
            <w:rStyle w:val="Hyperlink"/>
            <w:noProof/>
          </w:rPr>
          <w:t>Assessment process</w:t>
        </w:r>
        <w:r w:rsidR="005D267F">
          <w:rPr>
            <w:noProof/>
            <w:webHidden/>
          </w:rPr>
          <w:tab/>
        </w:r>
        <w:r w:rsidR="005D267F">
          <w:rPr>
            <w:noProof/>
            <w:webHidden/>
          </w:rPr>
          <w:fldChar w:fldCharType="begin"/>
        </w:r>
        <w:r w:rsidR="005D267F">
          <w:rPr>
            <w:noProof/>
            <w:webHidden/>
          </w:rPr>
          <w:instrText xml:space="preserve"> PAGEREF _Toc494297305 \h </w:instrText>
        </w:r>
        <w:r w:rsidR="005D267F">
          <w:rPr>
            <w:noProof/>
            <w:webHidden/>
          </w:rPr>
        </w:r>
        <w:r w:rsidR="005D267F">
          <w:rPr>
            <w:noProof/>
            <w:webHidden/>
          </w:rPr>
          <w:fldChar w:fldCharType="separate"/>
        </w:r>
        <w:r w:rsidR="005D267F">
          <w:rPr>
            <w:noProof/>
            <w:webHidden/>
          </w:rPr>
          <w:t>18</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06" w:history="1">
        <w:r w:rsidR="005D267F" w:rsidRPr="00EB3C7D">
          <w:rPr>
            <w:rStyle w:val="Hyperlink"/>
            <w:noProof/>
          </w:rPr>
          <w:t>6.2.3</w:t>
        </w:r>
        <w:r w:rsidR="005D267F" w:rsidRPr="005D267F">
          <w:rPr>
            <w:rFonts w:ascii="Calibri" w:eastAsia="SimSun" w:hAnsi="Calibri"/>
            <w:noProof/>
            <w:kern w:val="2"/>
            <w:sz w:val="21"/>
            <w:szCs w:val="22"/>
            <w:lang w:eastAsia="ja-JP"/>
          </w:rPr>
          <w:tab/>
        </w:r>
        <w:r w:rsidR="005D267F" w:rsidRPr="00EB3C7D">
          <w:rPr>
            <w:rStyle w:val="Hyperlink"/>
            <w:noProof/>
          </w:rPr>
          <w:t>Survey on spectrum use and determination of candidate frequency ranges</w:t>
        </w:r>
        <w:r w:rsidR="005D267F">
          <w:rPr>
            <w:noProof/>
            <w:webHidden/>
          </w:rPr>
          <w:tab/>
        </w:r>
        <w:r w:rsidR="005D267F">
          <w:rPr>
            <w:noProof/>
            <w:webHidden/>
          </w:rPr>
          <w:fldChar w:fldCharType="begin"/>
        </w:r>
        <w:r w:rsidR="005D267F">
          <w:rPr>
            <w:noProof/>
            <w:webHidden/>
          </w:rPr>
          <w:instrText xml:space="preserve"> PAGEREF _Toc494297306 \h </w:instrText>
        </w:r>
        <w:r w:rsidR="005D267F">
          <w:rPr>
            <w:noProof/>
            <w:webHidden/>
          </w:rPr>
        </w:r>
        <w:r w:rsidR="005D267F">
          <w:rPr>
            <w:noProof/>
            <w:webHidden/>
          </w:rPr>
          <w:fldChar w:fldCharType="separate"/>
        </w:r>
        <w:r w:rsidR="005D267F">
          <w:rPr>
            <w:noProof/>
            <w:webHidden/>
          </w:rPr>
          <w:t>19</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07" w:history="1">
        <w:r w:rsidR="005D267F" w:rsidRPr="00EB3C7D">
          <w:rPr>
            <w:rStyle w:val="Hyperlink"/>
            <w:noProof/>
          </w:rPr>
          <w:t>6.2.</w:t>
        </w:r>
        <w:r w:rsidR="005D267F" w:rsidRPr="00EB3C7D">
          <w:rPr>
            <w:rStyle w:val="Hyperlink"/>
            <w:rFonts w:eastAsia="MS Mincho"/>
            <w:noProof/>
          </w:rPr>
          <w:t>4</w:t>
        </w:r>
        <w:r w:rsidR="005D267F" w:rsidRPr="005D267F">
          <w:rPr>
            <w:rFonts w:ascii="Calibri" w:eastAsia="SimSun" w:hAnsi="Calibri"/>
            <w:noProof/>
            <w:kern w:val="2"/>
            <w:sz w:val="21"/>
            <w:szCs w:val="22"/>
            <w:lang w:eastAsia="ja-JP"/>
          </w:rPr>
          <w:tab/>
        </w:r>
        <w:r w:rsidR="005D267F" w:rsidRPr="00EB3C7D">
          <w:rPr>
            <w:rStyle w:val="Hyperlink"/>
            <w:noProof/>
          </w:rPr>
          <w:t>Selection of preferential incumbent systems to protect</w:t>
        </w:r>
        <w:r w:rsidR="005D267F">
          <w:rPr>
            <w:noProof/>
            <w:webHidden/>
          </w:rPr>
          <w:tab/>
        </w:r>
        <w:r w:rsidR="005D267F">
          <w:rPr>
            <w:noProof/>
            <w:webHidden/>
          </w:rPr>
          <w:fldChar w:fldCharType="begin"/>
        </w:r>
        <w:r w:rsidR="005D267F">
          <w:rPr>
            <w:noProof/>
            <w:webHidden/>
          </w:rPr>
          <w:instrText xml:space="preserve"> PAGEREF _Toc494297307 \h </w:instrText>
        </w:r>
        <w:r w:rsidR="005D267F">
          <w:rPr>
            <w:noProof/>
            <w:webHidden/>
          </w:rPr>
        </w:r>
        <w:r w:rsidR="005D267F">
          <w:rPr>
            <w:noProof/>
            <w:webHidden/>
          </w:rPr>
          <w:fldChar w:fldCharType="separate"/>
        </w:r>
        <w:r w:rsidR="005D267F">
          <w:rPr>
            <w:noProof/>
            <w:webHidden/>
          </w:rPr>
          <w:t>20</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08" w:history="1">
        <w:r w:rsidR="005D267F" w:rsidRPr="00EB3C7D">
          <w:rPr>
            <w:rStyle w:val="Hyperlink"/>
            <w:rFonts w:eastAsia="MS Mincho"/>
            <w:noProof/>
          </w:rPr>
          <w:t>6</w:t>
        </w:r>
        <w:r w:rsidR="005D267F" w:rsidRPr="00EB3C7D">
          <w:rPr>
            <w:rStyle w:val="Hyperlink"/>
            <w:noProof/>
          </w:rPr>
          <w:t>.2.</w:t>
        </w:r>
        <w:r w:rsidR="005D267F" w:rsidRPr="00EB3C7D">
          <w:rPr>
            <w:rStyle w:val="Hyperlink"/>
            <w:rFonts w:eastAsia="MS Mincho"/>
            <w:noProof/>
          </w:rPr>
          <w:t>5</w:t>
        </w:r>
        <w:r w:rsidR="005D267F" w:rsidRPr="005D267F">
          <w:rPr>
            <w:rFonts w:ascii="Calibri" w:eastAsia="SimSun" w:hAnsi="Calibri"/>
            <w:noProof/>
            <w:kern w:val="2"/>
            <w:sz w:val="21"/>
            <w:szCs w:val="22"/>
            <w:lang w:eastAsia="ja-JP"/>
          </w:rPr>
          <w:tab/>
        </w:r>
        <w:r w:rsidR="005D267F" w:rsidRPr="00EB3C7D">
          <w:rPr>
            <w:rStyle w:val="Hyperlink"/>
            <w:rFonts w:eastAsia="MS Mincho"/>
            <w:noProof/>
          </w:rPr>
          <w:t>Study</w:t>
        </w:r>
        <w:r w:rsidR="005D267F" w:rsidRPr="00EB3C7D">
          <w:rPr>
            <w:rStyle w:val="Hyperlink"/>
            <w:noProof/>
          </w:rPr>
          <w:t xml:space="preserve"> on the impact of WPT </w:t>
        </w:r>
        <w:r w:rsidR="005D267F" w:rsidRPr="00EB3C7D">
          <w:rPr>
            <w:rStyle w:val="Hyperlink"/>
            <w:rFonts w:eastAsia="MS Mincho"/>
            <w:noProof/>
          </w:rPr>
          <w:t>systems for passenger EVs</w:t>
        </w:r>
        <w:r w:rsidR="005D267F" w:rsidRPr="00EB3C7D">
          <w:rPr>
            <w:rStyle w:val="Hyperlink"/>
            <w:noProof/>
          </w:rPr>
          <w:t xml:space="preserve"> to the incumbent radiocommunication systems</w:t>
        </w:r>
        <w:r w:rsidR="005D267F">
          <w:rPr>
            <w:noProof/>
            <w:webHidden/>
          </w:rPr>
          <w:tab/>
        </w:r>
        <w:r w:rsidR="005D267F">
          <w:rPr>
            <w:noProof/>
            <w:webHidden/>
          </w:rPr>
          <w:fldChar w:fldCharType="begin"/>
        </w:r>
        <w:r w:rsidR="005D267F">
          <w:rPr>
            <w:noProof/>
            <w:webHidden/>
          </w:rPr>
          <w:instrText xml:space="preserve"> PAGEREF _Toc494297308 \h </w:instrText>
        </w:r>
        <w:r w:rsidR="005D267F">
          <w:rPr>
            <w:noProof/>
            <w:webHidden/>
          </w:rPr>
        </w:r>
        <w:r w:rsidR="005D267F">
          <w:rPr>
            <w:noProof/>
            <w:webHidden/>
          </w:rPr>
          <w:fldChar w:fldCharType="separate"/>
        </w:r>
        <w:r w:rsidR="005D267F">
          <w:rPr>
            <w:noProof/>
            <w:webHidden/>
          </w:rPr>
          <w:t>20</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09" w:history="1">
        <w:r w:rsidR="005D267F" w:rsidRPr="00EB3C7D">
          <w:rPr>
            <w:rStyle w:val="Hyperlink"/>
            <w:noProof/>
            <w:lang w:eastAsia="ja-JP"/>
          </w:rPr>
          <w:t>6.2.</w:t>
        </w:r>
        <w:r w:rsidR="005D267F" w:rsidRPr="00EB3C7D">
          <w:rPr>
            <w:rStyle w:val="Hyperlink"/>
            <w:rFonts w:eastAsia="MS Mincho"/>
            <w:noProof/>
            <w:lang w:eastAsia="ja-JP"/>
          </w:rPr>
          <w:t>6</w:t>
        </w:r>
        <w:r w:rsidR="005D267F" w:rsidRPr="005D267F">
          <w:rPr>
            <w:rFonts w:ascii="Calibri" w:eastAsia="SimSun" w:hAnsi="Calibri"/>
            <w:noProof/>
            <w:kern w:val="2"/>
            <w:sz w:val="21"/>
            <w:szCs w:val="22"/>
            <w:lang w:eastAsia="ja-JP"/>
          </w:rPr>
          <w:tab/>
        </w:r>
        <w:r w:rsidR="005D267F" w:rsidRPr="00EB3C7D">
          <w:rPr>
            <w:rStyle w:val="Hyperlink"/>
            <w:noProof/>
          </w:rPr>
          <w:t>AM broadcasting</w:t>
        </w:r>
        <w:r w:rsidR="005D267F" w:rsidRPr="00EB3C7D">
          <w:rPr>
            <w:rStyle w:val="Hyperlink"/>
            <w:noProof/>
            <w:lang w:eastAsia="ja-JP"/>
          </w:rPr>
          <w:t xml:space="preserve"> services</w:t>
        </w:r>
        <w:r w:rsidR="005D267F">
          <w:rPr>
            <w:noProof/>
            <w:webHidden/>
          </w:rPr>
          <w:tab/>
        </w:r>
        <w:r w:rsidR="005D267F">
          <w:rPr>
            <w:noProof/>
            <w:webHidden/>
          </w:rPr>
          <w:fldChar w:fldCharType="begin"/>
        </w:r>
        <w:r w:rsidR="005D267F">
          <w:rPr>
            <w:noProof/>
            <w:webHidden/>
          </w:rPr>
          <w:instrText xml:space="preserve"> PAGEREF _Toc494297309 \h </w:instrText>
        </w:r>
        <w:r w:rsidR="005D267F">
          <w:rPr>
            <w:noProof/>
            <w:webHidden/>
          </w:rPr>
        </w:r>
        <w:r w:rsidR="005D267F">
          <w:rPr>
            <w:noProof/>
            <w:webHidden/>
          </w:rPr>
          <w:fldChar w:fldCharType="separate"/>
        </w:r>
        <w:r w:rsidR="005D267F">
          <w:rPr>
            <w:noProof/>
            <w:webHidden/>
          </w:rPr>
          <w:t>21</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10" w:history="1">
        <w:r w:rsidR="005D267F" w:rsidRPr="00EB3C7D">
          <w:rPr>
            <w:rStyle w:val="Hyperlink"/>
            <w:noProof/>
          </w:rPr>
          <w:t>6.2.</w:t>
        </w:r>
        <w:r w:rsidR="005D267F" w:rsidRPr="00EB3C7D">
          <w:rPr>
            <w:rStyle w:val="Hyperlink"/>
            <w:rFonts w:eastAsia="MS Mincho"/>
            <w:noProof/>
            <w:lang w:eastAsia="ja-JP"/>
          </w:rPr>
          <w:t>7</w:t>
        </w:r>
        <w:r w:rsidR="005D267F" w:rsidRPr="00EB3C7D">
          <w:rPr>
            <w:rStyle w:val="Hyperlink"/>
            <w:noProof/>
          </w:rPr>
          <w:t xml:space="preserve"> </w:t>
        </w:r>
        <w:r w:rsidR="005D267F" w:rsidRPr="005D267F">
          <w:rPr>
            <w:rFonts w:ascii="Calibri" w:eastAsia="SimSun" w:hAnsi="Calibri"/>
            <w:noProof/>
            <w:kern w:val="2"/>
            <w:sz w:val="21"/>
            <w:szCs w:val="22"/>
            <w:lang w:eastAsia="ja-JP"/>
          </w:rPr>
          <w:tab/>
        </w:r>
        <w:r w:rsidR="005D267F" w:rsidRPr="00EB3C7D">
          <w:rPr>
            <w:rStyle w:val="Hyperlink"/>
            <w:noProof/>
          </w:rPr>
          <w:t>Standard frequency and time signal</w:t>
        </w:r>
        <w:r w:rsidR="005D267F">
          <w:rPr>
            <w:noProof/>
            <w:webHidden/>
          </w:rPr>
          <w:tab/>
        </w:r>
        <w:r w:rsidR="005D267F">
          <w:rPr>
            <w:noProof/>
            <w:webHidden/>
          </w:rPr>
          <w:fldChar w:fldCharType="begin"/>
        </w:r>
        <w:r w:rsidR="005D267F">
          <w:rPr>
            <w:noProof/>
            <w:webHidden/>
          </w:rPr>
          <w:instrText xml:space="preserve"> PAGEREF _Toc494297310 \h </w:instrText>
        </w:r>
        <w:r w:rsidR="005D267F">
          <w:rPr>
            <w:noProof/>
            <w:webHidden/>
          </w:rPr>
        </w:r>
        <w:r w:rsidR="005D267F">
          <w:rPr>
            <w:noProof/>
            <w:webHidden/>
          </w:rPr>
          <w:fldChar w:fldCharType="separate"/>
        </w:r>
        <w:r w:rsidR="005D267F">
          <w:rPr>
            <w:noProof/>
            <w:webHidden/>
          </w:rPr>
          <w:t>25</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11" w:history="1">
        <w:r w:rsidR="005D267F" w:rsidRPr="00EB3C7D">
          <w:rPr>
            <w:rStyle w:val="Hyperlink"/>
            <w:noProof/>
          </w:rPr>
          <w:t>6.2.</w:t>
        </w:r>
        <w:r w:rsidR="005D267F" w:rsidRPr="00EB3C7D">
          <w:rPr>
            <w:rStyle w:val="Hyperlink"/>
            <w:rFonts w:eastAsia="MS Mincho"/>
            <w:noProof/>
            <w:lang w:eastAsia="ja-JP"/>
          </w:rPr>
          <w:t>8</w:t>
        </w:r>
        <w:r w:rsidR="005D267F" w:rsidRPr="00EB3C7D">
          <w:rPr>
            <w:rStyle w:val="Hyperlink"/>
            <w:noProof/>
          </w:rPr>
          <w:t xml:space="preserve"> </w:t>
        </w:r>
        <w:r w:rsidR="005D267F" w:rsidRPr="005D267F">
          <w:rPr>
            <w:rFonts w:ascii="Calibri" w:eastAsia="SimSun" w:hAnsi="Calibri"/>
            <w:noProof/>
            <w:kern w:val="2"/>
            <w:sz w:val="21"/>
            <w:szCs w:val="22"/>
            <w:lang w:eastAsia="ja-JP"/>
          </w:rPr>
          <w:tab/>
        </w:r>
        <w:r w:rsidR="005D267F" w:rsidRPr="00EB3C7D">
          <w:rPr>
            <w:rStyle w:val="Hyperlink"/>
            <w:noProof/>
          </w:rPr>
          <w:t>Amateur radio</w:t>
        </w:r>
        <w:r w:rsidR="005D267F">
          <w:rPr>
            <w:noProof/>
            <w:webHidden/>
          </w:rPr>
          <w:tab/>
        </w:r>
        <w:r w:rsidR="005D267F">
          <w:rPr>
            <w:noProof/>
            <w:webHidden/>
          </w:rPr>
          <w:fldChar w:fldCharType="begin"/>
        </w:r>
        <w:r w:rsidR="005D267F">
          <w:rPr>
            <w:noProof/>
            <w:webHidden/>
          </w:rPr>
          <w:instrText xml:space="preserve"> PAGEREF _Toc494297311 \h </w:instrText>
        </w:r>
        <w:r w:rsidR="005D267F">
          <w:rPr>
            <w:noProof/>
            <w:webHidden/>
          </w:rPr>
        </w:r>
        <w:r w:rsidR="005D267F">
          <w:rPr>
            <w:noProof/>
            <w:webHidden/>
          </w:rPr>
          <w:fldChar w:fldCharType="separate"/>
        </w:r>
        <w:r w:rsidR="005D267F">
          <w:rPr>
            <w:noProof/>
            <w:webHidden/>
          </w:rPr>
          <w:t>26</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12" w:history="1">
        <w:r w:rsidR="005D267F" w:rsidRPr="00EB3C7D">
          <w:rPr>
            <w:rStyle w:val="Hyperlink"/>
            <w:noProof/>
          </w:rPr>
          <w:t>6.2.</w:t>
        </w:r>
        <w:r w:rsidR="005D267F" w:rsidRPr="00EB3C7D">
          <w:rPr>
            <w:rStyle w:val="Hyperlink"/>
            <w:rFonts w:eastAsia="MS Mincho"/>
            <w:noProof/>
            <w:lang w:eastAsia="ja-JP"/>
          </w:rPr>
          <w:t>9</w:t>
        </w:r>
        <w:r w:rsidR="005D267F" w:rsidRPr="00EB3C7D">
          <w:rPr>
            <w:rStyle w:val="Hyperlink"/>
            <w:noProof/>
          </w:rPr>
          <w:t xml:space="preserve"> </w:t>
        </w:r>
        <w:r w:rsidR="005D267F" w:rsidRPr="005D267F">
          <w:rPr>
            <w:rFonts w:ascii="Calibri" w:eastAsia="SimSun" w:hAnsi="Calibri"/>
            <w:noProof/>
            <w:kern w:val="2"/>
            <w:sz w:val="21"/>
            <w:szCs w:val="22"/>
            <w:lang w:eastAsia="ja-JP"/>
          </w:rPr>
          <w:tab/>
        </w:r>
        <w:r w:rsidR="005D267F" w:rsidRPr="00EB3C7D">
          <w:rPr>
            <w:rStyle w:val="Hyperlink"/>
            <w:noProof/>
          </w:rPr>
          <w:t>Railways control radios</w:t>
        </w:r>
        <w:r w:rsidR="005D267F">
          <w:rPr>
            <w:noProof/>
            <w:webHidden/>
          </w:rPr>
          <w:tab/>
        </w:r>
        <w:r w:rsidR="005D267F">
          <w:rPr>
            <w:noProof/>
            <w:webHidden/>
          </w:rPr>
          <w:fldChar w:fldCharType="begin"/>
        </w:r>
        <w:r w:rsidR="005D267F">
          <w:rPr>
            <w:noProof/>
            <w:webHidden/>
          </w:rPr>
          <w:instrText xml:space="preserve"> PAGEREF _Toc494297312 \h </w:instrText>
        </w:r>
        <w:r w:rsidR="005D267F">
          <w:rPr>
            <w:noProof/>
            <w:webHidden/>
          </w:rPr>
        </w:r>
        <w:r w:rsidR="005D267F">
          <w:rPr>
            <w:noProof/>
            <w:webHidden/>
          </w:rPr>
          <w:fldChar w:fldCharType="separate"/>
        </w:r>
        <w:r w:rsidR="005D267F">
          <w:rPr>
            <w:noProof/>
            <w:webHidden/>
          </w:rPr>
          <w:t>26</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13" w:history="1">
        <w:r w:rsidR="005D267F" w:rsidRPr="00EB3C7D">
          <w:rPr>
            <w:rStyle w:val="Hyperlink"/>
            <w:noProof/>
          </w:rPr>
          <w:t xml:space="preserve">6.2.10 </w:t>
        </w:r>
        <w:r w:rsidR="005D267F" w:rsidRPr="005D267F">
          <w:rPr>
            <w:rFonts w:ascii="Calibri" w:eastAsia="SimSun" w:hAnsi="Calibri"/>
            <w:noProof/>
            <w:kern w:val="2"/>
            <w:sz w:val="21"/>
            <w:szCs w:val="22"/>
            <w:lang w:eastAsia="ja-JP"/>
          </w:rPr>
          <w:tab/>
        </w:r>
        <w:r w:rsidR="005D267F" w:rsidRPr="00EB3C7D">
          <w:rPr>
            <w:rStyle w:val="Hyperlink"/>
            <w:noProof/>
          </w:rPr>
          <w:t>Summary of the studies</w:t>
        </w:r>
        <w:r w:rsidR="005D267F">
          <w:rPr>
            <w:noProof/>
            <w:webHidden/>
          </w:rPr>
          <w:tab/>
        </w:r>
        <w:r w:rsidR="005D267F">
          <w:rPr>
            <w:noProof/>
            <w:webHidden/>
          </w:rPr>
          <w:fldChar w:fldCharType="begin"/>
        </w:r>
        <w:r w:rsidR="005D267F">
          <w:rPr>
            <w:noProof/>
            <w:webHidden/>
          </w:rPr>
          <w:instrText xml:space="preserve"> PAGEREF _Toc494297313 \h </w:instrText>
        </w:r>
        <w:r w:rsidR="005D267F">
          <w:rPr>
            <w:noProof/>
            <w:webHidden/>
          </w:rPr>
        </w:r>
        <w:r w:rsidR="005D267F">
          <w:rPr>
            <w:noProof/>
            <w:webHidden/>
          </w:rPr>
          <w:fldChar w:fldCharType="separate"/>
        </w:r>
        <w:r w:rsidR="005D267F">
          <w:rPr>
            <w:noProof/>
            <w:webHidden/>
          </w:rPr>
          <w:t>26</w:t>
        </w:r>
        <w:r w:rsidR="005D267F">
          <w:rPr>
            <w:noProof/>
            <w:webHidden/>
          </w:rPr>
          <w:fldChar w:fldCharType="end"/>
        </w:r>
      </w:hyperlink>
    </w:p>
    <w:p w:rsidR="005D267F" w:rsidRPr="005D267F" w:rsidRDefault="00036B40" w:rsidP="005D267F">
      <w:pPr>
        <w:pStyle w:val="TOC2"/>
        <w:tabs>
          <w:tab w:val="left" w:pos="840"/>
          <w:tab w:val="right" w:leader="dot" w:pos="9307"/>
        </w:tabs>
        <w:rPr>
          <w:rFonts w:ascii="Calibri" w:eastAsia="SimSun" w:hAnsi="Calibri"/>
          <w:smallCaps/>
          <w:noProof/>
          <w:kern w:val="2"/>
          <w:sz w:val="21"/>
          <w:szCs w:val="22"/>
          <w:lang w:eastAsia="ja-JP"/>
        </w:rPr>
      </w:pPr>
      <w:hyperlink w:anchor="_Toc494297314" w:history="1">
        <w:r w:rsidR="005D267F" w:rsidRPr="00EB3C7D">
          <w:rPr>
            <w:rStyle w:val="Hyperlink"/>
            <w:noProof/>
          </w:rPr>
          <w:t xml:space="preserve">6.3 </w:t>
        </w:r>
        <w:r w:rsidR="005D267F" w:rsidRPr="005D267F">
          <w:rPr>
            <w:rFonts w:ascii="Calibri" w:eastAsia="SimSun" w:hAnsi="Calibri"/>
            <w:noProof/>
            <w:kern w:val="2"/>
            <w:sz w:val="21"/>
            <w:szCs w:val="22"/>
            <w:lang w:eastAsia="ja-JP"/>
          </w:rPr>
          <w:tab/>
        </w:r>
        <w:r w:rsidR="005D267F" w:rsidRPr="00EB3C7D">
          <w:rPr>
            <w:rStyle w:val="Hyperlink"/>
            <w:noProof/>
          </w:rPr>
          <w:t>Impact studies in Korea</w:t>
        </w:r>
        <w:r w:rsidR="005D267F">
          <w:rPr>
            <w:noProof/>
            <w:webHidden/>
          </w:rPr>
          <w:tab/>
        </w:r>
        <w:r w:rsidR="005D267F">
          <w:rPr>
            <w:noProof/>
            <w:webHidden/>
          </w:rPr>
          <w:fldChar w:fldCharType="begin"/>
        </w:r>
        <w:r w:rsidR="005D267F">
          <w:rPr>
            <w:noProof/>
            <w:webHidden/>
          </w:rPr>
          <w:instrText xml:space="preserve"> PAGEREF _Toc494297314 \h </w:instrText>
        </w:r>
        <w:r w:rsidR="005D267F">
          <w:rPr>
            <w:noProof/>
            <w:webHidden/>
          </w:rPr>
        </w:r>
        <w:r w:rsidR="005D267F">
          <w:rPr>
            <w:noProof/>
            <w:webHidden/>
          </w:rPr>
          <w:fldChar w:fldCharType="separate"/>
        </w:r>
        <w:r w:rsidR="005D267F">
          <w:rPr>
            <w:noProof/>
            <w:webHidden/>
          </w:rPr>
          <w:t>26</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15" w:history="1">
        <w:r w:rsidR="005D267F" w:rsidRPr="00EB3C7D">
          <w:rPr>
            <w:rStyle w:val="Hyperlink"/>
            <w:rFonts w:eastAsia="MS Mincho"/>
            <w:noProof/>
            <w:lang w:eastAsia="ja-JP"/>
          </w:rPr>
          <w:t>6.3.1</w:t>
        </w:r>
        <w:r w:rsidR="005D267F" w:rsidRPr="005D267F">
          <w:rPr>
            <w:rFonts w:ascii="Calibri" w:eastAsia="SimSun" w:hAnsi="Calibri"/>
            <w:noProof/>
            <w:kern w:val="2"/>
            <w:sz w:val="21"/>
            <w:szCs w:val="22"/>
            <w:lang w:eastAsia="ja-JP"/>
          </w:rPr>
          <w:tab/>
        </w:r>
        <w:r w:rsidR="005D267F" w:rsidRPr="00EB3C7D">
          <w:rPr>
            <w:rStyle w:val="Hyperlink"/>
            <w:rFonts w:eastAsia="MS Mincho"/>
            <w:noProof/>
            <w:lang w:eastAsia="ja-JP"/>
          </w:rPr>
          <w:t>Introduction</w:t>
        </w:r>
        <w:r w:rsidR="005D267F">
          <w:rPr>
            <w:noProof/>
            <w:webHidden/>
          </w:rPr>
          <w:tab/>
        </w:r>
        <w:r w:rsidR="005D267F">
          <w:rPr>
            <w:noProof/>
            <w:webHidden/>
          </w:rPr>
          <w:fldChar w:fldCharType="begin"/>
        </w:r>
        <w:r w:rsidR="005D267F">
          <w:rPr>
            <w:noProof/>
            <w:webHidden/>
          </w:rPr>
          <w:instrText xml:space="preserve"> PAGEREF _Toc494297315 \h </w:instrText>
        </w:r>
        <w:r w:rsidR="005D267F">
          <w:rPr>
            <w:noProof/>
            <w:webHidden/>
          </w:rPr>
        </w:r>
        <w:r w:rsidR="005D267F">
          <w:rPr>
            <w:noProof/>
            <w:webHidden/>
          </w:rPr>
          <w:fldChar w:fldCharType="separate"/>
        </w:r>
        <w:r w:rsidR="005D267F">
          <w:rPr>
            <w:noProof/>
            <w:webHidden/>
          </w:rPr>
          <w:t>26</w:t>
        </w:r>
        <w:r w:rsidR="005D267F">
          <w:rPr>
            <w:noProof/>
            <w:webHidden/>
          </w:rPr>
          <w:fldChar w:fldCharType="end"/>
        </w:r>
      </w:hyperlink>
    </w:p>
    <w:p w:rsidR="005D267F" w:rsidRPr="005D267F" w:rsidRDefault="00036B40" w:rsidP="005D267F">
      <w:pPr>
        <w:pStyle w:val="TOC2"/>
        <w:tabs>
          <w:tab w:val="left" w:pos="1050"/>
          <w:tab w:val="right" w:leader="dot" w:pos="9307"/>
        </w:tabs>
        <w:rPr>
          <w:rFonts w:ascii="Calibri" w:eastAsia="SimSun" w:hAnsi="Calibri"/>
          <w:smallCaps/>
          <w:noProof/>
          <w:kern w:val="2"/>
          <w:sz w:val="21"/>
          <w:szCs w:val="22"/>
          <w:lang w:eastAsia="ja-JP"/>
        </w:rPr>
      </w:pPr>
      <w:hyperlink w:anchor="_Toc494297316" w:history="1">
        <w:r w:rsidR="005D267F" w:rsidRPr="00EB3C7D">
          <w:rPr>
            <w:rStyle w:val="Hyperlink"/>
            <w:rFonts w:eastAsia="MS Mincho"/>
            <w:noProof/>
            <w:lang w:eastAsia="ja-JP"/>
          </w:rPr>
          <w:t>6.3.2</w:t>
        </w:r>
        <w:r w:rsidR="005D267F" w:rsidRPr="005D267F">
          <w:rPr>
            <w:rFonts w:ascii="Calibri" w:eastAsia="SimSun" w:hAnsi="Calibri"/>
            <w:noProof/>
            <w:kern w:val="2"/>
            <w:sz w:val="21"/>
            <w:szCs w:val="22"/>
            <w:lang w:eastAsia="ja-JP"/>
          </w:rPr>
          <w:tab/>
        </w:r>
        <w:r w:rsidR="005D267F" w:rsidRPr="00EB3C7D">
          <w:rPr>
            <w:rStyle w:val="Hyperlink"/>
            <w:rFonts w:eastAsia="MS Mincho"/>
            <w:noProof/>
            <w:lang w:eastAsia="ja-JP"/>
          </w:rPr>
          <w:t>The impact study for 60 kHz standard time signal to Japanese standard frequency and time signal service</w:t>
        </w:r>
        <w:r w:rsidR="005D267F">
          <w:rPr>
            <w:noProof/>
            <w:webHidden/>
          </w:rPr>
          <w:tab/>
        </w:r>
        <w:r w:rsidR="005D267F">
          <w:rPr>
            <w:noProof/>
            <w:webHidden/>
          </w:rPr>
          <w:fldChar w:fldCharType="begin"/>
        </w:r>
        <w:r w:rsidR="005D267F">
          <w:rPr>
            <w:noProof/>
            <w:webHidden/>
          </w:rPr>
          <w:instrText xml:space="preserve"> PAGEREF _Toc494297316 \h </w:instrText>
        </w:r>
        <w:r w:rsidR="005D267F">
          <w:rPr>
            <w:noProof/>
            <w:webHidden/>
          </w:rPr>
        </w:r>
        <w:r w:rsidR="005D267F">
          <w:rPr>
            <w:noProof/>
            <w:webHidden/>
          </w:rPr>
          <w:fldChar w:fldCharType="separate"/>
        </w:r>
        <w:r w:rsidR="005D267F">
          <w:rPr>
            <w:noProof/>
            <w:webHidden/>
          </w:rPr>
          <w:t>27</w:t>
        </w:r>
        <w:r w:rsidR="005D267F">
          <w:rPr>
            <w:noProof/>
            <w:webHidden/>
          </w:rPr>
          <w:fldChar w:fldCharType="end"/>
        </w:r>
      </w:hyperlink>
    </w:p>
    <w:p w:rsidR="005D267F" w:rsidRPr="005D267F" w:rsidRDefault="00036B40" w:rsidP="005D267F">
      <w:pPr>
        <w:pStyle w:val="TOC2"/>
        <w:tabs>
          <w:tab w:val="right" w:leader="dot" w:pos="9307"/>
        </w:tabs>
        <w:rPr>
          <w:rFonts w:ascii="Calibri" w:eastAsia="SimSun" w:hAnsi="Calibri"/>
          <w:smallCaps/>
          <w:noProof/>
          <w:kern w:val="2"/>
          <w:sz w:val="21"/>
          <w:szCs w:val="22"/>
          <w:lang w:eastAsia="ja-JP"/>
        </w:rPr>
      </w:pPr>
      <w:hyperlink w:anchor="_Toc494297317" w:history="1">
        <w:r w:rsidR="005D267F" w:rsidRPr="00EB3C7D">
          <w:rPr>
            <w:rStyle w:val="Hyperlink"/>
            <w:rFonts w:eastAsia="MS Mincho"/>
            <w:noProof/>
            <w:lang w:eastAsia="ja-JP"/>
          </w:rPr>
          <w:t>6.3.3 Impact study for EBU Signal (148.5 ~ 283.5 kHz)</w:t>
        </w:r>
        <w:r w:rsidR="005D267F">
          <w:rPr>
            <w:noProof/>
            <w:webHidden/>
          </w:rPr>
          <w:tab/>
        </w:r>
        <w:r w:rsidR="005D267F">
          <w:rPr>
            <w:noProof/>
            <w:webHidden/>
          </w:rPr>
          <w:fldChar w:fldCharType="begin"/>
        </w:r>
        <w:r w:rsidR="005D267F">
          <w:rPr>
            <w:noProof/>
            <w:webHidden/>
          </w:rPr>
          <w:instrText xml:space="preserve"> PAGEREF _Toc494297317 \h </w:instrText>
        </w:r>
        <w:r w:rsidR="005D267F">
          <w:rPr>
            <w:noProof/>
            <w:webHidden/>
          </w:rPr>
        </w:r>
        <w:r w:rsidR="005D267F">
          <w:rPr>
            <w:noProof/>
            <w:webHidden/>
          </w:rPr>
          <w:fldChar w:fldCharType="separate"/>
        </w:r>
        <w:r w:rsidR="005D267F">
          <w:rPr>
            <w:noProof/>
            <w:webHidden/>
          </w:rPr>
          <w:t>30</w:t>
        </w:r>
        <w:r w:rsidR="005D267F">
          <w:rPr>
            <w:noProof/>
            <w:webHidden/>
          </w:rPr>
          <w:fldChar w:fldCharType="end"/>
        </w:r>
      </w:hyperlink>
    </w:p>
    <w:p w:rsidR="005D267F" w:rsidRPr="005D267F" w:rsidRDefault="00036B40" w:rsidP="005D267F">
      <w:pPr>
        <w:pStyle w:val="TOC1"/>
        <w:tabs>
          <w:tab w:val="right" w:leader="dot" w:pos="9307"/>
        </w:tabs>
        <w:rPr>
          <w:rFonts w:ascii="Calibri" w:eastAsia="SimSun" w:hAnsi="Calibri"/>
          <w:b/>
          <w:caps/>
          <w:noProof/>
          <w:kern w:val="2"/>
          <w:sz w:val="21"/>
          <w:szCs w:val="22"/>
          <w:lang w:eastAsia="ja-JP"/>
        </w:rPr>
      </w:pPr>
      <w:hyperlink w:anchor="_Toc494297318" w:history="1">
        <w:r w:rsidR="005D267F" w:rsidRPr="00EB3C7D">
          <w:rPr>
            <w:rStyle w:val="Hyperlink"/>
            <w:noProof/>
          </w:rPr>
          <w:t>7. Summary</w:t>
        </w:r>
        <w:r w:rsidR="005D267F">
          <w:rPr>
            <w:noProof/>
            <w:webHidden/>
          </w:rPr>
          <w:tab/>
        </w:r>
        <w:r w:rsidR="005D267F">
          <w:rPr>
            <w:noProof/>
            <w:webHidden/>
          </w:rPr>
          <w:fldChar w:fldCharType="begin"/>
        </w:r>
        <w:r w:rsidR="005D267F">
          <w:rPr>
            <w:noProof/>
            <w:webHidden/>
          </w:rPr>
          <w:instrText xml:space="preserve"> PAGEREF _Toc494297318 \h </w:instrText>
        </w:r>
        <w:r w:rsidR="005D267F">
          <w:rPr>
            <w:noProof/>
            <w:webHidden/>
          </w:rPr>
        </w:r>
        <w:r w:rsidR="005D267F">
          <w:rPr>
            <w:noProof/>
            <w:webHidden/>
          </w:rPr>
          <w:fldChar w:fldCharType="separate"/>
        </w:r>
        <w:r w:rsidR="005D267F">
          <w:rPr>
            <w:noProof/>
            <w:webHidden/>
          </w:rPr>
          <w:t>33</w:t>
        </w:r>
        <w:r w:rsidR="005D267F">
          <w:rPr>
            <w:noProof/>
            <w:webHidden/>
          </w:rPr>
          <w:fldChar w:fldCharType="end"/>
        </w:r>
      </w:hyperlink>
    </w:p>
    <w:p w:rsidR="005D267F" w:rsidRDefault="005D267F" w:rsidP="005D267F">
      <w:r>
        <w:rPr>
          <w:b/>
          <w:bCs/>
          <w:noProof/>
        </w:rPr>
        <w:fldChar w:fldCharType="end"/>
      </w:r>
    </w:p>
    <w:p w:rsidR="005D267F" w:rsidRDefault="005D267F" w:rsidP="005D267F">
      <w:pPr>
        <w:rPr>
          <w:b/>
          <w:bCs/>
          <w:u w:val="single"/>
        </w:rPr>
      </w:pPr>
      <w:r>
        <w:br w:type="page"/>
      </w:r>
    </w:p>
    <w:p w:rsidR="005D267F" w:rsidRPr="0025486F" w:rsidRDefault="005D267F" w:rsidP="005D267F">
      <w:pPr>
        <w:pStyle w:val="Heading1"/>
        <w:jc w:val="left"/>
      </w:pPr>
      <w:bookmarkStart w:id="0" w:name="_Toc494297278"/>
      <w:r w:rsidRPr="0025486F">
        <w:lastRenderedPageBreak/>
        <w:t>1. Introduction</w:t>
      </w:r>
      <w:bookmarkEnd w:id="0"/>
    </w:p>
    <w:p w:rsidR="003D3A77" w:rsidRDefault="003D3A77" w:rsidP="005D267F">
      <w:pPr>
        <w:ind w:firstLine="720"/>
        <w:jc w:val="both"/>
        <w:rPr>
          <w:lang w:eastAsia="ja-JP"/>
        </w:rPr>
      </w:pPr>
    </w:p>
    <w:p w:rsidR="005D267F" w:rsidRPr="003D65A7" w:rsidRDefault="005D267F" w:rsidP="005D267F">
      <w:pPr>
        <w:ind w:firstLine="720"/>
        <w:jc w:val="both"/>
        <w:rPr>
          <w:lang w:eastAsia="ja-JP"/>
        </w:rPr>
      </w:pPr>
      <w:r w:rsidRPr="003D65A7">
        <w:rPr>
          <w:lang w:eastAsia="ja-JP"/>
        </w:rPr>
        <w:t xml:space="preserve">International interoperability of WPT systems is essential and indispensable to expand market of Electric Vehicles (EVs) for automotive OEMs and </w:t>
      </w:r>
      <w:r>
        <w:rPr>
          <w:lang w:eastAsia="ja-JP"/>
        </w:rPr>
        <w:t xml:space="preserve">it is expected to </w:t>
      </w:r>
      <w:r w:rsidRPr="003D65A7">
        <w:rPr>
          <w:lang w:eastAsia="ja-JP"/>
        </w:rPr>
        <w:t>maximize users’ benefit of EVs which move over several countries and</w:t>
      </w:r>
      <w:r>
        <w:rPr>
          <w:lang w:eastAsia="ja-JP"/>
        </w:rPr>
        <w:t xml:space="preserve"> / or</w:t>
      </w:r>
      <w:r w:rsidRPr="003D65A7">
        <w:rPr>
          <w:lang w:eastAsia="ja-JP"/>
        </w:rPr>
        <w:t xml:space="preserve"> regions. </w:t>
      </w:r>
      <w:r w:rsidRPr="00C474DA">
        <w:rPr>
          <w:lang w:eastAsia="ja-JP"/>
        </w:rPr>
        <w:t xml:space="preserve">AWG has initiated a </w:t>
      </w:r>
      <w:r>
        <w:rPr>
          <w:lang w:eastAsia="ja-JP"/>
        </w:rPr>
        <w:t xml:space="preserve">study on frequency ranges used for non-beam WPT for electric vehicles and collected related information from some APT countries from 2016. </w:t>
      </w:r>
      <w:r w:rsidRPr="00C474DA">
        <w:rPr>
          <w:lang w:eastAsia="ja-JP"/>
        </w:rPr>
        <w:t xml:space="preserve"> </w:t>
      </w:r>
      <w:r>
        <w:rPr>
          <w:lang w:eastAsia="ja-JP"/>
        </w:rPr>
        <w:t>T</w:t>
      </w:r>
      <w:r w:rsidRPr="00C474DA">
        <w:rPr>
          <w:lang w:eastAsia="ja-JP"/>
        </w:rPr>
        <w:t>h</w:t>
      </w:r>
      <w:r>
        <w:rPr>
          <w:lang w:eastAsia="ja-JP"/>
        </w:rPr>
        <w:t xml:space="preserve">is Report provides </w:t>
      </w:r>
      <w:r w:rsidRPr="00C474DA">
        <w:rPr>
          <w:lang w:eastAsia="ja-JP"/>
        </w:rPr>
        <w:t xml:space="preserve"> information and necessary supports to APT members on their preparation for WRC-19 A.I. 9.1, issue 9.1.6.</w:t>
      </w:r>
      <w:r>
        <w:rPr>
          <w:lang w:eastAsia="ja-JP"/>
        </w:rPr>
        <w:t xml:space="preserve"> </w:t>
      </w:r>
      <w:r w:rsidRPr="003D65A7">
        <w:rPr>
          <w:lang w:eastAsia="ja-JP"/>
        </w:rPr>
        <w:t>Furthermore, the work plan of the Report noted that a Recommendation on suitable WPT frequency ranges might be needed when this Report was fully discussed and approved in AWG.</w:t>
      </w:r>
    </w:p>
    <w:p w:rsidR="003D3A77" w:rsidRDefault="003D3A77" w:rsidP="005D267F">
      <w:pPr>
        <w:ind w:firstLine="720"/>
        <w:jc w:val="both"/>
        <w:rPr>
          <w:lang w:eastAsia="ja-JP"/>
        </w:rPr>
      </w:pPr>
    </w:p>
    <w:p w:rsidR="005D267F" w:rsidRPr="003D65A7" w:rsidRDefault="005D267F" w:rsidP="005D267F">
      <w:pPr>
        <w:ind w:firstLine="720"/>
        <w:jc w:val="both"/>
        <w:rPr>
          <w:lang w:eastAsia="ja-JP"/>
        </w:rPr>
      </w:pPr>
      <w:r w:rsidRPr="003D65A7">
        <w:rPr>
          <w:lang w:eastAsia="ja-JP"/>
        </w:rPr>
        <w:t xml:space="preserve">AWG has been sending ITU-R SG1 WP 1A liaison letters providing information of WPT studies of AWG. Given that, WP 1A is continuing studies in accordance with Question ITU-R 210-3/1 and may develop Reports and/or Recommendations on technical and operational characteristics of WPT, including WPT for Electric Vehicles (EVs). </w:t>
      </w:r>
    </w:p>
    <w:p w:rsidR="003D3A77" w:rsidRDefault="003D3A77" w:rsidP="005D267F">
      <w:pPr>
        <w:ind w:firstLine="720"/>
        <w:jc w:val="both"/>
        <w:rPr>
          <w:lang w:eastAsia="ja-JP"/>
        </w:rPr>
      </w:pPr>
    </w:p>
    <w:p w:rsidR="005D267F" w:rsidRPr="003D65A7" w:rsidRDefault="005D267F" w:rsidP="005D267F">
      <w:pPr>
        <w:ind w:firstLine="720"/>
        <w:jc w:val="both"/>
        <w:rPr>
          <w:lang w:eastAsia="ja-JP"/>
        </w:rPr>
      </w:pPr>
      <w:r w:rsidRPr="003D65A7">
        <w:rPr>
          <w:lang w:eastAsia="ja-JP"/>
        </w:rPr>
        <w:t>In APT, so far APT/AWG/REP-62(Rev.1)</w:t>
      </w:r>
      <w:r w:rsidRPr="003D65A7">
        <w:t xml:space="preserve"> “</w:t>
      </w:r>
      <w:r w:rsidRPr="003D65A7">
        <w:rPr>
          <w:lang w:eastAsia="ja-JP"/>
        </w:rPr>
        <w:t xml:space="preserve">APT Report on Wireless Power Transmission (WPT)” has summarized information including WPT for EVs as of March 2015. Taking account of WPT related studies and recent increasing demand of EVs in the automobile industry, this APT Report on </w:t>
      </w:r>
      <w:r w:rsidRPr="003D65A7">
        <w:rPr>
          <w:rFonts w:eastAsia="MS Mincho"/>
          <w:lang w:eastAsia="ja-JP"/>
        </w:rPr>
        <w:t>f</w:t>
      </w:r>
      <w:r w:rsidRPr="003D65A7">
        <w:rPr>
          <w:lang w:eastAsia="ja-JP"/>
        </w:rPr>
        <w:t xml:space="preserve">requency </w:t>
      </w:r>
      <w:r w:rsidRPr="003D65A7">
        <w:rPr>
          <w:rFonts w:eastAsia="MS Mincho"/>
          <w:lang w:eastAsia="ja-JP"/>
        </w:rPr>
        <w:t>r</w:t>
      </w:r>
      <w:r w:rsidRPr="003D65A7">
        <w:rPr>
          <w:lang w:eastAsia="ja-JP"/>
        </w:rPr>
        <w:t>anges for WPT for EVs emphasizes a focus on frequency ranges for WPT for EV applications and is edited, intended for the use of APT members who are going to consider regulatory and related spectrum management issues for WPT for EVs.</w:t>
      </w:r>
    </w:p>
    <w:p w:rsidR="005D267F" w:rsidRPr="003D65A7" w:rsidRDefault="005D267F" w:rsidP="005D267F">
      <w:pPr>
        <w:rPr>
          <w:b/>
        </w:rPr>
      </w:pPr>
    </w:p>
    <w:p w:rsidR="005D267F" w:rsidRPr="0025486F" w:rsidRDefault="005D267F" w:rsidP="005D267F">
      <w:pPr>
        <w:pStyle w:val="Heading1"/>
        <w:jc w:val="left"/>
      </w:pPr>
      <w:bookmarkStart w:id="1" w:name="_Toc494297279"/>
      <w:r w:rsidRPr="0025486F">
        <w:t>2. EV applications and technologies</w:t>
      </w:r>
      <w:bookmarkEnd w:id="1"/>
    </w:p>
    <w:p w:rsidR="003D3A77" w:rsidRDefault="003D3A77" w:rsidP="005D267F">
      <w:pPr>
        <w:pStyle w:val="Heading2"/>
        <w:rPr>
          <w:rFonts w:ascii="Times New Roman" w:hAnsi="Times New Roman" w:cs="Times New Roman"/>
        </w:rPr>
      </w:pPr>
      <w:bookmarkStart w:id="2" w:name="_Toc494297280"/>
    </w:p>
    <w:p w:rsidR="005D267F" w:rsidRPr="0025486F" w:rsidRDefault="005D267F" w:rsidP="005D267F">
      <w:pPr>
        <w:pStyle w:val="Heading2"/>
      </w:pPr>
      <w:r w:rsidRPr="0025486F">
        <w:rPr>
          <w:rFonts w:ascii="Times New Roman" w:hAnsi="Times New Roman" w:cs="Times New Roman"/>
        </w:rPr>
        <w:t>2.1 Passenger vehicles</w:t>
      </w:r>
      <w:bookmarkEnd w:id="2"/>
    </w:p>
    <w:p w:rsidR="003D3A77" w:rsidRDefault="003D3A77" w:rsidP="005D267F">
      <w:pPr>
        <w:ind w:firstLineChars="300" w:firstLine="720"/>
        <w:jc w:val="both"/>
        <w:rPr>
          <w:rFonts w:eastAsia="MS Mincho"/>
          <w:lang w:eastAsia="ja-JP"/>
        </w:rPr>
      </w:pPr>
    </w:p>
    <w:p w:rsidR="005D267F" w:rsidRDefault="005D267F" w:rsidP="005D267F">
      <w:pPr>
        <w:ind w:firstLineChars="300" w:firstLine="720"/>
        <w:jc w:val="both"/>
        <w:rPr>
          <w:rFonts w:eastAsia="MS Mincho"/>
          <w:lang w:eastAsia="ja-JP"/>
        </w:rPr>
      </w:pPr>
      <w:r>
        <w:rPr>
          <w:rFonts w:eastAsia="MS Mincho" w:hint="eastAsia"/>
          <w:lang w:eastAsia="ja-JP"/>
        </w:rPr>
        <w:t xml:space="preserve">Policies and/or </w:t>
      </w:r>
      <w:r>
        <w:rPr>
          <w:rFonts w:eastAsia="MS Mincho"/>
          <w:lang w:eastAsia="ja-JP"/>
        </w:rPr>
        <w:t>attempts</w:t>
      </w:r>
      <w:r>
        <w:rPr>
          <w:rFonts w:eastAsia="MS Mincho" w:hint="eastAsia"/>
          <w:lang w:eastAsia="ja-JP"/>
        </w:rPr>
        <w:t xml:space="preserve"> for air </w:t>
      </w:r>
      <w:r>
        <w:rPr>
          <w:rFonts w:eastAsia="MS Mincho"/>
          <w:lang w:eastAsia="ja-JP"/>
        </w:rPr>
        <w:t>pollution</w:t>
      </w:r>
      <w:r>
        <w:rPr>
          <w:rFonts w:eastAsia="MS Mincho" w:hint="eastAsia"/>
          <w:lang w:eastAsia="ja-JP"/>
        </w:rPr>
        <w:t xml:space="preserve"> reduction are discussed and performed</w:t>
      </w:r>
      <w:r w:rsidRPr="00DF2980">
        <w:t xml:space="preserve"> </w:t>
      </w:r>
      <w:r w:rsidRPr="00DF2980">
        <w:rPr>
          <w:rFonts w:eastAsia="MS Mincho"/>
          <w:lang w:eastAsia="ja-JP"/>
        </w:rPr>
        <w:t>worldwide for global environment preservation.</w:t>
      </w:r>
      <w:r>
        <w:rPr>
          <w:rFonts w:eastAsia="MS Mincho" w:hint="eastAsia"/>
          <w:lang w:eastAsia="ja-JP"/>
        </w:rPr>
        <w:t xml:space="preserve"> Regarding mobile sources, in order to </w:t>
      </w:r>
      <w:r>
        <w:rPr>
          <w:rFonts w:eastAsia="MS Mincho"/>
          <w:lang w:eastAsia="ja-JP"/>
        </w:rPr>
        <w:t>contribute</w:t>
      </w:r>
      <w:r>
        <w:rPr>
          <w:rFonts w:eastAsia="MS Mincho" w:hint="eastAsia"/>
          <w:lang w:eastAsia="ja-JP"/>
        </w:rPr>
        <w:t xml:space="preserve"> much reduction of </w:t>
      </w:r>
      <w:r w:rsidRPr="008C2D4C">
        <w:rPr>
          <w:rFonts w:eastAsia="MS Mincho"/>
          <w:lang w:eastAsia="ja-JP"/>
        </w:rPr>
        <w:t>ozone and particulate matter</w:t>
      </w:r>
      <w:r>
        <w:rPr>
          <w:rFonts w:eastAsia="MS Mincho" w:hint="eastAsia"/>
          <w:lang w:eastAsia="ja-JP"/>
        </w:rPr>
        <w:t xml:space="preserve">, </w:t>
      </w:r>
      <w:r w:rsidRPr="00FA6996">
        <w:rPr>
          <w:rFonts w:eastAsia="MS Mincho"/>
          <w:lang w:eastAsia="ja-JP"/>
        </w:rPr>
        <w:t>the cars we drive and the fuel we use must be transformed away from petroleum.</w:t>
      </w:r>
      <w:r>
        <w:rPr>
          <w:rFonts w:eastAsia="MS Mincho" w:hint="eastAsia"/>
          <w:lang w:eastAsia="ja-JP"/>
        </w:rPr>
        <w:t xml:space="preserve"> The </w:t>
      </w:r>
      <w:r w:rsidRPr="00FA6996">
        <w:rPr>
          <w:rFonts w:eastAsia="MS Mincho"/>
          <w:lang w:eastAsia="ja-JP"/>
        </w:rPr>
        <w:t xml:space="preserve">ZEV (Zero Emission Vehicle) </w:t>
      </w:r>
      <w:r>
        <w:rPr>
          <w:rFonts w:eastAsia="MS Mincho" w:hint="eastAsia"/>
          <w:lang w:eastAsia="ja-JP"/>
        </w:rPr>
        <w:t xml:space="preserve">Program developed and started in </w:t>
      </w:r>
      <w:r>
        <w:rPr>
          <w:rFonts w:eastAsia="MS Mincho"/>
          <w:lang w:eastAsia="ja-JP"/>
        </w:rPr>
        <w:t xml:space="preserve">the </w:t>
      </w:r>
      <w:r>
        <w:rPr>
          <w:rFonts w:eastAsia="MS Mincho" w:hint="eastAsia"/>
          <w:lang w:eastAsia="ja-JP"/>
        </w:rPr>
        <w:t xml:space="preserve">California State, US, is one of typical approaches for this </w:t>
      </w:r>
      <w:r>
        <w:rPr>
          <w:rFonts w:eastAsia="MS Mincho"/>
          <w:lang w:eastAsia="ja-JP"/>
        </w:rPr>
        <w:t>purpose</w:t>
      </w:r>
      <w:r>
        <w:rPr>
          <w:rFonts w:eastAsia="MS Mincho" w:hint="eastAsia"/>
          <w:lang w:eastAsia="ja-JP"/>
        </w:rPr>
        <w:t xml:space="preserve">. </w:t>
      </w:r>
      <w:r>
        <w:rPr>
          <w:rFonts w:eastAsia="MS Mincho"/>
          <w:lang w:eastAsia="ja-JP"/>
        </w:rPr>
        <w:t xml:space="preserve">The </w:t>
      </w:r>
      <w:r>
        <w:rPr>
          <w:rFonts w:eastAsia="MS Mincho" w:hint="eastAsia"/>
          <w:lang w:eastAsia="ja-JP"/>
        </w:rPr>
        <w:t xml:space="preserve">conditions of the </w:t>
      </w:r>
      <w:r>
        <w:rPr>
          <w:rFonts w:eastAsia="MS Mincho"/>
          <w:lang w:eastAsia="ja-JP"/>
        </w:rPr>
        <w:t>ZEV program</w:t>
      </w:r>
      <w:r>
        <w:rPr>
          <w:rFonts w:eastAsia="MS Mincho" w:hint="eastAsia"/>
          <w:lang w:eastAsia="ja-JP"/>
        </w:rPr>
        <w:t xml:space="preserve"> </w:t>
      </w:r>
      <w:r w:rsidRPr="008B7BBC">
        <w:rPr>
          <w:rFonts w:eastAsia="MS Mincho"/>
          <w:lang w:eastAsia="ja-JP"/>
        </w:rPr>
        <w:t>will become even more severe in 2018 and the range of adoption will expand from California</w:t>
      </w:r>
      <w:r>
        <w:rPr>
          <w:rFonts w:eastAsia="MS Mincho" w:hint="eastAsia"/>
          <w:lang w:eastAsia="ja-JP"/>
        </w:rPr>
        <w:t xml:space="preserve"> State</w:t>
      </w:r>
      <w:r w:rsidRPr="008B7BBC">
        <w:rPr>
          <w:rFonts w:eastAsia="MS Mincho"/>
          <w:lang w:eastAsia="ja-JP"/>
        </w:rPr>
        <w:t xml:space="preserve"> to </w:t>
      </w:r>
      <w:r>
        <w:rPr>
          <w:rFonts w:eastAsia="MS Mincho" w:hint="eastAsia"/>
          <w:lang w:eastAsia="ja-JP"/>
        </w:rPr>
        <w:t xml:space="preserve">other </w:t>
      </w:r>
      <w:r w:rsidRPr="008B7BBC">
        <w:rPr>
          <w:rFonts w:eastAsia="MS Mincho"/>
          <w:lang w:eastAsia="ja-JP"/>
        </w:rPr>
        <w:t xml:space="preserve">11 US states. China will also bring in the NEV (New Energy Vehicle) regulation of programs closer to </w:t>
      </w:r>
      <w:r>
        <w:rPr>
          <w:rFonts w:eastAsia="MS Mincho" w:hint="eastAsia"/>
          <w:lang w:eastAsia="ja-JP"/>
        </w:rPr>
        <w:t xml:space="preserve">the </w:t>
      </w:r>
      <w:r w:rsidRPr="008B7BBC">
        <w:rPr>
          <w:rFonts w:eastAsia="MS Mincho"/>
          <w:lang w:eastAsia="ja-JP"/>
        </w:rPr>
        <w:t>ZEV</w:t>
      </w:r>
      <w:r>
        <w:rPr>
          <w:rFonts w:eastAsia="MS Mincho" w:hint="eastAsia"/>
          <w:lang w:eastAsia="ja-JP"/>
        </w:rPr>
        <w:t xml:space="preserve"> program</w:t>
      </w:r>
      <w:r w:rsidRPr="008B7BBC">
        <w:rPr>
          <w:rFonts w:eastAsia="MS Mincho"/>
          <w:lang w:eastAsia="ja-JP"/>
        </w:rPr>
        <w:t xml:space="preserve"> in 2018.</w:t>
      </w:r>
      <w:r>
        <w:rPr>
          <w:rFonts w:eastAsia="MS Mincho" w:hint="eastAsia"/>
          <w:lang w:eastAsia="ja-JP"/>
        </w:rPr>
        <w:t xml:space="preserve"> Also, in European countries, such as Germany, the United Kingdom and France, some programs</w:t>
      </w:r>
      <w:r>
        <w:rPr>
          <w:rFonts w:eastAsia="MS Mincho"/>
          <w:lang w:eastAsia="ja-JP"/>
        </w:rPr>
        <w:t xml:space="preserve"> which prohibit</w:t>
      </w:r>
      <w:r w:rsidRPr="000B7DB8">
        <w:rPr>
          <w:rFonts w:eastAsia="MS Mincho"/>
          <w:lang w:eastAsia="ja-JP"/>
        </w:rPr>
        <w:t xml:space="preserve"> sale of car</w:t>
      </w:r>
      <w:r>
        <w:rPr>
          <w:rFonts w:eastAsia="MS Mincho" w:hint="eastAsia"/>
          <w:lang w:eastAsia="ja-JP"/>
        </w:rPr>
        <w:t xml:space="preserve">s using petroleum by 2030 or 2040 are discussed and planned. </w:t>
      </w:r>
      <w:r w:rsidRPr="008B7BBC">
        <w:rPr>
          <w:rFonts w:eastAsia="MS Mincho"/>
          <w:lang w:eastAsia="ja-JP"/>
        </w:rPr>
        <w:t xml:space="preserve">In </w:t>
      </w:r>
      <w:r>
        <w:rPr>
          <w:rFonts w:eastAsia="MS Mincho" w:hint="eastAsia"/>
          <w:lang w:eastAsia="ja-JP"/>
        </w:rPr>
        <w:t xml:space="preserve">these </w:t>
      </w:r>
      <w:r w:rsidRPr="008B7BBC">
        <w:rPr>
          <w:rFonts w:eastAsia="MS Mincho"/>
          <w:lang w:eastAsia="ja-JP"/>
        </w:rPr>
        <w:t>situation</w:t>
      </w:r>
      <w:r>
        <w:rPr>
          <w:rFonts w:eastAsia="MS Mincho" w:hint="eastAsia"/>
          <w:lang w:eastAsia="ja-JP"/>
        </w:rPr>
        <w:t>s</w:t>
      </w:r>
      <w:r w:rsidRPr="008B7BBC">
        <w:rPr>
          <w:rFonts w:eastAsia="MS Mincho"/>
          <w:lang w:eastAsia="ja-JP"/>
        </w:rPr>
        <w:t xml:space="preserve">, </w:t>
      </w:r>
      <w:r>
        <w:rPr>
          <w:rFonts w:eastAsia="MS Mincho" w:hint="eastAsia"/>
          <w:lang w:eastAsia="ja-JP"/>
        </w:rPr>
        <w:t>a</w:t>
      </w:r>
      <w:r w:rsidRPr="008B7BBC">
        <w:rPr>
          <w:rFonts w:eastAsia="MS Mincho"/>
          <w:lang w:eastAsia="ja-JP"/>
        </w:rPr>
        <w:t>utomobile industr</w:t>
      </w:r>
      <w:r>
        <w:rPr>
          <w:rFonts w:eastAsia="MS Mincho" w:hint="eastAsia"/>
          <w:lang w:eastAsia="ja-JP"/>
        </w:rPr>
        <w:t xml:space="preserve">ies are </w:t>
      </w:r>
      <w:r w:rsidRPr="008B7BBC">
        <w:rPr>
          <w:rFonts w:eastAsia="MS Mincho"/>
          <w:lang w:eastAsia="ja-JP"/>
        </w:rPr>
        <w:t>going to have to shift from gasoline and diesel vehicles to Plug-in H</w:t>
      </w:r>
      <w:r>
        <w:rPr>
          <w:rFonts w:eastAsia="MS Mincho" w:hint="eastAsia"/>
          <w:lang w:eastAsia="ja-JP"/>
        </w:rPr>
        <w:t>ybrid Vehicles</w:t>
      </w:r>
      <w:r w:rsidRPr="008B7BBC">
        <w:rPr>
          <w:rFonts w:eastAsia="MS Mincho"/>
          <w:lang w:eastAsia="ja-JP"/>
        </w:rPr>
        <w:t xml:space="preserve"> and EV</w:t>
      </w:r>
      <w:r>
        <w:rPr>
          <w:rFonts w:eastAsia="MS Mincho" w:hint="eastAsia"/>
          <w:lang w:eastAsia="ja-JP"/>
        </w:rPr>
        <w:t>s</w:t>
      </w:r>
      <w:r>
        <w:rPr>
          <w:rFonts w:eastAsia="MS Mincho"/>
          <w:lang w:eastAsia="ja-JP"/>
        </w:rPr>
        <w:t xml:space="preserve"> </w:t>
      </w:r>
      <w:r>
        <w:rPr>
          <w:rFonts w:eastAsia="MS Mincho" w:hint="eastAsia"/>
          <w:lang w:eastAsia="ja-JP"/>
        </w:rPr>
        <w:t>in the very near future.</w:t>
      </w:r>
    </w:p>
    <w:p w:rsidR="003D3A77" w:rsidRDefault="003D3A77" w:rsidP="005D267F">
      <w:pPr>
        <w:ind w:firstLineChars="300" w:firstLine="720"/>
        <w:jc w:val="both"/>
        <w:rPr>
          <w:rFonts w:eastAsia="MS Mincho"/>
          <w:lang w:eastAsia="ja-JP"/>
        </w:rPr>
      </w:pPr>
    </w:p>
    <w:p w:rsidR="005D267F" w:rsidRDefault="005D267F" w:rsidP="005D267F">
      <w:pPr>
        <w:ind w:firstLineChars="300" w:firstLine="720"/>
        <w:jc w:val="both"/>
        <w:rPr>
          <w:rFonts w:eastAsia="MS Mincho"/>
          <w:lang w:eastAsia="ja-JP"/>
        </w:rPr>
      </w:pPr>
      <w:r>
        <w:rPr>
          <w:rFonts w:eastAsia="MS Mincho" w:hint="eastAsia"/>
          <w:lang w:eastAsia="ja-JP"/>
        </w:rPr>
        <w:t xml:space="preserve">Conductive </w:t>
      </w:r>
      <w:r>
        <w:rPr>
          <w:rFonts w:eastAsia="MS Mincho"/>
          <w:lang w:eastAsia="ja-JP"/>
        </w:rPr>
        <w:t>charging</w:t>
      </w:r>
      <w:r>
        <w:rPr>
          <w:rFonts w:eastAsia="MS Mincho" w:hint="eastAsia"/>
          <w:lang w:eastAsia="ja-JP"/>
        </w:rPr>
        <w:t xml:space="preserve"> systems for EVs have been </w:t>
      </w:r>
      <w:r>
        <w:rPr>
          <w:rFonts w:eastAsia="MS Mincho"/>
          <w:lang w:eastAsia="ja-JP"/>
        </w:rPr>
        <w:t>already</w:t>
      </w:r>
      <w:r>
        <w:rPr>
          <w:rFonts w:eastAsia="MS Mincho" w:hint="eastAsia"/>
          <w:lang w:eastAsia="ja-JP"/>
        </w:rPr>
        <w:t xml:space="preserve"> commercialized. However, wireless charging systems using WPT technologies are more effective and more attractive for EV users because WPT systems have the following merits</w:t>
      </w:r>
      <w:r>
        <w:rPr>
          <w:rFonts w:eastAsia="MS Mincho"/>
          <w:lang w:eastAsia="ja-JP"/>
        </w:rPr>
        <w:t>:</w:t>
      </w:r>
    </w:p>
    <w:p w:rsidR="005D267F" w:rsidRPr="00375309" w:rsidRDefault="005D267F" w:rsidP="005D267F">
      <w:pPr>
        <w:pStyle w:val="ListParagraph"/>
        <w:numPr>
          <w:ilvl w:val="0"/>
          <w:numId w:val="64"/>
        </w:numPr>
        <w:ind w:leftChars="0"/>
        <w:jc w:val="both"/>
        <w:rPr>
          <w:rFonts w:eastAsia="MS Mincho"/>
          <w:sz w:val="24"/>
          <w:szCs w:val="24"/>
          <w:lang w:eastAsia="ja-JP"/>
        </w:rPr>
      </w:pPr>
      <w:r w:rsidRPr="00375309">
        <w:rPr>
          <w:rFonts w:eastAsia="MS Mincho"/>
          <w:sz w:val="24"/>
          <w:szCs w:val="24"/>
          <w:lang w:eastAsia="ja-JP"/>
        </w:rPr>
        <w:t>Avoidance of operations to attachment and remove charging connecters and cables.</w:t>
      </w:r>
    </w:p>
    <w:p w:rsidR="005D267F" w:rsidRPr="005D267F" w:rsidRDefault="005D267F" w:rsidP="005D267F">
      <w:pPr>
        <w:pStyle w:val="ListParagraph"/>
        <w:numPr>
          <w:ilvl w:val="0"/>
          <w:numId w:val="64"/>
        </w:numPr>
        <w:ind w:leftChars="0"/>
        <w:rPr>
          <w:rFonts w:eastAsia="SimSun" w:cs="Times New Roman"/>
          <w:sz w:val="24"/>
          <w:szCs w:val="24"/>
        </w:rPr>
      </w:pPr>
      <w:r w:rsidRPr="005D267F">
        <w:rPr>
          <w:rFonts w:eastAsia="SimSun" w:cs="Times New Roman"/>
          <w:sz w:val="24"/>
          <w:szCs w:val="24"/>
        </w:rPr>
        <w:t xml:space="preserve">Effective for use cases in which frequently charging is required. For example, charging for mobility which moves around only in neighborhood areas, such as home delivery and mail delivery. </w:t>
      </w:r>
    </w:p>
    <w:p w:rsidR="005D267F" w:rsidRPr="005D267F" w:rsidRDefault="005D267F" w:rsidP="005D267F">
      <w:pPr>
        <w:pStyle w:val="ListParagraph"/>
        <w:numPr>
          <w:ilvl w:val="0"/>
          <w:numId w:val="64"/>
        </w:numPr>
        <w:ind w:leftChars="0"/>
        <w:rPr>
          <w:rFonts w:eastAsia="SimSun" w:cs="Times New Roman"/>
          <w:sz w:val="24"/>
          <w:szCs w:val="24"/>
        </w:rPr>
      </w:pPr>
      <w:r w:rsidRPr="005D267F">
        <w:rPr>
          <w:rFonts w:eastAsia="SimSun" w:cs="Times New Roman"/>
          <w:sz w:val="24"/>
          <w:szCs w:val="24"/>
        </w:rPr>
        <w:t>Effective for use cases in which conductive charging is impossible. For example, charging for mobility in multistory parking garage.</w:t>
      </w:r>
    </w:p>
    <w:p w:rsidR="003D3A77" w:rsidRDefault="003D3A77" w:rsidP="005D267F">
      <w:pPr>
        <w:jc w:val="both"/>
        <w:rPr>
          <w:rFonts w:eastAsia="MS Mincho"/>
          <w:lang w:eastAsia="ja-JP"/>
        </w:rPr>
      </w:pPr>
    </w:p>
    <w:p w:rsidR="005D267F" w:rsidRDefault="005D267F" w:rsidP="005D267F">
      <w:pPr>
        <w:jc w:val="both"/>
        <w:rPr>
          <w:rFonts w:eastAsia="MS Mincho"/>
          <w:lang w:eastAsia="ja-JP"/>
        </w:rPr>
      </w:pPr>
      <w:r>
        <w:rPr>
          <w:rFonts w:eastAsia="MS Mincho" w:hint="eastAsia"/>
          <w:lang w:eastAsia="ja-JP"/>
        </w:rPr>
        <w:t xml:space="preserve">From these considerations, many industries </w:t>
      </w:r>
      <w:r>
        <w:rPr>
          <w:rFonts w:eastAsia="MS Mincho"/>
          <w:lang w:eastAsia="ja-JP"/>
        </w:rPr>
        <w:t>energetically</w:t>
      </w:r>
      <w:r>
        <w:rPr>
          <w:rFonts w:eastAsia="MS Mincho" w:hint="eastAsia"/>
          <w:lang w:eastAsia="ja-JP"/>
        </w:rPr>
        <w:t xml:space="preserve"> develop WPT systems for EVs. </w:t>
      </w:r>
      <w:r>
        <w:rPr>
          <w:rFonts w:eastAsia="MS Mincho"/>
          <w:lang w:eastAsia="ja-JP"/>
        </w:rPr>
        <w:t>C</w:t>
      </w:r>
      <w:r>
        <w:rPr>
          <w:rFonts w:eastAsia="MS Mincho" w:hint="eastAsia"/>
          <w:lang w:eastAsia="ja-JP"/>
        </w:rPr>
        <w:t xml:space="preserve">ommercialization of WPT for EVs will start in 2018.  </w:t>
      </w:r>
    </w:p>
    <w:p w:rsidR="005D267F" w:rsidRPr="003D65A7" w:rsidRDefault="005D267F" w:rsidP="005D267F">
      <w:pPr>
        <w:ind w:firstLineChars="300" w:firstLine="720"/>
        <w:jc w:val="both"/>
      </w:pPr>
      <w:r w:rsidRPr="008B7BBC">
        <w:rPr>
          <w:rFonts w:eastAsia="MS Mincho"/>
          <w:lang w:eastAsia="ja-JP"/>
        </w:rPr>
        <w:lastRenderedPageBreak/>
        <w:t xml:space="preserve">At the same time, </w:t>
      </w:r>
      <w:r>
        <w:rPr>
          <w:rFonts w:eastAsia="MS Mincho" w:hint="eastAsia"/>
          <w:lang w:eastAsia="ja-JP"/>
        </w:rPr>
        <w:t xml:space="preserve">standardization bodies such as IEC, ISO and SAE international, are discussing and developing new international standards for WPT systems for EVs. IEC and ISO will finalize the development of Technical Specifications (TSs) for </w:t>
      </w:r>
      <w:r>
        <w:rPr>
          <w:rFonts w:eastAsia="MS Mincho"/>
          <w:lang w:eastAsia="ja-JP"/>
        </w:rPr>
        <w:t>magnetic</w:t>
      </w:r>
      <w:r>
        <w:rPr>
          <w:rFonts w:eastAsia="MS Mincho" w:hint="eastAsia"/>
          <w:lang w:eastAsia="ja-JP"/>
        </w:rPr>
        <w:t xml:space="preserve"> field WPT systems for EVs by 2018. The frequency range for this WPT system is the most important specification, and </w:t>
      </w:r>
      <w:r w:rsidRPr="008B7BBC">
        <w:rPr>
          <w:rFonts w:eastAsia="MS Mincho"/>
          <w:lang w:eastAsia="ja-JP"/>
        </w:rPr>
        <w:t xml:space="preserve">is also needed </w:t>
      </w:r>
      <w:r>
        <w:rPr>
          <w:rFonts w:eastAsia="MS Mincho" w:hint="eastAsia"/>
          <w:lang w:eastAsia="ja-JP"/>
        </w:rPr>
        <w:t xml:space="preserve">to be determined and fixed internationally </w:t>
      </w:r>
      <w:r w:rsidRPr="008B7BBC">
        <w:rPr>
          <w:rFonts w:eastAsia="MS Mincho"/>
          <w:lang w:eastAsia="ja-JP"/>
        </w:rPr>
        <w:t>by 2018 as early as possible</w:t>
      </w:r>
      <w:r>
        <w:rPr>
          <w:rFonts w:eastAsia="MS Mincho" w:hint="eastAsia"/>
          <w:lang w:eastAsia="ja-JP"/>
        </w:rPr>
        <w:t>.</w:t>
      </w:r>
    </w:p>
    <w:p w:rsidR="003D3A77" w:rsidRDefault="003D3A77" w:rsidP="005D267F">
      <w:pPr>
        <w:spacing w:after="200"/>
        <w:ind w:firstLine="720"/>
        <w:jc w:val="both"/>
        <w:rPr>
          <w:rFonts w:eastAsia="SimSun"/>
          <w:lang w:eastAsia="ja-JP"/>
        </w:rPr>
      </w:pPr>
    </w:p>
    <w:p w:rsidR="005D267F" w:rsidRPr="005D267F" w:rsidRDefault="005D267F" w:rsidP="005D267F">
      <w:pPr>
        <w:spacing w:after="200"/>
        <w:ind w:firstLine="720"/>
        <w:jc w:val="both"/>
        <w:rPr>
          <w:rFonts w:eastAsia="SimSun"/>
          <w:lang w:eastAsia="ja-JP"/>
        </w:rPr>
      </w:pPr>
      <w:r w:rsidRPr="005D267F">
        <w:rPr>
          <w:rFonts w:eastAsia="SimSun"/>
          <w:lang w:eastAsia="ja-JP"/>
        </w:rPr>
        <w:t>In accordance with the Directive 2014/94/EU of the European Parliament and of the Council on the deployment of alternative fuels infrastructure, the European Commission published, in March 2015, the Commission Implementing Decision (M/533) on a standardization request addressed to the European standardization organizations to draft European standards for alternative fuels infrastructure. While 17 standardization items, including those for electricity supply, hydrogen supply and natural gas supply, are listed in this document, standardization on WPT system for EVs is listed at the top. CENELEC is requested to publish a European standard containing technical specifications with a single solution for wireless recharging for passenger cars and light duty vehicles interoperable with the specification in IEC 61980-3, by December 31</w:t>
      </w:r>
      <w:r w:rsidRPr="005D267F">
        <w:rPr>
          <w:rFonts w:eastAsia="SimSun"/>
          <w:vertAlign w:val="superscript"/>
          <w:lang w:eastAsia="ja-JP"/>
        </w:rPr>
        <w:t>st</w:t>
      </w:r>
      <w:r w:rsidRPr="005D267F">
        <w:rPr>
          <w:rFonts w:eastAsia="SimSun"/>
          <w:lang w:eastAsia="ja-JP"/>
        </w:rPr>
        <w:t xml:space="preserve"> of 2019. This has been a strong driving force for the standardization activity in IEC and ISO.</w:t>
      </w:r>
    </w:p>
    <w:p w:rsidR="005D267F" w:rsidRPr="003D65A7" w:rsidRDefault="005D267F" w:rsidP="005D267F">
      <w:pPr>
        <w:spacing w:after="200"/>
        <w:ind w:firstLine="720"/>
        <w:jc w:val="both"/>
        <w:rPr>
          <w:rFonts w:eastAsia="MS Mincho"/>
          <w:lang w:eastAsia="ja-JP"/>
        </w:rPr>
      </w:pPr>
      <w:r w:rsidRPr="005D267F">
        <w:rPr>
          <w:rFonts w:eastAsia="SimSun"/>
          <w:lang w:eastAsia="ja-JP"/>
        </w:rPr>
        <w:t xml:space="preserve">Magnetic Field Wireless </w:t>
      </w:r>
      <w:r w:rsidRPr="003D65A7">
        <w:rPr>
          <w:rFonts w:eastAsia="MS Mincho"/>
          <w:lang w:eastAsia="ja-JP"/>
        </w:rPr>
        <w:t xml:space="preserve">Power Transmission (or </w:t>
      </w:r>
      <w:r w:rsidRPr="005D267F">
        <w:rPr>
          <w:rFonts w:eastAsia="SimSun"/>
          <w:lang w:eastAsia="ja-JP"/>
        </w:rPr>
        <w:t xml:space="preserve">Transfer) (MF-WPT) is </w:t>
      </w:r>
      <w:r w:rsidRPr="003D65A7">
        <w:rPr>
          <w:rFonts w:eastAsia="MS Mincho"/>
          <w:lang w:eastAsia="ja-JP"/>
        </w:rPr>
        <w:t xml:space="preserve">one of the focal points </w:t>
      </w:r>
      <w:r w:rsidRPr="005D267F">
        <w:rPr>
          <w:rFonts w:eastAsia="SimSun"/>
          <w:lang w:eastAsia="ja-JP"/>
        </w:rPr>
        <w:t xml:space="preserve">in standardization discussion such as IEC PT61980, ISO </w:t>
      </w:r>
      <w:r w:rsidRPr="003D65A7">
        <w:rPr>
          <w:rFonts w:eastAsia="MS Mincho"/>
          <w:lang w:eastAsia="ja-JP"/>
        </w:rPr>
        <w:t>PAS</w:t>
      </w:r>
      <w:r w:rsidRPr="005D267F">
        <w:rPr>
          <w:rFonts w:eastAsia="SimSun"/>
          <w:lang w:eastAsia="ja-JP"/>
        </w:rPr>
        <w:t>19363, and SAE J2954TF regarding WPT for EVs (including Plug-in Hybrid EVs) though there are several types of WPT methods proposed. MF-WPT for EVs contains both inductive type and magnetic resonance type. Electric power can be transmitted from the primary coil to the secondary coil efficiently via magnetic field by using resonance between the coil and the capacitor.</w:t>
      </w:r>
      <w:r w:rsidRPr="003D65A7">
        <w:rPr>
          <w:rFonts w:eastAsia="MS Mincho"/>
          <w:lang w:eastAsia="ja-JP"/>
        </w:rPr>
        <w:t xml:space="preserve"> Figure 2.1 shows the configuration of a WPT system for EVs</w:t>
      </w:r>
      <w:r>
        <w:rPr>
          <w:rFonts w:eastAsia="MS Mincho"/>
          <w:lang w:eastAsia="ja-JP"/>
        </w:rPr>
        <w:t>.</w:t>
      </w:r>
    </w:p>
    <w:p w:rsidR="005D267F" w:rsidRPr="005D267F" w:rsidRDefault="005D267F" w:rsidP="005D267F">
      <w:pPr>
        <w:spacing w:after="200"/>
        <w:jc w:val="both"/>
        <w:rPr>
          <w:rFonts w:eastAsia="SimSun"/>
          <w:lang w:eastAsia="ja-JP"/>
        </w:rPr>
      </w:pPr>
      <w:r w:rsidRPr="005D267F">
        <w:rPr>
          <w:rFonts w:eastAsia="SimSun"/>
          <w:lang w:eastAsia="ja-JP"/>
        </w:rPr>
        <w:tab/>
        <w:t>Expected applications assume the following aspects.</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WPT application: Wireless electric charging from electric outlet at a residence and/or a public electric service facility to EVs.</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 xml:space="preserve">WPT usage scene: Electric </w:t>
      </w:r>
      <w:r>
        <w:rPr>
          <w:rFonts w:eastAsia="MS Mincho"/>
          <w:lang w:eastAsia="ja-JP"/>
        </w:rPr>
        <w:t>Vehicle</w:t>
      </w:r>
      <w:r w:rsidRPr="003D65A7">
        <w:rPr>
          <w:rFonts w:eastAsia="MS Mincho"/>
          <w:lang w:eastAsia="ja-JP"/>
        </w:rPr>
        <w:t xml:space="preserve"> charging wirelessly at residence, apartment, public parking</w:t>
      </w:r>
      <w:r>
        <w:rPr>
          <w:rFonts w:eastAsia="MS Mincho"/>
          <w:lang w:eastAsia="ja-JP"/>
        </w:rPr>
        <w:t>,</w:t>
      </w:r>
      <w:r w:rsidRPr="003D65A7">
        <w:rPr>
          <w:rFonts w:eastAsia="MS Mincho"/>
          <w:lang w:eastAsia="ja-JP"/>
        </w:rPr>
        <w:t xml:space="preserve"> etc.</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Electricity use in vehicles: All electric systems including charging batteries, computers, air conditioners, etc.</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WPT system example: See the following Figure 2.1.</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WPT method: A WPT system for EVs has at least two coils. One is in the primary device and the other is in the secondary device. The coils are facing each other over the air gap (See (7) below). Electric power will be transmitted from primary device to secondary device through magnetic flux/field.</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Device location (Coil location)</w:t>
      </w:r>
    </w:p>
    <w:p w:rsidR="005D267F" w:rsidRPr="003D65A7" w:rsidRDefault="005D267F" w:rsidP="005D267F">
      <w:pPr>
        <w:numPr>
          <w:ilvl w:val="2"/>
          <w:numId w:val="32"/>
        </w:numPr>
        <w:spacing w:after="120"/>
        <w:jc w:val="both"/>
        <w:rPr>
          <w:rFonts w:eastAsia="MS Mincho"/>
          <w:lang w:eastAsia="ja-JP"/>
        </w:rPr>
      </w:pPr>
      <w:r w:rsidRPr="003D65A7">
        <w:rPr>
          <w:rFonts w:eastAsia="MS Mincho"/>
          <w:lang w:eastAsia="ja-JP"/>
        </w:rPr>
        <w:t>Primary device: On ground or/and in ground</w:t>
      </w:r>
    </w:p>
    <w:p w:rsidR="005D267F" w:rsidRPr="003D65A7" w:rsidRDefault="005D267F" w:rsidP="005D267F">
      <w:pPr>
        <w:numPr>
          <w:ilvl w:val="2"/>
          <w:numId w:val="32"/>
        </w:numPr>
        <w:spacing w:after="120"/>
        <w:jc w:val="both"/>
        <w:rPr>
          <w:rFonts w:eastAsia="MS Mincho"/>
          <w:lang w:eastAsia="ja-JP"/>
        </w:rPr>
      </w:pPr>
      <w:r w:rsidRPr="003D65A7">
        <w:rPr>
          <w:rFonts w:eastAsia="MS Mincho"/>
          <w:lang w:eastAsia="ja-JP"/>
        </w:rPr>
        <w:t>Secondary device: Lower surface of vehicle</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Air gap between primary and secondary coils: Less than 30 cm</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Transmission power class example : 3 kW, 7 kW, 20 kW</w:t>
      </w:r>
    </w:p>
    <w:p w:rsidR="005D267F" w:rsidRPr="003D65A7" w:rsidRDefault="005D267F" w:rsidP="005D267F">
      <w:pPr>
        <w:numPr>
          <w:ilvl w:val="0"/>
          <w:numId w:val="31"/>
        </w:numPr>
        <w:spacing w:after="120"/>
        <w:ind w:left="1701" w:hanging="1041"/>
        <w:jc w:val="both"/>
        <w:rPr>
          <w:rFonts w:eastAsia="MS Mincho"/>
          <w:lang w:eastAsia="ja-JP"/>
        </w:rPr>
      </w:pPr>
      <w:r w:rsidRPr="003D65A7">
        <w:rPr>
          <w:rFonts w:eastAsia="MS Mincho"/>
          <w:lang w:eastAsia="ja-JP"/>
        </w:rPr>
        <w:t>Globally harmonized frequency operation</w:t>
      </w:r>
    </w:p>
    <w:p w:rsidR="005D267F" w:rsidRPr="003D65A7" w:rsidRDefault="005D267F" w:rsidP="005D267F">
      <w:pPr>
        <w:numPr>
          <w:ilvl w:val="0"/>
          <w:numId w:val="31"/>
        </w:numPr>
        <w:spacing w:after="600"/>
        <w:ind w:left="1701" w:hanging="1043"/>
        <w:jc w:val="both"/>
        <w:rPr>
          <w:rFonts w:eastAsia="MS Mincho"/>
          <w:lang w:eastAsia="ja-JP"/>
        </w:rPr>
      </w:pPr>
      <w:r w:rsidRPr="003D65A7">
        <w:rPr>
          <w:rFonts w:eastAsia="MS Mincho"/>
          <w:lang w:eastAsia="ja-JP"/>
        </w:rPr>
        <w:t xml:space="preserve">Safety: Primary device can start power transmission only if secondary device is located in the proper area for WPT. In addition, the system may operate foreign object detection mechanism between the primary and secondary devices before </w:t>
      </w:r>
      <w:r w:rsidRPr="003D65A7">
        <w:rPr>
          <w:rFonts w:eastAsia="MS Mincho"/>
          <w:lang w:eastAsia="ja-JP"/>
        </w:rPr>
        <w:lastRenderedPageBreak/>
        <w:t>and during transmitting power. Primary device shall stop power transmission if the system detects an event that may jeopardize safe power transmission to maintain.</w:t>
      </w:r>
    </w:p>
    <w:p w:rsidR="005D267F" w:rsidRPr="003D65A7" w:rsidRDefault="00105ECB" w:rsidP="005D267F">
      <w:pPr>
        <w:jc w:val="center"/>
        <w:rPr>
          <w:rFonts w:ascii="Century" w:eastAsia="MS Mincho" w:hAnsi="Century"/>
          <w:sz w:val="22"/>
          <w:szCs w:val="22"/>
          <w:lang w:eastAsia="ja-JP"/>
        </w:rPr>
      </w:pPr>
      <w:r w:rsidRPr="005D267F">
        <w:rPr>
          <w:rFonts w:ascii="Century" w:eastAsia="MS Mincho" w:hAnsi="Century"/>
          <w:noProof/>
          <w:sz w:val="22"/>
          <w:szCs w:val="22"/>
        </w:rPr>
        <w:drawing>
          <wp:inline distT="0" distB="0" distL="0" distR="0">
            <wp:extent cx="5034915" cy="2694305"/>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915" cy="2694305"/>
                    </a:xfrm>
                    <a:prstGeom prst="rect">
                      <a:avLst/>
                    </a:prstGeom>
                    <a:noFill/>
                    <a:ln>
                      <a:noFill/>
                    </a:ln>
                  </pic:spPr>
                </pic:pic>
              </a:graphicData>
            </a:graphic>
          </wp:inline>
        </w:drawing>
      </w:r>
    </w:p>
    <w:p w:rsidR="005D267F" w:rsidRPr="003D65A7" w:rsidRDefault="005D267F" w:rsidP="005D267F">
      <w:pPr>
        <w:wordWrap w:val="0"/>
        <w:rPr>
          <w:rFonts w:ascii="Century" w:hAnsi="Century"/>
          <w:sz w:val="21"/>
        </w:rPr>
      </w:pPr>
    </w:p>
    <w:p w:rsidR="005D267F" w:rsidRPr="005D267F" w:rsidRDefault="005D267F" w:rsidP="005D267F">
      <w:pPr>
        <w:jc w:val="center"/>
        <w:rPr>
          <w:rFonts w:eastAsia="SimSun"/>
          <w:szCs w:val="22"/>
          <w:lang w:eastAsia="ja-JP"/>
        </w:rPr>
      </w:pPr>
      <w:r w:rsidRPr="003D65A7">
        <w:t>Figure</w:t>
      </w:r>
      <w:r w:rsidRPr="005D267F">
        <w:rPr>
          <w:rFonts w:eastAsia="SimSun"/>
          <w:szCs w:val="22"/>
          <w:lang w:eastAsia="ja-JP"/>
        </w:rPr>
        <w:t xml:space="preserve"> </w:t>
      </w:r>
      <w:r w:rsidRPr="003D65A7">
        <w:rPr>
          <w:rFonts w:eastAsia="MS Mincho"/>
          <w:szCs w:val="22"/>
          <w:lang w:eastAsia="ja-JP"/>
        </w:rPr>
        <w:t>2.1</w:t>
      </w:r>
      <w:r w:rsidRPr="005D267F">
        <w:rPr>
          <w:rFonts w:eastAsia="SimSun"/>
          <w:szCs w:val="22"/>
          <w:lang w:eastAsia="ja-JP"/>
        </w:rPr>
        <w:t xml:space="preserve"> Example of </w:t>
      </w:r>
      <w:r w:rsidRPr="003D65A7">
        <w:rPr>
          <w:rFonts w:eastAsia="MS Mincho"/>
          <w:szCs w:val="22"/>
          <w:lang w:eastAsia="ja-JP"/>
        </w:rPr>
        <w:t xml:space="preserve">a </w:t>
      </w:r>
      <w:r w:rsidRPr="005D267F">
        <w:rPr>
          <w:rFonts w:eastAsia="SimSun"/>
          <w:szCs w:val="22"/>
          <w:lang w:eastAsia="ja-JP"/>
        </w:rPr>
        <w:t>WPT system for passenger EVs</w:t>
      </w:r>
    </w:p>
    <w:p w:rsidR="005D267F" w:rsidRPr="003D65A7" w:rsidRDefault="005D267F" w:rsidP="005D267F">
      <w:pPr>
        <w:ind w:firstLine="720"/>
        <w:rPr>
          <w:b/>
        </w:rPr>
      </w:pPr>
    </w:p>
    <w:p w:rsidR="005D267F" w:rsidRPr="0025486F" w:rsidRDefault="005D267F" w:rsidP="005D267F">
      <w:pPr>
        <w:pStyle w:val="Heading2"/>
      </w:pPr>
      <w:bookmarkStart w:id="3" w:name="_Toc494297281"/>
      <w:r w:rsidRPr="0025486F">
        <w:rPr>
          <w:rFonts w:ascii="Times New Roman" w:hAnsi="Times New Roman" w:cs="Times New Roman"/>
        </w:rPr>
        <w:t>2.2 Buses and trucks</w:t>
      </w:r>
      <w:bookmarkEnd w:id="3"/>
    </w:p>
    <w:p w:rsidR="005D267F" w:rsidRPr="00613C74" w:rsidRDefault="005D267F" w:rsidP="005D267F">
      <w:pPr>
        <w:ind w:firstLine="720"/>
        <w:jc w:val="both"/>
        <w:rPr>
          <w:lang w:eastAsia="ko-KR"/>
        </w:rPr>
      </w:pPr>
      <w:r w:rsidRPr="005E2A2C">
        <w:rPr>
          <w:lang w:eastAsia="ko-KR"/>
        </w:rPr>
        <w:t>In order to run heavy duty vehicles such as an electrical bus, the infrastructure of the system is to embed electric strips in roadbeds that magnetically transmit energy to battery-powered vehicles above. The bus can move along the electrical strips without any stopping for charging its power, known as on-line electric vehicle (OLEV). Furthermore</w:t>
      </w:r>
      <w:r>
        <w:rPr>
          <w:lang w:eastAsia="ko-KR"/>
        </w:rPr>
        <w:t>,</w:t>
      </w:r>
      <w:r w:rsidRPr="005E2A2C">
        <w:rPr>
          <w:lang w:eastAsia="ko-KR"/>
        </w:rPr>
        <w:t xml:space="preserve"> the bus can be charged a stopping condition in bus stop or bus garage. The online bus at an amusement park or at the city is the first system oper</w:t>
      </w:r>
      <w:r w:rsidRPr="00613C74">
        <w:rPr>
          <w:lang w:eastAsia="ko-KR"/>
        </w:rPr>
        <w:t>ated in the form of EV for heavy duty vehicles in the world.</w:t>
      </w:r>
    </w:p>
    <w:p w:rsidR="005D267F" w:rsidRPr="00613C74" w:rsidRDefault="005D267F" w:rsidP="005D267F">
      <w:pPr>
        <w:jc w:val="both"/>
        <w:rPr>
          <w:rFonts w:eastAsia="MS Mincho"/>
          <w:lang w:eastAsia="ja-JP"/>
        </w:rPr>
      </w:pPr>
    </w:p>
    <w:p w:rsidR="005D267F" w:rsidRPr="005E2A2C" w:rsidRDefault="00105ECB" w:rsidP="005D267F">
      <w:pPr>
        <w:keepNext/>
        <w:keepLines/>
        <w:tabs>
          <w:tab w:val="left" w:pos="1134"/>
          <w:tab w:val="left" w:pos="1871"/>
          <w:tab w:val="left" w:pos="2268"/>
        </w:tabs>
        <w:overflowPunct w:val="0"/>
        <w:autoSpaceDE w:val="0"/>
        <w:autoSpaceDN w:val="0"/>
        <w:adjustRightInd w:val="0"/>
        <w:spacing w:before="120"/>
        <w:jc w:val="center"/>
        <w:textAlignment w:val="baseline"/>
        <w:rPr>
          <w:rFonts w:eastAsia="Batang"/>
          <w:szCs w:val="20"/>
          <w:lang w:eastAsia="ko-KR"/>
        </w:rPr>
      </w:pPr>
      <w:r w:rsidRPr="005D267F">
        <w:rPr>
          <w:rFonts w:eastAsia="Batang"/>
          <w:noProof/>
          <w:szCs w:val="20"/>
        </w:rPr>
        <w:drawing>
          <wp:inline distT="0" distB="0" distL="0" distR="0">
            <wp:extent cx="4626610" cy="2362200"/>
            <wp:effectExtent l="0" t="0" r="0" b="0"/>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r="-1456"/>
                    <a:stretch>
                      <a:fillRect/>
                    </a:stretch>
                  </pic:blipFill>
                  <pic:spPr bwMode="auto">
                    <a:xfrm>
                      <a:off x="0" y="0"/>
                      <a:ext cx="4626610" cy="2362200"/>
                    </a:xfrm>
                    <a:prstGeom prst="rect">
                      <a:avLst/>
                    </a:prstGeom>
                    <a:noFill/>
                    <a:ln>
                      <a:noFill/>
                    </a:ln>
                  </pic:spPr>
                </pic:pic>
              </a:graphicData>
            </a:graphic>
          </wp:inline>
        </w:drawing>
      </w:r>
    </w:p>
    <w:p w:rsidR="005D267F" w:rsidRPr="005D267F" w:rsidRDefault="005D267F" w:rsidP="005D267F">
      <w:pPr>
        <w:spacing w:before="120"/>
        <w:jc w:val="center"/>
        <w:rPr>
          <w:rFonts w:eastAsia="SimSun"/>
          <w:szCs w:val="22"/>
          <w:lang w:eastAsia="ja-JP"/>
        </w:rPr>
      </w:pPr>
      <w:r w:rsidRPr="005E2A2C">
        <w:rPr>
          <w:rFonts w:eastAsia="MS Mincho"/>
          <w:szCs w:val="22"/>
          <w:lang w:eastAsia="ja-JP"/>
        </w:rPr>
        <w:t>Figure</w:t>
      </w:r>
      <w:r w:rsidRPr="005D267F">
        <w:rPr>
          <w:rFonts w:eastAsia="SimSun"/>
          <w:szCs w:val="22"/>
          <w:lang w:eastAsia="ja-JP"/>
        </w:rPr>
        <w:t xml:space="preserve"> 2.2 Technical characteristics of an online electric vehicle</w:t>
      </w:r>
    </w:p>
    <w:p w:rsidR="005D267F" w:rsidRPr="005D267F" w:rsidRDefault="005D267F" w:rsidP="005D267F">
      <w:pPr>
        <w:rPr>
          <w:rFonts w:eastAsia="SimSun"/>
          <w:szCs w:val="22"/>
          <w:lang w:eastAsia="ja-JP"/>
        </w:rPr>
      </w:pPr>
    </w:p>
    <w:p w:rsidR="005D267F" w:rsidRPr="005E2A2C" w:rsidRDefault="005D267F" w:rsidP="005D267F">
      <w:pPr>
        <w:ind w:firstLine="720"/>
        <w:jc w:val="both"/>
        <w:rPr>
          <w:lang w:eastAsia="ko-KR"/>
        </w:rPr>
      </w:pPr>
      <w:r w:rsidRPr="005E2A2C">
        <w:rPr>
          <w:lang w:eastAsia="ko-KR"/>
        </w:rPr>
        <w:t>The design of magnetic field from transmitting coil to receiving coil is the key in WPT system design for maximum power and efficiency.</w:t>
      </w:r>
    </w:p>
    <w:p w:rsidR="005D267F" w:rsidRPr="005E2A2C" w:rsidRDefault="005D267F" w:rsidP="005D267F">
      <w:pPr>
        <w:ind w:firstLine="720"/>
        <w:jc w:val="both"/>
        <w:rPr>
          <w:lang w:eastAsia="ko-KR"/>
        </w:rPr>
      </w:pPr>
      <w:r w:rsidRPr="005E2A2C">
        <w:rPr>
          <w:lang w:eastAsia="ko-KR"/>
        </w:rPr>
        <w:t>First, the magnetic field should be in resonance by using resonant transmitting and receiving coils to have high power and efficiency.</w:t>
      </w:r>
    </w:p>
    <w:p w:rsidR="005D267F" w:rsidRPr="005E2A2C" w:rsidRDefault="005D267F" w:rsidP="005D267F">
      <w:pPr>
        <w:ind w:firstLine="720"/>
        <w:jc w:val="both"/>
        <w:rPr>
          <w:lang w:eastAsia="ko-KR"/>
        </w:rPr>
      </w:pPr>
      <w:r w:rsidRPr="005E2A2C">
        <w:rPr>
          <w:lang w:eastAsia="ko-KR"/>
        </w:rPr>
        <w:lastRenderedPageBreak/>
        <w:t>Second, the magnetic field shape</w:t>
      </w:r>
      <w:bookmarkStart w:id="4" w:name="_GoBack"/>
      <w:bookmarkEnd w:id="4"/>
      <w:r w:rsidRPr="005E2A2C">
        <w:rPr>
          <w:lang w:eastAsia="ko-KR"/>
        </w:rPr>
        <w:t xml:space="preserve"> should be controlled, by using magnetic material such as ferrite</w:t>
      </w:r>
      <w:r w:rsidRPr="005E2A2C">
        <w:rPr>
          <w:lang w:eastAsia="ko-KR"/>
        </w:rPr>
        <w:noBreakHyphen/>
        <w:t>core, to have minimum magnetic resistance in the path of the magnetic field, for lower leakage magnetic field and higher transmission power.</w:t>
      </w:r>
    </w:p>
    <w:p w:rsidR="005D267F" w:rsidRPr="005E2A2C" w:rsidRDefault="005D267F" w:rsidP="005D267F">
      <w:pPr>
        <w:ind w:firstLine="720"/>
        <w:jc w:val="both"/>
        <w:rPr>
          <w:lang w:eastAsia="ko-KR"/>
        </w:rPr>
      </w:pPr>
      <w:r w:rsidRPr="005E2A2C">
        <w:rPr>
          <w:lang w:eastAsia="ko-KR"/>
        </w:rPr>
        <w:t>It is called as SMFIR (shaped magnetic field in resonance).</w:t>
      </w:r>
    </w:p>
    <w:p w:rsidR="005D267F" w:rsidRPr="005E2A2C" w:rsidRDefault="005D267F" w:rsidP="005D267F">
      <w:pPr>
        <w:ind w:firstLine="720"/>
        <w:jc w:val="both"/>
        <w:rPr>
          <w:lang w:eastAsia="ko-KR"/>
        </w:rPr>
      </w:pPr>
      <w:r w:rsidRPr="005E2A2C">
        <w:rPr>
          <w:lang w:eastAsia="ko-KR"/>
        </w:rPr>
        <w:t xml:space="preserve">Radiation measurement methodologies WPT EV systems for the heavy-duty vehicle are specified in </w:t>
      </w:r>
      <w:r>
        <w:rPr>
          <w:lang w:eastAsia="ja-JP"/>
        </w:rPr>
        <w:t>CISPR/B/672/DC</w:t>
      </w:r>
      <w:r>
        <w:rPr>
          <w:lang w:eastAsia="ko-KR"/>
        </w:rPr>
        <w:t>.</w:t>
      </w:r>
    </w:p>
    <w:p w:rsidR="005D267F" w:rsidRPr="005E2A2C" w:rsidRDefault="005D267F" w:rsidP="005D267F">
      <w:pPr>
        <w:jc w:val="both"/>
      </w:pPr>
    </w:p>
    <w:p w:rsidR="005D267F" w:rsidRPr="005E2A2C" w:rsidRDefault="00105ECB" w:rsidP="005D267F">
      <w:pPr>
        <w:keepNext/>
        <w:keepLines/>
        <w:tabs>
          <w:tab w:val="left" w:pos="1134"/>
          <w:tab w:val="left" w:pos="1871"/>
          <w:tab w:val="left" w:pos="2268"/>
        </w:tabs>
        <w:overflowPunct w:val="0"/>
        <w:autoSpaceDE w:val="0"/>
        <w:autoSpaceDN w:val="0"/>
        <w:adjustRightInd w:val="0"/>
        <w:jc w:val="center"/>
        <w:textAlignment w:val="baseline"/>
        <w:rPr>
          <w:rFonts w:ascii="Times New Roman Bold" w:eastAsia="MS Mincho" w:hAnsi="Times New Roman Bold"/>
          <w:b/>
          <w:sz w:val="20"/>
          <w:szCs w:val="20"/>
          <w:lang w:eastAsia="ja-JP"/>
        </w:rPr>
      </w:pPr>
      <w:r w:rsidRPr="005D267F">
        <w:rPr>
          <w:rFonts w:ascii="Times New Roman Bold" w:eastAsia="Batang" w:hAnsi="Times New Roman Bold"/>
          <w:b/>
          <w:noProof/>
          <w:sz w:val="20"/>
          <w:szCs w:val="20"/>
        </w:rPr>
        <w:drawing>
          <wp:inline distT="0" distB="0" distL="0" distR="0">
            <wp:extent cx="5459095" cy="3543300"/>
            <wp:effectExtent l="0" t="0" r="0" b="0"/>
            <wp:docPr id="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r="-1566"/>
                    <a:stretch>
                      <a:fillRect/>
                    </a:stretch>
                  </pic:blipFill>
                  <pic:spPr bwMode="auto">
                    <a:xfrm>
                      <a:off x="0" y="0"/>
                      <a:ext cx="5459095" cy="3543300"/>
                    </a:xfrm>
                    <a:prstGeom prst="rect">
                      <a:avLst/>
                    </a:prstGeom>
                    <a:noFill/>
                    <a:ln>
                      <a:noFill/>
                    </a:ln>
                  </pic:spPr>
                </pic:pic>
              </a:graphicData>
            </a:graphic>
          </wp:inline>
        </w:drawing>
      </w:r>
    </w:p>
    <w:p w:rsidR="005D267F" w:rsidRPr="005E2A2C" w:rsidRDefault="005D267F" w:rsidP="005D267F">
      <w:pPr>
        <w:jc w:val="center"/>
        <w:rPr>
          <w:b/>
        </w:rPr>
      </w:pPr>
      <w:r w:rsidRPr="005D267F">
        <w:rPr>
          <w:rFonts w:eastAsia="SimSun"/>
          <w:szCs w:val="22"/>
          <w:lang w:eastAsia="ja-JP"/>
        </w:rPr>
        <w:t>Figure 2.3 Example of an online electric vehicle</w:t>
      </w:r>
    </w:p>
    <w:p w:rsidR="005D267F" w:rsidRPr="003D65A7" w:rsidRDefault="005D267F" w:rsidP="005D267F">
      <w:pPr>
        <w:rPr>
          <w:b/>
        </w:rPr>
      </w:pPr>
    </w:p>
    <w:p w:rsidR="005D267F" w:rsidRPr="0025486F" w:rsidRDefault="005D267F" w:rsidP="005D267F">
      <w:pPr>
        <w:pStyle w:val="Heading1"/>
        <w:jc w:val="left"/>
      </w:pPr>
      <w:bookmarkStart w:id="5" w:name="_Toc494297282"/>
      <w:r w:rsidRPr="0025486F">
        <w:t>3. Standardization status</w:t>
      </w:r>
      <w:bookmarkEnd w:id="5"/>
    </w:p>
    <w:p w:rsidR="005D267F" w:rsidRPr="0025486F" w:rsidRDefault="005D267F" w:rsidP="005D267F">
      <w:pPr>
        <w:pStyle w:val="Heading2"/>
      </w:pPr>
      <w:bookmarkStart w:id="6" w:name="_Toc494297283"/>
      <w:r w:rsidRPr="0025486F">
        <w:rPr>
          <w:rFonts w:ascii="Times New Roman" w:eastAsia="MS Mincho" w:hAnsi="Times New Roman" w:cs="Times New Roman"/>
          <w:lang w:eastAsia="ja-JP"/>
        </w:rPr>
        <w:t>3.1</w:t>
      </w:r>
      <w:r w:rsidRPr="0025486F">
        <w:rPr>
          <w:rFonts w:ascii="Times New Roman" w:hAnsi="Times New Roman" w:cs="Times New Roman"/>
        </w:rPr>
        <w:t xml:space="preserve"> APT countries</w:t>
      </w:r>
      <w:bookmarkEnd w:id="6"/>
    </w:p>
    <w:p w:rsidR="005D267F" w:rsidRPr="0025486F" w:rsidRDefault="005D267F" w:rsidP="005D267F">
      <w:pPr>
        <w:pStyle w:val="Heading2"/>
        <w:rPr>
          <w:rFonts w:ascii="Times New Roman" w:hAnsi="Times New Roman" w:cs="Times New Roman"/>
        </w:rPr>
      </w:pPr>
      <w:bookmarkStart w:id="7" w:name="_Toc494297284"/>
      <w:r w:rsidRPr="0025486F">
        <w:rPr>
          <w:rFonts w:ascii="Times New Roman" w:hAnsi="Times New Roman" w:cs="Times New Roman"/>
        </w:rPr>
        <w:t>3.1.</w:t>
      </w:r>
      <w:r>
        <w:rPr>
          <w:rFonts w:ascii="Times New Roman" w:hAnsi="Times New Roman" w:cs="Times New Roman"/>
        </w:rPr>
        <w:t>1</w:t>
      </w:r>
      <w:r w:rsidRPr="0025486F">
        <w:rPr>
          <w:rFonts w:ascii="Times New Roman" w:hAnsi="Times New Roman" w:cs="Times New Roman"/>
        </w:rPr>
        <w:t xml:space="preserve"> China</w:t>
      </w:r>
      <w:bookmarkEnd w:id="7"/>
    </w:p>
    <w:p w:rsidR="005D267F" w:rsidRDefault="005D267F" w:rsidP="005D267F">
      <w:pPr>
        <w:ind w:firstLine="720"/>
        <w:rPr>
          <w:rFonts w:eastAsia="MS Mincho"/>
          <w:lang w:eastAsia="ja-JP"/>
        </w:rPr>
      </w:pPr>
      <w:r>
        <w:rPr>
          <w:rFonts w:eastAsia="MS Mincho"/>
          <w:lang w:eastAsia="ja-JP"/>
        </w:rPr>
        <w:t>R</w:t>
      </w:r>
      <w:r w:rsidRPr="00EC796A">
        <w:rPr>
          <w:rFonts w:eastAsia="MS Mincho"/>
          <w:lang w:eastAsia="ja-JP"/>
        </w:rPr>
        <w:t>egulatory</w:t>
      </w:r>
      <w:r w:rsidRPr="0065409D">
        <w:rPr>
          <w:rFonts w:eastAsia="MS Mincho"/>
          <w:lang w:eastAsia="ja-JP"/>
        </w:rPr>
        <w:t xml:space="preserve"> standards </w:t>
      </w:r>
      <w:r>
        <w:rPr>
          <w:rFonts w:eastAsia="MS Mincho"/>
          <w:lang w:eastAsia="ja-JP"/>
        </w:rPr>
        <w:t xml:space="preserve">and requirements </w:t>
      </w:r>
      <w:r w:rsidRPr="0065409D">
        <w:rPr>
          <w:rFonts w:eastAsia="MS Mincho"/>
          <w:lang w:eastAsia="ja-JP"/>
        </w:rPr>
        <w:t xml:space="preserve">are currently discussed </w:t>
      </w:r>
      <w:r>
        <w:rPr>
          <w:rFonts w:eastAsia="MS Mincho"/>
          <w:lang w:eastAsia="ja-JP"/>
        </w:rPr>
        <w:t xml:space="preserve">and </w:t>
      </w:r>
      <w:r>
        <w:rPr>
          <w:rFonts w:eastAsia="MS Mincho" w:hint="eastAsia"/>
          <w:lang w:eastAsia="ja-JP"/>
        </w:rPr>
        <w:t>d</w:t>
      </w:r>
      <w:r>
        <w:rPr>
          <w:rFonts w:eastAsia="MS Mincho"/>
          <w:lang w:eastAsia="ja-JP"/>
        </w:rPr>
        <w:t xml:space="preserve">evelopments are in progress </w:t>
      </w:r>
      <w:r w:rsidRPr="0065409D">
        <w:rPr>
          <w:rFonts w:eastAsia="MS Mincho"/>
          <w:lang w:eastAsia="ja-JP"/>
        </w:rPr>
        <w:t>in local municipal bureaus, industrial groups, and WPT-related national committees.</w:t>
      </w:r>
    </w:p>
    <w:p w:rsidR="005D267F" w:rsidRDefault="005D267F" w:rsidP="005D267F">
      <w:pPr>
        <w:ind w:firstLine="720"/>
        <w:rPr>
          <w:rFonts w:eastAsia="MS Mincho"/>
          <w:lang w:eastAsia="ja-JP"/>
        </w:rPr>
      </w:pPr>
      <w:r w:rsidDel="00F87906">
        <w:rPr>
          <w:rFonts w:eastAsia="MS Mincho"/>
          <w:lang w:eastAsia="ja-JP"/>
        </w:rPr>
        <w:t xml:space="preserve"> </w:t>
      </w:r>
    </w:p>
    <w:p w:rsidR="005D267F" w:rsidRPr="00950995" w:rsidRDefault="005D267F" w:rsidP="005D267F">
      <w:pPr>
        <w:rPr>
          <w:rFonts w:eastAsia="MS Mincho"/>
          <w:b/>
          <w:lang w:eastAsia="ja-JP"/>
        </w:rPr>
      </w:pPr>
      <w:r>
        <w:rPr>
          <w:rFonts w:eastAsia="SimSun" w:hint="eastAsia"/>
          <w:b/>
          <w:lang w:eastAsia="zh-CN"/>
        </w:rPr>
        <w:t>3.1.2.1</w:t>
      </w:r>
      <w:r w:rsidRPr="00950995">
        <w:rPr>
          <w:rFonts w:eastAsia="MS Mincho"/>
          <w:b/>
          <w:lang w:eastAsia="ja-JP"/>
        </w:rPr>
        <w:t xml:space="preserve"> Local Standards Status</w:t>
      </w:r>
    </w:p>
    <w:p w:rsidR="005D267F" w:rsidRDefault="005D267F" w:rsidP="005D267F">
      <w:pPr>
        <w:rPr>
          <w:rFonts w:eastAsia="MS Mincho"/>
          <w:lang w:eastAsia="ja-JP"/>
        </w:rPr>
      </w:pPr>
      <w:r>
        <w:rPr>
          <w:rFonts w:eastAsia="MS Mincho"/>
          <w:lang w:eastAsia="ja-JP"/>
        </w:rPr>
        <w:t>(1) Shenzhen</w:t>
      </w:r>
    </w:p>
    <w:p w:rsidR="005D267F" w:rsidRPr="00676B19" w:rsidRDefault="005D267F" w:rsidP="005D267F">
      <w:pPr>
        <w:ind w:firstLine="720"/>
        <w:rPr>
          <w:rFonts w:eastAsia="MS Mincho"/>
          <w:lang w:eastAsia="ja-JP"/>
        </w:rPr>
      </w:pPr>
      <w:r w:rsidRPr="00676B19">
        <w:rPr>
          <w:rFonts w:eastAsia="MS Mincho"/>
          <w:lang w:eastAsia="ja-JP"/>
        </w:rPr>
        <w:t>Market and Quality Supervision Commission of Shenzhen Municipality issued a series of local standards including 10 parts in August 2015</w:t>
      </w:r>
      <w:r>
        <w:rPr>
          <w:rFonts w:eastAsia="MS Mincho"/>
          <w:lang w:eastAsia="ja-JP"/>
        </w:rPr>
        <w:t>.</w:t>
      </w:r>
    </w:p>
    <w:p w:rsidR="005D267F" w:rsidRPr="00676B19" w:rsidRDefault="005D267F" w:rsidP="005D267F">
      <w:pPr>
        <w:ind w:firstLine="720"/>
        <w:rPr>
          <w:rFonts w:eastAsia="MS Mincho"/>
          <w:lang w:eastAsia="ja-JP"/>
        </w:rPr>
      </w:pPr>
      <w:r w:rsidRPr="00676B19">
        <w:rPr>
          <w:rFonts w:eastAsia="MS Mincho" w:hint="eastAsia"/>
          <w:lang w:eastAsia="ja-JP"/>
        </w:rPr>
        <w:t>–</w:t>
      </w:r>
      <w:r w:rsidRPr="00676B19">
        <w:rPr>
          <w:rFonts w:eastAsia="MS Mincho"/>
          <w:lang w:eastAsia="ja-JP"/>
        </w:rPr>
        <w:t>SZDB/Z 150-2015, EV WPT System</w:t>
      </w:r>
    </w:p>
    <w:p w:rsidR="005D267F" w:rsidRPr="00676B19" w:rsidRDefault="005D267F" w:rsidP="005D267F">
      <w:pPr>
        <w:ind w:leftChars="400" w:left="960"/>
        <w:rPr>
          <w:rFonts w:eastAsia="MS Mincho"/>
          <w:lang w:eastAsia="ja-JP"/>
        </w:rPr>
      </w:pPr>
      <w:r w:rsidRPr="00676B19">
        <w:rPr>
          <w:rFonts w:eastAsia="MS Mincho"/>
          <w:lang w:eastAsia="ja-JP"/>
        </w:rPr>
        <w:t>Part 1 – General Requirements;</w:t>
      </w:r>
    </w:p>
    <w:p w:rsidR="005D267F" w:rsidRPr="00676B19" w:rsidRDefault="005D267F" w:rsidP="005D267F">
      <w:pPr>
        <w:ind w:leftChars="400" w:left="960"/>
        <w:rPr>
          <w:rFonts w:eastAsia="MS Mincho"/>
          <w:lang w:eastAsia="ja-JP"/>
        </w:rPr>
      </w:pPr>
      <w:r w:rsidRPr="00676B19">
        <w:rPr>
          <w:rFonts w:eastAsia="MS Mincho"/>
          <w:lang w:eastAsia="ja-JP"/>
        </w:rPr>
        <w:t>Part 2 – Communication protocols;</w:t>
      </w:r>
    </w:p>
    <w:p w:rsidR="005D267F" w:rsidRPr="00676B19" w:rsidRDefault="005D267F" w:rsidP="005D267F">
      <w:pPr>
        <w:ind w:leftChars="400" w:left="960"/>
        <w:rPr>
          <w:rFonts w:eastAsia="MS Mincho"/>
          <w:lang w:eastAsia="ja-JP"/>
        </w:rPr>
      </w:pPr>
      <w:r w:rsidRPr="00676B19">
        <w:rPr>
          <w:rFonts w:eastAsia="MS Mincho"/>
          <w:lang w:eastAsia="ja-JP"/>
        </w:rPr>
        <w:t>Part 3 - Requirements for wireless power transfer;</w:t>
      </w:r>
    </w:p>
    <w:p w:rsidR="005D267F" w:rsidRPr="00676B19" w:rsidRDefault="005D267F" w:rsidP="005D267F">
      <w:pPr>
        <w:ind w:leftChars="400" w:left="960"/>
        <w:rPr>
          <w:rFonts w:eastAsia="MS Mincho"/>
          <w:lang w:eastAsia="ja-JP"/>
        </w:rPr>
      </w:pPr>
      <w:r w:rsidRPr="00676B19">
        <w:rPr>
          <w:rFonts w:eastAsia="MS Mincho"/>
          <w:lang w:eastAsia="ja-JP"/>
        </w:rPr>
        <w:t>Part 4 – Interfaces;</w:t>
      </w:r>
    </w:p>
    <w:p w:rsidR="005D267F" w:rsidRPr="00676B19" w:rsidRDefault="005D267F" w:rsidP="005D267F">
      <w:pPr>
        <w:ind w:leftChars="400" w:left="960"/>
        <w:rPr>
          <w:rFonts w:eastAsia="MS Mincho"/>
          <w:lang w:eastAsia="ja-JP"/>
        </w:rPr>
      </w:pPr>
      <w:r w:rsidRPr="00676B19">
        <w:rPr>
          <w:rFonts w:eastAsia="MS Mincho"/>
          <w:lang w:eastAsia="ja-JP"/>
        </w:rPr>
        <w:t>Part 5 – Safety and Security;</w:t>
      </w:r>
    </w:p>
    <w:p w:rsidR="005D267F" w:rsidRPr="00676B19" w:rsidRDefault="005D267F" w:rsidP="005D267F">
      <w:pPr>
        <w:ind w:leftChars="400" w:left="960"/>
        <w:rPr>
          <w:rFonts w:eastAsia="MS Mincho"/>
          <w:lang w:eastAsia="ja-JP"/>
        </w:rPr>
      </w:pPr>
      <w:r w:rsidRPr="00676B19">
        <w:rPr>
          <w:rFonts w:eastAsia="MS Mincho"/>
          <w:lang w:eastAsia="ja-JP"/>
        </w:rPr>
        <w:t>Part 6 - Control and management system;</w:t>
      </w:r>
    </w:p>
    <w:p w:rsidR="005D267F" w:rsidRPr="00676B19" w:rsidRDefault="005D267F" w:rsidP="005D267F">
      <w:pPr>
        <w:ind w:leftChars="400" w:left="960"/>
        <w:rPr>
          <w:rFonts w:eastAsia="MS Mincho"/>
          <w:lang w:eastAsia="ja-JP"/>
        </w:rPr>
      </w:pPr>
      <w:r w:rsidRPr="00676B19">
        <w:rPr>
          <w:rFonts w:eastAsia="MS Mincho"/>
          <w:lang w:eastAsia="ja-JP"/>
        </w:rPr>
        <w:t>Part 7 - Electric energy metering;</w:t>
      </w:r>
    </w:p>
    <w:p w:rsidR="005D267F" w:rsidRPr="00676B19" w:rsidRDefault="005D267F" w:rsidP="005D267F">
      <w:pPr>
        <w:ind w:leftChars="400" w:left="960"/>
        <w:rPr>
          <w:rFonts w:eastAsia="MS Mincho"/>
          <w:lang w:eastAsia="ja-JP"/>
        </w:rPr>
      </w:pPr>
      <w:r w:rsidRPr="00676B19">
        <w:rPr>
          <w:rFonts w:eastAsia="MS Mincho"/>
          <w:lang w:eastAsia="ja-JP"/>
        </w:rPr>
        <w:t>Part 8 - Ground facilities;</w:t>
      </w:r>
    </w:p>
    <w:p w:rsidR="005D267F" w:rsidRPr="00676B19" w:rsidRDefault="005D267F" w:rsidP="005D267F">
      <w:pPr>
        <w:ind w:leftChars="400" w:left="960"/>
        <w:rPr>
          <w:rFonts w:eastAsia="MS Mincho"/>
          <w:lang w:eastAsia="ja-JP"/>
        </w:rPr>
      </w:pPr>
      <w:r w:rsidRPr="00676B19">
        <w:rPr>
          <w:rFonts w:eastAsia="MS Mincho"/>
          <w:lang w:eastAsia="ja-JP"/>
        </w:rPr>
        <w:t>Part 9 - On-board equipment;</w:t>
      </w:r>
    </w:p>
    <w:p w:rsidR="005D267F" w:rsidRPr="00676B19" w:rsidRDefault="005D267F" w:rsidP="005D267F">
      <w:pPr>
        <w:ind w:leftChars="400" w:left="960"/>
        <w:rPr>
          <w:rFonts w:eastAsia="MS Mincho"/>
          <w:lang w:eastAsia="ja-JP"/>
        </w:rPr>
      </w:pPr>
      <w:r w:rsidRPr="00676B19">
        <w:rPr>
          <w:rFonts w:eastAsia="MS Mincho"/>
          <w:lang w:eastAsia="ja-JP"/>
        </w:rPr>
        <w:t>Part 10 – Charging Stations</w:t>
      </w:r>
    </w:p>
    <w:p w:rsidR="005D267F" w:rsidRDefault="005D267F" w:rsidP="005D267F">
      <w:pPr>
        <w:rPr>
          <w:rFonts w:eastAsia="MS Mincho"/>
          <w:lang w:eastAsia="ja-JP"/>
        </w:rPr>
      </w:pPr>
    </w:p>
    <w:p w:rsidR="005D267F" w:rsidRDefault="005D267F" w:rsidP="005D267F">
      <w:pPr>
        <w:rPr>
          <w:rFonts w:eastAsia="MS Mincho"/>
          <w:lang w:eastAsia="ja-JP"/>
        </w:rPr>
      </w:pPr>
      <w:r>
        <w:rPr>
          <w:rFonts w:eastAsia="MS Mincho"/>
          <w:lang w:eastAsia="ja-JP"/>
        </w:rPr>
        <w:lastRenderedPageBreak/>
        <w:t>(2) Chengdu</w:t>
      </w:r>
    </w:p>
    <w:p w:rsidR="005D267F" w:rsidRPr="00C56268" w:rsidRDefault="005D267F" w:rsidP="005D267F">
      <w:pPr>
        <w:ind w:firstLine="720"/>
        <w:rPr>
          <w:lang w:eastAsia="ja-JP"/>
        </w:rPr>
      </w:pPr>
      <w:r w:rsidRPr="00A71F4E">
        <w:rPr>
          <w:lang w:eastAsia="ja-JP"/>
        </w:rPr>
        <w:t>Chengdu Bureau of Quality and Technical Supervision issued 2 local standards in June 2016</w:t>
      </w:r>
      <w:r>
        <w:rPr>
          <w:lang w:eastAsia="ja-JP"/>
        </w:rPr>
        <w:t>.</w:t>
      </w:r>
    </w:p>
    <w:p w:rsidR="005D267F" w:rsidRPr="00C56268" w:rsidRDefault="005D267F" w:rsidP="005D267F">
      <w:pPr>
        <w:pStyle w:val="ListParagraph"/>
        <w:numPr>
          <w:ilvl w:val="0"/>
          <w:numId w:val="77"/>
        </w:numPr>
        <w:ind w:leftChars="0"/>
        <w:rPr>
          <w:sz w:val="24"/>
          <w:szCs w:val="24"/>
          <w:lang w:eastAsia="ja-JP"/>
        </w:rPr>
      </w:pPr>
      <w:r w:rsidRPr="00C56268">
        <w:rPr>
          <w:sz w:val="24"/>
          <w:szCs w:val="24"/>
          <w:lang w:eastAsia="ja-JP"/>
        </w:rPr>
        <w:t>DB510100/T 205.1-2016, EV WPT System Part 1:</w:t>
      </w:r>
      <w:r>
        <w:rPr>
          <w:sz w:val="24"/>
          <w:szCs w:val="24"/>
          <w:lang w:eastAsia="ja-JP"/>
        </w:rPr>
        <w:t xml:space="preserve"> </w:t>
      </w:r>
      <w:r w:rsidRPr="00C56268">
        <w:rPr>
          <w:sz w:val="24"/>
          <w:szCs w:val="24"/>
          <w:lang w:eastAsia="ja-JP"/>
        </w:rPr>
        <w:t>Technical Requirements</w:t>
      </w:r>
    </w:p>
    <w:p w:rsidR="005D267F" w:rsidRPr="00C56268" w:rsidRDefault="005D267F" w:rsidP="005D267F">
      <w:pPr>
        <w:pStyle w:val="ListParagraph"/>
        <w:numPr>
          <w:ilvl w:val="0"/>
          <w:numId w:val="77"/>
        </w:numPr>
        <w:ind w:leftChars="0"/>
        <w:rPr>
          <w:sz w:val="24"/>
          <w:szCs w:val="24"/>
          <w:lang w:eastAsia="ja-JP"/>
        </w:rPr>
      </w:pPr>
      <w:r w:rsidRPr="00C56268">
        <w:rPr>
          <w:sz w:val="24"/>
          <w:szCs w:val="24"/>
          <w:lang w:eastAsia="ja-JP"/>
        </w:rPr>
        <w:t>DB510100/T 205.2-2016, EV WPT System Part2: Equipment and Charging Station Requirements</w:t>
      </w:r>
    </w:p>
    <w:p w:rsidR="005D267F" w:rsidRDefault="005D267F" w:rsidP="005D267F">
      <w:pPr>
        <w:rPr>
          <w:rFonts w:eastAsia="MS Mincho"/>
          <w:lang w:eastAsia="ja-JP"/>
        </w:rPr>
      </w:pPr>
    </w:p>
    <w:p w:rsidR="005D267F" w:rsidRDefault="005D267F" w:rsidP="005D267F">
      <w:pPr>
        <w:rPr>
          <w:rFonts w:eastAsia="MS Mincho"/>
          <w:lang w:eastAsia="ja-JP"/>
        </w:rPr>
      </w:pPr>
      <w:r>
        <w:rPr>
          <w:rFonts w:eastAsia="MS Mincho"/>
          <w:lang w:eastAsia="ja-JP"/>
        </w:rPr>
        <w:t>(3) Shanghai</w:t>
      </w:r>
    </w:p>
    <w:p w:rsidR="005D267F" w:rsidRDefault="005D267F" w:rsidP="005D267F">
      <w:pPr>
        <w:ind w:firstLine="720"/>
        <w:rPr>
          <w:lang w:eastAsia="ja-JP"/>
        </w:rPr>
      </w:pPr>
      <w:r>
        <w:rPr>
          <w:lang w:eastAsia="ja-JP"/>
        </w:rPr>
        <w:t>Shanghai Municipal Bureau of Quality and Technology Supervision issued 2 local standards in June 2017.</w:t>
      </w:r>
    </w:p>
    <w:p w:rsidR="005D267F" w:rsidRPr="0093033B" w:rsidRDefault="005D267F" w:rsidP="005D267F">
      <w:pPr>
        <w:pStyle w:val="ListParagraph"/>
        <w:numPr>
          <w:ilvl w:val="0"/>
          <w:numId w:val="78"/>
        </w:numPr>
        <w:ind w:leftChars="0"/>
        <w:rPr>
          <w:sz w:val="24"/>
          <w:szCs w:val="24"/>
          <w:lang w:eastAsia="ja-JP"/>
        </w:rPr>
      </w:pPr>
      <w:r w:rsidRPr="0093033B">
        <w:rPr>
          <w:sz w:val="24"/>
          <w:szCs w:val="24"/>
          <w:lang w:eastAsia="ja-JP"/>
        </w:rPr>
        <w:t>DB31/T1054-2017, EV WPT System Part 1:</w:t>
      </w:r>
      <w:r>
        <w:rPr>
          <w:sz w:val="24"/>
          <w:szCs w:val="24"/>
          <w:lang w:eastAsia="ja-JP"/>
        </w:rPr>
        <w:t xml:space="preserve"> </w:t>
      </w:r>
      <w:r w:rsidRPr="0093033B">
        <w:rPr>
          <w:sz w:val="24"/>
          <w:szCs w:val="24"/>
          <w:lang w:eastAsia="ja-JP"/>
        </w:rPr>
        <w:t>Technical Requirements</w:t>
      </w:r>
    </w:p>
    <w:p w:rsidR="005D267F" w:rsidRPr="0093033B" w:rsidRDefault="005D267F" w:rsidP="005D267F">
      <w:pPr>
        <w:pStyle w:val="ListParagraph"/>
        <w:numPr>
          <w:ilvl w:val="0"/>
          <w:numId w:val="78"/>
        </w:numPr>
        <w:ind w:leftChars="0"/>
        <w:rPr>
          <w:sz w:val="24"/>
          <w:szCs w:val="24"/>
          <w:lang w:eastAsia="ja-JP"/>
        </w:rPr>
      </w:pPr>
      <w:r w:rsidRPr="0093033B">
        <w:rPr>
          <w:sz w:val="24"/>
          <w:szCs w:val="24"/>
          <w:lang w:eastAsia="ja-JP"/>
        </w:rPr>
        <w:t>DB31/T1055-2017, EV WPT System Part 2: Equipment Requirements</w:t>
      </w:r>
    </w:p>
    <w:p w:rsidR="005D267F" w:rsidRDefault="005D267F" w:rsidP="005D267F">
      <w:pPr>
        <w:ind w:firstLine="720"/>
        <w:rPr>
          <w:lang w:eastAsia="ja-JP"/>
        </w:rPr>
      </w:pPr>
    </w:p>
    <w:p w:rsidR="005D267F" w:rsidRDefault="005D267F" w:rsidP="005D267F">
      <w:pPr>
        <w:rPr>
          <w:rFonts w:eastAsia="MS Mincho"/>
          <w:lang w:eastAsia="ja-JP"/>
        </w:rPr>
      </w:pPr>
      <w:r>
        <w:rPr>
          <w:rFonts w:eastAsia="MS Mincho" w:hint="eastAsia"/>
          <w:lang w:eastAsia="ja-JP"/>
        </w:rPr>
        <w:t>(4) Guangdong</w:t>
      </w:r>
    </w:p>
    <w:p w:rsidR="005D267F" w:rsidRPr="00C56268" w:rsidRDefault="005D267F" w:rsidP="005D267F">
      <w:pPr>
        <w:ind w:firstLine="720"/>
        <w:rPr>
          <w:rFonts w:eastAsia="MS Mincho"/>
          <w:lang w:eastAsia="ja-JP"/>
        </w:rPr>
      </w:pPr>
      <w:r w:rsidRPr="00C56268">
        <w:rPr>
          <w:rFonts w:eastAsia="MS Mincho"/>
          <w:lang w:eastAsia="ja-JP"/>
        </w:rPr>
        <w:t>Administration of Quality and Technology Supervision of Guangdong Province is approving a series of provincial standards including 10 parts and will issue them soon.</w:t>
      </w:r>
    </w:p>
    <w:p w:rsidR="005D267F" w:rsidRPr="0093033B" w:rsidRDefault="005D267F" w:rsidP="005D267F">
      <w:pPr>
        <w:pStyle w:val="ListParagraph"/>
        <w:numPr>
          <w:ilvl w:val="0"/>
          <w:numId w:val="79"/>
        </w:numPr>
        <w:ind w:leftChars="0"/>
        <w:rPr>
          <w:rFonts w:eastAsia="MS Mincho"/>
          <w:sz w:val="24"/>
          <w:szCs w:val="24"/>
          <w:lang w:eastAsia="ja-JP"/>
        </w:rPr>
      </w:pPr>
      <w:r w:rsidRPr="0093033B">
        <w:rPr>
          <w:rFonts w:eastAsia="MS Mincho"/>
          <w:sz w:val="24"/>
          <w:szCs w:val="24"/>
          <w:lang w:eastAsia="ja-JP"/>
        </w:rPr>
        <w:t>DB44/T XXXX –XXXX</w:t>
      </w:r>
      <w:r>
        <w:rPr>
          <w:rFonts w:eastAsia="MS Mincho"/>
          <w:sz w:val="24"/>
          <w:szCs w:val="24"/>
          <w:lang w:eastAsia="ja-JP"/>
        </w:rPr>
        <w:t xml:space="preserve"> (to be released)</w:t>
      </w:r>
      <w:r w:rsidRPr="0093033B">
        <w:rPr>
          <w:rFonts w:eastAsia="MS Mincho"/>
          <w:sz w:val="24"/>
          <w:szCs w:val="24"/>
          <w:lang w:eastAsia="ja-JP"/>
        </w:rPr>
        <w:t>, EV WPT System</w:t>
      </w:r>
    </w:p>
    <w:p w:rsidR="005D267F" w:rsidRPr="00C56268" w:rsidRDefault="005D267F" w:rsidP="005D267F">
      <w:pPr>
        <w:rPr>
          <w:rFonts w:eastAsia="MS Mincho"/>
          <w:lang w:eastAsia="ja-JP"/>
        </w:rPr>
      </w:pPr>
    </w:p>
    <w:p w:rsidR="005D267F" w:rsidRPr="00950995" w:rsidRDefault="005D267F" w:rsidP="005D267F">
      <w:pPr>
        <w:rPr>
          <w:rFonts w:eastAsia="MS Mincho"/>
          <w:b/>
          <w:lang w:eastAsia="ja-JP"/>
        </w:rPr>
      </w:pPr>
      <w:r>
        <w:rPr>
          <w:rFonts w:eastAsia="SimSun" w:hint="eastAsia"/>
          <w:b/>
          <w:lang w:eastAsia="zh-CN"/>
        </w:rPr>
        <w:t>3.1.2.2</w:t>
      </w:r>
      <w:r>
        <w:rPr>
          <w:rFonts w:eastAsia="SimSun"/>
          <w:b/>
          <w:lang w:eastAsia="zh-CN"/>
        </w:rPr>
        <w:t xml:space="preserve"> </w:t>
      </w:r>
      <w:r w:rsidRPr="00950995">
        <w:rPr>
          <w:rFonts w:eastAsia="MS Mincho"/>
          <w:b/>
          <w:lang w:eastAsia="ja-JP"/>
        </w:rPr>
        <w:t>Group Standards Status</w:t>
      </w:r>
    </w:p>
    <w:p w:rsidR="005D267F" w:rsidRDefault="005D267F" w:rsidP="005D267F">
      <w:pPr>
        <w:ind w:firstLine="660"/>
        <w:rPr>
          <w:rFonts w:eastAsia="MS Mincho"/>
          <w:lang w:eastAsia="ja-JP"/>
        </w:rPr>
      </w:pPr>
      <w:r>
        <w:rPr>
          <w:rFonts w:eastAsia="MS Mincho" w:hint="eastAsia"/>
          <w:lang w:eastAsia="ja-JP"/>
        </w:rPr>
        <w:t>Wireless Power Transmission Alliance (WPTA) finished a series of group standards in December 2016.</w:t>
      </w:r>
    </w:p>
    <w:p w:rsidR="005D267F" w:rsidRPr="0093033B" w:rsidRDefault="005D267F" w:rsidP="005D267F">
      <w:pPr>
        <w:pStyle w:val="ListParagraph"/>
        <w:numPr>
          <w:ilvl w:val="0"/>
          <w:numId w:val="80"/>
        </w:numPr>
        <w:ind w:leftChars="0"/>
        <w:rPr>
          <w:rFonts w:eastAsia="MS Mincho" w:cs="Times New Roman"/>
          <w:kern w:val="0"/>
          <w:sz w:val="24"/>
          <w:szCs w:val="24"/>
          <w:lang w:eastAsia="ja-JP"/>
        </w:rPr>
      </w:pPr>
      <w:r w:rsidRPr="0093033B">
        <w:rPr>
          <w:rFonts w:eastAsia="MS Mincho" w:cs="Times New Roman"/>
          <w:kern w:val="0"/>
          <w:sz w:val="24"/>
          <w:szCs w:val="24"/>
          <w:lang w:eastAsia="ja-JP"/>
        </w:rPr>
        <w:t>Magnetic Coupled Wireless Power Transfer</w:t>
      </w:r>
    </w:p>
    <w:p w:rsidR="005D267F" w:rsidRPr="0093033B" w:rsidRDefault="005D267F" w:rsidP="005D267F">
      <w:pPr>
        <w:pStyle w:val="ListParagraph"/>
        <w:numPr>
          <w:ilvl w:val="0"/>
          <w:numId w:val="80"/>
        </w:numPr>
        <w:ind w:leftChars="0"/>
        <w:rPr>
          <w:rFonts w:eastAsia="MS Mincho" w:cs="Times New Roman"/>
          <w:kern w:val="0"/>
          <w:sz w:val="24"/>
          <w:szCs w:val="24"/>
          <w:lang w:eastAsia="ja-JP"/>
        </w:rPr>
      </w:pPr>
      <w:r w:rsidRPr="0093033B">
        <w:rPr>
          <w:rFonts w:eastAsia="MS Mincho" w:cs="Times New Roman"/>
          <w:kern w:val="0"/>
          <w:sz w:val="24"/>
          <w:szCs w:val="24"/>
          <w:lang w:eastAsia="ja-JP"/>
        </w:rPr>
        <w:t>Communication Protocols</w:t>
      </w:r>
    </w:p>
    <w:p w:rsidR="005D267F" w:rsidRPr="0093033B" w:rsidRDefault="005D267F" w:rsidP="005D267F">
      <w:pPr>
        <w:pStyle w:val="ListParagraph"/>
        <w:numPr>
          <w:ilvl w:val="0"/>
          <w:numId w:val="80"/>
        </w:numPr>
        <w:ind w:leftChars="0"/>
        <w:rPr>
          <w:rFonts w:eastAsia="MS Mincho" w:cs="Times New Roman"/>
          <w:kern w:val="0"/>
          <w:sz w:val="24"/>
          <w:szCs w:val="24"/>
          <w:lang w:eastAsia="ja-JP"/>
        </w:rPr>
      </w:pPr>
      <w:r w:rsidRPr="0093033B">
        <w:rPr>
          <w:rFonts w:eastAsia="MS Mincho" w:cs="Times New Roman"/>
          <w:kern w:val="0"/>
          <w:sz w:val="24"/>
          <w:szCs w:val="24"/>
          <w:lang w:eastAsia="ja-JP"/>
        </w:rPr>
        <w:t>Safety Requirements</w:t>
      </w:r>
    </w:p>
    <w:p w:rsidR="005D267F" w:rsidRPr="0093033B" w:rsidRDefault="005D267F" w:rsidP="005D267F">
      <w:pPr>
        <w:pStyle w:val="ListParagraph"/>
        <w:numPr>
          <w:ilvl w:val="0"/>
          <w:numId w:val="80"/>
        </w:numPr>
        <w:ind w:leftChars="0"/>
        <w:rPr>
          <w:rFonts w:eastAsia="MS Mincho" w:cs="Times New Roman"/>
          <w:kern w:val="0"/>
          <w:sz w:val="24"/>
          <w:szCs w:val="24"/>
          <w:lang w:eastAsia="ja-JP"/>
        </w:rPr>
      </w:pPr>
      <w:r w:rsidRPr="0093033B">
        <w:rPr>
          <w:rFonts w:eastAsia="MS Mincho" w:cs="Times New Roman"/>
          <w:kern w:val="0"/>
          <w:sz w:val="24"/>
          <w:szCs w:val="24"/>
          <w:lang w:eastAsia="ja-JP"/>
        </w:rPr>
        <w:t>Requirements and Test Methods for Electromagnetic Compatibility</w:t>
      </w:r>
    </w:p>
    <w:p w:rsidR="005D267F" w:rsidRPr="0093033B" w:rsidRDefault="005D267F" w:rsidP="005D267F">
      <w:pPr>
        <w:pStyle w:val="ListParagraph"/>
        <w:numPr>
          <w:ilvl w:val="0"/>
          <w:numId w:val="80"/>
        </w:numPr>
        <w:ind w:leftChars="0"/>
        <w:rPr>
          <w:rFonts w:eastAsia="MS Mincho" w:cs="Times New Roman"/>
          <w:kern w:val="0"/>
          <w:sz w:val="24"/>
          <w:szCs w:val="24"/>
          <w:lang w:eastAsia="ja-JP"/>
        </w:rPr>
      </w:pPr>
      <w:r w:rsidRPr="0093033B">
        <w:rPr>
          <w:rFonts w:eastAsia="MS Mincho" w:cs="Times New Roman"/>
          <w:kern w:val="0"/>
          <w:sz w:val="24"/>
          <w:szCs w:val="24"/>
          <w:lang w:eastAsia="ja-JP"/>
        </w:rPr>
        <w:t>Requirements and Test Methods for Electromagnetic Field Radiation</w:t>
      </w:r>
    </w:p>
    <w:p w:rsidR="005D267F" w:rsidRPr="0093033B" w:rsidRDefault="005D267F" w:rsidP="005D267F">
      <w:pPr>
        <w:pStyle w:val="ListParagraph"/>
        <w:numPr>
          <w:ilvl w:val="0"/>
          <w:numId w:val="80"/>
        </w:numPr>
        <w:ind w:leftChars="0"/>
        <w:rPr>
          <w:rFonts w:eastAsia="MS Mincho" w:cs="Times New Roman"/>
          <w:kern w:val="0"/>
          <w:sz w:val="24"/>
          <w:szCs w:val="24"/>
          <w:lang w:eastAsia="ja-JP"/>
        </w:rPr>
      </w:pPr>
      <w:r w:rsidRPr="0093033B">
        <w:rPr>
          <w:rFonts w:eastAsia="MS Mincho" w:cs="Times New Roman"/>
          <w:kern w:val="0"/>
          <w:sz w:val="24"/>
          <w:szCs w:val="24"/>
          <w:lang w:eastAsia="ja-JP"/>
        </w:rPr>
        <w:t>Interfaces</w:t>
      </w:r>
    </w:p>
    <w:p w:rsidR="005D267F" w:rsidRPr="0093033B" w:rsidRDefault="005D267F" w:rsidP="005D267F">
      <w:pPr>
        <w:pStyle w:val="ListParagraph"/>
        <w:numPr>
          <w:ilvl w:val="0"/>
          <w:numId w:val="80"/>
        </w:numPr>
        <w:ind w:leftChars="0"/>
        <w:rPr>
          <w:rFonts w:eastAsia="MS Mincho" w:cs="Times New Roman"/>
          <w:kern w:val="0"/>
          <w:sz w:val="24"/>
          <w:szCs w:val="24"/>
          <w:lang w:eastAsia="ja-JP"/>
        </w:rPr>
      </w:pPr>
      <w:r w:rsidRPr="0093033B">
        <w:rPr>
          <w:rFonts w:eastAsia="MS Mincho" w:cs="Times New Roman"/>
          <w:kern w:val="0"/>
          <w:sz w:val="24"/>
          <w:szCs w:val="24"/>
          <w:lang w:eastAsia="ja-JP"/>
        </w:rPr>
        <w:t>Ground Facilities</w:t>
      </w:r>
    </w:p>
    <w:p w:rsidR="005D267F" w:rsidRPr="0093033B" w:rsidRDefault="005D267F" w:rsidP="005D267F">
      <w:pPr>
        <w:pStyle w:val="ListParagraph"/>
        <w:numPr>
          <w:ilvl w:val="0"/>
          <w:numId w:val="80"/>
        </w:numPr>
        <w:ind w:leftChars="0"/>
        <w:rPr>
          <w:rFonts w:eastAsia="MS Mincho" w:cs="Times New Roman"/>
          <w:kern w:val="0"/>
          <w:sz w:val="24"/>
          <w:szCs w:val="24"/>
          <w:lang w:eastAsia="ja-JP"/>
        </w:rPr>
      </w:pPr>
      <w:r w:rsidRPr="0093033B">
        <w:rPr>
          <w:rFonts w:eastAsia="MS Mincho" w:cs="Times New Roman"/>
          <w:kern w:val="0"/>
          <w:sz w:val="24"/>
          <w:szCs w:val="24"/>
          <w:lang w:eastAsia="ja-JP"/>
        </w:rPr>
        <w:t>On-board Equipment</w:t>
      </w:r>
    </w:p>
    <w:p w:rsidR="005D267F" w:rsidRPr="0093033B" w:rsidRDefault="005D267F" w:rsidP="005D267F">
      <w:pPr>
        <w:pStyle w:val="ListParagraph"/>
        <w:numPr>
          <w:ilvl w:val="0"/>
          <w:numId w:val="80"/>
        </w:numPr>
        <w:ind w:leftChars="0"/>
        <w:rPr>
          <w:rFonts w:eastAsia="MS Mincho"/>
          <w:sz w:val="24"/>
          <w:szCs w:val="24"/>
          <w:lang w:eastAsia="ja-JP"/>
        </w:rPr>
      </w:pPr>
      <w:r w:rsidRPr="0093033B">
        <w:rPr>
          <w:rFonts w:eastAsia="MS Mincho" w:cs="Times New Roman"/>
          <w:kern w:val="0"/>
          <w:sz w:val="24"/>
          <w:szCs w:val="24"/>
          <w:lang w:eastAsia="ja-JP"/>
        </w:rPr>
        <w:t>Management System</w:t>
      </w:r>
    </w:p>
    <w:p w:rsidR="005D267F" w:rsidRDefault="005D267F" w:rsidP="005D267F">
      <w:pPr>
        <w:rPr>
          <w:rFonts w:eastAsia="MS Mincho"/>
          <w:lang w:eastAsia="ja-JP"/>
        </w:rPr>
      </w:pPr>
    </w:p>
    <w:p w:rsidR="005D267F" w:rsidRPr="00950995" w:rsidRDefault="005D267F" w:rsidP="005D267F">
      <w:pPr>
        <w:rPr>
          <w:rFonts w:eastAsia="MS Mincho"/>
          <w:b/>
          <w:lang w:eastAsia="ja-JP"/>
        </w:rPr>
      </w:pPr>
      <w:r>
        <w:rPr>
          <w:rFonts w:eastAsia="SimSun" w:hint="eastAsia"/>
          <w:b/>
          <w:lang w:eastAsia="zh-CN"/>
        </w:rPr>
        <w:t xml:space="preserve">3.1.2.3 </w:t>
      </w:r>
      <w:r w:rsidRPr="00950995">
        <w:rPr>
          <w:rFonts w:eastAsia="MS Mincho"/>
          <w:b/>
          <w:lang w:eastAsia="ja-JP"/>
        </w:rPr>
        <w:t>National Standards Status</w:t>
      </w:r>
    </w:p>
    <w:p w:rsidR="005D267F" w:rsidRDefault="005D267F" w:rsidP="005D267F">
      <w:pPr>
        <w:pStyle w:val="ListParagraph"/>
        <w:numPr>
          <w:ilvl w:val="0"/>
          <w:numId w:val="81"/>
        </w:numPr>
        <w:ind w:leftChars="0"/>
        <w:rPr>
          <w:rFonts w:eastAsia="MS Mincho"/>
          <w:sz w:val="24"/>
          <w:szCs w:val="24"/>
          <w:lang w:eastAsia="ja-JP"/>
        </w:rPr>
      </w:pPr>
      <w:r>
        <w:rPr>
          <w:rFonts w:eastAsia="MS Mincho"/>
          <w:sz w:val="24"/>
          <w:szCs w:val="24"/>
          <w:lang w:eastAsia="ja-JP"/>
        </w:rPr>
        <w:t>National Technical Committee of Auto Standardization (</w:t>
      </w:r>
      <w:r w:rsidRPr="00BD6173">
        <w:rPr>
          <w:rFonts w:eastAsia="MS Mincho" w:hint="eastAsia"/>
          <w:sz w:val="24"/>
          <w:szCs w:val="24"/>
          <w:lang w:eastAsia="ja-JP"/>
        </w:rPr>
        <w:t>NTCAS (SAC/TC114)</w:t>
      </w:r>
      <w:r>
        <w:rPr>
          <w:rFonts w:eastAsia="MS Mincho"/>
          <w:sz w:val="24"/>
          <w:szCs w:val="24"/>
          <w:lang w:eastAsia="ja-JP"/>
        </w:rPr>
        <w:t>)</w:t>
      </w:r>
    </w:p>
    <w:p w:rsidR="005D267F" w:rsidRPr="0093033B" w:rsidRDefault="005D267F" w:rsidP="005D267F">
      <w:pPr>
        <w:ind w:firstLine="420"/>
        <w:rPr>
          <w:rFonts w:eastAsia="MS Mincho"/>
          <w:lang w:eastAsia="ja-JP"/>
        </w:rPr>
      </w:pPr>
      <w:r>
        <w:rPr>
          <w:rFonts w:eastAsia="MS Mincho" w:hint="eastAsia"/>
          <w:lang w:eastAsia="ja-JP"/>
        </w:rPr>
        <w:t>N</w:t>
      </w:r>
      <w:r>
        <w:rPr>
          <w:rFonts w:eastAsia="MS Mincho"/>
          <w:lang w:eastAsia="ja-JP"/>
        </w:rPr>
        <w:t>TCAS s</w:t>
      </w:r>
      <w:r w:rsidRPr="0093033B">
        <w:rPr>
          <w:rFonts w:eastAsia="MS Mincho"/>
          <w:lang w:eastAsia="ja-JP"/>
        </w:rPr>
        <w:t>et up a new WG on EV WPT under TC114/SC27</w:t>
      </w:r>
      <w:r>
        <w:rPr>
          <w:rFonts w:eastAsia="MS Mincho"/>
          <w:lang w:eastAsia="ja-JP"/>
        </w:rPr>
        <w:t>.</w:t>
      </w:r>
    </w:p>
    <w:p w:rsidR="005D267F" w:rsidRPr="0093033B" w:rsidRDefault="005D267F" w:rsidP="005D267F">
      <w:pPr>
        <w:ind w:firstLine="420"/>
        <w:rPr>
          <w:rFonts w:eastAsia="MS Mincho"/>
          <w:lang w:eastAsia="ja-JP"/>
        </w:rPr>
      </w:pPr>
      <w:r w:rsidRPr="0093033B">
        <w:rPr>
          <w:rFonts w:eastAsia="MS Mincho"/>
          <w:lang w:eastAsia="ja-JP"/>
        </w:rPr>
        <w:t>2 national standards for EV WPT system</w:t>
      </w:r>
      <w:r>
        <w:rPr>
          <w:rFonts w:eastAsia="MS Mincho"/>
          <w:lang w:eastAsia="ja-JP"/>
        </w:rPr>
        <w:t xml:space="preserve"> are planned:</w:t>
      </w:r>
    </w:p>
    <w:p w:rsidR="005D267F" w:rsidRPr="00BD6173" w:rsidRDefault="005D267F" w:rsidP="005D267F">
      <w:pPr>
        <w:pStyle w:val="ListParagraph"/>
        <w:numPr>
          <w:ilvl w:val="0"/>
          <w:numId w:val="82"/>
        </w:numPr>
        <w:ind w:leftChars="0"/>
        <w:rPr>
          <w:rFonts w:eastAsia="MS Mincho"/>
          <w:sz w:val="24"/>
          <w:szCs w:val="24"/>
          <w:lang w:eastAsia="ja-JP"/>
        </w:rPr>
      </w:pPr>
      <w:r w:rsidRPr="00855017">
        <w:rPr>
          <w:rFonts w:eastAsia="MS Mincho"/>
          <w:i/>
          <w:sz w:val="24"/>
          <w:szCs w:val="24"/>
          <w:lang w:eastAsia="ja-JP"/>
        </w:rPr>
        <w:t>General Requirements</w:t>
      </w:r>
      <w:r w:rsidRPr="00BD6173">
        <w:rPr>
          <w:rFonts w:eastAsia="MS Mincho"/>
          <w:sz w:val="24"/>
          <w:szCs w:val="24"/>
          <w:lang w:eastAsia="ja-JP"/>
        </w:rPr>
        <w:t>, which is being approved by SAC</w:t>
      </w:r>
    </w:p>
    <w:p w:rsidR="005D267F" w:rsidRPr="00BD6173" w:rsidRDefault="005D267F" w:rsidP="005D267F">
      <w:pPr>
        <w:pStyle w:val="ListParagraph"/>
        <w:numPr>
          <w:ilvl w:val="0"/>
          <w:numId w:val="82"/>
        </w:numPr>
        <w:ind w:leftChars="0"/>
        <w:rPr>
          <w:rFonts w:eastAsia="MS Mincho" w:cs="Times New Roman"/>
          <w:sz w:val="24"/>
          <w:szCs w:val="24"/>
          <w:lang w:eastAsia="ja-JP"/>
        </w:rPr>
      </w:pPr>
      <w:r w:rsidRPr="00BD6173">
        <w:rPr>
          <w:rFonts w:eastAsia="MS Mincho" w:cs="Times New Roman"/>
          <w:sz w:val="24"/>
          <w:szCs w:val="24"/>
          <w:lang w:eastAsia="ja-JP"/>
        </w:rPr>
        <w:t xml:space="preserve">Electromagnetic Compatibility Requirements and Test Methods, </w:t>
      </w:r>
      <w:r>
        <w:rPr>
          <w:rFonts w:eastAsia="MS Mincho" w:cs="Times New Roman"/>
          <w:sz w:val="24"/>
          <w:szCs w:val="24"/>
          <w:lang w:eastAsia="ja-JP"/>
        </w:rPr>
        <w:t>w</w:t>
      </w:r>
      <w:r w:rsidRPr="00BD6173">
        <w:rPr>
          <w:rFonts w:eastAsia="MS Mincho" w:cs="Times New Roman"/>
          <w:sz w:val="24"/>
          <w:szCs w:val="24"/>
          <w:lang w:eastAsia="ja-JP"/>
        </w:rPr>
        <w:t>hich</w:t>
      </w:r>
      <w:r>
        <w:rPr>
          <w:rFonts w:eastAsia="MS Mincho" w:cs="Times New Roman"/>
          <w:sz w:val="24"/>
          <w:szCs w:val="24"/>
          <w:lang w:eastAsia="ja-JP"/>
        </w:rPr>
        <w:t xml:space="preserve"> was</w:t>
      </w:r>
      <w:r w:rsidRPr="00BD6173">
        <w:rPr>
          <w:rFonts w:eastAsia="MS Mincho" w:cs="Times New Roman"/>
          <w:sz w:val="24"/>
          <w:szCs w:val="24"/>
          <w:lang w:eastAsia="ja-JP"/>
        </w:rPr>
        <w:t xml:space="preserve"> proposed in early 2017</w:t>
      </w:r>
    </w:p>
    <w:p w:rsidR="005D267F" w:rsidRPr="00BD6173" w:rsidRDefault="005D267F" w:rsidP="005D267F">
      <w:pPr>
        <w:ind w:left="420"/>
        <w:rPr>
          <w:rFonts w:eastAsia="MS Mincho"/>
          <w:lang w:eastAsia="ja-JP"/>
        </w:rPr>
      </w:pPr>
    </w:p>
    <w:p w:rsidR="005D267F" w:rsidRDefault="005D267F" w:rsidP="005D267F">
      <w:pPr>
        <w:pStyle w:val="ListParagraph"/>
        <w:numPr>
          <w:ilvl w:val="0"/>
          <w:numId w:val="81"/>
        </w:numPr>
        <w:ind w:leftChars="0"/>
        <w:rPr>
          <w:rFonts w:eastAsia="MS Mincho"/>
          <w:sz w:val="24"/>
          <w:szCs w:val="24"/>
          <w:lang w:eastAsia="ja-JP"/>
        </w:rPr>
      </w:pPr>
      <w:r>
        <w:rPr>
          <w:rFonts w:eastAsia="MS Mincho"/>
          <w:sz w:val="24"/>
          <w:szCs w:val="24"/>
          <w:lang w:eastAsia="ja-JP"/>
        </w:rPr>
        <w:t>China Electricity Council (</w:t>
      </w:r>
      <w:r w:rsidRPr="00BD6173">
        <w:rPr>
          <w:rFonts w:eastAsia="MS Mincho"/>
          <w:sz w:val="24"/>
          <w:szCs w:val="24"/>
          <w:lang w:eastAsia="ja-JP"/>
        </w:rPr>
        <w:t>CEC</w:t>
      </w:r>
      <w:r>
        <w:rPr>
          <w:rFonts w:eastAsia="MS Mincho"/>
          <w:sz w:val="24"/>
          <w:szCs w:val="24"/>
          <w:lang w:eastAsia="ja-JP"/>
        </w:rPr>
        <w:t>)</w:t>
      </w:r>
    </w:p>
    <w:p w:rsidR="005D267F" w:rsidRPr="00BD6173" w:rsidRDefault="005D267F" w:rsidP="005D267F">
      <w:pPr>
        <w:ind w:firstLine="420"/>
        <w:rPr>
          <w:rFonts w:eastAsia="MS Mincho"/>
          <w:lang w:eastAsia="ja-JP"/>
        </w:rPr>
      </w:pPr>
      <w:r>
        <w:rPr>
          <w:rFonts w:eastAsia="MS Mincho" w:hint="eastAsia"/>
          <w:lang w:eastAsia="ja-JP"/>
        </w:rPr>
        <w:t>CEC s</w:t>
      </w:r>
      <w:r w:rsidRPr="00BD6173">
        <w:rPr>
          <w:rFonts w:eastAsia="MS Mincho"/>
          <w:lang w:eastAsia="ja-JP"/>
        </w:rPr>
        <w:t>et up a new WG on EV WPT under NEA/TC3</w:t>
      </w:r>
      <w:r>
        <w:rPr>
          <w:rFonts w:eastAsia="MS Mincho"/>
          <w:lang w:eastAsia="ja-JP"/>
        </w:rPr>
        <w:t xml:space="preserve">. </w:t>
      </w:r>
    </w:p>
    <w:p w:rsidR="005D267F" w:rsidRPr="00BD6173" w:rsidRDefault="005D267F" w:rsidP="005D267F">
      <w:pPr>
        <w:ind w:firstLine="420"/>
        <w:rPr>
          <w:rFonts w:eastAsia="MS Mincho"/>
          <w:lang w:eastAsia="ja-JP"/>
        </w:rPr>
      </w:pPr>
      <w:r w:rsidRPr="00BD6173">
        <w:rPr>
          <w:rFonts w:eastAsia="MS Mincho"/>
          <w:lang w:eastAsia="ja-JP"/>
        </w:rPr>
        <w:t>3 national standards for EV WPT system since 2016</w:t>
      </w:r>
      <w:r>
        <w:rPr>
          <w:rFonts w:eastAsia="MS Mincho"/>
          <w:lang w:eastAsia="ja-JP"/>
        </w:rPr>
        <w:t xml:space="preserve"> are planned:</w:t>
      </w:r>
    </w:p>
    <w:p w:rsidR="005D267F" w:rsidRPr="00703A1C" w:rsidRDefault="005D267F" w:rsidP="005D267F">
      <w:pPr>
        <w:pStyle w:val="ListParagraph"/>
        <w:numPr>
          <w:ilvl w:val="0"/>
          <w:numId w:val="83"/>
        </w:numPr>
        <w:ind w:leftChars="0"/>
        <w:rPr>
          <w:rFonts w:eastAsia="MS Mincho"/>
          <w:sz w:val="24"/>
          <w:szCs w:val="24"/>
          <w:lang w:eastAsia="ja-JP"/>
        </w:rPr>
      </w:pPr>
      <w:r w:rsidRPr="00703A1C">
        <w:rPr>
          <w:rFonts w:eastAsia="MS Mincho"/>
          <w:sz w:val="24"/>
          <w:szCs w:val="24"/>
          <w:lang w:eastAsia="ja-JP"/>
        </w:rPr>
        <w:t>Special Requirements</w:t>
      </w:r>
    </w:p>
    <w:p w:rsidR="005D267F" w:rsidRPr="00703A1C" w:rsidRDefault="005D267F" w:rsidP="005D267F">
      <w:pPr>
        <w:pStyle w:val="ListParagraph"/>
        <w:numPr>
          <w:ilvl w:val="0"/>
          <w:numId w:val="83"/>
        </w:numPr>
        <w:ind w:leftChars="0"/>
        <w:rPr>
          <w:rFonts w:eastAsia="MS Mincho"/>
          <w:sz w:val="24"/>
          <w:szCs w:val="24"/>
          <w:lang w:eastAsia="ja-JP"/>
        </w:rPr>
      </w:pPr>
      <w:r w:rsidRPr="00703A1C">
        <w:rPr>
          <w:rFonts w:eastAsia="MS Mincho"/>
          <w:sz w:val="24"/>
          <w:szCs w:val="24"/>
          <w:lang w:eastAsia="ja-JP"/>
        </w:rPr>
        <w:t>Electromagnetic Exposure Limits and Test Methods</w:t>
      </w:r>
    </w:p>
    <w:p w:rsidR="005D267F" w:rsidRDefault="005D267F" w:rsidP="005D267F">
      <w:pPr>
        <w:pStyle w:val="ListParagraph"/>
        <w:numPr>
          <w:ilvl w:val="0"/>
          <w:numId w:val="83"/>
        </w:numPr>
        <w:ind w:leftChars="0"/>
        <w:rPr>
          <w:rFonts w:eastAsia="MS Mincho"/>
          <w:sz w:val="24"/>
          <w:szCs w:val="24"/>
          <w:lang w:eastAsia="ja-JP"/>
        </w:rPr>
      </w:pPr>
      <w:r w:rsidRPr="00703A1C">
        <w:rPr>
          <w:rFonts w:eastAsia="MS Mincho"/>
          <w:sz w:val="24"/>
          <w:szCs w:val="24"/>
          <w:lang w:eastAsia="ja-JP"/>
        </w:rPr>
        <w:t>Communication Protocols between On-board and Ground Equipment</w:t>
      </w:r>
    </w:p>
    <w:p w:rsidR="005D267F" w:rsidRPr="00A13678" w:rsidRDefault="005D267F" w:rsidP="005D267F">
      <w:pPr>
        <w:pStyle w:val="ListParagraph"/>
        <w:ind w:leftChars="0" w:left="840"/>
        <w:rPr>
          <w:rFonts w:eastAsia="MS Mincho"/>
          <w:sz w:val="24"/>
          <w:szCs w:val="24"/>
          <w:lang w:eastAsia="ja-JP"/>
        </w:rPr>
      </w:pPr>
    </w:p>
    <w:p w:rsidR="005D267F" w:rsidRPr="0025486F" w:rsidRDefault="005D267F" w:rsidP="005D267F">
      <w:pPr>
        <w:pStyle w:val="Heading2"/>
      </w:pPr>
      <w:bookmarkStart w:id="8" w:name="_Toc494297285"/>
      <w:r>
        <w:rPr>
          <w:rFonts w:ascii="Times New Roman" w:hAnsi="Times New Roman" w:cs="Times New Roman"/>
        </w:rPr>
        <w:t xml:space="preserve">3.1.2 </w:t>
      </w:r>
      <w:r w:rsidRPr="0025486F">
        <w:rPr>
          <w:rFonts w:ascii="Times New Roman" w:hAnsi="Times New Roman" w:cs="Times New Roman"/>
        </w:rPr>
        <w:t>Japan</w:t>
      </w:r>
      <w:bookmarkEnd w:id="8"/>
    </w:p>
    <w:p w:rsidR="005D267F" w:rsidRPr="003D65A7" w:rsidRDefault="005D267F" w:rsidP="005D267F">
      <w:pPr>
        <w:ind w:firstLine="720"/>
        <w:jc w:val="both"/>
        <w:rPr>
          <w:lang w:eastAsia="ja-JP"/>
        </w:rPr>
      </w:pPr>
      <w:r w:rsidRPr="003D65A7">
        <w:rPr>
          <w:lang w:eastAsia="ja-JP"/>
        </w:rPr>
        <w:t>The WPT-Working Group of the BWF (Broadband Wireless Forum, Japan) is taking responsibility for drafting WPT technical standards utilizing the ARIB (Association of Radio Industries and Businesses) drafting protocols.</w:t>
      </w:r>
    </w:p>
    <w:p w:rsidR="005D267F" w:rsidRPr="003D65A7" w:rsidRDefault="005D267F" w:rsidP="005D267F">
      <w:pPr>
        <w:ind w:firstLine="720"/>
        <w:jc w:val="both"/>
        <w:rPr>
          <w:b/>
        </w:rPr>
      </w:pPr>
      <w:r w:rsidRPr="003D65A7">
        <w:rPr>
          <w:lang w:eastAsia="ja-JP"/>
        </w:rPr>
        <w:t xml:space="preserve">As of </w:t>
      </w:r>
      <w:r>
        <w:rPr>
          <w:lang w:eastAsia="ja-JP"/>
        </w:rPr>
        <w:t>September 25</w:t>
      </w:r>
      <w:r w:rsidRPr="0065409D">
        <w:rPr>
          <w:vertAlign w:val="superscript"/>
          <w:lang w:eastAsia="ja-JP"/>
        </w:rPr>
        <w:t>th</w:t>
      </w:r>
      <w:r>
        <w:rPr>
          <w:lang w:eastAsia="ja-JP"/>
        </w:rPr>
        <w:t>, 2017</w:t>
      </w:r>
      <w:r w:rsidRPr="003D65A7">
        <w:rPr>
          <w:lang w:eastAsia="ja-JP"/>
        </w:rPr>
        <w:t>, the ARIB Standard STD-T113 “</w:t>
      </w:r>
      <w:r w:rsidRPr="003D65A7">
        <w:rPr>
          <w:i/>
          <w:lang w:eastAsia="ja-JP"/>
        </w:rPr>
        <w:t>WIRELESS POWER TRANSMISSION SYSTEMS</w:t>
      </w:r>
      <w:r w:rsidRPr="003D65A7">
        <w:rPr>
          <w:lang w:eastAsia="ja-JP"/>
        </w:rPr>
        <w:t xml:space="preserve">” have comprised WPT technologies intended for mobile applications </w:t>
      </w:r>
      <w:r w:rsidRPr="003D65A7">
        <w:rPr>
          <w:lang w:eastAsia="ja-JP"/>
        </w:rPr>
        <w:lastRenderedPageBreak/>
        <w:t>only. Once a WPT specification for EV applications is developed in global basis</w:t>
      </w:r>
      <w:r>
        <w:rPr>
          <w:lang w:eastAsia="ja-JP"/>
        </w:rPr>
        <w:t xml:space="preserve"> in IEC 61980 and ISO</w:t>
      </w:r>
      <w:r w:rsidRPr="0019484D">
        <w:rPr>
          <w:lang w:eastAsia="ja-JP"/>
        </w:rPr>
        <w:t xml:space="preserve"> 19363</w:t>
      </w:r>
      <w:r w:rsidRPr="003D65A7">
        <w:rPr>
          <w:lang w:eastAsia="ja-JP"/>
        </w:rPr>
        <w:t>, the WG is going to draft a WPT standard for EVs.</w:t>
      </w:r>
      <w:r>
        <w:rPr>
          <w:lang w:eastAsia="ja-JP"/>
        </w:rPr>
        <w:t xml:space="preserve"> Technical regulatory requirements for standardization are introduced in section 4.1.</w:t>
      </w:r>
    </w:p>
    <w:p w:rsidR="005D267F" w:rsidRPr="003D65A7" w:rsidRDefault="005D267F" w:rsidP="005D267F">
      <w:pPr>
        <w:rPr>
          <w:b/>
        </w:rPr>
      </w:pPr>
    </w:p>
    <w:p w:rsidR="005D267F" w:rsidRPr="0025486F" w:rsidRDefault="005D267F" w:rsidP="005D267F">
      <w:pPr>
        <w:pStyle w:val="Heading2"/>
        <w:rPr>
          <w:rFonts w:ascii="Times New Roman" w:hAnsi="Times New Roman" w:cs="Times New Roman"/>
        </w:rPr>
      </w:pPr>
      <w:bookmarkStart w:id="9" w:name="_Toc494297286"/>
      <w:r w:rsidRPr="0025486F">
        <w:rPr>
          <w:rFonts w:ascii="Times New Roman" w:hAnsi="Times New Roman" w:cs="Times New Roman"/>
        </w:rPr>
        <w:t>3.1.3 Korea</w:t>
      </w:r>
      <w:bookmarkEnd w:id="9"/>
    </w:p>
    <w:p w:rsidR="005D267F" w:rsidRDefault="005D267F" w:rsidP="005D267F">
      <w:pPr>
        <w:ind w:firstLine="720"/>
        <w:rPr>
          <w:rFonts w:eastAsia="MS Mincho"/>
          <w:lang w:eastAsia="ja-JP"/>
        </w:rPr>
      </w:pPr>
      <w:r w:rsidRPr="00A13678">
        <w:rPr>
          <w:rFonts w:eastAsia="MS Mincho"/>
          <w:lang w:eastAsia="ja-JP"/>
        </w:rPr>
        <w:t>MSIT (Ministry of Science and ICT) and its RRA (National Radio Research Agency) are government agencies in charge of WPT Regulations in Korea. And the main standardization organizations developing the standards for WPT are shown in the table below.</w:t>
      </w:r>
    </w:p>
    <w:p w:rsidR="005D267F" w:rsidRPr="00A13678" w:rsidRDefault="005D267F" w:rsidP="005D267F">
      <w:pPr>
        <w:rPr>
          <w:rFonts w:eastAsia="MS Mincho"/>
          <w:lang w:eastAsia="ja-JP"/>
        </w:rPr>
      </w:pPr>
    </w:p>
    <w:p w:rsidR="005D267F" w:rsidRPr="00A13678" w:rsidRDefault="005D267F" w:rsidP="005D267F">
      <w:pPr>
        <w:jc w:val="center"/>
        <w:rPr>
          <w:rFonts w:eastAsia="MS Mincho"/>
          <w:lang w:eastAsia="ja-JP"/>
        </w:rPr>
      </w:pPr>
      <w:r w:rsidRPr="00A13678">
        <w:rPr>
          <w:rFonts w:eastAsia="MS Mincho"/>
          <w:lang w:eastAsia="ja-JP"/>
        </w:rPr>
        <w:t>Table 4.1 Standardization activities status in Korea</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3134"/>
        <w:gridCol w:w="3676"/>
      </w:tblGrid>
      <w:tr w:rsidR="005D267F" w:rsidRPr="0019484D" w:rsidTr="005D267F">
        <w:trPr>
          <w:trHeight w:val="273"/>
          <w:tblHeader/>
          <w:jc w:val="center"/>
        </w:trPr>
        <w:tc>
          <w:tcPr>
            <w:tcW w:w="1685" w:type="dxa"/>
            <w:shd w:val="clear" w:color="auto" w:fill="DAEEF3"/>
          </w:tcPr>
          <w:p w:rsidR="005D267F" w:rsidRPr="00A13678" w:rsidRDefault="005D267F" w:rsidP="00AE25FA">
            <w:pPr>
              <w:rPr>
                <w:rFonts w:eastAsia="MS Mincho"/>
                <w:sz w:val="22"/>
                <w:szCs w:val="22"/>
                <w:lang w:eastAsia="ja-JP"/>
              </w:rPr>
            </w:pPr>
            <w:r w:rsidRPr="00A13678">
              <w:rPr>
                <w:rFonts w:eastAsia="MS Mincho"/>
                <w:sz w:val="22"/>
                <w:szCs w:val="22"/>
                <w:lang w:eastAsia="ja-JP"/>
              </w:rPr>
              <w:t>Name</w:t>
            </w:r>
          </w:p>
        </w:tc>
        <w:tc>
          <w:tcPr>
            <w:tcW w:w="3134" w:type="dxa"/>
            <w:shd w:val="clear" w:color="auto" w:fill="DAEEF3"/>
            <w:vAlign w:val="center"/>
          </w:tcPr>
          <w:p w:rsidR="005D267F" w:rsidRPr="00A13678" w:rsidRDefault="005D267F" w:rsidP="00AE25FA">
            <w:pPr>
              <w:rPr>
                <w:rFonts w:eastAsia="MS Mincho"/>
                <w:sz w:val="22"/>
                <w:szCs w:val="22"/>
                <w:lang w:eastAsia="ja-JP"/>
              </w:rPr>
            </w:pPr>
            <w:r w:rsidRPr="00A13678">
              <w:rPr>
                <w:rFonts w:eastAsia="MS Mincho"/>
                <w:sz w:val="22"/>
                <w:szCs w:val="22"/>
                <w:lang w:eastAsia="ja-JP"/>
              </w:rPr>
              <w:t>URL</w:t>
            </w:r>
          </w:p>
        </w:tc>
        <w:tc>
          <w:tcPr>
            <w:tcW w:w="3676" w:type="dxa"/>
            <w:shd w:val="clear" w:color="auto" w:fill="DAEEF3"/>
            <w:vAlign w:val="center"/>
          </w:tcPr>
          <w:p w:rsidR="005D267F" w:rsidRPr="00A13678" w:rsidRDefault="005D267F" w:rsidP="00AE25FA">
            <w:pPr>
              <w:rPr>
                <w:rFonts w:eastAsia="MS Mincho"/>
                <w:sz w:val="22"/>
                <w:szCs w:val="22"/>
                <w:lang w:eastAsia="ja-JP"/>
              </w:rPr>
            </w:pPr>
            <w:r w:rsidRPr="00A13678">
              <w:rPr>
                <w:rFonts w:eastAsia="MS Mincho"/>
                <w:sz w:val="22"/>
                <w:szCs w:val="22"/>
                <w:lang w:eastAsia="ja-JP"/>
              </w:rPr>
              <w:t>Status</w:t>
            </w:r>
          </w:p>
        </w:tc>
      </w:tr>
      <w:tr w:rsidR="005D267F" w:rsidRPr="0019484D" w:rsidTr="00AE25FA">
        <w:trPr>
          <w:trHeight w:val="830"/>
          <w:jc w:val="center"/>
        </w:trPr>
        <w:tc>
          <w:tcPr>
            <w:tcW w:w="1685" w:type="dxa"/>
          </w:tcPr>
          <w:p w:rsidR="005D267F" w:rsidRPr="00A13678" w:rsidRDefault="005D267F" w:rsidP="00AE25FA">
            <w:pPr>
              <w:rPr>
                <w:rFonts w:eastAsia="MS Mincho"/>
                <w:sz w:val="22"/>
                <w:szCs w:val="22"/>
                <w:lang w:eastAsia="ja-JP"/>
              </w:rPr>
            </w:pPr>
            <w:r w:rsidRPr="00A13678">
              <w:rPr>
                <w:rFonts w:eastAsia="MS Mincho"/>
                <w:sz w:val="22"/>
                <w:szCs w:val="22"/>
                <w:lang w:eastAsia="ja-JP"/>
              </w:rPr>
              <w:t>KWPF</w:t>
            </w:r>
          </w:p>
        </w:tc>
        <w:tc>
          <w:tcPr>
            <w:tcW w:w="3134" w:type="dxa"/>
          </w:tcPr>
          <w:p w:rsidR="005D267F" w:rsidRPr="00A13678" w:rsidRDefault="005D267F" w:rsidP="00AE25FA">
            <w:pPr>
              <w:rPr>
                <w:rFonts w:eastAsia="MS Mincho"/>
                <w:sz w:val="22"/>
                <w:szCs w:val="22"/>
                <w:lang w:eastAsia="ja-JP"/>
              </w:rPr>
            </w:pPr>
            <w:r w:rsidRPr="00A13678">
              <w:rPr>
                <w:rFonts w:eastAsia="MS Mincho"/>
                <w:sz w:val="22"/>
                <w:szCs w:val="22"/>
                <w:lang w:eastAsia="ja-JP"/>
              </w:rPr>
              <w:t>http://www.kwpf.org</w:t>
            </w:r>
          </w:p>
          <w:p w:rsidR="005D267F" w:rsidRPr="00A13678" w:rsidRDefault="005D267F" w:rsidP="00AE25FA">
            <w:pPr>
              <w:rPr>
                <w:rFonts w:eastAsia="MS Mincho"/>
                <w:sz w:val="22"/>
                <w:szCs w:val="22"/>
                <w:lang w:eastAsia="ja-JP"/>
              </w:rPr>
            </w:pPr>
          </w:p>
        </w:tc>
        <w:tc>
          <w:tcPr>
            <w:tcW w:w="3676" w:type="dxa"/>
          </w:tcPr>
          <w:p w:rsidR="005D267F" w:rsidRPr="00A13678" w:rsidRDefault="005D267F" w:rsidP="00AE25FA">
            <w:pPr>
              <w:rPr>
                <w:rFonts w:eastAsia="MS Mincho"/>
                <w:sz w:val="22"/>
                <w:szCs w:val="22"/>
                <w:lang w:eastAsia="ja-JP"/>
              </w:rPr>
            </w:pPr>
            <w:r w:rsidRPr="00A13678">
              <w:rPr>
                <w:rFonts w:eastAsia="MS Mincho"/>
                <w:sz w:val="22"/>
                <w:szCs w:val="22"/>
                <w:lang w:eastAsia="ja-JP"/>
              </w:rPr>
              <w:t>Study area</w:t>
            </w:r>
          </w:p>
          <w:p w:rsidR="005D267F" w:rsidRPr="00A13678" w:rsidRDefault="005D267F" w:rsidP="00AE25FA">
            <w:pPr>
              <w:rPr>
                <w:rFonts w:eastAsia="MS Mincho"/>
                <w:sz w:val="22"/>
                <w:szCs w:val="22"/>
                <w:lang w:eastAsia="ja-JP"/>
              </w:rPr>
            </w:pPr>
            <w:r w:rsidRPr="00A13678">
              <w:rPr>
                <w:rFonts w:eastAsia="MS Mincho"/>
                <w:sz w:val="22"/>
                <w:szCs w:val="22"/>
                <w:lang w:eastAsia="ja-JP"/>
              </w:rPr>
              <w:t>- spectrum related to WPT</w:t>
            </w:r>
          </w:p>
          <w:p w:rsidR="005D267F" w:rsidRPr="00A13678" w:rsidRDefault="005D267F" w:rsidP="00AE25FA">
            <w:pPr>
              <w:rPr>
                <w:rFonts w:eastAsia="MS Mincho"/>
                <w:sz w:val="22"/>
                <w:szCs w:val="22"/>
                <w:lang w:eastAsia="ja-JP"/>
              </w:rPr>
            </w:pPr>
            <w:r w:rsidRPr="00A13678">
              <w:rPr>
                <w:rFonts w:eastAsia="MS Mincho"/>
                <w:sz w:val="22"/>
                <w:szCs w:val="22"/>
                <w:lang w:eastAsia="ja-JP"/>
              </w:rPr>
              <w:t>- regulatory related to WPT</w:t>
            </w:r>
          </w:p>
          <w:p w:rsidR="005D267F" w:rsidRPr="00A13678" w:rsidRDefault="005D267F" w:rsidP="00AE25FA">
            <w:pPr>
              <w:rPr>
                <w:rFonts w:eastAsia="MS Mincho"/>
                <w:sz w:val="22"/>
                <w:szCs w:val="22"/>
                <w:lang w:eastAsia="ja-JP"/>
              </w:rPr>
            </w:pPr>
            <w:r w:rsidRPr="00A13678">
              <w:rPr>
                <w:rFonts w:eastAsia="MS Mincho"/>
                <w:sz w:val="22"/>
                <w:szCs w:val="22"/>
                <w:lang w:eastAsia="ja-JP"/>
              </w:rPr>
              <w:t>- WPT based on magnetic resonance</w:t>
            </w:r>
          </w:p>
          <w:p w:rsidR="005D267F" w:rsidRPr="00A13678" w:rsidRDefault="005D267F" w:rsidP="00AE25FA">
            <w:pPr>
              <w:rPr>
                <w:rFonts w:eastAsia="MS Mincho"/>
                <w:sz w:val="22"/>
                <w:szCs w:val="22"/>
                <w:lang w:eastAsia="ja-JP"/>
              </w:rPr>
            </w:pPr>
            <w:r w:rsidRPr="00A13678">
              <w:rPr>
                <w:rFonts w:eastAsia="MS Mincho"/>
                <w:sz w:val="22"/>
                <w:szCs w:val="22"/>
                <w:lang w:eastAsia="ja-JP"/>
              </w:rPr>
              <w:t>- WPT based on magnetic induction</w:t>
            </w:r>
          </w:p>
          <w:p w:rsidR="005D267F" w:rsidRPr="00A13678" w:rsidRDefault="005D267F" w:rsidP="00AE25FA">
            <w:pPr>
              <w:rPr>
                <w:rFonts w:eastAsia="MS Mincho"/>
                <w:sz w:val="22"/>
                <w:szCs w:val="22"/>
                <w:lang w:eastAsia="ja-JP"/>
              </w:rPr>
            </w:pPr>
            <w:r w:rsidRPr="00A13678">
              <w:rPr>
                <w:rFonts w:eastAsia="MS Mincho"/>
                <w:sz w:val="22"/>
                <w:szCs w:val="22"/>
                <w:lang w:eastAsia="ja-JP"/>
              </w:rPr>
              <w:t>- Use Case</w:t>
            </w:r>
          </w:p>
          <w:p w:rsidR="005D267F" w:rsidRPr="00A13678" w:rsidRDefault="005D267F" w:rsidP="00AE25FA">
            <w:pPr>
              <w:rPr>
                <w:rFonts w:eastAsia="MS Mincho"/>
                <w:sz w:val="22"/>
                <w:szCs w:val="22"/>
                <w:lang w:eastAsia="ja-JP"/>
              </w:rPr>
            </w:pPr>
            <w:r w:rsidRPr="00A13678">
              <w:rPr>
                <w:rFonts w:eastAsia="MS Mincho"/>
                <w:sz w:val="22"/>
                <w:szCs w:val="22"/>
                <w:lang w:eastAsia="ja-JP"/>
              </w:rPr>
              <w:t>- Service Scenario</w:t>
            </w:r>
          </w:p>
          <w:p w:rsidR="005D267F" w:rsidRPr="00A13678" w:rsidRDefault="005D267F" w:rsidP="00AE25FA">
            <w:pPr>
              <w:rPr>
                <w:rFonts w:eastAsia="MS Mincho"/>
                <w:sz w:val="22"/>
                <w:szCs w:val="22"/>
                <w:lang w:eastAsia="ja-JP"/>
              </w:rPr>
            </w:pPr>
            <w:r w:rsidRPr="00A13678">
              <w:rPr>
                <w:rFonts w:eastAsia="MS Mincho"/>
                <w:sz w:val="22"/>
                <w:szCs w:val="22"/>
                <w:lang w:eastAsia="ja-JP"/>
              </w:rPr>
              <w:t>- Functional Requirement</w:t>
            </w:r>
          </w:p>
          <w:p w:rsidR="005D267F" w:rsidRPr="00A13678" w:rsidRDefault="005D267F" w:rsidP="00AE25FA">
            <w:pPr>
              <w:rPr>
                <w:rFonts w:eastAsia="MS Mincho"/>
                <w:sz w:val="22"/>
                <w:szCs w:val="22"/>
                <w:lang w:eastAsia="ja-JP"/>
              </w:rPr>
            </w:pPr>
            <w:r w:rsidRPr="00A13678">
              <w:rPr>
                <w:rFonts w:eastAsia="MS Mincho"/>
                <w:sz w:val="22"/>
                <w:szCs w:val="22"/>
                <w:lang w:eastAsia="ja-JP"/>
              </w:rPr>
              <w:t>- In-band communication for WPT</w:t>
            </w:r>
          </w:p>
          <w:p w:rsidR="005D267F" w:rsidRPr="00A13678" w:rsidRDefault="005D267F" w:rsidP="00AE25FA">
            <w:pPr>
              <w:rPr>
                <w:rFonts w:eastAsia="MS Mincho"/>
                <w:sz w:val="22"/>
                <w:szCs w:val="22"/>
                <w:lang w:eastAsia="ja-JP"/>
              </w:rPr>
            </w:pPr>
            <w:r w:rsidRPr="00A13678">
              <w:rPr>
                <w:rFonts w:eastAsia="MS Mincho"/>
                <w:sz w:val="22"/>
                <w:szCs w:val="22"/>
                <w:lang w:eastAsia="ja-JP"/>
              </w:rPr>
              <w:t>- Control for management of WPT</w:t>
            </w:r>
          </w:p>
        </w:tc>
      </w:tr>
      <w:tr w:rsidR="005D267F" w:rsidRPr="0019484D" w:rsidTr="00AE25FA">
        <w:trPr>
          <w:trHeight w:val="57"/>
          <w:jc w:val="center"/>
        </w:trPr>
        <w:tc>
          <w:tcPr>
            <w:tcW w:w="1685" w:type="dxa"/>
          </w:tcPr>
          <w:p w:rsidR="005D267F" w:rsidRPr="00A13678" w:rsidRDefault="005D267F" w:rsidP="00AE25FA">
            <w:pPr>
              <w:rPr>
                <w:rFonts w:eastAsia="MS Mincho"/>
                <w:sz w:val="22"/>
                <w:szCs w:val="22"/>
                <w:lang w:eastAsia="ja-JP"/>
              </w:rPr>
            </w:pPr>
            <w:r w:rsidRPr="00A13678">
              <w:rPr>
                <w:rFonts w:eastAsia="MS Mincho"/>
                <w:sz w:val="22"/>
                <w:szCs w:val="22"/>
                <w:lang w:eastAsia="ja-JP"/>
              </w:rPr>
              <w:t>TTA</w:t>
            </w:r>
          </w:p>
        </w:tc>
        <w:tc>
          <w:tcPr>
            <w:tcW w:w="3134" w:type="dxa"/>
          </w:tcPr>
          <w:p w:rsidR="005D267F" w:rsidRPr="00A13678" w:rsidRDefault="00036B40" w:rsidP="00AE25FA">
            <w:pPr>
              <w:rPr>
                <w:rFonts w:eastAsia="MS Mincho"/>
                <w:sz w:val="22"/>
                <w:szCs w:val="22"/>
                <w:lang w:eastAsia="ja-JP"/>
              </w:rPr>
            </w:pPr>
            <w:hyperlink r:id="rId12" w:history="1">
              <w:r w:rsidR="005D267F" w:rsidRPr="00A13678">
                <w:rPr>
                  <w:rStyle w:val="Hyperlink"/>
                  <w:rFonts w:eastAsia="MS Mincho"/>
                  <w:sz w:val="22"/>
                  <w:szCs w:val="22"/>
                  <w:lang w:eastAsia="ja-JP"/>
                </w:rPr>
                <w:t>http://www.tta.or.kr/English/index.jsp</w:t>
              </w:r>
            </w:hyperlink>
          </w:p>
        </w:tc>
        <w:tc>
          <w:tcPr>
            <w:tcW w:w="3676" w:type="dxa"/>
          </w:tcPr>
          <w:p w:rsidR="005D267F" w:rsidRPr="00A13678" w:rsidRDefault="005D267F" w:rsidP="00AE25FA">
            <w:pPr>
              <w:rPr>
                <w:rFonts w:eastAsia="MS Mincho"/>
                <w:sz w:val="22"/>
                <w:szCs w:val="22"/>
                <w:lang w:eastAsia="ja-JP"/>
              </w:rPr>
            </w:pPr>
            <w:r w:rsidRPr="00A13678">
              <w:rPr>
                <w:rFonts w:eastAsia="MS Mincho"/>
                <w:sz w:val="22"/>
                <w:szCs w:val="22"/>
                <w:lang w:eastAsia="ja-JP"/>
              </w:rPr>
              <w:t>Study area</w:t>
            </w:r>
          </w:p>
          <w:p w:rsidR="005D267F" w:rsidRPr="00A13678" w:rsidRDefault="005D267F" w:rsidP="00AE25FA">
            <w:pPr>
              <w:rPr>
                <w:rFonts w:eastAsia="MS Mincho"/>
                <w:sz w:val="22"/>
                <w:szCs w:val="22"/>
                <w:lang w:eastAsia="ja-JP"/>
              </w:rPr>
            </w:pPr>
            <w:r w:rsidRPr="00A13678">
              <w:rPr>
                <w:rFonts w:eastAsia="MS Mincho"/>
                <w:sz w:val="22"/>
                <w:szCs w:val="22"/>
                <w:lang w:eastAsia="ja-JP"/>
              </w:rPr>
              <w:t>- Use Case</w:t>
            </w:r>
          </w:p>
          <w:p w:rsidR="005D267F" w:rsidRPr="00A13678" w:rsidRDefault="005D267F" w:rsidP="00AE25FA">
            <w:pPr>
              <w:rPr>
                <w:rFonts w:eastAsia="MS Mincho"/>
                <w:sz w:val="22"/>
                <w:szCs w:val="22"/>
                <w:lang w:eastAsia="ja-JP"/>
              </w:rPr>
            </w:pPr>
            <w:r w:rsidRPr="00A13678">
              <w:rPr>
                <w:rFonts w:eastAsia="MS Mincho"/>
                <w:sz w:val="22"/>
                <w:szCs w:val="22"/>
                <w:lang w:eastAsia="ja-JP"/>
              </w:rPr>
              <w:t>- Service Scenario</w:t>
            </w:r>
          </w:p>
          <w:p w:rsidR="005D267F" w:rsidRPr="00A13678" w:rsidRDefault="005D267F" w:rsidP="00AE25FA">
            <w:pPr>
              <w:rPr>
                <w:rFonts w:eastAsia="MS Mincho"/>
                <w:sz w:val="22"/>
                <w:szCs w:val="22"/>
                <w:lang w:eastAsia="ja-JP"/>
              </w:rPr>
            </w:pPr>
            <w:r w:rsidRPr="00A13678">
              <w:rPr>
                <w:rFonts w:eastAsia="MS Mincho"/>
                <w:sz w:val="22"/>
                <w:szCs w:val="22"/>
                <w:lang w:eastAsia="ja-JP"/>
              </w:rPr>
              <w:t>- Efficiency</w:t>
            </w:r>
          </w:p>
          <w:p w:rsidR="005D267F" w:rsidRPr="00A13678" w:rsidRDefault="005D267F" w:rsidP="00AE25FA">
            <w:pPr>
              <w:rPr>
                <w:rFonts w:eastAsia="MS Mincho"/>
                <w:sz w:val="22"/>
                <w:szCs w:val="22"/>
                <w:lang w:eastAsia="ja-JP"/>
              </w:rPr>
            </w:pPr>
            <w:r w:rsidRPr="00A13678">
              <w:rPr>
                <w:rFonts w:eastAsia="MS Mincho"/>
                <w:sz w:val="22"/>
                <w:szCs w:val="22"/>
                <w:lang w:eastAsia="ja-JP"/>
              </w:rPr>
              <w:t>- Evaluation</w:t>
            </w:r>
          </w:p>
          <w:p w:rsidR="005D267F" w:rsidRPr="00A13678" w:rsidRDefault="005D267F" w:rsidP="00AE25FA">
            <w:pPr>
              <w:rPr>
                <w:rFonts w:eastAsia="MS Mincho"/>
                <w:sz w:val="22"/>
                <w:szCs w:val="22"/>
                <w:lang w:eastAsia="ja-JP"/>
              </w:rPr>
            </w:pPr>
            <w:r w:rsidRPr="00A13678">
              <w:rPr>
                <w:rFonts w:eastAsia="MS Mincho"/>
                <w:sz w:val="22"/>
                <w:szCs w:val="22"/>
                <w:lang w:eastAsia="ja-JP"/>
              </w:rPr>
              <w:t>- In-band communication for WPT</w:t>
            </w:r>
          </w:p>
          <w:p w:rsidR="005D267F" w:rsidRPr="00A13678" w:rsidRDefault="005D267F" w:rsidP="00AE25FA">
            <w:pPr>
              <w:rPr>
                <w:rFonts w:eastAsia="MS Mincho"/>
                <w:sz w:val="22"/>
                <w:szCs w:val="22"/>
                <w:lang w:eastAsia="ja-JP"/>
              </w:rPr>
            </w:pPr>
            <w:r w:rsidRPr="00A13678">
              <w:rPr>
                <w:rFonts w:eastAsia="MS Mincho"/>
                <w:sz w:val="22"/>
                <w:szCs w:val="22"/>
                <w:lang w:eastAsia="ja-JP"/>
              </w:rPr>
              <w:t>- Control for management of WPT</w:t>
            </w:r>
          </w:p>
          <w:p w:rsidR="005D267F" w:rsidRPr="00A13678" w:rsidRDefault="005D267F" w:rsidP="00AE25FA">
            <w:pPr>
              <w:rPr>
                <w:rFonts w:eastAsia="MS Mincho"/>
                <w:sz w:val="22"/>
                <w:szCs w:val="22"/>
                <w:lang w:eastAsia="ja-JP"/>
              </w:rPr>
            </w:pPr>
            <w:r w:rsidRPr="00A13678">
              <w:rPr>
                <w:rFonts w:eastAsia="MS Mincho"/>
                <w:sz w:val="22"/>
                <w:szCs w:val="22"/>
                <w:lang w:eastAsia="ja-JP"/>
              </w:rPr>
              <w:t>- WPT based on magnetic resonance</w:t>
            </w:r>
          </w:p>
          <w:p w:rsidR="005D267F" w:rsidRPr="00A13678" w:rsidRDefault="005D267F" w:rsidP="00AE25FA">
            <w:pPr>
              <w:rPr>
                <w:rFonts w:eastAsia="MS Mincho"/>
                <w:sz w:val="22"/>
                <w:szCs w:val="22"/>
                <w:lang w:eastAsia="ja-JP"/>
              </w:rPr>
            </w:pPr>
            <w:r w:rsidRPr="00A13678">
              <w:rPr>
                <w:rFonts w:eastAsia="MS Mincho"/>
                <w:sz w:val="22"/>
                <w:szCs w:val="22"/>
                <w:lang w:eastAsia="ja-JP"/>
              </w:rPr>
              <w:t>- WPT based on magnetic induction</w:t>
            </w:r>
          </w:p>
          <w:p w:rsidR="005D267F" w:rsidRPr="00A13678" w:rsidRDefault="005D267F" w:rsidP="00AE25FA">
            <w:pPr>
              <w:rPr>
                <w:rFonts w:eastAsia="MS Mincho"/>
                <w:sz w:val="22"/>
                <w:szCs w:val="22"/>
                <w:lang w:eastAsia="ja-JP"/>
              </w:rPr>
            </w:pPr>
            <w:r w:rsidRPr="00A13678">
              <w:rPr>
                <w:rFonts w:eastAsia="MS Mincho"/>
                <w:sz w:val="22"/>
                <w:szCs w:val="22"/>
                <w:lang w:eastAsia="ja-JP"/>
              </w:rPr>
              <w:t>- Multi-device charging management</w:t>
            </w:r>
          </w:p>
          <w:p w:rsidR="005D267F" w:rsidRPr="00A13678" w:rsidRDefault="005D267F" w:rsidP="00AE25FA">
            <w:pPr>
              <w:rPr>
                <w:rFonts w:eastAsia="MS Mincho"/>
                <w:sz w:val="22"/>
                <w:szCs w:val="22"/>
                <w:lang w:eastAsia="ja-JP"/>
              </w:rPr>
            </w:pPr>
            <w:r w:rsidRPr="00A13678">
              <w:rPr>
                <w:rFonts w:eastAsia="MS Mincho"/>
                <w:sz w:val="22"/>
                <w:szCs w:val="22"/>
                <w:lang w:eastAsia="ja-JP"/>
              </w:rPr>
              <w:t xml:space="preserve">- RF beam WPT using 2.4GHz ambient WiFi signals for battery-less IoT devices  </w:t>
            </w:r>
          </w:p>
        </w:tc>
      </w:tr>
    </w:tbl>
    <w:p w:rsidR="005D267F" w:rsidRPr="0019484D" w:rsidRDefault="005D267F" w:rsidP="005D267F">
      <w:pPr>
        <w:rPr>
          <w:rFonts w:eastAsia="MS Mincho"/>
          <w:b/>
          <w:lang w:eastAsia="ja-JP"/>
        </w:rPr>
      </w:pPr>
    </w:p>
    <w:p w:rsidR="005D267F" w:rsidRPr="0025486F" w:rsidRDefault="005D267F" w:rsidP="005D267F">
      <w:pPr>
        <w:pStyle w:val="Heading2"/>
      </w:pPr>
      <w:bookmarkStart w:id="10" w:name="_Toc494297287"/>
      <w:r w:rsidRPr="0025486F">
        <w:rPr>
          <w:rFonts w:ascii="Times New Roman" w:hAnsi="Times New Roman" w:cs="Times New Roman"/>
        </w:rPr>
        <w:t>3.2 IEC CISPR</w:t>
      </w:r>
      <w:bookmarkEnd w:id="10"/>
    </w:p>
    <w:p w:rsidR="005D267F" w:rsidRPr="003D65A7" w:rsidRDefault="005D267F" w:rsidP="005D267F">
      <w:pPr>
        <w:ind w:firstLine="720"/>
        <w:jc w:val="both"/>
        <w:rPr>
          <w:lang w:eastAsia="ja-JP"/>
        </w:rPr>
      </w:pPr>
      <w:r w:rsidRPr="003D65A7">
        <w:rPr>
          <w:lang w:eastAsia="ja-JP"/>
        </w:rPr>
        <w:t>In CISPR (Comité International Spécial des Perturbations Radioélectriques), WPT is taken by CISPR SC-B (Interference relating to ISM radio frequency apparatus, and to overhead power lines, etc.) for discussion. The other SCs D (electric/electronic equipment on vehicles), F (household appliances, lighting equipment, etc.) and I (information technology equipment, multimedia equipment and receivers) are also considering WPT.</w:t>
      </w:r>
    </w:p>
    <w:p w:rsidR="005D267F" w:rsidRPr="003D65A7" w:rsidRDefault="005D267F" w:rsidP="005D267F">
      <w:pPr>
        <w:ind w:firstLine="720"/>
        <w:jc w:val="both"/>
        <w:rPr>
          <w:lang w:eastAsia="ja-JP"/>
        </w:rPr>
      </w:pPr>
      <w:r w:rsidRPr="003D65A7">
        <w:rPr>
          <w:lang w:eastAsia="ja-JP"/>
        </w:rPr>
        <w:t>SC-B formed a Task Force in June 2014 intended for specification development. Amendment to CISPR 11 for including the emission requirements in the frequency range 9 kHz to 150 kHz for power electronic WPT including EV is expected to be published by not later than 2019.</w:t>
      </w:r>
    </w:p>
    <w:p w:rsidR="005D267F" w:rsidRDefault="005D267F" w:rsidP="005D267F">
      <w:pPr>
        <w:ind w:firstLine="720"/>
        <w:jc w:val="both"/>
        <w:rPr>
          <w:lang w:eastAsia="ja-JP"/>
        </w:rPr>
      </w:pPr>
      <w:r w:rsidRPr="003D65A7">
        <w:rPr>
          <w:lang w:eastAsia="ja-JP"/>
        </w:rPr>
        <w:t>It must be noted that the scope of CISPR 11 is for ISM, currently there is no ISM band in the RR for 9-150 kHz.</w:t>
      </w:r>
    </w:p>
    <w:p w:rsidR="005D267F" w:rsidRDefault="005D267F" w:rsidP="005D267F">
      <w:pPr>
        <w:ind w:firstLine="720"/>
        <w:jc w:val="both"/>
        <w:rPr>
          <w:lang w:eastAsia="ja-JP"/>
        </w:rPr>
      </w:pPr>
      <w:r w:rsidDel="003B5953">
        <w:rPr>
          <w:lang w:eastAsia="ja-JP"/>
        </w:rPr>
        <w:t xml:space="preserve"> </w:t>
      </w:r>
      <w:r>
        <w:rPr>
          <w:lang w:eastAsia="ja-JP"/>
        </w:rPr>
        <w:t xml:space="preserve">In CISPR, </w:t>
      </w:r>
      <w:r w:rsidRPr="00752EC2">
        <w:rPr>
          <w:lang w:eastAsia="ja-JP"/>
        </w:rPr>
        <w:t>Table A in CISPR/B/663/CD</w:t>
      </w:r>
      <w:r>
        <w:rPr>
          <w:lang w:eastAsia="ja-JP"/>
        </w:rPr>
        <w:t xml:space="preserve"> lists the following frequency ranges and typical usage for WPT. </w:t>
      </w:r>
    </w:p>
    <w:tbl>
      <w:tblPr>
        <w:tblStyle w:val="TableGrid"/>
        <w:tblW w:w="0" w:type="auto"/>
        <w:tblLook w:val="04A0" w:firstRow="1" w:lastRow="0" w:firstColumn="1" w:lastColumn="0" w:noHBand="0" w:noVBand="1"/>
      </w:tblPr>
      <w:tblGrid>
        <w:gridCol w:w="2405"/>
        <w:gridCol w:w="6902"/>
      </w:tblGrid>
      <w:tr w:rsidR="005D267F" w:rsidTr="00AE25FA">
        <w:tc>
          <w:tcPr>
            <w:tcW w:w="2405"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center"/>
              <w:textAlignment w:val="baseline"/>
              <w:rPr>
                <w:rFonts w:ascii="Calibri" w:hAnsi="Calibri"/>
                <w:sz w:val="21"/>
                <w:szCs w:val="21"/>
                <w:lang w:eastAsia="ja-JP"/>
              </w:rPr>
            </w:pPr>
            <w:r w:rsidRPr="005D267F">
              <w:rPr>
                <w:rFonts w:ascii="Calibri" w:hAnsi="Calibri"/>
                <w:sz w:val="21"/>
                <w:szCs w:val="21"/>
                <w:lang w:eastAsia="ja-JP"/>
              </w:rPr>
              <w:t>Frequency range (kHz)</w:t>
            </w:r>
          </w:p>
        </w:tc>
        <w:tc>
          <w:tcPr>
            <w:tcW w:w="6902"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center"/>
              <w:textAlignment w:val="baseline"/>
              <w:rPr>
                <w:rFonts w:ascii="Calibri" w:hAnsi="Calibri"/>
                <w:sz w:val="21"/>
                <w:szCs w:val="21"/>
                <w:lang w:eastAsia="ja-JP"/>
              </w:rPr>
            </w:pPr>
            <w:r w:rsidRPr="005D267F">
              <w:rPr>
                <w:rFonts w:ascii="Calibri" w:hAnsi="Calibri"/>
                <w:sz w:val="21"/>
                <w:szCs w:val="21"/>
                <w:lang w:eastAsia="ja-JP"/>
              </w:rPr>
              <w:t>Typical WPT use</w:t>
            </w:r>
            <w:r w:rsidRPr="005D267F">
              <w:rPr>
                <w:rFonts w:ascii="Calibri" w:hAnsi="Calibri"/>
                <w:sz w:val="21"/>
                <w:szCs w:val="21"/>
                <w:vertAlign w:val="superscript"/>
                <w:lang w:eastAsia="ja-JP"/>
              </w:rPr>
              <w:t>c</w:t>
            </w:r>
          </w:p>
        </w:tc>
      </w:tr>
      <w:tr w:rsidR="005D267F" w:rsidTr="00AE25FA">
        <w:tc>
          <w:tcPr>
            <w:tcW w:w="2405"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center"/>
              <w:textAlignment w:val="baseline"/>
              <w:rPr>
                <w:rFonts w:ascii="Calibri" w:hAnsi="Calibri"/>
                <w:sz w:val="21"/>
                <w:szCs w:val="21"/>
                <w:lang w:eastAsia="ja-JP"/>
              </w:rPr>
            </w:pPr>
            <w:r w:rsidRPr="005D267F">
              <w:rPr>
                <w:rFonts w:ascii="Calibri" w:hAnsi="Calibri"/>
                <w:sz w:val="21"/>
                <w:szCs w:val="21"/>
                <w:lang w:eastAsia="ja-JP"/>
              </w:rPr>
              <w:t>19 to 25</w:t>
            </w:r>
          </w:p>
        </w:tc>
        <w:tc>
          <w:tcPr>
            <w:tcW w:w="6902"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both"/>
              <w:textAlignment w:val="baseline"/>
              <w:rPr>
                <w:rFonts w:ascii="Calibri" w:hAnsi="Calibri"/>
                <w:sz w:val="21"/>
                <w:szCs w:val="21"/>
                <w:lang w:eastAsia="ja-JP"/>
              </w:rPr>
            </w:pPr>
            <w:r w:rsidRPr="005D267F">
              <w:rPr>
                <w:rFonts w:ascii="Calibri" w:hAnsi="Calibri"/>
                <w:sz w:val="21"/>
                <w:szCs w:val="21"/>
                <w:lang w:eastAsia="ja-JP"/>
              </w:rPr>
              <w:t>Local WPT via an air gap in cm range, throughput power up to 200 kW – automated in-plant transportation systems, trams and electric buses</w:t>
            </w:r>
          </w:p>
        </w:tc>
      </w:tr>
      <w:tr w:rsidR="005D267F" w:rsidTr="00AE25FA">
        <w:tc>
          <w:tcPr>
            <w:tcW w:w="2405"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center"/>
              <w:textAlignment w:val="baseline"/>
              <w:rPr>
                <w:rFonts w:ascii="Calibri" w:hAnsi="Calibri"/>
                <w:sz w:val="21"/>
                <w:szCs w:val="21"/>
                <w:lang w:eastAsia="ja-JP"/>
              </w:rPr>
            </w:pPr>
            <w:r w:rsidRPr="005D267F">
              <w:rPr>
                <w:rFonts w:ascii="Calibri" w:hAnsi="Calibri"/>
                <w:sz w:val="21"/>
                <w:szCs w:val="21"/>
                <w:lang w:eastAsia="ja-JP"/>
              </w:rPr>
              <w:lastRenderedPageBreak/>
              <w:t>36 to 40</w:t>
            </w:r>
          </w:p>
        </w:tc>
        <w:tc>
          <w:tcPr>
            <w:tcW w:w="6902"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both"/>
              <w:textAlignment w:val="baseline"/>
              <w:rPr>
                <w:rFonts w:ascii="Calibri" w:hAnsi="Calibri"/>
                <w:sz w:val="21"/>
                <w:szCs w:val="21"/>
                <w:lang w:eastAsia="ja-JP"/>
              </w:rPr>
            </w:pPr>
            <w:r w:rsidRPr="005D267F">
              <w:rPr>
                <w:rFonts w:ascii="Calibri" w:hAnsi="Calibri"/>
                <w:sz w:val="21"/>
                <w:szCs w:val="21"/>
                <w:lang w:eastAsia="ja-JP"/>
              </w:rPr>
              <w:t xml:space="preserve">Local WPT via an air gap in cm range, throughput power up to 200 kW – automated in-plant transportation systems, trams, and electric buses </w:t>
            </w:r>
          </w:p>
        </w:tc>
      </w:tr>
      <w:tr w:rsidR="005D267F" w:rsidTr="00AE25FA">
        <w:tc>
          <w:tcPr>
            <w:tcW w:w="2405"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center"/>
              <w:textAlignment w:val="baseline"/>
              <w:rPr>
                <w:rFonts w:ascii="Calibri" w:hAnsi="Calibri"/>
                <w:sz w:val="21"/>
                <w:szCs w:val="21"/>
                <w:lang w:eastAsia="ja-JP"/>
              </w:rPr>
            </w:pPr>
            <w:r w:rsidRPr="005D267F">
              <w:rPr>
                <w:rFonts w:ascii="Calibri" w:hAnsi="Calibri"/>
                <w:sz w:val="21"/>
                <w:szCs w:val="21"/>
                <w:lang w:eastAsia="ja-JP"/>
              </w:rPr>
              <w:t>55 to 65</w:t>
            </w:r>
            <w:r w:rsidRPr="005D267F">
              <w:rPr>
                <w:rFonts w:ascii="Calibri" w:hAnsi="Calibri"/>
                <w:sz w:val="21"/>
                <w:szCs w:val="21"/>
                <w:vertAlign w:val="superscript"/>
                <w:lang w:eastAsia="ja-JP"/>
              </w:rPr>
              <w:t>a</w:t>
            </w:r>
          </w:p>
        </w:tc>
        <w:tc>
          <w:tcPr>
            <w:tcW w:w="6902"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both"/>
              <w:textAlignment w:val="baseline"/>
              <w:rPr>
                <w:rFonts w:ascii="Calibri" w:hAnsi="Calibri"/>
                <w:sz w:val="21"/>
                <w:szCs w:val="21"/>
                <w:lang w:eastAsia="ja-JP"/>
              </w:rPr>
            </w:pPr>
            <w:r w:rsidRPr="005D267F">
              <w:rPr>
                <w:rFonts w:ascii="Calibri" w:hAnsi="Calibri"/>
                <w:sz w:val="21"/>
                <w:szCs w:val="21"/>
                <w:lang w:eastAsia="ja-JP"/>
              </w:rPr>
              <w:t>Local WPT via an air gap in cm range, throughput power up to 200 kW – automated in-plant transportation systems, trams, and electric buses</w:t>
            </w:r>
          </w:p>
        </w:tc>
      </w:tr>
      <w:tr w:rsidR="005D267F" w:rsidTr="00AE25FA">
        <w:tc>
          <w:tcPr>
            <w:tcW w:w="2405"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center"/>
              <w:textAlignment w:val="baseline"/>
              <w:rPr>
                <w:rFonts w:ascii="Calibri" w:hAnsi="Calibri"/>
                <w:sz w:val="21"/>
                <w:szCs w:val="21"/>
                <w:lang w:eastAsia="ja-JP"/>
              </w:rPr>
            </w:pPr>
            <w:r w:rsidRPr="005D267F">
              <w:rPr>
                <w:rFonts w:ascii="Calibri" w:hAnsi="Calibri"/>
                <w:sz w:val="21"/>
                <w:szCs w:val="21"/>
                <w:lang w:eastAsia="ja-JP"/>
              </w:rPr>
              <w:t>79 to 90</w:t>
            </w:r>
            <w:r w:rsidRPr="005D267F">
              <w:rPr>
                <w:rFonts w:ascii="Calibri" w:hAnsi="Calibri"/>
                <w:sz w:val="21"/>
                <w:szCs w:val="21"/>
                <w:vertAlign w:val="superscript"/>
                <w:lang w:eastAsia="ja-JP"/>
              </w:rPr>
              <w:t>b</w:t>
            </w:r>
          </w:p>
        </w:tc>
        <w:tc>
          <w:tcPr>
            <w:tcW w:w="6902" w:type="dxa"/>
          </w:tcPr>
          <w:p w:rsidR="005D267F" w:rsidRPr="005D267F" w:rsidRDefault="005D267F" w:rsidP="00AE25FA">
            <w:pPr>
              <w:tabs>
                <w:tab w:val="left" w:pos="1871"/>
                <w:tab w:val="left" w:pos="2268"/>
                <w:tab w:val="left" w:pos="2608"/>
                <w:tab w:val="left" w:pos="3345"/>
              </w:tabs>
              <w:overflowPunct w:val="0"/>
              <w:autoSpaceDE w:val="0"/>
              <w:autoSpaceDN w:val="0"/>
              <w:adjustRightInd w:val="0"/>
              <w:spacing w:before="60"/>
              <w:jc w:val="both"/>
              <w:textAlignment w:val="baseline"/>
              <w:rPr>
                <w:rFonts w:ascii="Calibri" w:hAnsi="Calibri"/>
                <w:sz w:val="21"/>
                <w:szCs w:val="21"/>
                <w:lang w:eastAsia="ja-JP"/>
              </w:rPr>
            </w:pPr>
            <w:r w:rsidRPr="005D267F">
              <w:rPr>
                <w:rFonts w:ascii="Calibri" w:hAnsi="Calibri"/>
                <w:sz w:val="21"/>
                <w:szCs w:val="21"/>
                <w:lang w:eastAsia="ja-JP"/>
              </w:rPr>
              <w:t xml:space="preserve">Local WPT via an air gap in cm range, throughput power up to 22 kW – electric passenger vehicles </w:t>
            </w:r>
          </w:p>
        </w:tc>
      </w:tr>
      <w:tr w:rsidR="005D267F" w:rsidTr="00AE25FA">
        <w:tc>
          <w:tcPr>
            <w:tcW w:w="9307" w:type="dxa"/>
            <w:gridSpan w:val="2"/>
          </w:tcPr>
          <w:p w:rsidR="005D267F" w:rsidRPr="005D267F" w:rsidRDefault="005D267F" w:rsidP="005D267F">
            <w:pPr>
              <w:numPr>
                <w:ilvl w:val="0"/>
                <w:numId w:val="59"/>
              </w:numPr>
              <w:tabs>
                <w:tab w:val="left" w:pos="1871"/>
                <w:tab w:val="left" w:pos="2268"/>
                <w:tab w:val="left" w:pos="2608"/>
                <w:tab w:val="left" w:pos="3345"/>
              </w:tabs>
              <w:overflowPunct w:val="0"/>
              <w:autoSpaceDE w:val="0"/>
              <w:autoSpaceDN w:val="0"/>
              <w:adjustRightInd w:val="0"/>
              <w:spacing w:before="60"/>
              <w:jc w:val="both"/>
              <w:textAlignment w:val="baseline"/>
              <w:rPr>
                <w:rFonts w:ascii="Calibri" w:hAnsi="Calibri"/>
                <w:sz w:val="21"/>
                <w:szCs w:val="21"/>
                <w:lang w:eastAsia="ja-JP"/>
              </w:rPr>
            </w:pPr>
            <w:r w:rsidRPr="005D267F">
              <w:rPr>
                <w:rFonts w:ascii="Calibri" w:hAnsi="Calibri"/>
                <w:sz w:val="21"/>
                <w:szCs w:val="21"/>
                <w:lang w:eastAsia="ja-JP"/>
              </w:rPr>
              <w:t>It should be noted that 60 kHz is being used as a standard frequency and time signal service.</w:t>
            </w:r>
          </w:p>
          <w:p w:rsidR="005D267F" w:rsidRPr="005D267F" w:rsidRDefault="005D267F" w:rsidP="005D267F">
            <w:pPr>
              <w:numPr>
                <w:ilvl w:val="0"/>
                <w:numId w:val="59"/>
              </w:numPr>
              <w:tabs>
                <w:tab w:val="left" w:pos="1871"/>
                <w:tab w:val="left" w:pos="2268"/>
                <w:tab w:val="left" w:pos="2608"/>
                <w:tab w:val="left" w:pos="3345"/>
              </w:tabs>
              <w:overflowPunct w:val="0"/>
              <w:autoSpaceDE w:val="0"/>
              <w:autoSpaceDN w:val="0"/>
              <w:adjustRightInd w:val="0"/>
              <w:spacing w:before="60"/>
              <w:jc w:val="both"/>
              <w:textAlignment w:val="baseline"/>
              <w:rPr>
                <w:rFonts w:ascii="Calibri" w:hAnsi="Calibri"/>
                <w:sz w:val="21"/>
                <w:szCs w:val="21"/>
                <w:lang w:eastAsia="ja-JP"/>
              </w:rPr>
            </w:pPr>
            <w:r w:rsidRPr="005D267F">
              <w:rPr>
                <w:rFonts w:ascii="Calibri" w:hAnsi="Calibri"/>
                <w:sz w:val="21"/>
                <w:szCs w:val="21"/>
                <w:lang w:eastAsia="ja-JP"/>
              </w:rPr>
              <w:t>Candidate WPT frequency range for global harmonization. The frequency range of 79 kHz to 90 kHz is being considered for Electric Vehicles (see the Preliminary Draft New Recommendation ITU-R SM.[WPT](2015)).</w:t>
            </w:r>
          </w:p>
          <w:p w:rsidR="005D267F" w:rsidRPr="005D267F" w:rsidRDefault="005D267F" w:rsidP="005D267F">
            <w:pPr>
              <w:numPr>
                <w:ilvl w:val="0"/>
                <w:numId w:val="59"/>
              </w:numPr>
              <w:tabs>
                <w:tab w:val="left" w:pos="1871"/>
                <w:tab w:val="left" w:pos="2268"/>
                <w:tab w:val="left" w:pos="2608"/>
                <w:tab w:val="left" w:pos="3345"/>
              </w:tabs>
              <w:overflowPunct w:val="0"/>
              <w:autoSpaceDE w:val="0"/>
              <w:autoSpaceDN w:val="0"/>
              <w:adjustRightInd w:val="0"/>
              <w:spacing w:before="60"/>
              <w:jc w:val="both"/>
              <w:textAlignment w:val="baseline"/>
              <w:rPr>
                <w:rFonts w:ascii="Calibri" w:hAnsi="Calibri"/>
                <w:sz w:val="21"/>
                <w:szCs w:val="21"/>
                <w:lang w:eastAsia="ja-JP"/>
              </w:rPr>
            </w:pPr>
            <w:r w:rsidRPr="005D267F">
              <w:rPr>
                <w:rFonts w:ascii="Calibri" w:hAnsi="Calibri"/>
                <w:sz w:val="21"/>
                <w:szCs w:val="21"/>
                <w:lang w:eastAsia="ja-JP"/>
              </w:rPr>
              <w:t>The power for WPT systems is given for information only and is not related to any limits.</w:t>
            </w:r>
          </w:p>
        </w:tc>
      </w:tr>
    </w:tbl>
    <w:p w:rsidR="005D267F" w:rsidRDefault="005D267F" w:rsidP="005D267F">
      <w:bookmarkStart w:id="11" w:name="_Toc494297288"/>
    </w:p>
    <w:p w:rsidR="005D267F" w:rsidRPr="00A13678" w:rsidRDefault="005D267F" w:rsidP="005D267F">
      <w:pPr>
        <w:pStyle w:val="Heading2"/>
        <w:rPr>
          <w:rFonts w:ascii="Times New Roman" w:hAnsi="Times New Roman" w:cs="Times New Roman"/>
        </w:rPr>
      </w:pPr>
      <w:r w:rsidRPr="00A13678">
        <w:rPr>
          <w:rFonts w:ascii="Times New Roman" w:hAnsi="Times New Roman" w:cs="Times New Roman"/>
        </w:rPr>
        <w:t>3.3 Other global/regional orgs (e.g., IEC/ISO, SAE, ETSI, …)</w:t>
      </w:r>
      <w:bookmarkEnd w:id="11"/>
    </w:p>
    <w:p w:rsidR="005D267F" w:rsidRDefault="005D267F" w:rsidP="005D267F">
      <w:pPr>
        <w:ind w:firstLine="720"/>
        <w:jc w:val="both"/>
        <w:rPr>
          <w:lang w:eastAsia="ja-JP"/>
        </w:rPr>
      </w:pPr>
      <w:r w:rsidRPr="000A1EBD">
        <w:t>Many international and regional organizations are dealing with WPT standardization for EV applications and their relevant activities, which are summarized</w:t>
      </w:r>
      <w:r w:rsidRPr="000A1EBD">
        <w:rPr>
          <w:lang w:eastAsia="ja-JP"/>
        </w:rPr>
        <w:t xml:space="preserve"> in Table 3.1.</w:t>
      </w:r>
    </w:p>
    <w:p w:rsidR="005D267F" w:rsidRPr="00613C74" w:rsidRDefault="005D267F" w:rsidP="005D267F">
      <w:pPr>
        <w:jc w:val="both"/>
        <w:rPr>
          <w:rFonts w:eastAsia="MS Mincho"/>
          <w:lang w:eastAsia="ja-JP"/>
        </w:rPr>
      </w:pPr>
    </w:p>
    <w:p w:rsidR="005D267F" w:rsidRPr="00A13678" w:rsidRDefault="005D267F" w:rsidP="005D267F">
      <w:pPr>
        <w:keepNext/>
        <w:tabs>
          <w:tab w:val="left" w:pos="1134"/>
          <w:tab w:val="left" w:pos="1871"/>
          <w:tab w:val="left" w:pos="2268"/>
        </w:tabs>
        <w:overflowPunct w:val="0"/>
        <w:autoSpaceDE w:val="0"/>
        <w:autoSpaceDN w:val="0"/>
        <w:adjustRightInd w:val="0"/>
        <w:spacing w:after="120"/>
        <w:jc w:val="center"/>
        <w:textAlignment w:val="baseline"/>
        <w:rPr>
          <w:i/>
          <w:caps/>
          <w:lang w:eastAsia="ja-JP"/>
        </w:rPr>
      </w:pPr>
      <w:r w:rsidRPr="000A1EBD">
        <w:rPr>
          <w:rFonts w:eastAsia="MS Mincho"/>
          <w:szCs w:val="20"/>
          <w:lang w:eastAsia="ja-JP"/>
        </w:rPr>
        <w:lastRenderedPageBreak/>
        <w:t>Table</w:t>
      </w:r>
      <w:r w:rsidRPr="000A1EBD">
        <w:rPr>
          <w:rFonts w:eastAsia="Batang"/>
          <w:szCs w:val="20"/>
          <w:lang w:eastAsia="ja-JP"/>
        </w:rPr>
        <w:t xml:space="preserve"> 3.1</w:t>
      </w:r>
      <w:r w:rsidRPr="000A1EBD">
        <w:rPr>
          <w:rFonts w:eastAsia="MS Mincho"/>
          <w:sz w:val="20"/>
          <w:szCs w:val="20"/>
          <w:lang w:eastAsia="ja-JP"/>
        </w:rPr>
        <w:t xml:space="preserve"> </w:t>
      </w:r>
      <w:r w:rsidRPr="000A1EBD">
        <w:rPr>
          <w:rFonts w:eastAsia="Batang"/>
          <w:szCs w:val="20"/>
          <w:lang w:eastAsia="ja-JP"/>
        </w:rPr>
        <w:t xml:space="preserve">WPT standardization for EV applications and their relevant </w:t>
      </w:r>
      <w:r w:rsidRPr="00A13678">
        <w:rPr>
          <w:rFonts w:eastAsia="Batang"/>
          <w:lang w:eastAsia="ja-JP"/>
        </w:rPr>
        <w:t>activities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8"/>
        <w:gridCol w:w="7431"/>
      </w:tblGrid>
      <w:tr w:rsidR="005D267F" w:rsidRPr="000A1EBD" w:rsidTr="00AE25FA">
        <w:trPr>
          <w:cantSplit/>
          <w:tblHeader/>
          <w:jc w:val="center"/>
        </w:trPr>
        <w:tc>
          <w:tcPr>
            <w:tcW w:w="2208" w:type="dxa"/>
            <w:shd w:val="clear" w:color="auto" w:fill="auto"/>
            <w:vAlign w:val="center"/>
          </w:tcPr>
          <w:p w:rsidR="005D267F" w:rsidRPr="000A1EBD"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Batang" w:hAnsi="Times New Roman Bold" w:cs="Times New Roman Bold"/>
                <w:b/>
                <w:sz w:val="20"/>
                <w:szCs w:val="20"/>
                <w:lang w:eastAsia="ja-JP"/>
              </w:rPr>
            </w:pPr>
            <w:r w:rsidRPr="000A1EBD">
              <w:rPr>
                <w:rFonts w:ascii="Times New Roman Bold" w:eastAsia="Batang" w:hAnsi="Times New Roman Bold" w:cs="Times New Roman Bold"/>
                <w:b/>
                <w:sz w:val="20"/>
                <w:szCs w:val="20"/>
                <w:lang w:eastAsia="ja-JP"/>
              </w:rPr>
              <w:t>Name of Organization</w:t>
            </w:r>
          </w:p>
        </w:tc>
        <w:tc>
          <w:tcPr>
            <w:tcW w:w="7431" w:type="dxa"/>
            <w:shd w:val="clear" w:color="auto" w:fill="auto"/>
            <w:vAlign w:val="center"/>
          </w:tcPr>
          <w:p w:rsidR="005D267F" w:rsidRPr="000A1EBD"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Batang" w:hAnsi="Times New Roman Bold" w:cs="Times New Roman Bold"/>
                <w:b/>
                <w:sz w:val="20"/>
                <w:szCs w:val="20"/>
                <w:lang w:eastAsia="ja-JP"/>
              </w:rPr>
            </w:pPr>
            <w:r w:rsidRPr="000A1EBD">
              <w:rPr>
                <w:rFonts w:ascii="Times New Roman Bold" w:eastAsia="Batang" w:hAnsi="Times New Roman Bold" w:cs="Times New Roman Bold"/>
                <w:b/>
                <w:sz w:val="20"/>
                <w:szCs w:val="20"/>
                <w:lang w:eastAsia="ja-JP"/>
              </w:rPr>
              <w:t>Activities</w:t>
            </w:r>
          </w:p>
        </w:tc>
      </w:tr>
      <w:tr w:rsidR="005D267F" w:rsidRPr="000A1EBD" w:rsidTr="00AE25FA">
        <w:trPr>
          <w:cantSplit/>
          <w:jc w:val="center"/>
        </w:trPr>
        <w:tc>
          <w:tcPr>
            <w:tcW w:w="2208" w:type="dxa"/>
          </w:tcPr>
          <w:p w:rsidR="005D267F" w:rsidRPr="000A1EBD"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286811">
              <w:rPr>
                <w:rFonts w:eastAsia="Times New Roman"/>
                <w:sz w:val="22"/>
                <w:szCs w:val="20"/>
                <w:lang w:eastAsia="ja-JP"/>
              </w:rPr>
              <w:t>ITU-R SG1 WP 1A</w:t>
            </w:r>
            <w:r>
              <w:rPr>
                <w:rFonts w:eastAsia="Times New Roman"/>
                <w:sz w:val="22"/>
                <w:szCs w:val="20"/>
                <w:lang w:eastAsia="ja-JP"/>
              </w:rPr>
              <w:t xml:space="preserve"> / WP 1B</w:t>
            </w:r>
          </w:p>
        </w:tc>
        <w:tc>
          <w:tcPr>
            <w:tcW w:w="7431" w:type="dxa"/>
          </w:tcPr>
          <w:p w:rsidR="005D267F" w:rsidRPr="00286811"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286811">
              <w:rPr>
                <w:rFonts w:eastAsia="Times New Roman"/>
                <w:sz w:val="22"/>
                <w:szCs w:val="20"/>
                <w:lang w:eastAsia="ja-JP"/>
              </w:rPr>
              <w:t>Revision to Report ITU-R SM.2303-1 (WPT NON-BEAM) for the study on Question ITU-R 210-3/1 was completed at WP 1A and subsequently approved at SG1 in June 2017.</w:t>
            </w:r>
          </w:p>
          <w:p w:rsidR="005D267F" w:rsidRPr="00286811"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286811">
              <w:rPr>
                <w:rFonts w:eastAsia="Times New Roman"/>
                <w:sz w:val="22"/>
                <w:szCs w:val="20"/>
                <w:lang w:eastAsia="ja-JP"/>
              </w:rPr>
              <w:t>Report ITU-R SM.2392 (WPT.BEAM.APPLICATIONS) for the study on Question ITU-R 210-3/1 was approved in June 2016.</w:t>
            </w:r>
          </w:p>
          <w:p w:rsidR="005D267F" w:rsidRPr="00286811"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286811">
              <w:rPr>
                <w:rFonts w:eastAsia="Times New Roman"/>
                <w:sz w:val="22"/>
                <w:szCs w:val="20"/>
                <w:lang w:eastAsia="ja-JP"/>
              </w:rPr>
              <w:t>Draft New Recommendation on WPT frequency range was adopted at SG1 for the approval process in June 2017.</w:t>
            </w:r>
          </w:p>
          <w:p w:rsidR="005D267F"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286811">
              <w:rPr>
                <w:rFonts w:eastAsia="Times New Roman"/>
                <w:sz w:val="22"/>
                <w:szCs w:val="20"/>
                <w:lang w:eastAsia="ja-JP"/>
              </w:rPr>
              <w:t>WP 1A and WP 1B decided to continue the Rapporteur Group (RG-WPT) activities on developing content for deliverables related to Question ITU-R 210-3/1 and WRC-19 agenda item 9.1, issue 9.1.6.</w:t>
            </w:r>
          </w:p>
          <w:p w:rsidR="005D267F" w:rsidRPr="000A1EBD"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286811">
              <w:rPr>
                <w:rFonts w:eastAsia="Times New Roman"/>
                <w:sz w:val="22"/>
                <w:szCs w:val="20"/>
                <w:lang w:eastAsia="ja-JP"/>
              </w:rPr>
              <w:t xml:space="preserve">WP 1B continued consideration of issue 9.1.6 at its meeting </w:t>
            </w:r>
            <w:r>
              <w:rPr>
                <w:rFonts w:eastAsia="Times New Roman"/>
                <w:sz w:val="22"/>
                <w:szCs w:val="20"/>
                <w:lang w:eastAsia="ja-JP"/>
              </w:rPr>
              <w:t>in</w:t>
            </w:r>
            <w:r w:rsidRPr="00286811">
              <w:rPr>
                <w:rFonts w:eastAsia="Times New Roman"/>
                <w:sz w:val="22"/>
                <w:szCs w:val="20"/>
                <w:lang w:eastAsia="ja-JP"/>
              </w:rPr>
              <w:t xml:space="preserve"> June 2017. The work plan on this issue, the working document towards draft CPM text and the working document towards a preliminary draft new Report ITU-R SM.[WPT-SPEC-MNGM] were revised as appropriate.</w:t>
            </w:r>
          </w:p>
        </w:tc>
      </w:tr>
      <w:tr w:rsidR="005D267F" w:rsidRPr="000A1EBD" w:rsidTr="00AE25FA">
        <w:trPr>
          <w:cantSplit/>
          <w:jc w:val="center"/>
        </w:trPr>
        <w:tc>
          <w:tcPr>
            <w:tcW w:w="2208" w:type="dxa"/>
          </w:tcPr>
          <w:p w:rsidR="005D267F" w:rsidRPr="000A1EBD"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 xml:space="preserve">IEC 61980 </w:t>
            </w:r>
            <w:r w:rsidRPr="000A1EBD">
              <w:rPr>
                <w:rFonts w:eastAsia="Times New Roman"/>
                <w:sz w:val="22"/>
                <w:szCs w:val="20"/>
                <w:lang w:eastAsia="ja-JP"/>
              </w:rPr>
              <w:br/>
              <w:t>(IEC TC 69/WG7)</w:t>
            </w:r>
          </w:p>
        </w:tc>
        <w:tc>
          <w:tcPr>
            <w:tcW w:w="7431" w:type="dxa"/>
          </w:tcPr>
          <w:p w:rsidR="005D267F" w:rsidRPr="00CD53EC"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IEC TC 69 (Electric road vehicles and electric industrial trucks) WG7, together with ISO TC22 (Road Vehicles)</w:t>
            </w:r>
            <w:r>
              <w:rPr>
                <w:rFonts w:eastAsia="Times New Roman"/>
                <w:sz w:val="22"/>
                <w:szCs w:val="20"/>
                <w:lang w:eastAsia="ja-JP"/>
              </w:rPr>
              <w:t xml:space="preserve"> </w:t>
            </w:r>
            <w:r w:rsidRPr="00493A9F">
              <w:rPr>
                <w:rFonts w:eastAsia="Times New Roman"/>
                <w:sz w:val="22"/>
                <w:szCs w:val="20"/>
                <w:lang w:eastAsia="ja-JP"/>
              </w:rPr>
              <w:t>SC37</w:t>
            </w:r>
            <w:r w:rsidRPr="00CD53EC">
              <w:rPr>
                <w:rFonts w:eastAsia="Times New Roman"/>
                <w:sz w:val="22"/>
                <w:szCs w:val="20"/>
                <w:lang w:eastAsia="ja-JP"/>
              </w:rPr>
              <w:t>, discusses WPT for a vehicle.</w:t>
            </w:r>
          </w:p>
          <w:p w:rsidR="005D267F" w:rsidRPr="00CD53EC"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CD53EC">
              <w:rPr>
                <w:rFonts w:eastAsia="Times New Roman"/>
                <w:sz w:val="22"/>
                <w:szCs w:val="20"/>
                <w:lang w:eastAsia="ja-JP"/>
              </w:rPr>
              <w:t>–</w:t>
            </w:r>
            <w:r w:rsidRPr="00CD53EC">
              <w:rPr>
                <w:rFonts w:eastAsia="Times New Roman"/>
                <w:sz w:val="22"/>
                <w:szCs w:val="20"/>
                <w:lang w:eastAsia="ja-JP"/>
              </w:rPr>
              <w:tab/>
              <w:t>IEC 61980-1: General Requirements (Published in July, 2015)</w:t>
            </w:r>
          </w:p>
          <w:p w:rsidR="005D267F" w:rsidRPr="00CD53EC"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CD53EC">
              <w:rPr>
                <w:rFonts w:eastAsia="Times New Roman"/>
                <w:sz w:val="22"/>
                <w:szCs w:val="20"/>
                <w:lang w:eastAsia="ja-JP"/>
              </w:rPr>
              <w:t>–</w:t>
            </w:r>
            <w:r w:rsidRPr="00CD53EC">
              <w:rPr>
                <w:rFonts w:eastAsia="Times New Roman"/>
                <w:sz w:val="22"/>
                <w:szCs w:val="20"/>
                <w:lang w:eastAsia="ja-JP"/>
              </w:rPr>
              <w:tab/>
              <w:t>IEC 61980-2: Communication (Under development)</w:t>
            </w:r>
          </w:p>
          <w:p w:rsidR="005D267F" w:rsidRPr="00CD53EC"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CD53EC">
              <w:rPr>
                <w:rFonts w:eastAsia="Times New Roman"/>
                <w:sz w:val="22"/>
                <w:szCs w:val="20"/>
                <w:lang w:eastAsia="ja-JP"/>
              </w:rPr>
              <w:t>–</w:t>
            </w:r>
            <w:r w:rsidRPr="00CD53EC">
              <w:rPr>
                <w:rFonts w:eastAsia="Times New Roman"/>
                <w:sz w:val="22"/>
                <w:szCs w:val="20"/>
                <w:lang w:eastAsia="ja-JP"/>
              </w:rPr>
              <w:tab/>
              <w:t>IEC 61980-3: Magnetic Field Power Transfer (Under development)</w:t>
            </w:r>
          </w:p>
          <w:p w:rsidR="005D267F" w:rsidRPr="00CD53EC" w:rsidRDefault="005D267F" w:rsidP="00AE25FA">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2"/>
                <w:szCs w:val="22"/>
                <w:lang w:eastAsia="ja-JP"/>
              </w:rPr>
            </w:pPr>
            <w:r w:rsidRPr="00CD53EC">
              <w:rPr>
                <w:sz w:val="22"/>
                <w:szCs w:val="22"/>
                <w:lang w:eastAsia="ja-JP"/>
              </w:rPr>
              <w:t>85 kHz band (81.38-90 kHz) will be specified as the system frequency for passenger cars and light duty vehicles in IEC 61980-3.</w:t>
            </w:r>
          </w:p>
          <w:p w:rsidR="005D267F"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CD53EC">
              <w:rPr>
                <w:rFonts w:eastAsia="Times New Roman"/>
                <w:sz w:val="22"/>
                <w:szCs w:val="20"/>
                <w:lang w:eastAsia="ja-JP"/>
              </w:rPr>
              <w:t xml:space="preserve">Publications of </w:t>
            </w:r>
            <w:r w:rsidRPr="00493A9F">
              <w:rPr>
                <w:rFonts w:eastAsia="Times New Roman"/>
                <w:sz w:val="22"/>
                <w:szCs w:val="20"/>
                <w:lang w:eastAsia="ja-JP"/>
              </w:rPr>
              <w:t>TS</w:t>
            </w:r>
            <w:r w:rsidRPr="00CD53EC">
              <w:rPr>
                <w:rFonts w:eastAsia="Times New Roman"/>
                <w:sz w:val="22"/>
                <w:szCs w:val="20"/>
                <w:lang w:eastAsia="ja-JP"/>
              </w:rPr>
              <w:t xml:space="preserve"> (Technical Specifications) of the IEC 61980-3 and IEC 61980-2 as well as Edition 2 of IEC 61980-1, </w:t>
            </w:r>
            <w:r w:rsidRPr="00493A9F">
              <w:rPr>
                <w:rFonts w:eastAsia="Times New Roman"/>
                <w:sz w:val="22"/>
                <w:szCs w:val="20"/>
                <w:lang w:eastAsia="ja-JP"/>
              </w:rPr>
              <w:t>IS</w:t>
            </w:r>
            <w:r>
              <w:rPr>
                <w:rFonts w:eastAsia="Times New Roman"/>
                <w:sz w:val="22"/>
                <w:szCs w:val="20"/>
                <w:lang w:eastAsia="ja-JP"/>
              </w:rPr>
              <w:t xml:space="preserve"> </w:t>
            </w:r>
            <w:r w:rsidRPr="000A1EBD">
              <w:rPr>
                <w:rFonts w:eastAsia="Times New Roman"/>
                <w:sz w:val="22"/>
                <w:szCs w:val="20"/>
                <w:lang w:eastAsia="ja-JP"/>
              </w:rPr>
              <w:t>are planned to be by the end of 2017.</w:t>
            </w:r>
          </w:p>
          <w:p w:rsidR="005D267F" w:rsidRPr="000A1EBD" w:rsidRDefault="005D267F" w:rsidP="00AE25F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p>
        </w:tc>
      </w:tr>
      <w:tr w:rsidR="005D267F" w:rsidRPr="000A1EBD" w:rsidTr="00AE25FA">
        <w:trPr>
          <w:cantSplit/>
          <w:jc w:val="center"/>
        </w:trPr>
        <w:tc>
          <w:tcPr>
            <w:tcW w:w="2208" w:type="dxa"/>
          </w:tcPr>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ISO</w:t>
            </w:r>
            <w:bookmarkStart w:id="12" w:name="_Hlk494102747"/>
            <w:r w:rsidRPr="000A1EBD">
              <w:rPr>
                <w:rFonts w:eastAsia="Times New Roman"/>
                <w:sz w:val="22"/>
                <w:szCs w:val="20"/>
                <w:lang w:eastAsia="ja-JP"/>
              </w:rPr>
              <w:t xml:space="preserve"> 19363 </w:t>
            </w:r>
            <w:bookmarkEnd w:id="12"/>
            <w:r w:rsidRPr="000A1EBD">
              <w:rPr>
                <w:rFonts w:eastAsia="Times New Roman"/>
                <w:sz w:val="22"/>
                <w:szCs w:val="20"/>
                <w:lang w:eastAsia="ja-JP"/>
              </w:rPr>
              <w:br/>
              <w:t>(ISO (TC22/SC37))</w:t>
            </w:r>
          </w:p>
        </w:tc>
        <w:tc>
          <w:tcPr>
            <w:tcW w:w="7431" w:type="dxa"/>
          </w:tcPr>
          <w:p w:rsidR="005D267F" w:rsidRPr="001327E9"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2"/>
                <w:lang w:eastAsia="ja-JP"/>
              </w:rPr>
            </w:pPr>
            <w:r w:rsidRPr="001327E9">
              <w:rPr>
                <w:rFonts w:eastAsia="Times New Roman"/>
                <w:sz w:val="22"/>
                <w:szCs w:val="22"/>
                <w:lang w:eastAsia="ja-JP"/>
              </w:rPr>
              <w:t xml:space="preserve">ISO 19363: Magnetic field wireless power transfer – Safety and interoperability requirements </w:t>
            </w:r>
          </w:p>
          <w:p w:rsidR="005D267F" w:rsidRPr="001327E9"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36" w:hanging="236"/>
              <w:textAlignment w:val="baseline"/>
              <w:rPr>
                <w:rFonts w:eastAsia="Times New Roman"/>
                <w:sz w:val="22"/>
                <w:szCs w:val="22"/>
                <w:lang w:eastAsia="ja-JP"/>
              </w:rPr>
            </w:pPr>
            <w:r w:rsidRPr="001327E9">
              <w:rPr>
                <w:rFonts w:eastAsia="Times New Roman"/>
                <w:sz w:val="22"/>
                <w:szCs w:val="22"/>
                <w:lang w:eastAsia="ja-JP"/>
              </w:rPr>
              <w:t>–</w:t>
            </w:r>
            <w:r w:rsidRPr="001327E9">
              <w:rPr>
                <w:rFonts w:eastAsia="Times New Roman"/>
                <w:sz w:val="22"/>
                <w:szCs w:val="22"/>
                <w:lang w:eastAsia="ja-JP"/>
              </w:rPr>
              <w:tab/>
              <w:t>The SC37 was established in early 2014</w:t>
            </w:r>
          </w:p>
          <w:p w:rsidR="005D267F" w:rsidRPr="001327E9"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36" w:hanging="236"/>
              <w:textAlignment w:val="baseline"/>
              <w:rPr>
                <w:rFonts w:eastAsia="Times New Roman"/>
                <w:sz w:val="22"/>
                <w:szCs w:val="22"/>
                <w:lang w:eastAsia="ja-JP"/>
              </w:rPr>
            </w:pPr>
            <w:r w:rsidRPr="001327E9">
              <w:rPr>
                <w:rFonts w:eastAsia="Times New Roman"/>
                <w:sz w:val="22"/>
                <w:szCs w:val="22"/>
                <w:lang w:eastAsia="ja-JP"/>
              </w:rPr>
              <w:t>–</w:t>
            </w:r>
            <w:r w:rsidRPr="001327E9">
              <w:rPr>
                <w:rFonts w:eastAsia="Times New Roman"/>
                <w:sz w:val="22"/>
                <w:szCs w:val="22"/>
                <w:lang w:eastAsia="ja-JP"/>
              </w:rPr>
              <w:tab/>
              <w:t>Target is to develop a standard which specifies requirements for the vehicle-side parts</w:t>
            </w:r>
          </w:p>
          <w:p w:rsidR="005D267F" w:rsidRPr="001327E9"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36" w:hanging="236"/>
              <w:textAlignment w:val="baseline"/>
              <w:rPr>
                <w:rFonts w:eastAsia="Times New Roman"/>
                <w:sz w:val="22"/>
                <w:szCs w:val="22"/>
                <w:lang w:eastAsia="ja-JP"/>
              </w:rPr>
            </w:pPr>
            <w:r w:rsidRPr="001327E9">
              <w:rPr>
                <w:rFonts w:eastAsia="Times New Roman"/>
                <w:sz w:val="22"/>
                <w:szCs w:val="22"/>
                <w:lang w:eastAsia="ja-JP"/>
              </w:rPr>
              <w:t>–</w:t>
            </w:r>
            <w:r w:rsidRPr="001327E9">
              <w:rPr>
                <w:rFonts w:eastAsia="Times New Roman"/>
                <w:sz w:val="22"/>
                <w:szCs w:val="22"/>
                <w:lang w:eastAsia="ja-JP"/>
              </w:rPr>
              <w:tab/>
              <w:t>A close synchronization with IEC 61980 and SAE J2954</w:t>
            </w:r>
          </w:p>
          <w:p w:rsidR="005D267F" w:rsidRPr="00CD53EC" w:rsidRDefault="005D267F" w:rsidP="00AE25FA">
            <w:pPr>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rPr>
                <w:sz w:val="22"/>
                <w:szCs w:val="22"/>
                <w:lang w:eastAsia="ja-JP"/>
              </w:rPr>
            </w:pPr>
            <w:r w:rsidRPr="001327E9">
              <w:rPr>
                <w:sz w:val="22"/>
                <w:szCs w:val="22"/>
                <w:lang w:eastAsia="ja-JP"/>
              </w:rPr>
              <w:t xml:space="preserve">85 kHz band (81.38 - 90 kHz) is specified as the system frequency for passenger cars and </w:t>
            </w:r>
            <w:r w:rsidRPr="00CD53EC">
              <w:rPr>
                <w:sz w:val="22"/>
                <w:szCs w:val="22"/>
                <w:lang w:eastAsia="ja-JP"/>
              </w:rPr>
              <w:t>light duty vehicles.</w:t>
            </w:r>
          </w:p>
          <w:p w:rsidR="005D267F" w:rsidRPr="001327E9" w:rsidRDefault="005D267F" w:rsidP="00AE25FA">
            <w:pPr>
              <w:tabs>
                <w:tab w:val="left" w:pos="0"/>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2"/>
                <w:lang w:eastAsia="ja-JP"/>
              </w:rPr>
            </w:pPr>
            <w:r w:rsidRPr="00CD53EC">
              <w:rPr>
                <w:rFonts w:eastAsia="Times New Roman"/>
                <w:sz w:val="22"/>
                <w:szCs w:val="22"/>
                <w:lang w:eastAsia="ja-JP"/>
              </w:rPr>
              <w:t xml:space="preserve">Publication of </w:t>
            </w:r>
            <w:r w:rsidRPr="00493A9F">
              <w:rPr>
                <w:rFonts w:eastAsia="Times New Roman"/>
                <w:sz w:val="22"/>
                <w:szCs w:val="22"/>
                <w:lang w:eastAsia="ja-JP"/>
              </w:rPr>
              <w:t>the</w:t>
            </w:r>
            <w:r w:rsidRPr="00CD53EC">
              <w:rPr>
                <w:rFonts w:eastAsia="Times New Roman"/>
                <w:sz w:val="22"/>
                <w:szCs w:val="22"/>
                <w:lang w:eastAsia="ja-JP"/>
              </w:rPr>
              <w:t xml:space="preserve"> PAS (Publicly Available Specification) </w:t>
            </w:r>
            <w:r w:rsidRPr="00493A9F">
              <w:rPr>
                <w:rFonts w:eastAsia="Times New Roman"/>
                <w:sz w:val="22"/>
                <w:szCs w:val="22"/>
                <w:lang w:eastAsia="ja-JP"/>
              </w:rPr>
              <w:t>has been done on January 2017,</w:t>
            </w:r>
            <w:r w:rsidRPr="00CD53EC">
              <w:rPr>
                <w:rFonts w:eastAsia="Times New Roman"/>
                <w:sz w:val="22"/>
                <w:szCs w:val="22"/>
                <w:lang w:eastAsia="ja-JP"/>
              </w:rPr>
              <w:t xml:space="preserve"> followed by the upgrading</w:t>
            </w:r>
            <w:r w:rsidRPr="001327E9">
              <w:rPr>
                <w:rFonts w:eastAsia="Times New Roman"/>
                <w:sz w:val="22"/>
                <w:szCs w:val="22"/>
                <w:lang w:eastAsia="ja-JP"/>
              </w:rPr>
              <w:t xml:space="preserve"> to IS (International Standard) by the end of 2018.</w:t>
            </w:r>
          </w:p>
        </w:tc>
      </w:tr>
      <w:tr w:rsidR="005D267F" w:rsidRPr="000A1EBD" w:rsidTr="00AE25FA">
        <w:trPr>
          <w:cantSplit/>
          <w:jc w:val="center"/>
        </w:trPr>
        <w:tc>
          <w:tcPr>
            <w:tcW w:w="2208" w:type="dxa"/>
          </w:tcPr>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lastRenderedPageBreak/>
              <w:t>ETSI TC ERM</w:t>
            </w:r>
          </w:p>
        </w:tc>
        <w:tc>
          <w:tcPr>
            <w:tcW w:w="7431" w:type="dxa"/>
          </w:tcPr>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31" w:hanging="231"/>
              <w:textAlignment w:val="baseline"/>
              <w:rPr>
                <w:rFonts w:eastAsia="Times New Roman"/>
                <w:sz w:val="22"/>
                <w:szCs w:val="22"/>
                <w:lang w:eastAsia="ja-JP"/>
              </w:rPr>
            </w:pPr>
            <w:r w:rsidRPr="000A1EBD">
              <w:rPr>
                <w:rFonts w:eastAsia="Times New Roman"/>
                <w:sz w:val="22"/>
                <w:szCs w:val="22"/>
                <w:lang w:eastAsia="ja-JP"/>
              </w:rPr>
              <w:t>–</w:t>
            </w:r>
            <w:r w:rsidRPr="000A1EBD">
              <w:rPr>
                <w:rFonts w:eastAsia="Times New Roman"/>
                <w:sz w:val="22"/>
                <w:szCs w:val="22"/>
                <w:lang w:eastAsia="ja-JP"/>
              </w:rPr>
              <w:tab/>
              <w:t>ETSI TC ERM has recently published a technical report (TR 103 409) titled “System reference document (SRdoc); “Wireless Power Transmission (WPT) systems for Electric Vehicles (EV) operating in the frequency band 79-90 kHz”. This SRdoc must now be considered by CEPT who will consider WPT-EV systems and look at co-existence with radiocommunication systems.</w:t>
            </w:r>
          </w:p>
          <w:p w:rsidR="005D267F" w:rsidRPr="005D267F"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120"/>
              <w:ind w:left="231" w:hanging="231"/>
              <w:textAlignment w:val="baseline"/>
              <w:rPr>
                <w:rFonts w:eastAsia="Times New Roman"/>
                <w:sz w:val="22"/>
                <w:szCs w:val="20"/>
              </w:rPr>
            </w:pPr>
            <w:r w:rsidRPr="000A1EBD">
              <w:rPr>
                <w:rFonts w:eastAsia="Times New Roman"/>
                <w:sz w:val="22"/>
                <w:szCs w:val="22"/>
                <w:lang w:eastAsia="ja-JP"/>
              </w:rPr>
              <w:t>–</w:t>
            </w:r>
            <w:r w:rsidRPr="000A1EBD">
              <w:rPr>
                <w:rFonts w:eastAsia="Times New Roman"/>
                <w:sz w:val="22"/>
                <w:szCs w:val="22"/>
                <w:lang w:eastAsia="ja-JP"/>
              </w:rPr>
              <w:tab/>
              <w:t>ETSI TC ERM has recently approved a final draft version of a new Harmoni</w:t>
            </w:r>
            <w:r>
              <w:rPr>
                <w:rFonts w:eastAsia="Times New Roman"/>
                <w:sz w:val="22"/>
                <w:szCs w:val="22"/>
                <w:lang w:eastAsia="ja-JP"/>
              </w:rPr>
              <w:t>z</w:t>
            </w:r>
            <w:r w:rsidRPr="000A1EBD">
              <w:rPr>
                <w:rFonts w:eastAsia="Times New Roman"/>
                <w:sz w:val="22"/>
                <w:szCs w:val="22"/>
                <w:lang w:eastAsia="ja-JP"/>
              </w:rPr>
              <w:t xml:space="preserve">ed Standard (EN 303 417) for the ETSI EN approval procedure (ENAP), which is supposed to specifically treat requirements for WPT systems (instead of EN 300 330 – Non-specific short range devices, which was used for WPT systems in the past, but is not applicable anymore to WPT systems as of the latest revision). EN 303 417 will now undergo further scrutiny and possible changes, Publication of the document is forecast for July 2017. Creation of EN 303 417 has triggered drafting of a new systems reference document (TR 103 493) which in time will be also considered by CEPT. </w:t>
            </w:r>
          </w:p>
        </w:tc>
      </w:tr>
      <w:tr w:rsidR="005D267F" w:rsidRPr="000A1EBD" w:rsidTr="00AE25FA">
        <w:trPr>
          <w:cantSplit/>
          <w:jc w:val="center"/>
        </w:trPr>
        <w:tc>
          <w:tcPr>
            <w:tcW w:w="2208" w:type="dxa"/>
          </w:tcPr>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SAE (Society of Automotive Engineers)</w:t>
            </w:r>
          </w:p>
        </w:tc>
        <w:tc>
          <w:tcPr>
            <w:tcW w:w="7431" w:type="dxa"/>
          </w:tcPr>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120"/>
              <w:textAlignment w:val="baseline"/>
              <w:rPr>
                <w:rFonts w:eastAsia="Times New Roman"/>
                <w:sz w:val="22"/>
                <w:szCs w:val="20"/>
                <w:lang w:eastAsia="ja-JP"/>
              </w:rPr>
            </w:pPr>
            <w:r w:rsidRPr="000A1EBD">
              <w:rPr>
                <w:rFonts w:eastAsia="Times New Roman"/>
                <w:sz w:val="22"/>
                <w:szCs w:val="20"/>
                <w:lang w:eastAsia="ja-JP"/>
              </w:rPr>
              <w:t xml:space="preserve">The SAE International J2954™ Task Force for Wireless Power Transfer for Electric and Plug-in electric vehicles was established in 2010. </w:t>
            </w:r>
          </w:p>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120"/>
              <w:textAlignment w:val="baseline"/>
              <w:rPr>
                <w:rFonts w:eastAsia="Times New Roman"/>
                <w:sz w:val="22"/>
                <w:szCs w:val="20"/>
                <w:lang w:eastAsia="ja-JP"/>
              </w:rPr>
            </w:pPr>
            <w:r w:rsidRPr="000A1EBD">
              <w:rPr>
                <w:rFonts w:eastAsia="Times New Roman"/>
                <w:sz w:val="22"/>
                <w:szCs w:val="20"/>
                <w:lang w:eastAsia="ja-JP"/>
              </w:rPr>
              <w:t xml:space="preserve">The SAE </w:t>
            </w:r>
            <w:r w:rsidRPr="000A1EBD">
              <w:rPr>
                <w:rFonts w:eastAsia="Times New Roman"/>
                <w:sz w:val="22"/>
                <w:szCs w:val="20"/>
              </w:rPr>
              <w:t>International published “SAE TIR J2954 Wireless Power Transfer for Light-Duty Plug-In/ Electric Vehicles and Alignment Methodology</w:t>
            </w:r>
            <w:r w:rsidRPr="000A1EBD">
              <w:rPr>
                <w:rFonts w:eastAsia="Times New Roman"/>
                <w:sz w:val="22"/>
                <w:szCs w:val="20"/>
                <w:lang w:eastAsia="ja-JP"/>
              </w:rPr>
              <w:t>” in May 2016, which establishes 85 kHz band (81.38 - 90 kHz) as a common frequency band for wireless power transfer for all light duty vehicle systems up to 22kW. The TIR (Technical Information Report) specifies two power classes (3.7 kW and 7.7 kW). Two more classes of higher power levels up to 22 kW are given for future revisions.</w:t>
            </w:r>
          </w:p>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120"/>
              <w:textAlignment w:val="baseline"/>
              <w:rPr>
                <w:rFonts w:eastAsia="Times New Roman"/>
                <w:sz w:val="22"/>
                <w:szCs w:val="20"/>
                <w:lang w:eastAsia="ja-JP"/>
              </w:rPr>
            </w:pPr>
            <w:r w:rsidRPr="000A1EBD">
              <w:rPr>
                <w:rFonts w:eastAsia="Times New Roman"/>
                <w:sz w:val="22"/>
                <w:szCs w:val="20"/>
              </w:rPr>
              <w:t>SAE International is a global association uniting over 128,000 engineers and technical experts</w:t>
            </w:r>
            <w:r w:rsidRPr="000A1EBD">
              <w:rPr>
                <w:rFonts w:eastAsia="Times New Roman"/>
                <w:sz w:val="22"/>
                <w:szCs w:val="20"/>
                <w:lang w:eastAsia="ja-JP"/>
              </w:rPr>
              <w:t xml:space="preserve"> in </w:t>
            </w:r>
            <w:r w:rsidRPr="003D65A7">
              <w:rPr>
                <w:rFonts w:eastAsia="Times New Roman"/>
                <w:sz w:val="22"/>
                <w:szCs w:val="20"/>
              </w:rPr>
              <w:t>the aerospace, automotive and commercial-vehicle</w:t>
            </w:r>
            <w:r w:rsidRPr="000A1EBD">
              <w:rPr>
                <w:rFonts w:eastAsia="Times New Roman"/>
                <w:sz w:val="22"/>
                <w:szCs w:val="20"/>
                <w:lang w:eastAsia="ja-JP"/>
              </w:rPr>
              <w:t xml:space="preserve"> industries. </w:t>
            </w:r>
          </w:p>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120"/>
              <w:textAlignment w:val="baseline"/>
              <w:rPr>
                <w:rFonts w:eastAsia="Times New Roman"/>
                <w:sz w:val="22"/>
                <w:szCs w:val="20"/>
                <w:lang w:eastAsia="ja-JP"/>
              </w:rPr>
            </w:pPr>
            <w:r w:rsidRPr="000A1EBD">
              <w:rPr>
                <w:rFonts w:eastAsia="Times New Roman"/>
                <w:sz w:val="22"/>
                <w:szCs w:val="20"/>
                <w:lang w:eastAsia="ja-JP"/>
              </w:rPr>
              <w:t xml:space="preserve">See </w:t>
            </w:r>
            <w:hyperlink r:id="rId13" w:history="1">
              <w:r w:rsidRPr="005D267F">
                <w:rPr>
                  <w:rFonts w:eastAsia="Times New Roman"/>
                  <w:color w:val="0000FF"/>
                  <w:sz w:val="22"/>
                  <w:szCs w:val="20"/>
                  <w:u w:val="single"/>
                </w:rPr>
                <w:t>http://www.sae.org/news/3415/</w:t>
              </w:r>
            </w:hyperlink>
            <w:r w:rsidRPr="000A1EBD">
              <w:rPr>
                <w:rFonts w:eastAsia="Times New Roman"/>
                <w:sz w:val="22"/>
                <w:szCs w:val="20"/>
                <w:lang w:eastAsia="ja-JP"/>
              </w:rPr>
              <w:t xml:space="preserve"> and </w:t>
            </w:r>
            <w:hyperlink r:id="rId14" w:history="1">
              <w:r w:rsidRPr="005D267F">
                <w:rPr>
                  <w:rFonts w:eastAsia="Times New Roman"/>
                  <w:color w:val="0000FF"/>
                  <w:sz w:val="22"/>
                  <w:szCs w:val="20"/>
                  <w:u w:val="single"/>
                  <w:lang w:eastAsia="ja-JP"/>
                </w:rPr>
                <w:t>http://standards.sae.org/j2954_201605/</w:t>
              </w:r>
            </w:hyperlink>
            <w:r w:rsidRPr="000A1EBD">
              <w:rPr>
                <w:rFonts w:eastAsia="Times New Roman"/>
                <w:sz w:val="22"/>
                <w:szCs w:val="20"/>
                <w:lang w:eastAsia="ja-JP"/>
              </w:rPr>
              <w:t>.</w:t>
            </w:r>
          </w:p>
        </w:tc>
      </w:tr>
      <w:tr w:rsidR="005D267F" w:rsidRPr="000A1EBD" w:rsidTr="00AE25FA">
        <w:trPr>
          <w:cantSplit/>
          <w:jc w:val="center"/>
        </w:trPr>
        <w:tc>
          <w:tcPr>
            <w:tcW w:w="2208" w:type="dxa"/>
          </w:tcPr>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CJK WPT WG</w:t>
            </w:r>
          </w:p>
        </w:tc>
        <w:tc>
          <w:tcPr>
            <w:tcW w:w="7431" w:type="dxa"/>
          </w:tcPr>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The working group on WPT of the CJK Information Technology Meeting.</w:t>
            </w:r>
          </w:p>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Shares information in the region to study and survey on low power and high power WPT</w:t>
            </w:r>
          </w:p>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w:t>
            </w:r>
            <w:r w:rsidRPr="000A1EBD">
              <w:rPr>
                <w:rFonts w:eastAsia="Times New Roman"/>
                <w:sz w:val="22"/>
                <w:szCs w:val="20"/>
                <w:lang w:eastAsia="ja-JP"/>
              </w:rPr>
              <w:tab/>
              <w:t>Released CJK WPT Technical Report 1 in April 2013</w:t>
            </w:r>
          </w:p>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w:t>
            </w:r>
            <w:r w:rsidRPr="000A1EBD">
              <w:rPr>
                <w:rFonts w:eastAsia="Times New Roman"/>
                <w:sz w:val="22"/>
                <w:szCs w:val="20"/>
                <w:lang w:eastAsia="ja-JP"/>
              </w:rPr>
              <w:tab/>
            </w:r>
            <w:r w:rsidRPr="000A1EBD">
              <w:rPr>
                <w:rFonts w:eastAsia="MS Mincho"/>
                <w:sz w:val="22"/>
                <w:szCs w:val="20"/>
                <w:lang w:eastAsia="ja-JP"/>
              </w:rPr>
              <w:t>Released</w:t>
            </w:r>
            <w:r w:rsidRPr="000A1EBD">
              <w:rPr>
                <w:rFonts w:eastAsia="Times New Roman"/>
                <w:sz w:val="22"/>
                <w:szCs w:val="20"/>
                <w:lang w:eastAsia="ja-JP"/>
              </w:rPr>
              <w:t xml:space="preserve"> CJK WPT Technical Report 2 in Spring 2014</w:t>
            </w:r>
          </w:p>
          <w:p w:rsidR="005D267F"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0A1EBD">
              <w:rPr>
                <w:rFonts w:eastAsia="Times New Roman"/>
                <w:sz w:val="22"/>
                <w:szCs w:val="20"/>
                <w:lang w:eastAsia="ja-JP"/>
              </w:rPr>
              <w:t>–</w:t>
            </w:r>
            <w:r w:rsidRPr="000A1EBD">
              <w:rPr>
                <w:rFonts w:eastAsia="Times New Roman"/>
                <w:sz w:val="22"/>
                <w:szCs w:val="20"/>
                <w:lang w:eastAsia="ja-JP"/>
              </w:rPr>
              <w:tab/>
              <w:t>Released CJK WPT Technical Report 3 in May 2015</w:t>
            </w:r>
          </w:p>
          <w:p w:rsidR="005D267F" w:rsidRPr="000A1EBD" w:rsidRDefault="005D267F" w:rsidP="00AE25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ja-JP"/>
              </w:rPr>
            </w:pPr>
            <w:r w:rsidRPr="00E31764">
              <w:rPr>
                <w:rFonts w:eastAsia="Times New Roman" w:hint="eastAsia"/>
                <w:sz w:val="22"/>
                <w:szCs w:val="20"/>
                <w:lang w:eastAsia="ja-JP"/>
              </w:rPr>
              <w:t>–</w:t>
            </w:r>
            <w:r w:rsidRPr="00E31764">
              <w:rPr>
                <w:rFonts w:eastAsia="Times New Roman"/>
                <w:sz w:val="22"/>
                <w:szCs w:val="20"/>
                <w:lang w:eastAsia="ja-JP"/>
              </w:rPr>
              <w:tab/>
            </w:r>
            <w:r>
              <w:rPr>
                <w:rFonts w:eastAsia="Times New Roman"/>
                <w:sz w:val="22"/>
                <w:szCs w:val="20"/>
                <w:lang w:eastAsia="ja-JP"/>
              </w:rPr>
              <w:t>Finalized and r</w:t>
            </w:r>
            <w:r w:rsidRPr="00E31764">
              <w:rPr>
                <w:rFonts w:eastAsia="Times New Roman"/>
                <w:sz w:val="22"/>
                <w:szCs w:val="20"/>
                <w:lang w:eastAsia="ja-JP"/>
              </w:rPr>
              <w:t xml:space="preserve">eleased CJK WPT Technical Report </w:t>
            </w:r>
            <w:r>
              <w:rPr>
                <w:rFonts w:eastAsia="Times New Roman"/>
                <w:sz w:val="22"/>
                <w:szCs w:val="20"/>
                <w:lang w:eastAsia="ja-JP"/>
              </w:rPr>
              <w:t>4</w:t>
            </w:r>
            <w:r w:rsidRPr="00E31764">
              <w:rPr>
                <w:rFonts w:eastAsia="Times New Roman"/>
                <w:sz w:val="22"/>
                <w:szCs w:val="20"/>
                <w:lang w:eastAsia="ja-JP"/>
              </w:rPr>
              <w:t xml:space="preserve"> in </w:t>
            </w:r>
            <w:r>
              <w:rPr>
                <w:rFonts w:eastAsia="Times New Roman"/>
                <w:sz w:val="22"/>
                <w:szCs w:val="20"/>
                <w:lang w:eastAsia="ja-JP"/>
              </w:rPr>
              <w:t>August and September</w:t>
            </w:r>
            <w:r w:rsidRPr="00E31764">
              <w:rPr>
                <w:rFonts w:eastAsia="Times New Roman"/>
                <w:sz w:val="22"/>
                <w:szCs w:val="20"/>
                <w:lang w:eastAsia="ja-JP"/>
              </w:rPr>
              <w:t xml:space="preserve"> 201</w:t>
            </w:r>
            <w:r>
              <w:rPr>
                <w:rFonts w:eastAsia="Times New Roman"/>
                <w:sz w:val="22"/>
                <w:szCs w:val="20"/>
                <w:lang w:eastAsia="ja-JP"/>
              </w:rPr>
              <w:t>7, respectively</w:t>
            </w:r>
          </w:p>
        </w:tc>
      </w:tr>
    </w:tbl>
    <w:p w:rsidR="005D267F" w:rsidRPr="000A1EBD" w:rsidRDefault="005D267F" w:rsidP="005D267F">
      <w:pPr>
        <w:spacing w:before="120"/>
        <w:rPr>
          <w:sz w:val="22"/>
          <w:szCs w:val="22"/>
        </w:rPr>
      </w:pPr>
      <w:r w:rsidRPr="000A1EBD">
        <w:rPr>
          <w:sz w:val="22"/>
          <w:szCs w:val="22"/>
        </w:rPr>
        <w:t xml:space="preserve">Source: </w:t>
      </w:r>
      <w:r>
        <w:rPr>
          <w:sz w:val="22"/>
          <w:szCs w:val="22"/>
        </w:rPr>
        <w:t xml:space="preserve">Approved revised version of </w:t>
      </w:r>
      <w:r w:rsidRPr="000A1EBD">
        <w:rPr>
          <w:sz w:val="22"/>
          <w:szCs w:val="22"/>
        </w:rPr>
        <w:t>Report ITU-R SM.2303-1</w:t>
      </w:r>
      <w:r>
        <w:rPr>
          <w:sz w:val="22"/>
          <w:szCs w:val="22"/>
        </w:rPr>
        <w:t xml:space="preserve"> (to be published as SM.2303-2)</w:t>
      </w:r>
      <w:r w:rsidRPr="000A1EBD">
        <w:rPr>
          <w:sz w:val="22"/>
          <w:szCs w:val="22"/>
        </w:rPr>
        <w:t>, APT/AWG/REP-62(Rev.1), CJK WPT Technical Report 4</w:t>
      </w:r>
    </w:p>
    <w:p w:rsidR="005D267F" w:rsidRPr="003D65A7" w:rsidRDefault="005D267F" w:rsidP="005D267F">
      <w:pPr>
        <w:rPr>
          <w:b/>
        </w:rPr>
      </w:pPr>
    </w:p>
    <w:p w:rsidR="005D267F" w:rsidRPr="0025486F" w:rsidRDefault="005D267F" w:rsidP="005D267F">
      <w:pPr>
        <w:pStyle w:val="Heading1"/>
        <w:jc w:val="left"/>
      </w:pPr>
      <w:bookmarkStart w:id="13" w:name="_Toc494297289"/>
      <w:r w:rsidRPr="0025486F">
        <w:t>4. National regulations on WPT for EV application in some APT member countries</w:t>
      </w:r>
      <w:bookmarkEnd w:id="13"/>
    </w:p>
    <w:p w:rsidR="005D267F" w:rsidRPr="00E734B8" w:rsidRDefault="005D267F" w:rsidP="005D267F">
      <w:pPr>
        <w:pStyle w:val="Heading2"/>
        <w:rPr>
          <w:rFonts w:ascii="Times New Roman" w:hAnsi="Times New Roman" w:cs="Times New Roman"/>
        </w:rPr>
      </w:pPr>
      <w:bookmarkStart w:id="14" w:name="_Toc494297290"/>
      <w:r w:rsidRPr="00E734B8">
        <w:rPr>
          <w:rFonts w:ascii="Times New Roman" w:hAnsi="Times New Roman" w:cs="Times New Roman"/>
        </w:rPr>
        <w:t>4.</w:t>
      </w:r>
      <w:r>
        <w:rPr>
          <w:rFonts w:ascii="Times New Roman" w:hAnsi="Times New Roman" w:cs="Times New Roman"/>
        </w:rPr>
        <w:t>1</w:t>
      </w:r>
      <w:r w:rsidRPr="00E734B8">
        <w:rPr>
          <w:rFonts w:ascii="Times New Roman" w:hAnsi="Times New Roman" w:cs="Times New Roman"/>
        </w:rPr>
        <w:t xml:space="preserve"> China</w:t>
      </w:r>
      <w:bookmarkEnd w:id="14"/>
    </w:p>
    <w:p w:rsidR="005D267F" w:rsidRDefault="005D267F" w:rsidP="005D267F">
      <w:pPr>
        <w:ind w:firstLine="420"/>
        <w:rPr>
          <w:rFonts w:eastAsia="MS Mincho"/>
          <w:lang w:eastAsia="ja-JP"/>
        </w:rPr>
      </w:pPr>
      <w:r w:rsidRPr="00A13678">
        <w:rPr>
          <w:rFonts w:eastAsia="MS Mincho"/>
          <w:lang w:eastAsia="ja-JP"/>
        </w:rPr>
        <w:t>I</w:t>
      </w:r>
      <w:r w:rsidRPr="00676B19">
        <w:rPr>
          <w:rFonts w:eastAsia="MS Mincho" w:hint="eastAsia"/>
          <w:lang w:eastAsia="ja-JP"/>
        </w:rPr>
        <w:t xml:space="preserve">n China, regulatory standards </w:t>
      </w:r>
      <w:r w:rsidRPr="00676B19">
        <w:rPr>
          <w:rFonts w:eastAsia="MS Mincho"/>
          <w:lang w:eastAsia="ja-JP"/>
        </w:rPr>
        <w:t>are currently discussed in WPT-related national committees.</w:t>
      </w:r>
    </w:p>
    <w:p w:rsidR="005D267F" w:rsidRPr="00BD6173" w:rsidRDefault="005D267F" w:rsidP="005D267F">
      <w:pPr>
        <w:ind w:firstLine="420"/>
        <w:rPr>
          <w:rFonts w:eastAsia="MS Mincho"/>
          <w:lang w:eastAsia="ja-JP"/>
        </w:rPr>
      </w:pPr>
      <w:r>
        <w:rPr>
          <w:rFonts w:eastAsia="MS Mincho" w:hint="eastAsia"/>
          <w:lang w:eastAsia="ja-JP"/>
        </w:rPr>
        <w:t>C</w:t>
      </w:r>
      <w:r>
        <w:rPr>
          <w:rFonts w:eastAsia="MS Mincho"/>
          <w:lang w:eastAsia="ja-JP"/>
        </w:rPr>
        <w:t>CSA i</w:t>
      </w:r>
      <w:r w:rsidRPr="00BD6173">
        <w:rPr>
          <w:rFonts w:eastAsia="MS Mincho"/>
          <w:lang w:eastAsia="ja-JP"/>
        </w:rPr>
        <w:t>nitiated a study item on WRC19-</w:t>
      </w:r>
      <w:r>
        <w:rPr>
          <w:rFonts w:eastAsia="SimSun" w:hint="eastAsia"/>
          <w:lang w:eastAsia="zh-CN"/>
        </w:rPr>
        <w:t xml:space="preserve">Issue </w:t>
      </w:r>
      <w:r w:rsidRPr="00BD6173">
        <w:rPr>
          <w:rFonts w:eastAsia="MS Mincho"/>
          <w:lang w:eastAsia="ja-JP"/>
        </w:rPr>
        <w:t>9.1.6 in TC5 WG8</w:t>
      </w:r>
      <w:r>
        <w:rPr>
          <w:rFonts w:eastAsia="MS Mincho"/>
          <w:lang w:eastAsia="ja-JP"/>
        </w:rPr>
        <w:t xml:space="preserve">. </w:t>
      </w:r>
    </w:p>
    <w:p w:rsidR="005D267F" w:rsidRPr="00BD6173" w:rsidRDefault="005D267F" w:rsidP="005D267F">
      <w:pPr>
        <w:ind w:firstLine="420"/>
        <w:rPr>
          <w:rFonts w:eastAsia="MS Mincho"/>
          <w:lang w:eastAsia="ja-JP"/>
        </w:rPr>
      </w:pPr>
      <w:r>
        <w:rPr>
          <w:rFonts w:eastAsia="MS Mincho" w:hint="eastAsia"/>
          <w:lang w:eastAsia="ja-JP"/>
        </w:rPr>
        <w:t>I</w:t>
      </w:r>
      <w:r>
        <w:rPr>
          <w:rFonts w:eastAsia="MS Mincho"/>
          <w:lang w:eastAsia="ja-JP"/>
        </w:rPr>
        <w:t>t s</w:t>
      </w:r>
      <w:r w:rsidRPr="00BD6173">
        <w:rPr>
          <w:rFonts w:eastAsia="MS Mincho"/>
          <w:lang w:eastAsia="ja-JP"/>
        </w:rPr>
        <w:t>end</w:t>
      </w:r>
      <w:r>
        <w:rPr>
          <w:rFonts w:eastAsia="MS Mincho"/>
          <w:lang w:eastAsia="ja-JP"/>
        </w:rPr>
        <w:t>s</w:t>
      </w:r>
      <w:r w:rsidRPr="00BD6173">
        <w:rPr>
          <w:rFonts w:eastAsia="MS Mincho"/>
          <w:lang w:eastAsia="ja-JP"/>
        </w:rPr>
        <w:t xml:space="preserve"> L</w:t>
      </w:r>
      <w:r>
        <w:rPr>
          <w:rFonts w:eastAsia="MS Mincho"/>
          <w:lang w:eastAsia="ja-JP"/>
        </w:rPr>
        <w:t>iaisons</w:t>
      </w:r>
      <w:r w:rsidRPr="00BD6173">
        <w:rPr>
          <w:rFonts w:eastAsia="MS Mincho"/>
          <w:lang w:eastAsia="ja-JP"/>
        </w:rPr>
        <w:t xml:space="preserve"> to CEC and NTCAS for survey of EV WPT system working frequency</w:t>
      </w:r>
      <w:r>
        <w:rPr>
          <w:rFonts w:eastAsia="MS Mincho"/>
          <w:lang w:eastAsia="ja-JP"/>
        </w:rPr>
        <w:t>.</w:t>
      </w:r>
    </w:p>
    <w:p w:rsidR="005D267F" w:rsidRPr="00703A1C" w:rsidRDefault="005D267F" w:rsidP="005D267F">
      <w:pPr>
        <w:pStyle w:val="ListParagraph"/>
        <w:numPr>
          <w:ilvl w:val="0"/>
          <w:numId w:val="84"/>
        </w:numPr>
        <w:ind w:leftChars="0"/>
        <w:rPr>
          <w:rFonts w:eastAsia="MS Mincho"/>
          <w:sz w:val="24"/>
          <w:szCs w:val="24"/>
          <w:lang w:eastAsia="ja-JP"/>
        </w:rPr>
      </w:pPr>
      <w:r w:rsidRPr="00703A1C">
        <w:rPr>
          <w:rFonts w:eastAsia="MS Mincho"/>
          <w:sz w:val="24"/>
          <w:szCs w:val="24"/>
          <w:lang w:eastAsia="ja-JP"/>
        </w:rPr>
        <w:t>CEC is reviewing and will respond to CCSA</w:t>
      </w:r>
    </w:p>
    <w:p w:rsidR="005D267F" w:rsidRPr="00703A1C" w:rsidRDefault="005D267F" w:rsidP="005D267F">
      <w:pPr>
        <w:pStyle w:val="ListParagraph"/>
        <w:numPr>
          <w:ilvl w:val="0"/>
          <w:numId w:val="84"/>
        </w:numPr>
        <w:ind w:leftChars="0"/>
        <w:rPr>
          <w:rFonts w:eastAsia="MS Mincho"/>
          <w:sz w:val="24"/>
          <w:szCs w:val="24"/>
          <w:lang w:eastAsia="ja-JP"/>
        </w:rPr>
      </w:pPr>
      <w:r w:rsidRPr="00703A1C">
        <w:rPr>
          <w:rFonts w:eastAsia="MS Mincho"/>
          <w:sz w:val="24"/>
          <w:szCs w:val="24"/>
          <w:lang w:eastAsia="ja-JP"/>
        </w:rPr>
        <w:t>CEC held a workshop for frequency range selection</w:t>
      </w:r>
      <w:r>
        <w:rPr>
          <w:rFonts w:eastAsia="MS Mincho"/>
          <w:sz w:val="24"/>
          <w:szCs w:val="24"/>
          <w:lang w:eastAsia="ja-JP"/>
        </w:rPr>
        <w:t xml:space="preserve">. </w:t>
      </w:r>
      <w:r w:rsidRPr="00703A1C">
        <w:rPr>
          <w:rFonts w:eastAsia="MS Mincho"/>
          <w:sz w:val="24"/>
          <w:szCs w:val="24"/>
          <w:lang w:eastAsia="ja-JP"/>
        </w:rPr>
        <w:t>81.38-90</w:t>
      </w:r>
      <w:r>
        <w:rPr>
          <w:rFonts w:eastAsia="MS Mincho"/>
          <w:sz w:val="24"/>
          <w:szCs w:val="24"/>
          <w:lang w:eastAsia="ja-JP"/>
        </w:rPr>
        <w:t xml:space="preserve"> </w:t>
      </w:r>
      <w:r w:rsidRPr="00703A1C">
        <w:rPr>
          <w:rFonts w:eastAsia="MS Mincho"/>
          <w:sz w:val="24"/>
          <w:szCs w:val="24"/>
          <w:lang w:eastAsia="ja-JP"/>
        </w:rPr>
        <w:t>kHz was agreed</w:t>
      </w:r>
      <w:r>
        <w:rPr>
          <w:rFonts w:eastAsia="MS Mincho"/>
          <w:sz w:val="24"/>
          <w:szCs w:val="24"/>
          <w:lang w:eastAsia="ja-JP"/>
        </w:rPr>
        <w:t xml:space="preserve"> then</w:t>
      </w:r>
      <w:r w:rsidRPr="00703A1C">
        <w:rPr>
          <w:rFonts w:eastAsia="MS Mincho"/>
          <w:sz w:val="24"/>
          <w:szCs w:val="24"/>
          <w:lang w:eastAsia="ja-JP"/>
        </w:rPr>
        <w:t>.</w:t>
      </w:r>
    </w:p>
    <w:p w:rsidR="005D267F" w:rsidRPr="00703A1C" w:rsidRDefault="005D267F" w:rsidP="005D267F">
      <w:pPr>
        <w:ind w:firstLine="420"/>
        <w:rPr>
          <w:rFonts w:eastAsia="MS Mincho"/>
          <w:lang w:eastAsia="ja-JP"/>
        </w:rPr>
      </w:pPr>
      <w:r>
        <w:rPr>
          <w:rFonts w:eastAsia="MS Mincho"/>
          <w:lang w:eastAsia="ja-JP"/>
        </w:rPr>
        <w:t xml:space="preserve">For WPT frequency range 79 – 90 kHz, </w:t>
      </w:r>
      <w:r>
        <w:rPr>
          <w:rFonts w:eastAsia="MS Mincho" w:hint="eastAsia"/>
          <w:lang w:eastAsia="ja-JP"/>
        </w:rPr>
        <w:t>CC</w:t>
      </w:r>
      <w:r>
        <w:rPr>
          <w:rFonts w:eastAsia="MS Mincho"/>
          <w:lang w:eastAsia="ja-JP"/>
        </w:rPr>
        <w:t>SA c</w:t>
      </w:r>
      <w:r w:rsidRPr="00BD6173">
        <w:rPr>
          <w:rFonts w:eastAsia="MS Mincho"/>
          <w:lang w:eastAsia="ja-JP"/>
        </w:rPr>
        <w:t>onduct</w:t>
      </w:r>
      <w:r>
        <w:rPr>
          <w:rFonts w:eastAsia="MS Mincho"/>
          <w:lang w:eastAsia="ja-JP"/>
        </w:rPr>
        <w:t>s</w:t>
      </w:r>
      <w:r w:rsidRPr="00BD6173">
        <w:rPr>
          <w:rFonts w:eastAsia="MS Mincho"/>
          <w:lang w:eastAsia="ja-JP"/>
        </w:rPr>
        <w:t xml:space="preserve"> sharing and compatibility studies with incumbent systems </w:t>
      </w:r>
      <w:r>
        <w:rPr>
          <w:rFonts w:eastAsia="MS Mincho"/>
          <w:lang w:eastAsia="ja-JP"/>
        </w:rPr>
        <w:t>below:</w:t>
      </w:r>
    </w:p>
    <w:p w:rsidR="005D267F" w:rsidRDefault="005D267F" w:rsidP="005D267F">
      <w:pPr>
        <w:pStyle w:val="ListParagraph"/>
        <w:numPr>
          <w:ilvl w:val="0"/>
          <w:numId w:val="85"/>
        </w:numPr>
        <w:ind w:leftChars="0"/>
        <w:rPr>
          <w:rFonts w:eastAsia="MS Mincho"/>
          <w:sz w:val="24"/>
          <w:szCs w:val="24"/>
          <w:lang w:eastAsia="ja-JP"/>
        </w:rPr>
      </w:pPr>
      <w:r w:rsidRPr="007178E9">
        <w:rPr>
          <w:rFonts w:eastAsia="MS Mincho"/>
          <w:sz w:val="24"/>
          <w:szCs w:val="24"/>
          <w:lang w:eastAsia="ja-JP"/>
        </w:rPr>
        <w:t>Loran C</w:t>
      </w:r>
      <w:r w:rsidRPr="00703A1C">
        <w:rPr>
          <w:rFonts w:eastAsia="MS Mincho"/>
          <w:sz w:val="24"/>
          <w:szCs w:val="24"/>
          <w:lang w:eastAsia="ja-JP"/>
        </w:rPr>
        <w:t xml:space="preserve"> </w:t>
      </w:r>
    </w:p>
    <w:p w:rsidR="005D267F" w:rsidRPr="00703A1C" w:rsidRDefault="005D267F" w:rsidP="005D267F">
      <w:pPr>
        <w:pStyle w:val="ListParagraph"/>
        <w:numPr>
          <w:ilvl w:val="0"/>
          <w:numId w:val="85"/>
        </w:numPr>
        <w:ind w:leftChars="0"/>
        <w:rPr>
          <w:rFonts w:eastAsia="MS Mincho"/>
          <w:sz w:val="24"/>
          <w:szCs w:val="24"/>
          <w:lang w:eastAsia="ja-JP"/>
        </w:rPr>
      </w:pPr>
      <w:r w:rsidRPr="00703A1C">
        <w:rPr>
          <w:rFonts w:eastAsia="MS Mincho"/>
          <w:sz w:val="24"/>
          <w:szCs w:val="24"/>
          <w:lang w:eastAsia="ja-JP"/>
        </w:rPr>
        <w:t>Standard Frequency and Time Signal</w:t>
      </w:r>
    </w:p>
    <w:p w:rsidR="005D267F" w:rsidRPr="00703A1C" w:rsidRDefault="005D267F" w:rsidP="005D267F">
      <w:pPr>
        <w:pStyle w:val="ListParagraph"/>
        <w:numPr>
          <w:ilvl w:val="0"/>
          <w:numId w:val="85"/>
        </w:numPr>
        <w:ind w:leftChars="0"/>
        <w:rPr>
          <w:rFonts w:eastAsia="MS Mincho"/>
          <w:sz w:val="24"/>
          <w:szCs w:val="24"/>
          <w:lang w:eastAsia="ja-JP"/>
        </w:rPr>
      </w:pPr>
      <w:r w:rsidRPr="00703A1C">
        <w:rPr>
          <w:rFonts w:eastAsia="MS Mincho"/>
          <w:sz w:val="24"/>
          <w:szCs w:val="24"/>
          <w:lang w:eastAsia="ja-JP"/>
        </w:rPr>
        <w:t>Broadcasting</w:t>
      </w:r>
    </w:p>
    <w:p w:rsidR="005D267F" w:rsidRDefault="005D267F" w:rsidP="005D267F">
      <w:pPr>
        <w:rPr>
          <w:rFonts w:eastAsia="MS Mincho"/>
          <w:lang w:eastAsia="ja-JP"/>
        </w:rPr>
      </w:pPr>
      <w:r>
        <w:rPr>
          <w:rFonts w:eastAsia="MS Mincho"/>
          <w:lang w:eastAsia="ja-JP"/>
        </w:rPr>
        <w:lastRenderedPageBreak/>
        <w:t xml:space="preserve"> </w:t>
      </w:r>
    </w:p>
    <w:p w:rsidR="005D267F" w:rsidRPr="0025486F" w:rsidRDefault="005D267F" w:rsidP="005D267F">
      <w:pPr>
        <w:pStyle w:val="Heading2"/>
        <w:rPr>
          <w:rFonts w:ascii="Times New Roman" w:hAnsi="Times New Roman" w:cs="Times New Roman"/>
        </w:rPr>
      </w:pPr>
      <w:bookmarkStart w:id="15" w:name="_Toc494297291"/>
      <w:r w:rsidRPr="0025486F">
        <w:rPr>
          <w:rFonts w:ascii="Times New Roman" w:hAnsi="Times New Roman" w:cs="Times New Roman"/>
        </w:rPr>
        <w:t>4.</w:t>
      </w:r>
      <w:r>
        <w:rPr>
          <w:rFonts w:ascii="Times New Roman" w:hAnsi="Times New Roman" w:cs="Times New Roman"/>
        </w:rPr>
        <w:t>2</w:t>
      </w:r>
      <w:r w:rsidRPr="0025486F">
        <w:rPr>
          <w:rFonts w:ascii="Times New Roman" w:hAnsi="Times New Roman" w:cs="Times New Roman"/>
        </w:rPr>
        <w:t xml:space="preserve"> Japan</w:t>
      </w:r>
      <w:bookmarkEnd w:id="15"/>
    </w:p>
    <w:p w:rsidR="005D267F" w:rsidRPr="003D65A7" w:rsidRDefault="005D267F" w:rsidP="005D267F">
      <w:pPr>
        <w:ind w:firstLine="720"/>
        <w:jc w:val="both"/>
        <w:rPr>
          <w:lang w:eastAsia="ja-JP"/>
        </w:rPr>
      </w:pPr>
      <w:r w:rsidRPr="003D65A7">
        <w:rPr>
          <w:lang w:eastAsia="ja-JP"/>
        </w:rPr>
        <w:t>In March 2016, new rules on the “Type Specification</w:t>
      </w:r>
      <w:r>
        <w:rPr>
          <w:lang w:eastAsia="ja-JP"/>
        </w:rPr>
        <w:t>”</w:t>
      </w:r>
      <w:r w:rsidRPr="003D65A7">
        <w:rPr>
          <w:rFonts w:eastAsia="MS Mincho"/>
          <w:lang w:eastAsia="ja-JP"/>
        </w:rPr>
        <w:t xml:space="preserve"> of </w:t>
      </w:r>
      <w:r>
        <w:rPr>
          <w:rFonts w:eastAsia="MS Mincho"/>
          <w:lang w:eastAsia="ja-JP"/>
        </w:rPr>
        <w:t>t</w:t>
      </w:r>
      <w:r w:rsidRPr="00415A7B">
        <w:rPr>
          <w:rFonts w:eastAsia="MS Mincho"/>
          <w:lang w:eastAsia="ja-JP"/>
        </w:rPr>
        <w:t xml:space="preserve">he </w:t>
      </w:r>
      <w:r>
        <w:rPr>
          <w:rFonts w:eastAsia="MS Mincho"/>
          <w:lang w:eastAsia="ja-JP"/>
        </w:rPr>
        <w:t>“</w:t>
      </w:r>
      <w:r w:rsidRPr="00415A7B">
        <w:rPr>
          <w:rFonts w:eastAsia="MS Mincho"/>
          <w:lang w:eastAsia="ja-JP"/>
        </w:rPr>
        <w:t>Equipment Utilizing High Frequency Current</w:t>
      </w:r>
      <w:r>
        <w:rPr>
          <w:rFonts w:eastAsia="MS Mincho"/>
          <w:lang w:eastAsia="ja-JP"/>
        </w:rPr>
        <w:t>”</w:t>
      </w:r>
      <w:r w:rsidRPr="003D65A7">
        <w:rPr>
          <w:lang w:eastAsia="ja-JP"/>
        </w:rPr>
        <w:t xml:space="preserve"> for WPT </w:t>
      </w:r>
      <w:r>
        <w:rPr>
          <w:lang w:eastAsia="ja-JP"/>
        </w:rPr>
        <w:t xml:space="preserve">for EVs </w:t>
      </w:r>
      <w:r w:rsidRPr="003D65A7">
        <w:rPr>
          <w:lang w:eastAsia="ja-JP"/>
        </w:rPr>
        <w:t xml:space="preserve">using 79 - 90 kHz became effective. </w:t>
      </w:r>
      <w:r>
        <w:rPr>
          <w:lang w:eastAsia="ja-JP"/>
        </w:rPr>
        <w:t>The “</w:t>
      </w:r>
      <w:r w:rsidRPr="009C31E4">
        <w:rPr>
          <w:rFonts w:eastAsia="MS Mincho"/>
          <w:lang w:eastAsia="ja-JP"/>
        </w:rPr>
        <w:t>Equipment Utilizing High Frequency Current</w:t>
      </w:r>
      <w:r>
        <w:rPr>
          <w:rFonts w:eastAsia="MS Mincho"/>
          <w:lang w:eastAsia="ja-JP"/>
        </w:rPr>
        <w:t>”</w:t>
      </w:r>
      <w:r>
        <w:rPr>
          <w:rFonts w:eastAsia="MS Mincho" w:hint="eastAsia"/>
          <w:lang w:eastAsia="ja-JP"/>
        </w:rPr>
        <w:t xml:space="preserve"> is defined in </w:t>
      </w:r>
      <w:r>
        <w:rPr>
          <w:rFonts w:eastAsia="MS Mincho"/>
          <w:lang w:eastAsia="ja-JP"/>
        </w:rPr>
        <w:t xml:space="preserve">the </w:t>
      </w:r>
      <w:r>
        <w:rPr>
          <w:rFonts w:eastAsia="MS Mincho" w:hint="eastAsia"/>
          <w:lang w:eastAsia="ja-JP"/>
        </w:rPr>
        <w:t xml:space="preserve">Radio </w:t>
      </w:r>
      <w:r>
        <w:rPr>
          <w:rFonts w:eastAsia="MS Mincho"/>
          <w:lang w:eastAsia="ja-JP"/>
        </w:rPr>
        <w:t>L</w:t>
      </w:r>
      <w:r>
        <w:rPr>
          <w:rFonts w:eastAsia="MS Mincho" w:hint="eastAsia"/>
          <w:lang w:eastAsia="ja-JP"/>
        </w:rPr>
        <w:t>aw</w:t>
      </w:r>
      <w:r>
        <w:rPr>
          <w:rFonts w:eastAsia="MS Mincho"/>
          <w:lang w:eastAsia="ja-JP"/>
        </w:rPr>
        <w:t xml:space="preserve"> of Japan and is under a regulatory scheme different from that for radio stations. </w:t>
      </w:r>
      <w:r w:rsidRPr="003D65A7">
        <w:rPr>
          <w:lang w:eastAsia="ja-JP"/>
        </w:rPr>
        <w:t xml:space="preserve">The new rules allow equipment installation without </w:t>
      </w:r>
      <w:r>
        <w:rPr>
          <w:lang w:eastAsia="ja-JP"/>
        </w:rPr>
        <w:t xml:space="preserve">individual </w:t>
      </w:r>
      <w:r w:rsidRPr="003D65A7">
        <w:rPr>
          <w:lang w:eastAsia="ja-JP"/>
        </w:rPr>
        <w:t>permission by the administrator</w:t>
      </w:r>
      <w:r>
        <w:rPr>
          <w:lang w:eastAsia="ja-JP"/>
        </w:rPr>
        <w:t xml:space="preserve"> if the equipment</w:t>
      </w:r>
      <w:r w:rsidRPr="003D65A7">
        <w:rPr>
          <w:lang w:eastAsia="ja-JP"/>
        </w:rPr>
        <w:t xml:space="preserve"> conform</w:t>
      </w:r>
      <w:r>
        <w:rPr>
          <w:lang w:eastAsia="ja-JP"/>
        </w:rPr>
        <w:t>s</w:t>
      </w:r>
      <w:r w:rsidRPr="003D65A7">
        <w:rPr>
          <w:lang w:eastAsia="ja-JP"/>
        </w:rPr>
        <w:t xml:space="preserve"> to the “Type Specification” </w:t>
      </w:r>
      <w:r>
        <w:rPr>
          <w:lang w:eastAsia="ja-JP"/>
        </w:rPr>
        <w:t xml:space="preserve">and is </w:t>
      </w:r>
      <w:r w:rsidRPr="003D65A7">
        <w:rPr>
          <w:lang w:eastAsia="ja-JP"/>
        </w:rPr>
        <w:t xml:space="preserve">in compliance with the rules. Regarding WPT for EV applications, </w:t>
      </w:r>
      <w:r>
        <w:rPr>
          <w:lang w:eastAsia="ja-JP"/>
        </w:rPr>
        <w:t>e</w:t>
      </w:r>
      <w:r w:rsidRPr="003D65A7">
        <w:rPr>
          <w:lang w:eastAsia="ja-JP"/>
        </w:rPr>
        <w:t>mission limits are shown in Table 4.</w:t>
      </w:r>
      <w:r>
        <w:rPr>
          <w:lang w:eastAsia="ja-JP"/>
        </w:rPr>
        <w:t>1</w:t>
      </w:r>
      <w:r w:rsidRPr="003D65A7">
        <w:rPr>
          <w:lang w:eastAsia="ja-JP"/>
        </w:rPr>
        <w:t xml:space="preserve"> in accordance with frequency ranges designated.</w:t>
      </w:r>
    </w:p>
    <w:p w:rsidR="005D267F" w:rsidRPr="003D65A7" w:rsidRDefault="005D267F" w:rsidP="005D267F">
      <w:pPr>
        <w:ind w:firstLine="720"/>
        <w:jc w:val="both"/>
        <w:rPr>
          <w:lang w:eastAsia="ja-JP"/>
        </w:rPr>
      </w:pPr>
      <w:r w:rsidRPr="003D65A7">
        <w:rPr>
          <w:lang w:eastAsia="ja-JP"/>
        </w:rPr>
        <w:t>Prior to the completion of the new rule development, the Ministry of Internal Affairs and Communications (MIC) of Japan completed studies on the impact of every proposed WPT system to incumbent radiocommunication systems. Details can be found in Section 6.</w:t>
      </w:r>
    </w:p>
    <w:p w:rsidR="005D267F" w:rsidRPr="003D65A7" w:rsidRDefault="005D267F" w:rsidP="005D267F">
      <w:pPr>
        <w:jc w:val="both"/>
        <w:rPr>
          <w:lang w:eastAsia="ja-JP"/>
        </w:rPr>
      </w:pPr>
      <w:r w:rsidRPr="003D65A7">
        <w:rPr>
          <w:lang w:eastAsia="ja-JP"/>
        </w:rPr>
        <w:t>In specifying conductive and radiated emission limits, CISPR standards were referenced in light of international regulatory harmonization as shown in Table 4.1. For some specific use cases against the incumbent spectrum use, additional domestic coexistence conditions derived from the impact study were proposed and agreed.</w:t>
      </w:r>
    </w:p>
    <w:p w:rsidR="005D267F" w:rsidRPr="00724D18" w:rsidRDefault="005D267F" w:rsidP="005D267F">
      <w:pPr>
        <w:tabs>
          <w:tab w:val="left" w:pos="794"/>
          <w:tab w:val="left" w:pos="1191"/>
          <w:tab w:val="left" w:pos="1588"/>
          <w:tab w:val="left" w:pos="1985"/>
        </w:tabs>
        <w:overflowPunct w:val="0"/>
        <w:autoSpaceDE w:val="0"/>
        <w:autoSpaceDN w:val="0"/>
        <w:adjustRightInd w:val="0"/>
        <w:jc w:val="both"/>
        <w:textAlignment w:val="baseline"/>
        <w:rPr>
          <w:rFonts w:eastAsia="MS Mincho"/>
          <w:szCs w:val="20"/>
        </w:rPr>
      </w:pPr>
    </w:p>
    <w:p w:rsidR="005D267F" w:rsidRPr="003D65A7" w:rsidRDefault="005D267F" w:rsidP="005D267F">
      <w:pPr>
        <w:keepNext/>
        <w:keepLines/>
        <w:tabs>
          <w:tab w:val="left" w:pos="1134"/>
          <w:tab w:val="left" w:pos="1871"/>
          <w:tab w:val="left" w:pos="2268"/>
        </w:tabs>
        <w:overflowPunct w:val="0"/>
        <w:autoSpaceDE w:val="0"/>
        <w:autoSpaceDN w:val="0"/>
        <w:adjustRightInd w:val="0"/>
        <w:spacing w:after="120"/>
        <w:jc w:val="center"/>
        <w:textAlignment w:val="baseline"/>
        <w:rPr>
          <w:rFonts w:eastAsia="MS Mincho"/>
          <w:szCs w:val="22"/>
        </w:rPr>
      </w:pPr>
      <w:r w:rsidRPr="003D65A7">
        <w:rPr>
          <w:rFonts w:eastAsia="MS Mincho"/>
          <w:szCs w:val="22"/>
        </w:rPr>
        <w:t>Table 4.</w:t>
      </w:r>
      <w:r>
        <w:rPr>
          <w:rFonts w:eastAsia="MS Mincho"/>
          <w:szCs w:val="22"/>
        </w:rPr>
        <w:t>1</w:t>
      </w:r>
      <w:r w:rsidRPr="003D65A7">
        <w:rPr>
          <w:rFonts w:eastAsia="MS Mincho"/>
          <w:szCs w:val="22"/>
        </w:rPr>
        <w:t xml:space="preserve"> Emission limits for WPT for EV applications in Japan</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008"/>
        <w:gridCol w:w="1120"/>
        <w:gridCol w:w="1260"/>
        <w:gridCol w:w="1273"/>
        <w:gridCol w:w="1353"/>
        <w:gridCol w:w="1405"/>
        <w:gridCol w:w="964"/>
      </w:tblGrid>
      <w:tr w:rsidR="005D267F" w:rsidRPr="003D65A7" w:rsidTr="00AE25FA">
        <w:trPr>
          <w:trHeight w:val="287"/>
          <w:jc w:val="center"/>
        </w:trPr>
        <w:tc>
          <w:tcPr>
            <w:tcW w:w="1236" w:type="dxa"/>
            <w:vMerge w:val="restart"/>
            <w:shd w:val="clear" w:color="auto" w:fill="auto"/>
            <w:tcMar>
              <w:top w:w="0" w:type="dxa"/>
              <w:left w:w="108" w:type="dxa"/>
              <w:bottom w:w="0" w:type="dxa"/>
              <w:right w:w="108" w:type="dxa"/>
            </w:tcMar>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rPr>
            </w:pPr>
            <w:r w:rsidRPr="003D65A7">
              <w:rPr>
                <w:rFonts w:ascii="Times New Roman Bold" w:eastAsia="MS Mincho" w:hAnsi="Times New Roman Bold" w:cs="Times New Roman Bold"/>
                <w:b/>
                <w:sz w:val="20"/>
                <w:szCs w:val="20"/>
              </w:rPr>
              <w:t>WPT target application</w:t>
            </w:r>
          </w:p>
        </w:tc>
        <w:tc>
          <w:tcPr>
            <w:tcW w:w="2128" w:type="dxa"/>
            <w:gridSpan w:val="2"/>
            <w:shd w:val="clear" w:color="auto" w:fill="auto"/>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rPr>
            </w:pPr>
            <w:r w:rsidRPr="003D65A7">
              <w:rPr>
                <w:rFonts w:ascii="Times New Roman Bold" w:eastAsia="MS Mincho" w:hAnsi="Times New Roman Bold" w:cs="Times New Roman Bold"/>
                <w:b/>
                <w:sz w:val="20"/>
                <w:szCs w:val="20"/>
              </w:rPr>
              <w:t xml:space="preserve">Conductive </w:t>
            </w:r>
            <w:r w:rsidRPr="003D65A7">
              <w:rPr>
                <w:rFonts w:ascii="Times New Roman Bold" w:eastAsia="MS Mincho" w:hAnsi="Times New Roman Bold" w:cs="Times New Roman Bold"/>
                <w:b/>
                <w:sz w:val="20"/>
                <w:szCs w:val="20"/>
              </w:rPr>
              <w:br/>
              <w:t>emission limits</w:t>
            </w:r>
          </w:p>
        </w:tc>
        <w:tc>
          <w:tcPr>
            <w:tcW w:w="1260" w:type="dxa"/>
            <w:shd w:val="clear" w:color="auto" w:fill="auto"/>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ind w:left="-57" w:right="-57"/>
              <w:jc w:val="center"/>
              <w:textAlignment w:val="baseline"/>
              <w:rPr>
                <w:rFonts w:ascii="Times New Roman Bold" w:eastAsia="MS Mincho" w:hAnsi="Times New Roman Bold" w:cs="Times New Roman Bold"/>
                <w:b/>
                <w:sz w:val="20"/>
                <w:szCs w:val="20"/>
                <w:lang w:eastAsia="ja-JP"/>
              </w:rPr>
            </w:pPr>
            <w:r w:rsidRPr="003D65A7">
              <w:rPr>
                <w:rFonts w:ascii="Times New Roman Bold" w:eastAsia="MS Mincho" w:hAnsi="Times New Roman Bold" w:cs="Times New Roman Bold"/>
                <w:b/>
                <w:sz w:val="20"/>
                <w:szCs w:val="20"/>
                <w:lang w:eastAsia="ja-JP"/>
              </w:rPr>
              <w:t>Radiated emission limits of fundamental wave</w:t>
            </w:r>
          </w:p>
        </w:tc>
        <w:tc>
          <w:tcPr>
            <w:tcW w:w="4995" w:type="dxa"/>
            <w:gridSpan w:val="4"/>
            <w:shd w:val="clear" w:color="auto" w:fill="auto"/>
            <w:tcMar>
              <w:top w:w="0" w:type="dxa"/>
              <w:left w:w="108" w:type="dxa"/>
              <w:bottom w:w="0" w:type="dxa"/>
              <w:right w:w="108" w:type="dxa"/>
            </w:tcMar>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rPr>
            </w:pPr>
            <w:r w:rsidRPr="003D65A7">
              <w:rPr>
                <w:rFonts w:ascii="Times New Roman Bold" w:eastAsia="MS Mincho" w:hAnsi="Times New Roman Bold" w:cs="Times New Roman Bold"/>
                <w:b/>
                <w:sz w:val="20"/>
                <w:szCs w:val="20"/>
              </w:rPr>
              <w:t>Radiated emission li</w:t>
            </w:r>
            <w:r w:rsidRPr="003D65A7">
              <w:rPr>
                <w:rFonts w:ascii="Times New Roman Bold" w:eastAsia="MS Mincho" w:hAnsi="Times New Roman Bold" w:cs="Times New Roman Bold"/>
                <w:b/>
                <w:sz w:val="20"/>
                <w:szCs w:val="20"/>
                <w:lang w:eastAsia="ja-JP"/>
              </w:rPr>
              <w:t>mits</w:t>
            </w:r>
            <w:r w:rsidRPr="003D65A7">
              <w:rPr>
                <w:rFonts w:ascii="Times New Roman Bold" w:eastAsia="MS Mincho" w:hAnsi="Times New Roman Bold" w:cs="Times New Roman Bold"/>
                <w:b/>
                <w:sz w:val="20"/>
                <w:szCs w:val="20"/>
              </w:rPr>
              <w:t xml:space="preserve"> in other bands</w:t>
            </w:r>
          </w:p>
        </w:tc>
      </w:tr>
      <w:tr w:rsidR="005D267F" w:rsidRPr="003D65A7" w:rsidTr="00AE25FA">
        <w:trPr>
          <w:trHeight w:val="567"/>
          <w:jc w:val="center"/>
        </w:trPr>
        <w:tc>
          <w:tcPr>
            <w:tcW w:w="1236" w:type="dxa"/>
            <w:vMerge/>
            <w:shd w:val="clear" w:color="auto" w:fill="auto"/>
            <w:vAlign w:val="center"/>
            <w:hideMark/>
          </w:tcPr>
          <w:p w:rsidR="005D267F" w:rsidRPr="005D267F"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0"/>
              </w:rPr>
            </w:pPr>
          </w:p>
        </w:tc>
        <w:tc>
          <w:tcPr>
            <w:tcW w:w="1008" w:type="dxa"/>
            <w:shd w:val="clear" w:color="auto" w:fill="auto"/>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ind w:left="-57" w:right="-57"/>
              <w:jc w:val="center"/>
              <w:textAlignment w:val="baseline"/>
              <w:rPr>
                <w:rFonts w:ascii="Times New Roman Bold" w:eastAsia="MS Mincho" w:hAnsi="Times New Roman Bold" w:cs="Times New Roman Bold"/>
                <w:b/>
                <w:sz w:val="20"/>
                <w:szCs w:val="20"/>
                <w:lang w:eastAsia="ja-JP"/>
              </w:rPr>
            </w:pPr>
            <w:r w:rsidRPr="003D65A7">
              <w:rPr>
                <w:rFonts w:ascii="Times New Roman Bold" w:eastAsia="MS Mincho" w:hAnsi="Times New Roman Bold" w:cs="Times New Roman Bold"/>
                <w:b/>
                <w:sz w:val="20"/>
                <w:szCs w:val="20"/>
              </w:rPr>
              <w:t>9-150 kHz</w:t>
            </w:r>
          </w:p>
        </w:tc>
        <w:tc>
          <w:tcPr>
            <w:tcW w:w="1120" w:type="dxa"/>
            <w:shd w:val="clear" w:color="auto" w:fill="auto"/>
            <w:tcMar>
              <w:top w:w="0" w:type="dxa"/>
              <w:left w:w="108" w:type="dxa"/>
              <w:bottom w:w="0" w:type="dxa"/>
              <w:right w:w="108" w:type="dxa"/>
            </w:tcMar>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rPr>
            </w:pPr>
            <w:r w:rsidRPr="003D65A7">
              <w:rPr>
                <w:rFonts w:ascii="Times New Roman Bold" w:eastAsia="MS Mincho" w:hAnsi="Times New Roman Bold" w:cs="Times New Roman Bold"/>
                <w:b/>
                <w:sz w:val="20"/>
                <w:szCs w:val="20"/>
              </w:rPr>
              <w:t>150 kHz -</w:t>
            </w:r>
            <w:r w:rsidRPr="003D65A7">
              <w:rPr>
                <w:rFonts w:ascii="Times New Roman Bold" w:eastAsia="MS Mincho" w:hAnsi="Times New Roman Bold" w:cs="Times New Roman Bold"/>
                <w:b/>
                <w:sz w:val="20"/>
                <w:szCs w:val="20"/>
              </w:rPr>
              <w:br/>
              <w:t>30 MHz</w:t>
            </w:r>
          </w:p>
        </w:tc>
        <w:tc>
          <w:tcPr>
            <w:tcW w:w="1260" w:type="dxa"/>
            <w:shd w:val="clear" w:color="auto" w:fill="auto"/>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eastAsia="ja-JP"/>
              </w:rPr>
            </w:pPr>
            <w:r w:rsidRPr="003D65A7">
              <w:rPr>
                <w:rFonts w:ascii="Times New Roman Bold" w:eastAsia="MS Mincho" w:hAnsi="Times New Roman Bold" w:cs="Times New Roman Bold"/>
                <w:b/>
                <w:sz w:val="20"/>
                <w:szCs w:val="20"/>
                <w:lang w:eastAsia="ja-JP"/>
              </w:rPr>
              <w:t>79-90 kHz</w:t>
            </w:r>
          </w:p>
        </w:tc>
        <w:tc>
          <w:tcPr>
            <w:tcW w:w="1273" w:type="dxa"/>
            <w:shd w:val="clear" w:color="auto" w:fill="auto"/>
            <w:tcMar>
              <w:top w:w="0" w:type="dxa"/>
              <w:left w:w="108" w:type="dxa"/>
              <w:bottom w:w="0" w:type="dxa"/>
              <w:right w:w="108" w:type="dxa"/>
            </w:tcMar>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rPr>
            </w:pPr>
            <w:r w:rsidRPr="003D65A7">
              <w:rPr>
                <w:rFonts w:ascii="Times New Roman Bold" w:eastAsia="MS Mincho" w:hAnsi="Times New Roman Bold" w:cs="Times New Roman Bold"/>
                <w:b/>
                <w:sz w:val="20"/>
                <w:szCs w:val="20"/>
              </w:rPr>
              <w:t>9-150 kHz</w:t>
            </w:r>
          </w:p>
        </w:tc>
        <w:tc>
          <w:tcPr>
            <w:tcW w:w="1353" w:type="dxa"/>
            <w:shd w:val="clear" w:color="auto" w:fill="auto"/>
            <w:tcMar>
              <w:top w:w="0" w:type="dxa"/>
              <w:left w:w="108" w:type="dxa"/>
              <w:bottom w:w="0" w:type="dxa"/>
              <w:right w:w="108" w:type="dxa"/>
            </w:tcMar>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rPr>
            </w:pPr>
            <w:r w:rsidRPr="003D65A7">
              <w:rPr>
                <w:rFonts w:ascii="Times New Roman Bold" w:eastAsia="MS Mincho" w:hAnsi="Times New Roman Bold" w:cs="Times New Roman Bold"/>
                <w:b/>
                <w:sz w:val="20"/>
                <w:szCs w:val="20"/>
              </w:rPr>
              <w:t>150 kHz -</w:t>
            </w:r>
            <w:r w:rsidRPr="003D65A7">
              <w:rPr>
                <w:rFonts w:ascii="Times New Roman Bold" w:eastAsia="MS Mincho" w:hAnsi="Times New Roman Bold" w:cs="Times New Roman Bold"/>
                <w:b/>
                <w:sz w:val="20"/>
                <w:szCs w:val="20"/>
              </w:rPr>
              <w:br/>
              <w:t>30 MHz</w:t>
            </w:r>
          </w:p>
        </w:tc>
        <w:tc>
          <w:tcPr>
            <w:tcW w:w="1405" w:type="dxa"/>
            <w:shd w:val="clear" w:color="auto" w:fill="auto"/>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eastAsia="ja-JP"/>
              </w:rPr>
            </w:pPr>
            <w:r w:rsidRPr="003D65A7">
              <w:rPr>
                <w:rFonts w:ascii="Times New Roman Bold" w:eastAsia="MS Mincho" w:hAnsi="Times New Roman Bold" w:cs="Times New Roman Bold"/>
                <w:b/>
                <w:sz w:val="20"/>
                <w:szCs w:val="20"/>
              </w:rPr>
              <w:t>30 MHz -</w:t>
            </w:r>
            <w:r w:rsidRPr="003D65A7">
              <w:rPr>
                <w:rFonts w:ascii="Times New Roman Bold" w:eastAsia="MS Mincho" w:hAnsi="Times New Roman Bold" w:cs="Times New Roman Bold"/>
                <w:b/>
                <w:sz w:val="20"/>
                <w:szCs w:val="20"/>
              </w:rPr>
              <w:br/>
              <w:t>1 GHz</w:t>
            </w:r>
          </w:p>
        </w:tc>
        <w:tc>
          <w:tcPr>
            <w:tcW w:w="964" w:type="dxa"/>
            <w:shd w:val="clear" w:color="auto" w:fill="auto"/>
            <w:hideMark/>
          </w:tcPr>
          <w:p w:rsidR="005D267F" w:rsidRPr="003D65A7" w:rsidRDefault="005D267F" w:rsidP="00AE25FA">
            <w:pPr>
              <w:keepNext/>
              <w:tabs>
                <w:tab w:val="left" w:pos="1134"/>
                <w:tab w:val="left" w:pos="1871"/>
                <w:tab w:val="left" w:pos="2268"/>
              </w:tabs>
              <w:overflowPunct w:val="0"/>
              <w:autoSpaceDE w:val="0"/>
              <w:autoSpaceDN w:val="0"/>
              <w:adjustRightInd w:val="0"/>
              <w:spacing w:before="80" w:after="80"/>
              <w:ind w:left="-57" w:right="-57"/>
              <w:jc w:val="center"/>
              <w:textAlignment w:val="baseline"/>
              <w:rPr>
                <w:rFonts w:ascii="Times New Roman Bold" w:eastAsia="MS Mincho" w:hAnsi="Times New Roman Bold" w:cs="Times New Roman Bold"/>
                <w:b/>
                <w:sz w:val="20"/>
                <w:szCs w:val="20"/>
              </w:rPr>
            </w:pPr>
            <w:r w:rsidRPr="003D65A7">
              <w:rPr>
                <w:rFonts w:ascii="Times New Roman Bold" w:eastAsia="MS Mincho" w:hAnsi="Times New Roman Bold" w:cs="Times New Roman Bold"/>
                <w:b/>
                <w:sz w:val="20"/>
                <w:szCs w:val="20"/>
              </w:rPr>
              <w:t>1-6 GHz</w:t>
            </w:r>
          </w:p>
        </w:tc>
      </w:tr>
      <w:tr w:rsidR="005D267F" w:rsidRPr="003D65A7" w:rsidTr="00AE25FA">
        <w:trPr>
          <w:trHeight w:val="1252"/>
          <w:jc w:val="center"/>
        </w:trPr>
        <w:tc>
          <w:tcPr>
            <w:tcW w:w="1236" w:type="dxa"/>
            <w:shd w:val="clear" w:color="auto" w:fill="auto"/>
            <w:tcMar>
              <w:top w:w="0" w:type="dxa"/>
              <w:left w:w="108" w:type="dxa"/>
              <w:bottom w:w="0" w:type="dxa"/>
              <w:right w:w="108" w:type="dxa"/>
            </w:tcMar>
            <w:hideMark/>
          </w:tcPr>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 xml:space="preserve">WPT for EV charging </w:t>
            </w:r>
          </w:p>
        </w:tc>
        <w:tc>
          <w:tcPr>
            <w:tcW w:w="1008" w:type="dxa"/>
            <w:shd w:val="clear" w:color="auto" w:fill="auto"/>
            <w:hideMark/>
          </w:tcPr>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Not specified</w:t>
            </w:r>
          </w:p>
        </w:tc>
        <w:tc>
          <w:tcPr>
            <w:tcW w:w="1120" w:type="dxa"/>
            <w:shd w:val="clear" w:color="auto" w:fill="auto"/>
            <w:tcMar>
              <w:top w:w="0" w:type="dxa"/>
              <w:left w:w="108" w:type="dxa"/>
              <w:bottom w:w="0" w:type="dxa"/>
              <w:right w:w="108" w:type="dxa"/>
            </w:tcMar>
            <w:hideMark/>
          </w:tcPr>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lang w:eastAsia="ja-JP"/>
              </w:rPr>
            </w:pPr>
            <w:r w:rsidRPr="003D65A7">
              <w:rPr>
                <w:rFonts w:eastAsia="MS Mincho"/>
                <w:sz w:val="20"/>
                <w:szCs w:val="20"/>
              </w:rPr>
              <w:t>0.15-</w:t>
            </w:r>
            <w:r w:rsidRPr="003D65A7">
              <w:rPr>
                <w:rFonts w:eastAsia="MS Mincho"/>
                <w:sz w:val="20"/>
                <w:szCs w:val="20"/>
              </w:rPr>
              <w:br/>
              <w:t xml:space="preserve">0.50 MHz: </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57"/>
              <w:textAlignment w:val="baseline"/>
              <w:rPr>
                <w:rFonts w:eastAsia="MS Mincho"/>
                <w:iCs/>
                <w:sz w:val="20"/>
                <w:szCs w:val="20"/>
              </w:rPr>
            </w:pPr>
            <w:r w:rsidRPr="003D65A7">
              <w:rPr>
                <w:rFonts w:eastAsia="MS Mincho"/>
                <w:sz w:val="20"/>
                <w:szCs w:val="20"/>
              </w:rPr>
              <w:t>Quasi-peak</w:t>
            </w:r>
            <w:r w:rsidRPr="003D65A7">
              <w:rPr>
                <w:rFonts w:eastAsia="MS Mincho"/>
                <w:sz w:val="20"/>
                <w:szCs w:val="20"/>
              </w:rPr>
              <w:br/>
              <w:t>66-</w:t>
            </w:r>
            <w:r w:rsidRPr="003D65A7">
              <w:rPr>
                <w:rFonts w:eastAsia="MS Mincho"/>
                <w:sz w:val="20"/>
                <w:szCs w:val="20"/>
              </w:rPr>
              <w:br/>
              <w:t xml:space="preserve">56 dBµV (linearly decreasing with log (f) </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rPr>
            </w:pPr>
            <w:r w:rsidRPr="003D65A7">
              <w:rPr>
                <w:rFonts w:eastAsia="MS Mincho"/>
                <w:sz w:val="20"/>
                <w:szCs w:val="20"/>
              </w:rPr>
              <w:t>Average 56-</w:t>
            </w:r>
            <w:r w:rsidRPr="003D65A7">
              <w:rPr>
                <w:rFonts w:eastAsia="MS Mincho"/>
                <w:sz w:val="20"/>
                <w:szCs w:val="20"/>
              </w:rPr>
              <w:br/>
              <w:t>46 dBµV (linearly decreasing with log (f),</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rPr>
            </w:pPr>
            <w:r w:rsidRPr="003D65A7">
              <w:rPr>
                <w:rFonts w:eastAsia="MS Mincho"/>
                <w:sz w:val="20"/>
                <w:szCs w:val="20"/>
              </w:rPr>
              <w:t>0.50-</w:t>
            </w:r>
            <w:r w:rsidRPr="003D65A7">
              <w:rPr>
                <w:rFonts w:eastAsia="MS Mincho"/>
                <w:sz w:val="20"/>
                <w:szCs w:val="20"/>
              </w:rPr>
              <w:br/>
              <w:t xml:space="preserve">5 MHz: </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57"/>
              <w:textAlignment w:val="baseline"/>
              <w:rPr>
                <w:rFonts w:eastAsia="MS Mincho"/>
                <w:iCs/>
                <w:sz w:val="20"/>
                <w:szCs w:val="20"/>
              </w:rPr>
            </w:pPr>
            <w:r w:rsidRPr="003D65A7">
              <w:rPr>
                <w:rFonts w:eastAsia="MS Mincho"/>
                <w:sz w:val="20"/>
                <w:szCs w:val="20"/>
              </w:rPr>
              <w:t xml:space="preserve">Quasi-peak </w:t>
            </w:r>
            <w:r w:rsidRPr="003D65A7">
              <w:rPr>
                <w:rFonts w:eastAsia="MS Mincho"/>
                <w:sz w:val="20"/>
                <w:szCs w:val="20"/>
              </w:rPr>
              <w:br/>
              <w:t xml:space="preserve">56 dBµV, </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rPr>
            </w:pPr>
            <w:r w:rsidRPr="003D65A7">
              <w:rPr>
                <w:rFonts w:eastAsia="MS Mincho"/>
                <w:sz w:val="20"/>
                <w:szCs w:val="20"/>
              </w:rPr>
              <w:t>Average</w:t>
            </w:r>
            <w:r w:rsidRPr="003D65A7">
              <w:rPr>
                <w:rFonts w:eastAsia="MS Mincho"/>
                <w:sz w:val="20"/>
                <w:szCs w:val="20"/>
              </w:rPr>
              <w:br/>
              <w:t>46 dBµV</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rPr>
            </w:pPr>
            <w:r w:rsidRPr="003D65A7">
              <w:rPr>
                <w:rFonts w:eastAsia="MS Mincho"/>
                <w:sz w:val="20"/>
                <w:szCs w:val="20"/>
              </w:rPr>
              <w:t>5-</w:t>
            </w:r>
            <w:r w:rsidRPr="003D65A7">
              <w:rPr>
                <w:rFonts w:eastAsia="MS Mincho"/>
                <w:sz w:val="20"/>
                <w:szCs w:val="20"/>
              </w:rPr>
              <w:br/>
              <w:t xml:space="preserve">30 MHz: </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57"/>
              <w:textAlignment w:val="baseline"/>
              <w:rPr>
                <w:rFonts w:eastAsia="MS Mincho"/>
                <w:iCs/>
                <w:sz w:val="20"/>
                <w:szCs w:val="20"/>
              </w:rPr>
            </w:pPr>
            <w:r w:rsidRPr="003D65A7">
              <w:rPr>
                <w:rFonts w:eastAsia="MS Mincho"/>
                <w:sz w:val="20"/>
                <w:szCs w:val="20"/>
              </w:rPr>
              <w:t xml:space="preserve">Quasi-peak </w:t>
            </w:r>
            <w:r w:rsidRPr="003D65A7">
              <w:rPr>
                <w:rFonts w:eastAsia="MS Mincho"/>
                <w:sz w:val="20"/>
                <w:szCs w:val="20"/>
              </w:rPr>
              <w:br/>
              <w:t xml:space="preserve">60 dBµV, </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rPr>
            </w:pPr>
            <w:r w:rsidRPr="003D65A7">
              <w:rPr>
                <w:rFonts w:eastAsia="MS Mincho"/>
                <w:sz w:val="20"/>
                <w:szCs w:val="20"/>
              </w:rPr>
              <w:t xml:space="preserve">Average </w:t>
            </w:r>
            <w:r w:rsidRPr="003D65A7">
              <w:rPr>
                <w:rFonts w:eastAsia="MS Mincho"/>
                <w:sz w:val="20"/>
                <w:szCs w:val="20"/>
              </w:rPr>
              <w:br/>
              <w:t>50 dBµV, except ISM bands</w:t>
            </w:r>
          </w:p>
        </w:tc>
        <w:tc>
          <w:tcPr>
            <w:tcW w:w="1260" w:type="dxa"/>
            <w:shd w:val="clear" w:color="auto" w:fill="auto"/>
          </w:tcPr>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57"/>
              <w:textAlignment w:val="baseline"/>
              <w:rPr>
                <w:rFonts w:eastAsia="MS Mincho"/>
                <w:sz w:val="20"/>
                <w:szCs w:val="20"/>
                <w:lang w:eastAsia="ja-JP"/>
              </w:rPr>
            </w:pPr>
            <w:r w:rsidRPr="003D65A7">
              <w:rPr>
                <w:rFonts w:eastAsia="MS Mincho"/>
                <w:sz w:val="20"/>
                <w:szCs w:val="20"/>
                <w:lang w:eastAsia="ja-JP"/>
              </w:rPr>
              <w:t xml:space="preserve">68.4 dBµA/m </w:t>
            </w:r>
            <w:r w:rsidRPr="003D65A7">
              <w:rPr>
                <w:rFonts w:eastAsia="MS Mincho"/>
                <w:sz w:val="20"/>
                <w:szCs w:val="20"/>
                <w:lang w:eastAsia="ja-JP"/>
              </w:rPr>
              <w:br/>
              <w:t>at 10 m. (quasi-peak)</w:t>
            </w:r>
          </w:p>
        </w:tc>
        <w:tc>
          <w:tcPr>
            <w:tcW w:w="1273" w:type="dxa"/>
            <w:shd w:val="clear" w:color="auto" w:fill="auto"/>
            <w:tcMar>
              <w:top w:w="0" w:type="dxa"/>
              <w:left w:w="108" w:type="dxa"/>
              <w:bottom w:w="0" w:type="dxa"/>
              <w:right w:w="108" w:type="dxa"/>
            </w:tcMar>
            <w:hideMark/>
          </w:tcPr>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113"/>
              <w:textAlignment w:val="baseline"/>
              <w:rPr>
                <w:rFonts w:eastAsia="MS Mincho"/>
                <w:sz w:val="20"/>
                <w:szCs w:val="20"/>
              </w:rPr>
            </w:pPr>
            <w:r w:rsidRPr="003D65A7">
              <w:rPr>
                <w:rFonts w:eastAsia="MS Mincho"/>
                <w:sz w:val="20"/>
                <w:szCs w:val="20"/>
              </w:rPr>
              <w:t xml:space="preserve">23.1 dBµA/m </w:t>
            </w:r>
            <w:r w:rsidRPr="003D65A7">
              <w:rPr>
                <w:rFonts w:eastAsia="MS Mincho"/>
                <w:sz w:val="20"/>
                <w:szCs w:val="20"/>
              </w:rPr>
              <w:br/>
              <w:t xml:space="preserve">at 10 m. (quasi-peak), </w:t>
            </w:r>
            <w:r w:rsidRPr="003D65A7">
              <w:rPr>
                <w:rFonts w:eastAsia="MS Mincho"/>
                <w:sz w:val="20"/>
                <w:szCs w:val="20"/>
              </w:rPr>
              <w:br/>
              <w:t xml:space="preserve">except </w:t>
            </w:r>
            <w:r w:rsidRPr="003D65A7">
              <w:rPr>
                <w:rFonts w:eastAsia="MS Mincho"/>
                <w:sz w:val="20"/>
                <w:szCs w:val="20"/>
              </w:rPr>
              <w:br/>
              <w:t>79-90 kHz</w:t>
            </w:r>
          </w:p>
        </w:tc>
        <w:tc>
          <w:tcPr>
            <w:tcW w:w="1353" w:type="dxa"/>
            <w:shd w:val="clear" w:color="auto" w:fill="auto"/>
            <w:tcMar>
              <w:top w:w="0" w:type="dxa"/>
              <w:left w:w="108" w:type="dxa"/>
              <w:bottom w:w="0" w:type="dxa"/>
              <w:right w:w="108" w:type="dxa"/>
            </w:tcMar>
            <w:hideMark/>
          </w:tcPr>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eastAsia="ja-JP"/>
              </w:rPr>
            </w:pPr>
            <w:r w:rsidRPr="003D65A7">
              <w:rPr>
                <w:rFonts w:eastAsia="MS Mincho"/>
                <w:sz w:val="20"/>
                <w:szCs w:val="20"/>
                <w:lang w:eastAsia="ja-JP"/>
              </w:rPr>
              <w:t xml:space="preserve">Taking basis on CISPR 11 Ed. 5.1, converting </w:t>
            </w:r>
            <w:r w:rsidRPr="003D65A7">
              <w:rPr>
                <w:rFonts w:eastAsia="MS Mincho"/>
                <w:sz w:val="20"/>
                <w:szCs w:val="20"/>
                <w:lang w:eastAsia="ja-JP"/>
              </w:rPr>
              <w:br/>
              <w:t xml:space="preserve">to values at </w:t>
            </w:r>
            <w:r w:rsidRPr="003D65A7">
              <w:rPr>
                <w:rFonts w:eastAsia="MS Mincho"/>
                <w:sz w:val="20"/>
                <w:szCs w:val="20"/>
                <w:lang w:eastAsia="ja-JP"/>
              </w:rPr>
              <w:br/>
              <w:t xml:space="preserve">10 m distance, linearly decreasing with log (f) from </w:t>
            </w:r>
            <w:r w:rsidRPr="003D65A7">
              <w:rPr>
                <w:rFonts w:eastAsia="MS Mincho"/>
                <w:sz w:val="20"/>
                <w:szCs w:val="20"/>
                <w:lang w:eastAsia="ja-JP"/>
              </w:rPr>
              <w:br/>
              <w:t>39 dBµA/m at 0.15 MHz to</w:t>
            </w:r>
            <w:r w:rsidRPr="003D65A7">
              <w:rPr>
                <w:rFonts w:eastAsia="MS Mincho"/>
                <w:sz w:val="20"/>
                <w:szCs w:val="20"/>
                <w:lang w:eastAsia="ja-JP"/>
              </w:rPr>
              <w:br/>
              <w:t>3 dBµA/m at 30 MHz (1).</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lang w:eastAsia="ja-JP"/>
              </w:rPr>
            </w:pPr>
            <w:r w:rsidRPr="003D65A7">
              <w:rPr>
                <w:rFonts w:eastAsia="MS Mincho"/>
                <w:iCs/>
                <w:sz w:val="20"/>
                <w:szCs w:val="20"/>
                <w:lang w:eastAsia="ja-JP"/>
              </w:rPr>
              <w:t xml:space="preserve">Exception-1: </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right="-57"/>
              <w:textAlignment w:val="baseline"/>
              <w:rPr>
                <w:rFonts w:eastAsia="MS Mincho"/>
                <w:iCs/>
                <w:sz w:val="20"/>
                <w:szCs w:val="20"/>
                <w:lang w:eastAsia="ja-JP"/>
              </w:rPr>
            </w:pPr>
            <w:r w:rsidRPr="003D65A7">
              <w:rPr>
                <w:rFonts w:eastAsia="MS Mincho"/>
                <w:iCs/>
                <w:sz w:val="20"/>
                <w:szCs w:val="20"/>
                <w:lang w:eastAsia="ja-JP"/>
              </w:rPr>
              <w:t>For 158-</w:t>
            </w:r>
            <w:r w:rsidRPr="003D65A7">
              <w:rPr>
                <w:rFonts w:eastAsia="MS Mincho"/>
                <w:iCs/>
                <w:sz w:val="20"/>
                <w:szCs w:val="20"/>
                <w:lang w:eastAsia="ja-JP"/>
              </w:rPr>
              <w:br/>
              <w:t xml:space="preserve">180 kHz, </w:t>
            </w:r>
            <w:r w:rsidRPr="003D65A7">
              <w:rPr>
                <w:rFonts w:eastAsia="MS Mincho"/>
                <w:iCs/>
                <w:sz w:val="20"/>
                <w:szCs w:val="20"/>
                <w:lang w:eastAsia="ja-JP"/>
              </w:rPr>
              <w:br/>
              <w:t>237-270 kHz, 316-360 kHz, and 3 965-</w:t>
            </w:r>
            <w:r w:rsidRPr="003D65A7">
              <w:rPr>
                <w:rFonts w:eastAsia="MS Mincho"/>
                <w:iCs/>
                <w:sz w:val="20"/>
                <w:szCs w:val="20"/>
                <w:lang w:eastAsia="ja-JP"/>
              </w:rPr>
              <w:br/>
              <w:t xml:space="preserve">450 kHz, emission limits is higher than (1) above by </w:t>
            </w:r>
            <w:r w:rsidRPr="003D65A7">
              <w:rPr>
                <w:rFonts w:eastAsia="MS Mincho"/>
                <w:iCs/>
                <w:sz w:val="20"/>
                <w:szCs w:val="20"/>
                <w:lang w:eastAsia="ja-JP"/>
              </w:rPr>
              <w:br/>
              <w:t>10 dB.</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lang w:eastAsia="ja-JP"/>
              </w:rPr>
            </w:pPr>
            <w:r w:rsidRPr="003D65A7">
              <w:rPr>
                <w:rFonts w:eastAsia="MS Mincho"/>
                <w:iCs/>
                <w:sz w:val="20"/>
                <w:szCs w:val="20"/>
                <w:lang w:eastAsia="ja-JP"/>
              </w:rPr>
              <w:t>Exception-2:</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iCs/>
                <w:sz w:val="20"/>
                <w:szCs w:val="20"/>
                <w:lang w:eastAsia="ja-JP"/>
              </w:rPr>
            </w:pPr>
            <w:r w:rsidRPr="003D65A7">
              <w:rPr>
                <w:rFonts w:eastAsia="MS Mincho"/>
                <w:iCs/>
                <w:sz w:val="20"/>
                <w:szCs w:val="20"/>
                <w:lang w:eastAsia="ja-JP"/>
              </w:rPr>
              <w:t>For 526.5-1 606.5 kHz, –</w:t>
            </w:r>
            <w:r w:rsidRPr="003D65A7">
              <w:rPr>
                <w:rFonts w:eastAsia="MS Mincho"/>
                <w:iCs/>
                <w:sz w:val="20"/>
                <w:szCs w:val="20"/>
                <w:lang w:eastAsia="ja-JP"/>
              </w:rPr>
              <w:lastRenderedPageBreak/>
              <w:t>2.0 dBµA/m (quasi-peak)</w:t>
            </w:r>
          </w:p>
        </w:tc>
        <w:tc>
          <w:tcPr>
            <w:tcW w:w="1405" w:type="dxa"/>
            <w:shd w:val="clear" w:color="auto" w:fill="auto"/>
            <w:hideMark/>
          </w:tcPr>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lastRenderedPageBreak/>
              <w:t xml:space="preserve">Taking basis on CISPR 11 Ed. 5.1, </w:t>
            </w:r>
            <w:r w:rsidRPr="003D65A7">
              <w:rPr>
                <w:rFonts w:eastAsia="MS Mincho"/>
                <w:sz w:val="20"/>
                <w:szCs w:val="20"/>
              </w:rPr>
              <w:br/>
              <w:t>the following is applied:</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30-</w:t>
            </w:r>
            <w:r w:rsidRPr="003D65A7">
              <w:rPr>
                <w:rFonts w:eastAsia="MS Mincho"/>
                <w:sz w:val="20"/>
                <w:szCs w:val="20"/>
              </w:rPr>
              <w:br/>
              <w:t>80.872 MHz: 30 dBµV/m;</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80.872-</w:t>
            </w:r>
            <w:r w:rsidRPr="003D65A7">
              <w:rPr>
                <w:rFonts w:eastAsia="MS Mincho"/>
                <w:sz w:val="20"/>
                <w:szCs w:val="20"/>
              </w:rPr>
              <w:br/>
              <w:t xml:space="preserve">81.88 MHz: </w:t>
            </w:r>
            <w:r w:rsidRPr="003D65A7">
              <w:rPr>
                <w:rFonts w:eastAsia="MS Mincho"/>
                <w:sz w:val="20"/>
                <w:szCs w:val="20"/>
              </w:rPr>
              <w:br/>
              <w:t>50 dBµV/m;</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81.88-</w:t>
            </w:r>
            <w:r w:rsidRPr="003D65A7">
              <w:rPr>
                <w:rFonts w:eastAsia="MS Mincho"/>
                <w:sz w:val="20"/>
                <w:szCs w:val="20"/>
              </w:rPr>
              <w:br/>
              <w:t>134.786 MHz: 30 dBµV/m;</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134.786-136.414 MHz: 50 dBµV/m;</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136.414-</w:t>
            </w:r>
            <w:r w:rsidRPr="003D65A7">
              <w:rPr>
                <w:rFonts w:eastAsia="MS Mincho"/>
                <w:sz w:val="20"/>
                <w:szCs w:val="20"/>
              </w:rPr>
              <w:br/>
              <w:t xml:space="preserve">230 MHz: </w:t>
            </w:r>
            <w:r w:rsidRPr="003D65A7">
              <w:rPr>
                <w:rFonts w:eastAsia="MS Mincho"/>
                <w:sz w:val="20"/>
                <w:szCs w:val="20"/>
              </w:rPr>
              <w:br/>
              <w:t>30 dBµV/m;</w:t>
            </w:r>
          </w:p>
          <w:p w:rsidR="005D267F" w:rsidRPr="003D65A7"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230-</w:t>
            </w:r>
            <w:r w:rsidRPr="003D65A7">
              <w:rPr>
                <w:rFonts w:eastAsia="MS Mincho"/>
                <w:sz w:val="20"/>
                <w:szCs w:val="20"/>
              </w:rPr>
              <w:br/>
              <w:t>1 000 MHz: 37 dBµV/m</w:t>
            </w:r>
          </w:p>
        </w:tc>
        <w:tc>
          <w:tcPr>
            <w:tcW w:w="964" w:type="dxa"/>
            <w:shd w:val="clear" w:color="auto" w:fill="auto"/>
            <w:hideMark/>
          </w:tcPr>
          <w:p w:rsidR="005D267F" w:rsidRPr="005D267F" w:rsidRDefault="005D267F" w:rsidP="00AE25F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rPr>
            </w:pPr>
            <w:r w:rsidRPr="003D65A7">
              <w:rPr>
                <w:rFonts w:eastAsia="MS Mincho"/>
                <w:sz w:val="20"/>
                <w:szCs w:val="20"/>
              </w:rPr>
              <w:t>Not specified</w:t>
            </w:r>
          </w:p>
        </w:tc>
      </w:tr>
    </w:tbl>
    <w:p w:rsidR="005D267F" w:rsidRPr="00E734B8" w:rsidRDefault="005D267F" w:rsidP="005D267F">
      <w:pPr>
        <w:rPr>
          <w:rFonts w:eastAsia="MS Mincho"/>
          <w:b/>
          <w:lang w:eastAsia="ja-JP"/>
        </w:rPr>
      </w:pPr>
    </w:p>
    <w:p w:rsidR="005D267F" w:rsidRPr="00E734B8" w:rsidRDefault="005D267F" w:rsidP="005D267F">
      <w:pPr>
        <w:pStyle w:val="Heading2"/>
        <w:rPr>
          <w:rFonts w:ascii="Times New Roman" w:hAnsi="Times New Roman" w:cs="Times New Roman"/>
        </w:rPr>
      </w:pPr>
      <w:bookmarkStart w:id="16" w:name="_Toc494297292"/>
      <w:r w:rsidRPr="00E734B8">
        <w:rPr>
          <w:rFonts w:ascii="Times New Roman" w:hAnsi="Times New Roman" w:cs="Times New Roman"/>
        </w:rPr>
        <w:t>4.3 Korea</w:t>
      </w:r>
      <w:bookmarkEnd w:id="16"/>
    </w:p>
    <w:p w:rsidR="005D267F" w:rsidRDefault="005D267F" w:rsidP="005D267F">
      <w:pPr>
        <w:tabs>
          <w:tab w:val="left" w:pos="1390"/>
          <w:tab w:val="left" w:pos="2268"/>
          <w:tab w:val="left" w:pos="2608"/>
          <w:tab w:val="left" w:pos="3345"/>
        </w:tabs>
        <w:overflowPunct w:val="0"/>
        <w:autoSpaceDE w:val="0"/>
        <w:autoSpaceDN w:val="0"/>
        <w:adjustRightInd w:val="0"/>
        <w:spacing w:before="60"/>
        <w:ind w:firstLineChars="295" w:firstLine="708"/>
        <w:jc w:val="both"/>
        <w:textAlignment w:val="baseline"/>
        <w:rPr>
          <w:rFonts w:eastAsia="Gulim"/>
          <w:lang w:eastAsia="ko-KR"/>
        </w:rPr>
      </w:pPr>
      <w:r w:rsidRPr="00A13678">
        <w:rPr>
          <w:lang w:eastAsia="ja-JP"/>
        </w:rPr>
        <w:t>De</w:t>
      </w:r>
      <w:r>
        <w:rPr>
          <w:lang w:eastAsia="ja-JP"/>
        </w:rPr>
        <w:t xml:space="preserve">termination of frequencies for </w:t>
      </w:r>
      <w:r w:rsidRPr="006508F7">
        <w:rPr>
          <w:lang w:eastAsia="ja-JP"/>
        </w:rPr>
        <w:t xml:space="preserve">WPT systems for </w:t>
      </w:r>
      <w:r>
        <w:rPr>
          <w:lang w:eastAsia="ja-JP"/>
        </w:rPr>
        <w:t xml:space="preserve">heavy-duty </w:t>
      </w:r>
      <w:r w:rsidRPr="006508F7">
        <w:rPr>
          <w:lang w:eastAsia="ja-JP"/>
        </w:rPr>
        <w:t>EVs</w:t>
      </w:r>
      <w:r>
        <w:rPr>
          <w:lang w:eastAsia="ja-JP"/>
        </w:rPr>
        <w:t xml:space="preserve"> is as follows. Candidate frequency ranges for WPT are discussed in </w:t>
      </w:r>
      <w:r w:rsidRPr="003A78CD">
        <w:rPr>
          <w:lang w:eastAsia="ja-JP"/>
        </w:rPr>
        <w:t>IEC TC69, CISPR/B/AHG4, ETSI 330 300</w:t>
      </w:r>
      <w:r>
        <w:rPr>
          <w:lang w:eastAsia="ja-JP"/>
        </w:rPr>
        <w:t>,</w:t>
      </w:r>
      <w:r w:rsidRPr="003A78CD">
        <w:rPr>
          <w:lang w:eastAsia="ja-JP"/>
        </w:rPr>
        <w:t xml:space="preserve"> and ITU-R SG1</w:t>
      </w:r>
      <w:r>
        <w:rPr>
          <w:lang w:eastAsia="ja-JP"/>
        </w:rPr>
        <w:t xml:space="preserve">. </w:t>
      </w:r>
      <w:r w:rsidRPr="00163155">
        <w:rPr>
          <w:rFonts w:eastAsia="Gulim"/>
          <w:lang w:eastAsia="ko-KR"/>
        </w:rPr>
        <w:t>Based on the table</w:t>
      </w:r>
      <w:r>
        <w:rPr>
          <w:rFonts w:eastAsia="Gulim"/>
          <w:lang w:eastAsia="ko-KR"/>
        </w:rPr>
        <w:t xml:space="preserve"> in section 3.1 (CISPR)</w:t>
      </w:r>
      <w:r w:rsidRPr="00163155">
        <w:rPr>
          <w:rFonts w:eastAsia="Gulim"/>
          <w:lang w:eastAsia="ko-KR"/>
        </w:rPr>
        <w:t xml:space="preserve">, Korea </w:t>
      </w:r>
      <w:r>
        <w:rPr>
          <w:rFonts w:eastAsia="Gulim"/>
          <w:lang w:eastAsia="ko-KR"/>
        </w:rPr>
        <w:t>determined</w:t>
      </w:r>
      <w:r w:rsidRPr="00163155">
        <w:rPr>
          <w:rFonts w:eastAsia="Gulim"/>
          <w:lang w:eastAsia="ko-KR"/>
        </w:rPr>
        <w:t xml:space="preserve"> 20 kHz and 60 kHz frequencies as the heavy-duty WPT EV systems (so called OLEV bus), mainly uses 20 kHz. The maximum power is 100 kW. It could be at least higher than 50 kW.</w:t>
      </w:r>
    </w:p>
    <w:p w:rsidR="005D267F" w:rsidRPr="003D65A7" w:rsidRDefault="005D267F" w:rsidP="005D267F">
      <w:pPr>
        <w:rPr>
          <w:b/>
        </w:rPr>
      </w:pPr>
    </w:p>
    <w:p w:rsidR="005D267F" w:rsidRPr="00E734B8" w:rsidRDefault="005D267F" w:rsidP="005D267F">
      <w:pPr>
        <w:pStyle w:val="Heading1"/>
        <w:jc w:val="left"/>
      </w:pPr>
      <w:bookmarkStart w:id="17" w:name="_Toc494297293"/>
      <w:r w:rsidRPr="00E734B8">
        <w:t>5. Frequency Bands Studies for WPT in Some APT Member Countries</w:t>
      </w:r>
      <w:bookmarkEnd w:id="17"/>
    </w:p>
    <w:p w:rsidR="005D267F" w:rsidRPr="003D65A7" w:rsidRDefault="005D267F" w:rsidP="005D267F">
      <w:pPr>
        <w:ind w:firstLine="720"/>
        <w:jc w:val="both"/>
      </w:pPr>
      <w:r w:rsidRPr="003D65A7">
        <w:t xml:space="preserve">As of </w:t>
      </w:r>
      <w:r>
        <w:t>September 25 of 2017,</w:t>
      </w:r>
      <w:r w:rsidRPr="003D65A7">
        <w:t xml:space="preserve"> no ISM-bands have been proposed for the use of WPT for EVs in APT and in ITU-R for regional and/or global harmonized frequency ranges. Therefore, we discuss only Non-ISM bands in this Report.</w:t>
      </w:r>
    </w:p>
    <w:p w:rsidR="005D267F" w:rsidRPr="003D65A7" w:rsidRDefault="005D267F" w:rsidP="005D267F">
      <w:pPr>
        <w:ind w:firstLine="720"/>
        <w:jc w:val="both"/>
        <w:rPr>
          <w:b/>
        </w:rPr>
      </w:pPr>
    </w:p>
    <w:p w:rsidR="005D267F" w:rsidRPr="00E734B8" w:rsidRDefault="005D267F" w:rsidP="005D267F">
      <w:pPr>
        <w:pStyle w:val="Heading2"/>
        <w:rPr>
          <w:rFonts w:ascii="Times New Roman" w:hAnsi="Times New Roman" w:cs="Times New Roman"/>
        </w:rPr>
      </w:pPr>
      <w:bookmarkStart w:id="18" w:name="_Toc494297294"/>
      <w:r w:rsidRPr="00E734B8">
        <w:rPr>
          <w:rFonts w:ascii="Times New Roman" w:hAnsi="Times New Roman" w:cs="Times New Roman"/>
        </w:rPr>
        <w:t>5.1 Light duty (Passenger) electric vehicles</w:t>
      </w:r>
      <w:bookmarkEnd w:id="18"/>
    </w:p>
    <w:p w:rsidR="005D267F" w:rsidRPr="003D65A7" w:rsidRDefault="005D267F" w:rsidP="005D267F">
      <w:pPr>
        <w:ind w:firstLine="720"/>
        <w:jc w:val="both"/>
      </w:pPr>
      <w:r w:rsidRPr="003D65A7">
        <w:t xml:space="preserve">Japan performed an in-depth spectrum study for WPT intended for electric passenger (or light duty) vehicles, where 79 kHz – 90 kHz, 52 kHz – 58 kHz, and 42 kHz-48 kHz were proposed, reviewed, and evaluated to coexist with the incumbent devices and systems in 2012. In addition, 140.91 kHz – 148.5 kHz was added as it was proposed in international standardization bodies. These candidate frequency ranges were selected from 20 kHz – 200 kHz frequency range for WPT for </w:t>
      </w:r>
      <w:r w:rsidRPr="003D65A7">
        <w:rPr>
          <w:rFonts w:eastAsia="MS Mincho"/>
          <w:lang w:eastAsia="ja-JP"/>
        </w:rPr>
        <w:t>EV</w:t>
      </w:r>
      <w:r w:rsidRPr="003D65A7">
        <w:t>s considered at IEC PT61980, ISO 19363, and SAE J2954TF. These frequency ranges have advantages to achieve high energy transmission efficiency in higher power circuit design. Furthermore, less number of incumbent systems were reported globally.</w:t>
      </w:r>
    </w:p>
    <w:p w:rsidR="005D267F" w:rsidRPr="003D65A7" w:rsidRDefault="005D267F" w:rsidP="005D267F">
      <w:pPr>
        <w:ind w:firstLine="720"/>
        <w:jc w:val="both"/>
      </w:pPr>
      <w:r w:rsidRPr="003D65A7">
        <w:t>These bands are not ISM bands and not allowed for the use of ISM type devices and high power-transmission equipment in general. Intensive survey of the current spectrum usage in the world and studies on the impact to the incumbent systems were carried out to narrow down candidate spectrum to the most suitable one(s). F</w:t>
      </w:r>
      <w:r w:rsidRPr="003D65A7">
        <w:rPr>
          <w:rFonts w:eastAsia="MS Mincho"/>
          <w:lang w:eastAsia="ja-JP"/>
        </w:rPr>
        <w:t>igure 5.1</w:t>
      </w:r>
      <w:r w:rsidRPr="003D65A7">
        <w:t xml:space="preserve"> shows global spectrum use of incumbent radiocommunication services and systems. More background provided from Japan can be found in section </w:t>
      </w:r>
      <w:r w:rsidRPr="003D65A7">
        <w:rPr>
          <w:rFonts w:eastAsia="MS Mincho"/>
          <w:lang w:eastAsia="ja-JP"/>
        </w:rPr>
        <w:t>6.1</w:t>
      </w:r>
      <w:r w:rsidRPr="003D65A7">
        <w:t>. The result of studies concluded that 79-90 kHz is the most suitable band for WPT for EVs which demonstrated not causing harmful interference to other radiocommunication systems in both the WPT operation band and other all bands. In the impact studies, Standard-frequency and Time-signal services, Train-radio-control-systems, AM radio broadcast services, and Amateur-radio services were chosen and specifically examined in light of receiver sensitivities, field test, and prescribed operation requirements.</w:t>
      </w:r>
    </w:p>
    <w:p w:rsidR="005D267F" w:rsidRPr="003D65A7" w:rsidRDefault="005D267F" w:rsidP="005D267F">
      <w:pPr>
        <w:ind w:firstLine="720"/>
        <w:jc w:val="both"/>
      </w:pPr>
      <w:r w:rsidRPr="003D65A7">
        <w:t xml:space="preserve">In November 2013, SAE, in which many Asian automobile OEMs participates, announced an agreement on frequency of operation and power classes for “WPT for EV. LIGHT DUTY VEHICLE WPT FREQUENCY 85 kHz BAND: (81.38 – 90.00) kHz” was agreed. </w:t>
      </w:r>
      <w:r>
        <w:t>As of June</w:t>
      </w:r>
      <w:r w:rsidRPr="003D65A7">
        <w:t xml:space="preserve"> 2017</w:t>
      </w:r>
      <w:r>
        <w:t xml:space="preserve">, 79-90 kHz is proposed in ITU-R SG1 WP 1A and 1B. </w:t>
      </w:r>
      <w:r w:rsidRPr="003D65A7">
        <w:t>In IEC 61980 and ISO 19363, same or similar frequency range is assumed as the baseline of the operation band. Detailed frequency range is to be determined with respect to global harmonization demand.</w:t>
      </w:r>
    </w:p>
    <w:p w:rsidR="005D267F" w:rsidRPr="003D65A7" w:rsidRDefault="005D267F" w:rsidP="005D267F">
      <w:pPr>
        <w:ind w:firstLine="720"/>
        <w:jc w:val="both"/>
      </w:pPr>
      <w:r w:rsidRPr="003D65A7">
        <w:t>In March 2016, MIC of Japan issued a new rule (technical conditions) specifying 79-90 kHz for WPT-EV operation for maximum 7.7 kW class.</w:t>
      </w:r>
    </w:p>
    <w:p w:rsidR="005D267F" w:rsidRPr="003D65A7" w:rsidRDefault="005D267F" w:rsidP="005D267F">
      <w:pPr>
        <w:ind w:firstLine="720"/>
        <w:jc w:val="both"/>
        <w:rPr>
          <w:lang w:eastAsia="ja-JP"/>
        </w:rPr>
      </w:pPr>
      <w:r>
        <w:rPr>
          <w:lang w:eastAsia="ja-JP"/>
        </w:rPr>
        <w:t>A</w:t>
      </w:r>
      <w:r w:rsidRPr="000E4EEE">
        <w:rPr>
          <w:lang w:eastAsia="ja-JP"/>
        </w:rPr>
        <w:t xml:space="preserve">s of September 2017, China Electricity Council (CEC) has agreed frequency range selection of 79/81.38-90 kHz. China Communications Standards Association </w:t>
      </w:r>
      <w:r>
        <w:rPr>
          <w:lang w:eastAsia="ja-JP"/>
        </w:rPr>
        <w:t>(</w:t>
      </w:r>
      <w:r w:rsidRPr="000E4EEE">
        <w:rPr>
          <w:lang w:eastAsia="ja-JP"/>
        </w:rPr>
        <w:t>CCSA</w:t>
      </w:r>
      <w:r>
        <w:rPr>
          <w:lang w:eastAsia="ja-JP"/>
        </w:rPr>
        <w:t>)</w:t>
      </w:r>
      <w:r w:rsidRPr="000E4EEE">
        <w:rPr>
          <w:lang w:eastAsia="ja-JP"/>
        </w:rPr>
        <w:t xml:space="preserve"> is conducting sharing and compatibility studies of WPT using 79-90 kHz band with incumbent systems.</w:t>
      </w:r>
    </w:p>
    <w:p w:rsidR="005D267F" w:rsidRPr="003D65A7" w:rsidRDefault="005D267F" w:rsidP="005D267F">
      <w:pPr>
        <w:jc w:val="both"/>
      </w:pPr>
    </w:p>
    <w:p w:rsidR="005D267F" w:rsidRPr="00E734B8" w:rsidRDefault="005D267F" w:rsidP="005D267F">
      <w:pPr>
        <w:pStyle w:val="Heading2"/>
        <w:rPr>
          <w:rFonts w:ascii="Times New Roman" w:hAnsi="Times New Roman" w:cs="Times New Roman"/>
        </w:rPr>
      </w:pPr>
      <w:bookmarkStart w:id="19" w:name="_Toc494297295"/>
      <w:r w:rsidRPr="00E734B8">
        <w:rPr>
          <w:rFonts w:ascii="Times New Roman" w:hAnsi="Times New Roman" w:cs="Times New Roman"/>
        </w:rPr>
        <w:lastRenderedPageBreak/>
        <w:t>5.2 Heavy Duty Electric Vehicles</w:t>
      </w:r>
      <w:bookmarkEnd w:id="19"/>
    </w:p>
    <w:p w:rsidR="005D267F" w:rsidRPr="003D65A7" w:rsidRDefault="005D267F" w:rsidP="005D267F">
      <w:pPr>
        <w:ind w:firstLine="720"/>
        <w:jc w:val="both"/>
        <w:rPr>
          <w:lang w:eastAsia="ja-JP"/>
        </w:rPr>
      </w:pPr>
      <w:r w:rsidRPr="003D65A7">
        <w:rPr>
          <w:lang w:eastAsia="ja-JP"/>
        </w:rPr>
        <w:t>This category refers to use cases of buses and/or trucks which require higher transmission power (e.g., &gt; 22 kW) than Light duty vehicles shown above.</w:t>
      </w:r>
      <w:r>
        <w:rPr>
          <w:lang w:eastAsia="ja-JP"/>
        </w:rPr>
        <w:t xml:space="preserve"> </w:t>
      </w:r>
    </w:p>
    <w:p w:rsidR="005D267F" w:rsidRPr="003D65A7" w:rsidRDefault="005D267F" w:rsidP="005D267F">
      <w:pPr>
        <w:ind w:firstLine="720"/>
        <w:jc w:val="both"/>
        <w:rPr>
          <w:lang w:eastAsia="ja-JP"/>
        </w:rPr>
      </w:pPr>
      <w:r w:rsidRPr="003D65A7">
        <w:rPr>
          <w:lang w:eastAsia="ja-JP"/>
        </w:rPr>
        <w:t>China</w:t>
      </w:r>
      <w:r w:rsidRPr="00120F37">
        <w:rPr>
          <w:lang w:eastAsia="ja-JP"/>
        </w:rPr>
        <w:t xml:space="preserve"> has not allocated dedicated spectrum for wireless EV charging. Chinese industry is using multiple frequencies that are generally lower than 100 kHz in the developments and trials.</w:t>
      </w:r>
      <w:r w:rsidRPr="00A13678">
        <w:rPr>
          <w:i/>
          <w:lang w:eastAsia="ja-JP"/>
        </w:rPr>
        <w:t xml:space="preserve"> </w:t>
      </w:r>
    </w:p>
    <w:p w:rsidR="005D267F" w:rsidRPr="003D65A7" w:rsidRDefault="005D267F" w:rsidP="005D267F">
      <w:pPr>
        <w:ind w:firstLine="720"/>
        <w:jc w:val="both"/>
        <w:rPr>
          <w:lang w:eastAsia="ja-JP"/>
        </w:rPr>
      </w:pPr>
      <w:r w:rsidRPr="003D65A7">
        <w:rPr>
          <w:lang w:eastAsia="ja-JP"/>
        </w:rPr>
        <w:t>In Korea, both WPT modes on driving and stopping have been developed by OLEV (OnLine EV) and are now in commercial stage. In May 2011, Korea government allocated the frequencies for OLEV to 20 kHz (19 kHz - 21 kHz) and 60 kHz (59 kHz - 61 kHz). Theses frequencies can be used for any type of vehicle whether it is heavy duty or light duty vehicle in Korea. However, it needs to harmonize the frequency band between Korea and Japan, China as well.</w:t>
      </w:r>
    </w:p>
    <w:p w:rsidR="005D267F" w:rsidRPr="003D65A7" w:rsidRDefault="005D267F" w:rsidP="005D267F">
      <w:pPr>
        <w:ind w:firstLine="720"/>
        <w:jc w:val="both"/>
        <w:rPr>
          <w:lang w:eastAsia="ja-JP"/>
        </w:rPr>
      </w:pPr>
      <w:r w:rsidRPr="003D65A7">
        <w:rPr>
          <w:lang w:eastAsia="ja-JP"/>
        </w:rPr>
        <w:t>Table 5.1 below summarize</w:t>
      </w:r>
      <w:r w:rsidRPr="003D65A7">
        <w:rPr>
          <w:rFonts w:eastAsia="MS Mincho"/>
          <w:lang w:eastAsia="ja-JP"/>
        </w:rPr>
        <w:t>s</w:t>
      </w:r>
      <w:r w:rsidRPr="003D65A7">
        <w:rPr>
          <w:lang w:eastAsia="ja-JP"/>
        </w:rPr>
        <w:t xml:space="preserve"> Non-ISM spectrum considered for WPT applications in the CJK countries. The tables contain various parameters and characteristics including candidate frequency ranges and key power transmission parameters for target applications. In addition, concerned incumbent systems are also shown. Coexistence studies should be performed against their operating conditions before a frequency range is </w:t>
      </w:r>
      <w:r>
        <w:rPr>
          <w:lang w:eastAsia="ja-JP"/>
        </w:rPr>
        <w:t>designat</w:t>
      </w:r>
      <w:r w:rsidRPr="003D65A7">
        <w:rPr>
          <w:lang w:eastAsia="ja-JP"/>
        </w:rPr>
        <w:t>ed.</w:t>
      </w:r>
    </w:p>
    <w:p w:rsidR="005D267F" w:rsidRDefault="005D267F" w:rsidP="005D267F">
      <w:pPr>
        <w:spacing w:before="120"/>
        <w:jc w:val="center"/>
        <w:rPr>
          <w:rFonts w:eastAsia="MS Mincho"/>
          <w:lang w:eastAsia="ja-JP"/>
        </w:rPr>
      </w:pPr>
    </w:p>
    <w:p w:rsidR="005D267F" w:rsidRDefault="00105ECB" w:rsidP="005D267F">
      <w:pPr>
        <w:spacing w:before="120"/>
        <w:jc w:val="center"/>
        <w:rPr>
          <w:rFonts w:eastAsia="MS Mincho"/>
          <w:lang w:eastAsia="ja-JP"/>
        </w:rPr>
      </w:pPr>
      <w:r>
        <w:rPr>
          <w:noProof/>
        </w:rPr>
        <w:lastRenderedPageBreak/>
        <mc:AlternateContent>
          <mc:Choice Requires="wpg">
            <w:drawing>
              <wp:inline distT="0" distB="0" distL="0" distR="0">
                <wp:extent cx="5686425" cy="6687820"/>
                <wp:effectExtent l="0" t="0" r="9525" b="36830"/>
                <wp:docPr id="251" name="Group 13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6425" cy="6687820"/>
                          <a:chOff x="0" y="0"/>
                          <a:chExt cx="5686486" cy="6687639"/>
                        </a:xfrm>
                      </wpg:grpSpPr>
                      <wps:wsp>
                        <wps:cNvPr id="252" name="Straight Arrow Connector 252">
                          <a:extLst/>
                        </wps:cNvPr>
                        <wps:cNvCnPr>
                          <a:cxnSpLocks/>
                        </wps:cNvCnPr>
                        <wps:spPr>
                          <a:xfrm>
                            <a:off x="915358" y="237601"/>
                            <a:ext cx="0" cy="6450038"/>
                          </a:xfrm>
                          <a:prstGeom prst="straightConnector1">
                            <a:avLst/>
                          </a:prstGeom>
                          <a:noFill/>
                          <a:ln w="22225" cap="flat" cmpd="sng" algn="ctr">
                            <a:solidFill>
                              <a:srgbClr val="4F81BD">
                                <a:shade val="95000"/>
                                <a:satMod val="105000"/>
                              </a:srgbClr>
                            </a:solidFill>
                            <a:prstDash val="solid"/>
                            <a:tailEnd type="triangle"/>
                          </a:ln>
                          <a:effectLst/>
                        </wps:spPr>
                        <wps:bodyPr/>
                      </wps:wsp>
                      <wps:wsp>
                        <wps:cNvPr id="253" name="Straight Connector 253">
                          <a:extLst/>
                        </wps:cNvPr>
                        <wps:cNvCnPr/>
                        <wps:spPr>
                          <a:xfrm>
                            <a:off x="777390" y="2421254"/>
                            <a:ext cx="266239" cy="699"/>
                          </a:xfrm>
                          <a:prstGeom prst="line">
                            <a:avLst/>
                          </a:prstGeom>
                          <a:noFill/>
                          <a:ln w="9525" cap="flat" cmpd="sng" algn="ctr">
                            <a:solidFill>
                              <a:srgbClr val="4F81BD">
                                <a:shade val="95000"/>
                                <a:satMod val="105000"/>
                              </a:srgbClr>
                            </a:solidFill>
                            <a:prstDash val="solid"/>
                          </a:ln>
                          <a:effectLst/>
                        </wps:spPr>
                        <wps:bodyPr/>
                      </wps:wsp>
                      <wps:wsp>
                        <wps:cNvPr id="254" name="Straight Connector 254">
                          <a:extLst/>
                        </wps:cNvPr>
                        <wps:cNvCnPr/>
                        <wps:spPr>
                          <a:xfrm>
                            <a:off x="764585" y="1415035"/>
                            <a:ext cx="266239" cy="699"/>
                          </a:xfrm>
                          <a:prstGeom prst="line">
                            <a:avLst/>
                          </a:prstGeom>
                          <a:noFill/>
                          <a:ln w="9525" cap="flat" cmpd="sng" algn="ctr">
                            <a:solidFill>
                              <a:srgbClr val="4F81BD">
                                <a:shade val="95000"/>
                                <a:satMod val="105000"/>
                              </a:srgbClr>
                            </a:solidFill>
                            <a:prstDash val="solid"/>
                          </a:ln>
                          <a:effectLst/>
                        </wps:spPr>
                        <wps:bodyPr/>
                      </wps:wsp>
                      <wps:wsp>
                        <wps:cNvPr id="255" name="Straight Connector 255">
                          <a:extLst/>
                        </wps:cNvPr>
                        <wps:cNvCnPr/>
                        <wps:spPr>
                          <a:xfrm>
                            <a:off x="764586" y="903766"/>
                            <a:ext cx="266239" cy="699"/>
                          </a:xfrm>
                          <a:prstGeom prst="line">
                            <a:avLst/>
                          </a:prstGeom>
                          <a:noFill/>
                          <a:ln w="9525" cap="flat" cmpd="sng" algn="ctr">
                            <a:solidFill>
                              <a:srgbClr val="4F81BD">
                                <a:shade val="95000"/>
                                <a:satMod val="105000"/>
                              </a:srgbClr>
                            </a:solidFill>
                            <a:prstDash val="solid"/>
                          </a:ln>
                          <a:effectLst/>
                        </wps:spPr>
                        <wps:bodyPr/>
                      </wps:wsp>
                      <wps:wsp>
                        <wps:cNvPr id="32" name="Straight Connector 32">
                          <a:extLst/>
                        </wps:cNvPr>
                        <wps:cNvCnPr/>
                        <wps:spPr>
                          <a:xfrm>
                            <a:off x="777390" y="392497"/>
                            <a:ext cx="266239" cy="699"/>
                          </a:xfrm>
                          <a:prstGeom prst="line">
                            <a:avLst/>
                          </a:prstGeom>
                          <a:noFill/>
                          <a:ln w="9525" cap="flat" cmpd="sng" algn="ctr">
                            <a:solidFill>
                              <a:srgbClr val="4F81BD">
                                <a:shade val="95000"/>
                                <a:satMod val="105000"/>
                              </a:srgbClr>
                            </a:solidFill>
                            <a:prstDash val="solid"/>
                          </a:ln>
                          <a:effectLst/>
                        </wps:spPr>
                        <wps:bodyPr/>
                      </wps:wsp>
                      <wps:wsp>
                        <wps:cNvPr id="33" name="Straight Connector 33">
                          <a:extLst/>
                        </wps:cNvPr>
                        <wps:cNvCnPr/>
                        <wps:spPr>
                          <a:xfrm>
                            <a:off x="764585" y="1918144"/>
                            <a:ext cx="266239" cy="699"/>
                          </a:xfrm>
                          <a:prstGeom prst="line">
                            <a:avLst/>
                          </a:prstGeom>
                          <a:noFill/>
                          <a:ln w="9525" cap="flat" cmpd="sng" algn="ctr">
                            <a:solidFill>
                              <a:srgbClr val="4F81BD">
                                <a:shade val="95000"/>
                                <a:satMod val="105000"/>
                              </a:srgbClr>
                            </a:solidFill>
                            <a:prstDash val="solid"/>
                          </a:ln>
                          <a:effectLst/>
                        </wps:spPr>
                        <wps:bodyPr/>
                      </wps:wsp>
                      <wps:wsp>
                        <wps:cNvPr id="34" name="TextBox 44">
                          <a:extLst/>
                        </wps:cNvPr>
                        <wps:cNvSpPr txBox="1"/>
                        <wps:spPr>
                          <a:xfrm>
                            <a:off x="397165" y="284911"/>
                            <a:ext cx="298450" cy="230505"/>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20</w:t>
                              </w:r>
                            </w:p>
                          </w:txbxContent>
                        </wps:txbx>
                        <wps:bodyPr wrap="none" rtlCol="0">
                          <a:spAutoFit/>
                        </wps:bodyPr>
                      </wps:wsp>
                      <wps:wsp>
                        <wps:cNvPr id="35" name="TextBox 45">
                          <a:extLst/>
                        </wps:cNvPr>
                        <wps:cNvSpPr txBox="1"/>
                        <wps:spPr>
                          <a:xfrm>
                            <a:off x="235552" y="2303522"/>
                            <a:ext cx="356870" cy="231140"/>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100</w:t>
                              </w:r>
                            </w:p>
                          </w:txbxContent>
                        </wps:txbx>
                        <wps:bodyPr wrap="none" rtlCol="0">
                          <a:spAutoFit/>
                        </wps:bodyPr>
                      </wps:wsp>
                      <wps:wsp>
                        <wps:cNvPr id="36" name="TextBox 46">
                          <a:extLst/>
                        </wps:cNvPr>
                        <wps:cNvSpPr txBox="1"/>
                        <wps:spPr>
                          <a:xfrm>
                            <a:off x="397173" y="1813410"/>
                            <a:ext cx="299085" cy="231140"/>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80</w:t>
                              </w:r>
                            </w:p>
                          </w:txbxContent>
                        </wps:txbx>
                        <wps:bodyPr wrap="none" rtlCol="0">
                          <a:spAutoFit/>
                        </wps:bodyPr>
                      </wps:wsp>
                      <wps:wsp>
                        <wps:cNvPr id="37" name="TextBox 47">
                          <a:extLst/>
                        </wps:cNvPr>
                        <wps:cNvSpPr txBox="1"/>
                        <wps:spPr>
                          <a:xfrm>
                            <a:off x="400953" y="1294334"/>
                            <a:ext cx="299085" cy="231140"/>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60</w:t>
                              </w:r>
                            </w:p>
                          </w:txbxContent>
                        </wps:txbx>
                        <wps:bodyPr wrap="none" rtlCol="0">
                          <a:spAutoFit/>
                        </wps:bodyPr>
                      </wps:wsp>
                      <wps:wsp>
                        <wps:cNvPr id="38" name="TextBox 48">
                          <a:extLst/>
                        </wps:cNvPr>
                        <wps:cNvSpPr txBox="1"/>
                        <wps:spPr>
                          <a:xfrm>
                            <a:off x="409200" y="791958"/>
                            <a:ext cx="299085" cy="231140"/>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40</w:t>
                              </w:r>
                            </w:p>
                          </w:txbxContent>
                        </wps:txbx>
                        <wps:bodyPr wrap="none" rtlCol="0">
                          <a:spAutoFit/>
                        </wps:bodyPr>
                      </wps:wsp>
                      <wps:wsp>
                        <wps:cNvPr id="39" name="TextBox 49">
                          <a:extLst/>
                        </wps:cNvPr>
                        <wps:cNvSpPr txBox="1"/>
                        <wps:spPr>
                          <a:xfrm>
                            <a:off x="1377375" y="309330"/>
                            <a:ext cx="3990975" cy="2311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19.95-20.05 kHz (20kHz, Global): Std freq and time signal (Note 1)</w:t>
                              </w:r>
                            </w:p>
                          </w:txbxContent>
                        </wps:txbx>
                        <wps:bodyPr wrap="square" rtlCol="0">
                          <a:spAutoFit/>
                        </wps:bodyPr>
                      </wps:wsp>
                      <wps:wsp>
                        <wps:cNvPr id="40" name="TextBox 50">
                          <a:extLst/>
                        </wps:cNvPr>
                        <wps:cNvSpPr txBox="1"/>
                        <wps:spPr>
                          <a:xfrm>
                            <a:off x="1386192" y="797670"/>
                            <a:ext cx="3982085" cy="2311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39 -41 kHz (40kHz, Japan): Std freq and time signal (Note 1)</w:t>
                              </w:r>
                            </w:p>
                          </w:txbxContent>
                        </wps:txbx>
                        <wps:bodyPr wrap="square" rtlCol="0">
                          <a:spAutoFit/>
                        </wps:bodyPr>
                      </wps:wsp>
                      <wps:wsp>
                        <wps:cNvPr id="41" name="TextBox 51">
                          <a:extLst/>
                        </wps:cNvPr>
                        <wps:cNvSpPr txBox="1"/>
                        <wps:spPr>
                          <a:xfrm>
                            <a:off x="1386191" y="1032040"/>
                            <a:ext cx="3982085" cy="2311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49.25 -50.75 kHz (50kHz, Russia): Std freq and time signal (Note1)</w:t>
                              </w:r>
                            </w:p>
                          </w:txbxContent>
                        </wps:txbx>
                        <wps:bodyPr wrap="square" rtlCol="0">
                          <a:spAutoFit/>
                        </wps:bodyPr>
                      </wps:wsp>
                      <wps:wsp>
                        <wps:cNvPr id="42" name="TextBox 52">
                          <a:extLst/>
                        </wps:cNvPr>
                        <wps:cNvSpPr txBox="1"/>
                        <wps:spPr>
                          <a:xfrm>
                            <a:off x="1386192" y="1317372"/>
                            <a:ext cx="3990975" cy="1930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59 -61 kHz (60kHz, Japan, UK, USA): Std freq and time signal (Note 1)</w:t>
                              </w:r>
                            </w:p>
                          </w:txbxContent>
                        </wps:txbx>
                        <wps:bodyPr wrap="square" rtlCol="0">
                          <a:spAutoFit/>
                        </wps:bodyPr>
                      </wps:wsp>
                      <wps:wsp>
                        <wps:cNvPr id="43" name="TextBox 53">
                          <a:extLst/>
                        </wps:cNvPr>
                        <wps:cNvSpPr txBox="1"/>
                        <wps:spPr>
                          <a:xfrm>
                            <a:off x="1386192" y="1444410"/>
                            <a:ext cx="3982085" cy="1930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65.85 -67.35 kHz (66.6kHz, Russia): Std freq and time signal (Note 1)</w:t>
                              </w:r>
                            </w:p>
                          </w:txbxContent>
                        </wps:txbx>
                        <wps:bodyPr wrap="square" rtlCol="0">
                          <a:spAutoFit/>
                        </wps:bodyPr>
                      </wps:wsp>
                      <wps:wsp>
                        <wps:cNvPr id="44" name="TextBox 54">
                          <a:extLst/>
                        </wps:cNvPr>
                        <wps:cNvSpPr txBox="1"/>
                        <wps:spPr>
                          <a:xfrm>
                            <a:off x="1386327" y="1583787"/>
                            <a:ext cx="3990975" cy="1930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68.25 -68.75 kHz (68.5kHz, China): Std freq and time signal (Note 1)</w:t>
                              </w:r>
                            </w:p>
                          </w:txbxContent>
                        </wps:txbx>
                        <wps:bodyPr wrap="square" rtlCol="0">
                          <a:spAutoFit/>
                        </wps:bodyPr>
                      </wps:wsp>
                      <wps:wsp>
                        <wps:cNvPr id="45" name="TextBox 55">
                          <a:extLst/>
                        </wps:cNvPr>
                        <wps:cNvSpPr txBox="1"/>
                        <wps:spPr>
                          <a:xfrm>
                            <a:off x="1377377" y="1732728"/>
                            <a:ext cx="3990975" cy="1930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77.25 -77.75 kHz (77.5 kHz, Germany): Std freq and time signal (Note1)</w:t>
                              </w:r>
                            </w:p>
                          </w:txbxContent>
                        </wps:txbx>
                        <wps:bodyPr wrap="square" rtlCol="0">
                          <a:spAutoFit/>
                        </wps:bodyPr>
                      </wps:wsp>
                      <wps:wsp>
                        <wps:cNvPr id="46" name="Straight Connector 46">
                          <a:extLst/>
                        </wps:cNvPr>
                        <wps:cNvCnPr/>
                        <wps:spPr>
                          <a:xfrm>
                            <a:off x="762033" y="3426773"/>
                            <a:ext cx="266239" cy="699"/>
                          </a:xfrm>
                          <a:prstGeom prst="line">
                            <a:avLst/>
                          </a:prstGeom>
                          <a:noFill/>
                          <a:ln w="9525" cap="flat" cmpd="sng" algn="ctr">
                            <a:solidFill>
                              <a:srgbClr val="4F81BD">
                                <a:shade val="95000"/>
                                <a:satMod val="105000"/>
                              </a:srgbClr>
                            </a:solidFill>
                            <a:prstDash val="solid"/>
                          </a:ln>
                          <a:effectLst/>
                        </wps:spPr>
                        <wps:bodyPr/>
                      </wps:wsp>
                      <wps:wsp>
                        <wps:cNvPr id="47" name="TextBox 57">
                          <a:extLst/>
                        </wps:cNvPr>
                        <wps:cNvSpPr txBox="1"/>
                        <wps:spPr>
                          <a:xfrm>
                            <a:off x="317866" y="3314979"/>
                            <a:ext cx="356870" cy="231140"/>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140</w:t>
                              </w:r>
                            </w:p>
                          </w:txbxContent>
                        </wps:txbx>
                        <wps:bodyPr wrap="none" rtlCol="0">
                          <a:spAutoFit/>
                        </wps:bodyPr>
                      </wps:wsp>
                      <wps:wsp>
                        <wps:cNvPr id="5" name="Straight Connector 48">
                          <a:extLst/>
                        </wps:cNvPr>
                        <wps:cNvCnPr/>
                        <wps:spPr>
                          <a:xfrm>
                            <a:off x="764585" y="2924363"/>
                            <a:ext cx="266239" cy="699"/>
                          </a:xfrm>
                          <a:prstGeom prst="line">
                            <a:avLst/>
                          </a:prstGeom>
                          <a:noFill/>
                          <a:ln w="9525" cap="flat" cmpd="sng" algn="ctr">
                            <a:solidFill>
                              <a:srgbClr val="4F81BD">
                                <a:shade val="95000"/>
                                <a:satMod val="105000"/>
                              </a:srgbClr>
                            </a:solidFill>
                            <a:prstDash val="solid"/>
                          </a:ln>
                          <a:effectLst/>
                        </wps:spPr>
                        <wps:bodyPr/>
                      </wps:wsp>
                      <wps:wsp>
                        <wps:cNvPr id="6" name="TextBox 59">
                          <a:extLst/>
                        </wps:cNvPr>
                        <wps:cNvSpPr txBox="1"/>
                        <wps:spPr>
                          <a:xfrm>
                            <a:off x="314134" y="2796637"/>
                            <a:ext cx="356870" cy="231140"/>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120</w:t>
                              </w:r>
                            </w:p>
                          </w:txbxContent>
                        </wps:txbx>
                        <wps:bodyPr wrap="none" rtlCol="0">
                          <a:spAutoFit/>
                        </wps:bodyPr>
                      </wps:wsp>
                      <wps:wsp>
                        <wps:cNvPr id="7" name="Straight Connector 50">
                          <a:extLst/>
                        </wps:cNvPr>
                        <wps:cNvCnPr/>
                        <wps:spPr>
                          <a:xfrm>
                            <a:off x="776612" y="3916918"/>
                            <a:ext cx="266239" cy="699"/>
                          </a:xfrm>
                          <a:prstGeom prst="line">
                            <a:avLst/>
                          </a:prstGeom>
                          <a:noFill/>
                          <a:ln w="9525" cap="flat" cmpd="sng" algn="ctr">
                            <a:solidFill>
                              <a:srgbClr val="4F81BD">
                                <a:shade val="95000"/>
                                <a:satMod val="105000"/>
                              </a:srgbClr>
                            </a:solidFill>
                            <a:prstDash val="solid"/>
                          </a:ln>
                          <a:effectLst/>
                        </wps:spPr>
                        <wps:bodyPr/>
                      </wps:wsp>
                      <wps:wsp>
                        <wps:cNvPr id="8" name="TextBox 61">
                          <a:extLst/>
                        </wps:cNvPr>
                        <wps:cNvSpPr txBox="1"/>
                        <wps:spPr>
                          <a:xfrm>
                            <a:off x="315000" y="3793224"/>
                            <a:ext cx="356870" cy="231140"/>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160</w:t>
                              </w:r>
                            </w:p>
                          </w:txbxContent>
                        </wps:txbx>
                        <wps:bodyPr wrap="none" rtlCol="0">
                          <a:spAutoFit/>
                        </wps:bodyPr>
                      </wps:wsp>
                      <wps:wsp>
                        <wps:cNvPr id="9" name="TextBox 64">
                          <a:extLst/>
                        </wps:cNvPr>
                        <wps:cNvSpPr txBox="1"/>
                        <wps:spPr>
                          <a:xfrm>
                            <a:off x="1589628" y="3004039"/>
                            <a:ext cx="4022725" cy="193040"/>
                          </a:xfrm>
                          <a:prstGeom prst="rect">
                            <a:avLst/>
                          </a:prstGeom>
                          <a:solidFill>
                            <a:sysClr val="window" lastClr="FFFFFF">
                              <a:lumMod val="95000"/>
                            </a:sysClr>
                          </a:solidFill>
                          <a:ln>
                            <a:solidFill>
                              <a:srgbClr val="4F81BD"/>
                            </a:solidFill>
                          </a:ln>
                        </wps:spPr>
                        <wps:txbx>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128.6 – 129.6 kHz (129.1 kHz, Europe): Radio Ripple Control (Note 3)</w:t>
                              </w:r>
                            </w:p>
                          </w:txbxContent>
                        </wps:txbx>
                        <wps:bodyPr wrap="square" rtlCol="0">
                          <a:spAutoFit/>
                        </wps:bodyPr>
                      </wps:wsp>
                      <wps:wsp>
                        <wps:cNvPr id="10" name="TextBox 66">
                          <a:extLst/>
                        </wps:cNvPr>
                        <wps:cNvSpPr txBox="1"/>
                        <wps:spPr>
                          <a:xfrm>
                            <a:off x="1476716" y="3172318"/>
                            <a:ext cx="2145665" cy="193040"/>
                          </a:xfrm>
                          <a:prstGeom prst="rect">
                            <a:avLst/>
                          </a:prstGeom>
                          <a:solidFill>
                            <a:srgbClr val="F79646">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135.7 – 137.8 kHz: Amateur radio (Note 4)</w:t>
                              </w:r>
                            </w:p>
                          </w:txbxContent>
                        </wps:txbx>
                        <wps:bodyPr wrap="none" rtlCol="0">
                          <a:spAutoFit/>
                        </wps:bodyPr>
                      </wps:wsp>
                      <wps:wsp>
                        <wps:cNvPr id="11" name="TextBox 67">
                          <a:extLst/>
                        </wps:cNvPr>
                        <wps:cNvSpPr txBox="1"/>
                        <wps:spPr>
                          <a:xfrm>
                            <a:off x="1725813" y="2149992"/>
                            <a:ext cx="2849880" cy="231140"/>
                          </a:xfrm>
                          <a:prstGeom prst="rect">
                            <a:avLst/>
                          </a:prstGeom>
                          <a:solidFill>
                            <a:srgbClr val="4F81BD">
                              <a:lumMod val="60000"/>
                              <a:lumOff val="4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it-IT"/>
                                </w:rPr>
                                <w:t>90 – 110 kHz : Maritime radio (LORAN-C)   (Note 2)</w:t>
                              </w:r>
                            </w:p>
                          </w:txbxContent>
                        </wps:txbx>
                        <wps:bodyPr wrap="square" rtlCol="0">
                          <a:spAutoFit/>
                        </wps:bodyPr>
                      </wps:wsp>
                      <wps:wsp>
                        <wps:cNvPr id="12" name="TextBox 68">
                          <a:extLst/>
                        </wps:cNvPr>
                        <wps:cNvSpPr txBox="1"/>
                        <wps:spPr>
                          <a:xfrm>
                            <a:off x="1377375" y="2369562"/>
                            <a:ext cx="3982085" cy="1930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99.75 - 102.5 kHz (100 kHz, China): Std freq and time signal (Notes 1)</w:t>
                              </w:r>
                            </w:p>
                          </w:txbxContent>
                        </wps:txbx>
                        <wps:bodyPr wrap="square" rtlCol="0">
                          <a:spAutoFit/>
                        </wps:bodyPr>
                      </wps:wsp>
                      <wps:wsp>
                        <wps:cNvPr id="13" name="TextBox 69">
                          <a:extLst/>
                        </wps:cNvPr>
                        <wps:cNvSpPr txBox="1"/>
                        <wps:spPr>
                          <a:xfrm>
                            <a:off x="3792782" y="3658575"/>
                            <a:ext cx="1893570" cy="762700"/>
                          </a:xfrm>
                          <a:prstGeom prst="rect">
                            <a:avLst/>
                          </a:prstGeom>
                          <a:solidFill>
                            <a:srgbClr val="C0504D">
                              <a:lumMod val="40000"/>
                              <a:lumOff val="60000"/>
                            </a:srgbClr>
                          </a:solidFill>
                          <a:ln>
                            <a:solidFill>
                              <a:srgbClr val="4F81BD"/>
                            </a:solidFill>
                          </a:ln>
                        </wps:spPr>
                        <wps:txbx>
                          <w:txbxContent>
                            <w:p w:rsidR="005D267F" w:rsidRPr="005D267F" w:rsidRDefault="005D267F" w:rsidP="005D267F">
                              <w:pPr>
                                <w:pStyle w:val="NormalWeb"/>
                                <w:spacing w:before="0" w:beforeAutospacing="0" w:after="0" w:afterAutospacing="0"/>
                                <w:rPr>
                                  <w:rFonts w:ascii="Calibri" w:hAnsi="Calibri" w:cs="Times New Roman"/>
                                  <w:color w:val="000000"/>
                                  <w:kern w:val="24"/>
                                  <w:sz w:val="16"/>
                                  <w:szCs w:val="16"/>
                                </w:rPr>
                              </w:pPr>
                            </w:p>
                            <w:p w:rsidR="005D267F" w:rsidRPr="005D267F" w:rsidRDefault="005D267F" w:rsidP="005D267F">
                              <w:pPr>
                                <w:pStyle w:val="NormalWeb"/>
                                <w:spacing w:before="0" w:beforeAutospacing="0" w:after="0" w:afterAutospacing="0"/>
                                <w:rPr>
                                  <w:rFonts w:ascii="Calibri" w:hAnsi="Calibri" w:cs="Times New Roman"/>
                                  <w:color w:val="000000"/>
                                  <w:kern w:val="24"/>
                                  <w:sz w:val="16"/>
                                  <w:szCs w:val="16"/>
                                </w:rPr>
                              </w:pPr>
                            </w:p>
                            <w:p w:rsidR="005D267F" w:rsidRPr="005D267F" w:rsidRDefault="005D267F" w:rsidP="005D267F">
                              <w:pPr>
                                <w:pStyle w:val="NormalWeb"/>
                                <w:spacing w:before="0" w:beforeAutospacing="0" w:after="0" w:afterAutospacing="0"/>
                                <w:rPr>
                                  <w:rFonts w:ascii="Calibri" w:hAnsi="Calibri" w:cs="Times New Roman"/>
                                  <w:color w:val="000000"/>
                                  <w:kern w:val="24"/>
                                  <w:sz w:val="16"/>
                                  <w:szCs w:val="16"/>
                                </w:rPr>
                              </w:pPr>
                            </w:p>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148.5 – 283.5 kHz (Region 1): AM broadcast services (Note 5)</w:t>
                              </w:r>
                            </w:p>
                          </w:txbxContent>
                        </wps:txbx>
                        <wps:bodyPr wrap="square" rtlCol="0">
                          <a:noAutofit/>
                        </wps:bodyPr>
                      </wps:wsp>
                      <wps:wsp>
                        <wps:cNvPr id="14" name="TextBox 70">
                          <a:extLst/>
                        </wps:cNvPr>
                        <wps:cNvSpPr txBox="1"/>
                        <wps:spPr>
                          <a:xfrm>
                            <a:off x="1386195" y="3827947"/>
                            <a:ext cx="3982085" cy="231140"/>
                          </a:xfrm>
                          <a:prstGeom prst="rect">
                            <a:avLst/>
                          </a:prstGeom>
                          <a:solidFill>
                            <a:srgbClr val="4F81BD">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157.5 – 166.5 kHz (162 kHz, France): Std freq and time signal (Note 1)</w:t>
                              </w:r>
                            </w:p>
                          </w:txbxContent>
                        </wps:txbx>
                        <wps:bodyPr wrap="square" rtlCol="0">
                          <a:spAutoFit/>
                        </wps:bodyPr>
                      </wps:wsp>
                      <wps:wsp>
                        <wps:cNvPr id="15" name="TextBox 73">
                          <a:extLst/>
                        </wps:cNvPr>
                        <wps:cNvSpPr txBox="1"/>
                        <wps:spPr>
                          <a:xfrm>
                            <a:off x="2076728" y="6367698"/>
                            <a:ext cx="3609758" cy="230832"/>
                          </a:xfrm>
                          <a:prstGeom prst="rect">
                            <a:avLst/>
                          </a:prstGeom>
                          <a:solidFill>
                            <a:srgbClr val="C0504D">
                              <a:lumMod val="40000"/>
                              <a:lumOff val="6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de-DE"/>
                                </w:rPr>
                                <w:t>1605.5 – 1705 kHz (Region 2): AM broadcast services (Note 5)</w:t>
                              </w:r>
                            </w:p>
                          </w:txbxContent>
                        </wps:txbx>
                        <wps:bodyPr wrap="square" rtlCol="0">
                          <a:spAutoFit/>
                        </wps:bodyPr>
                      </wps:wsp>
                      <wps:wsp>
                        <wps:cNvPr id="16" name="TextBox 79">
                          <a:extLst/>
                        </wps:cNvPr>
                        <wps:cNvSpPr txBox="1"/>
                        <wps:spPr>
                          <a:xfrm>
                            <a:off x="246389" y="4872042"/>
                            <a:ext cx="357790" cy="230832"/>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400</w:t>
                              </w:r>
                            </w:p>
                          </w:txbxContent>
                        </wps:txbx>
                        <wps:bodyPr wrap="none" rtlCol="0">
                          <a:spAutoFit/>
                        </wps:bodyPr>
                      </wps:wsp>
                      <wps:wsp>
                        <wps:cNvPr id="17" name="TextBox 80">
                          <a:extLst/>
                        </wps:cNvPr>
                        <wps:cNvSpPr txBox="1"/>
                        <wps:spPr>
                          <a:xfrm>
                            <a:off x="234747" y="4230315"/>
                            <a:ext cx="357790" cy="230832"/>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300</w:t>
                              </w:r>
                            </w:p>
                          </w:txbxContent>
                        </wps:txbx>
                        <wps:bodyPr wrap="none" rtlCol="0">
                          <a:spAutoFit/>
                        </wps:bodyPr>
                      </wps:wsp>
                      <wps:wsp>
                        <wps:cNvPr id="18" name="TextBox 82">
                          <a:extLst/>
                        </wps:cNvPr>
                        <wps:cNvSpPr txBox="1"/>
                        <wps:spPr>
                          <a:xfrm>
                            <a:off x="249706" y="5520598"/>
                            <a:ext cx="357790" cy="230832"/>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500</w:t>
                              </w:r>
                            </w:p>
                          </w:txbxContent>
                        </wps:txbx>
                        <wps:bodyPr wrap="none" rtlCol="0">
                          <a:spAutoFit/>
                        </wps:bodyPr>
                      </wps:wsp>
                      <wps:wsp>
                        <wps:cNvPr id="19" name="TextBox 83">
                          <a:extLst/>
                        </wps:cNvPr>
                        <wps:cNvSpPr txBox="1"/>
                        <wps:spPr>
                          <a:xfrm>
                            <a:off x="1725813" y="4947110"/>
                            <a:ext cx="3569970" cy="370205"/>
                          </a:xfrm>
                          <a:prstGeom prst="rect">
                            <a:avLst/>
                          </a:prstGeom>
                          <a:solidFill>
                            <a:srgbClr val="4F81BD">
                              <a:lumMod val="40000"/>
                              <a:lumOff val="6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 xml:space="preserve">424 kHz, 490 kHz, 518 kHz : Maritime radio (NAVTEX) (Note 2) </w:t>
                              </w:r>
                            </w:p>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495 – 505 kHz: Maritime radio (NAVDAT) (Note 2)</w:t>
                              </w:r>
                            </w:p>
                          </w:txbxContent>
                        </wps:txbx>
                        <wps:bodyPr wrap="square" rtlCol="0">
                          <a:spAutoFit/>
                        </wps:bodyPr>
                      </wps:wsp>
                      <wps:wsp>
                        <wps:cNvPr id="20" name="TextBox 84">
                          <a:extLst/>
                        </wps:cNvPr>
                        <wps:cNvSpPr txBox="1"/>
                        <wps:spPr>
                          <a:xfrm>
                            <a:off x="1479397" y="5275289"/>
                            <a:ext cx="2343910" cy="230832"/>
                          </a:xfrm>
                          <a:prstGeom prst="rect">
                            <a:avLst/>
                          </a:prstGeom>
                          <a:solidFill>
                            <a:srgbClr val="F79646">
                              <a:lumMod val="20000"/>
                              <a:lumOff val="8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472 – 479 kHz: Amateur radio (Note 4)</w:t>
                              </w:r>
                            </w:p>
                          </w:txbxContent>
                        </wps:txbx>
                        <wps:bodyPr wrap="square" rtlCol="0">
                          <a:spAutoFit/>
                        </wps:bodyPr>
                      </wps:wsp>
                      <wps:wsp>
                        <wps:cNvPr id="66" name="TextBox 86">
                          <a:extLst/>
                        </wps:cNvPr>
                        <wps:cNvSpPr txBox="1"/>
                        <wps:spPr>
                          <a:xfrm>
                            <a:off x="2076728" y="5679132"/>
                            <a:ext cx="3609758" cy="230832"/>
                          </a:xfrm>
                          <a:prstGeom prst="rect">
                            <a:avLst/>
                          </a:prstGeom>
                          <a:solidFill>
                            <a:srgbClr val="C0504D">
                              <a:lumMod val="40000"/>
                              <a:lumOff val="6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de-DE"/>
                                </w:rPr>
                                <w:t>525 kHz - 526.5 kHz (Region 2): AM broadcast services (Note 5)</w:t>
                              </w:r>
                            </w:p>
                          </w:txbxContent>
                        </wps:txbx>
                        <wps:bodyPr wrap="square" rtlCol="0">
                          <a:spAutoFit/>
                        </wps:bodyPr>
                      </wps:wsp>
                      <wps:wsp>
                        <wps:cNvPr id="21" name="TextBox 87">
                          <a:extLst/>
                        </wps:cNvPr>
                        <wps:cNvSpPr txBox="1"/>
                        <wps:spPr>
                          <a:xfrm>
                            <a:off x="3788755" y="5874321"/>
                            <a:ext cx="1897380" cy="370205"/>
                          </a:xfrm>
                          <a:prstGeom prst="rect">
                            <a:avLst/>
                          </a:prstGeom>
                          <a:solidFill>
                            <a:srgbClr val="C0504D">
                              <a:lumMod val="40000"/>
                              <a:lumOff val="60000"/>
                            </a:srgbClr>
                          </a:solidFill>
                          <a:ln>
                            <a:solidFill>
                              <a:srgbClr val="4F81BD"/>
                            </a:solidFill>
                          </a:ln>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de-DE"/>
                                </w:rPr>
                                <w:t xml:space="preserve">526.5 – 1606.5 kHz (Global): </w:t>
                              </w:r>
                            </w:p>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de-DE"/>
                                </w:rPr>
                                <w:t>AM broadcast services (Note 5)</w:t>
                              </w:r>
                            </w:p>
                          </w:txbxContent>
                        </wps:txbx>
                        <wps:bodyPr wrap="square" rtlCol="0">
                          <a:spAutoFit/>
                        </wps:bodyPr>
                      </wps:wsp>
                      <wpg:grpSp>
                        <wpg:cNvPr id="22" name="Group 68">
                          <a:extLst/>
                        </wpg:cNvPr>
                        <wpg:cNvGrpSpPr/>
                        <wpg:grpSpPr>
                          <a:xfrm>
                            <a:off x="694381" y="4569660"/>
                            <a:ext cx="527090" cy="148094"/>
                            <a:chOff x="694381" y="4569660"/>
                            <a:chExt cx="787940" cy="119785"/>
                          </a:xfrm>
                        </wpg:grpSpPr>
                        <wps:wsp>
                          <wps:cNvPr id="23" name="Rectangle 69">
                            <a:extLst/>
                          </wps:cNvPr>
                          <wps:cNvSpPr/>
                          <wps:spPr>
                            <a:xfrm>
                              <a:off x="694381" y="4569660"/>
                              <a:ext cx="787940" cy="119785"/>
                            </a:xfrm>
                            <a:prstGeom prst="rect">
                              <a:avLst/>
                            </a:prstGeom>
                            <a:solidFill>
                              <a:sysClr val="window" lastClr="FFFFFF"/>
                            </a:solidFill>
                            <a:ln w="25400" cap="flat" cmpd="sng" algn="ctr">
                              <a:noFill/>
                              <a:prstDash val="solid"/>
                            </a:ln>
                            <a:effectLst/>
                          </wps:spPr>
                          <wps:bodyPr rtlCol="0" anchor="ctr"/>
                        </wps:wsp>
                        <wps:wsp>
                          <wps:cNvPr id="70" name="Freeform: Shape 70">
                            <a:extLst/>
                          </wps:cNvPr>
                          <wps:cNvSpPr/>
                          <wps:spPr>
                            <a:xfrm>
                              <a:off x="765092" y="4589870"/>
                              <a:ext cx="554475" cy="89797"/>
                            </a:xfrm>
                            <a:custGeom>
                              <a:avLst/>
                              <a:gdLst>
                                <a:gd name="connsiteX0" fmla="*/ 0 w 5904689"/>
                                <a:gd name="connsiteY0" fmla="*/ 933892 h 2033221"/>
                                <a:gd name="connsiteX1" fmla="*/ 739302 w 5904689"/>
                                <a:gd name="connsiteY1" fmla="*/ 204318 h 2033221"/>
                                <a:gd name="connsiteX2" fmla="*/ 1420238 w 5904689"/>
                                <a:gd name="connsiteY2" fmla="*/ 37 h 2033221"/>
                                <a:gd name="connsiteX3" fmla="*/ 2198451 w 5904689"/>
                                <a:gd name="connsiteY3" fmla="*/ 214045 h 2033221"/>
                                <a:gd name="connsiteX4" fmla="*/ 2859932 w 5904689"/>
                                <a:gd name="connsiteY4" fmla="*/ 963075 h 2033221"/>
                                <a:gd name="connsiteX5" fmla="*/ 3404681 w 5904689"/>
                                <a:gd name="connsiteY5" fmla="*/ 1692650 h 2033221"/>
                                <a:gd name="connsiteX6" fmla="*/ 4289898 w 5904689"/>
                                <a:gd name="connsiteY6" fmla="*/ 2033118 h 2033221"/>
                                <a:gd name="connsiteX7" fmla="*/ 5204298 w 5904689"/>
                                <a:gd name="connsiteY7" fmla="*/ 1663467 h 2033221"/>
                                <a:gd name="connsiteX8" fmla="*/ 5904689 w 5904689"/>
                                <a:gd name="connsiteY8" fmla="*/ 953347 h 203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04689" h="2033221">
                                  <a:moveTo>
                                    <a:pt x="0" y="933892"/>
                                  </a:moveTo>
                                  <a:cubicBezTo>
                                    <a:pt x="251298" y="646926"/>
                                    <a:pt x="502596" y="359960"/>
                                    <a:pt x="739302" y="204318"/>
                                  </a:cubicBezTo>
                                  <a:cubicBezTo>
                                    <a:pt x="976008" y="48676"/>
                                    <a:pt x="1177047" y="-1584"/>
                                    <a:pt x="1420238" y="37"/>
                                  </a:cubicBezTo>
                                  <a:cubicBezTo>
                                    <a:pt x="1663429" y="1658"/>
                                    <a:pt x="1958502" y="53539"/>
                                    <a:pt x="2198451" y="214045"/>
                                  </a:cubicBezTo>
                                  <a:cubicBezTo>
                                    <a:pt x="2438400" y="374551"/>
                                    <a:pt x="2658894" y="716641"/>
                                    <a:pt x="2859932" y="963075"/>
                                  </a:cubicBezTo>
                                  <a:cubicBezTo>
                                    <a:pt x="3060970" y="1209509"/>
                                    <a:pt x="3166353" y="1514309"/>
                                    <a:pt x="3404681" y="1692650"/>
                                  </a:cubicBezTo>
                                  <a:cubicBezTo>
                                    <a:pt x="3643009" y="1870991"/>
                                    <a:pt x="3989962" y="2037982"/>
                                    <a:pt x="4289898" y="2033118"/>
                                  </a:cubicBezTo>
                                  <a:cubicBezTo>
                                    <a:pt x="4589834" y="2028254"/>
                                    <a:pt x="4935166" y="1843429"/>
                                    <a:pt x="5204298" y="1663467"/>
                                  </a:cubicBezTo>
                                  <a:cubicBezTo>
                                    <a:pt x="5473430" y="1483505"/>
                                    <a:pt x="5689059" y="1218426"/>
                                    <a:pt x="5904689" y="953347"/>
                                  </a:cubicBezTo>
                                </a:path>
                              </a:pathLst>
                            </a:custGeom>
                            <a:noFill/>
                            <a:ln w="25400" cap="flat" cmpd="sng" algn="ctr">
                              <a:solidFill>
                                <a:srgbClr val="4F81BD">
                                  <a:shade val="50000"/>
                                </a:srgbClr>
                              </a:solidFill>
                              <a:prstDash val="solid"/>
                            </a:ln>
                            <a:effectLst/>
                          </wps:spPr>
                          <wps:bodyPr rtlCol="0" anchor="ctr"/>
                        </wps:wsp>
                      </wpg:grpSp>
                      <wpg:grpSp>
                        <wpg:cNvPr id="71" name="Group 71">
                          <a:extLst/>
                        </wpg:cNvPr>
                        <wpg:cNvGrpSpPr/>
                        <wpg:grpSpPr>
                          <a:xfrm>
                            <a:off x="663595" y="4058391"/>
                            <a:ext cx="527090" cy="148094"/>
                            <a:chOff x="663595" y="4058391"/>
                            <a:chExt cx="787940" cy="119785"/>
                          </a:xfrm>
                        </wpg:grpSpPr>
                        <wps:wsp>
                          <wps:cNvPr id="72" name="Rectangle 72">
                            <a:extLst/>
                          </wps:cNvPr>
                          <wps:cNvSpPr/>
                          <wps:spPr>
                            <a:xfrm>
                              <a:off x="663595" y="4058391"/>
                              <a:ext cx="787940" cy="119785"/>
                            </a:xfrm>
                            <a:prstGeom prst="rect">
                              <a:avLst/>
                            </a:prstGeom>
                            <a:solidFill>
                              <a:sysClr val="window" lastClr="FFFFFF"/>
                            </a:solidFill>
                            <a:ln w="25400" cap="flat" cmpd="sng" algn="ctr">
                              <a:noFill/>
                              <a:prstDash val="solid"/>
                            </a:ln>
                            <a:effectLst/>
                          </wps:spPr>
                          <wps:bodyPr rtlCol="0" anchor="ctr"/>
                        </wps:wsp>
                        <wps:wsp>
                          <wps:cNvPr id="73" name="Freeform: Shape 73">
                            <a:extLst/>
                          </wps:cNvPr>
                          <wps:cNvSpPr/>
                          <wps:spPr>
                            <a:xfrm>
                              <a:off x="724436" y="4058391"/>
                              <a:ext cx="554474" cy="89797"/>
                            </a:xfrm>
                            <a:custGeom>
                              <a:avLst/>
                              <a:gdLst>
                                <a:gd name="connsiteX0" fmla="*/ 0 w 5904689"/>
                                <a:gd name="connsiteY0" fmla="*/ 933892 h 2033221"/>
                                <a:gd name="connsiteX1" fmla="*/ 739302 w 5904689"/>
                                <a:gd name="connsiteY1" fmla="*/ 204318 h 2033221"/>
                                <a:gd name="connsiteX2" fmla="*/ 1420238 w 5904689"/>
                                <a:gd name="connsiteY2" fmla="*/ 37 h 2033221"/>
                                <a:gd name="connsiteX3" fmla="*/ 2198451 w 5904689"/>
                                <a:gd name="connsiteY3" fmla="*/ 214045 h 2033221"/>
                                <a:gd name="connsiteX4" fmla="*/ 2859932 w 5904689"/>
                                <a:gd name="connsiteY4" fmla="*/ 963075 h 2033221"/>
                                <a:gd name="connsiteX5" fmla="*/ 3404681 w 5904689"/>
                                <a:gd name="connsiteY5" fmla="*/ 1692650 h 2033221"/>
                                <a:gd name="connsiteX6" fmla="*/ 4289898 w 5904689"/>
                                <a:gd name="connsiteY6" fmla="*/ 2033118 h 2033221"/>
                                <a:gd name="connsiteX7" fmla="*/ 5204298 w 5904689"/>
                                <a:gd name="connsiteY7" fmla="*/ 1663467 h 2033221"/>
                                <a:gd name="connsiteX8" fmla="*/ 5904689 w 5904689"/>
                                <a:gd name="connsiteY8" fmla="*/ 953347 h 203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04689" h="2033221">
                                  <a:moveTo>
                                    <a:pt x="0" y="933892"/>
                                  </a:moveTo>
                                  <a:cubicBezTo>
                                    <a:pt x="251298" y="646926"/>
                                    <a:pt x="502596" y="359960"/>
                                    <a:pt x="739302" y="204318"/>
                                  </a:cubicBezTo>
                                  <a:cubicBezTo>
                                    <a:pt x="976008" y="48676"/>
                                    <a:pt x="1177047" y="-1584"/>
                                    <a:pt x="1420238" y="37"/>
                                  </a:cubicBezTo>
                                  <a:cubicBezTo>
                                    <a:pt x="1663429" y="1658"/>
                                    <a:pt x="1958502" y="53539"/>
                                    <a:pt x="2198451" y="214045"/>
                                  </a:cubicBezTo>
                                  <a:cubicBezTo>
                                    <a:pt x="2438400" y="374551"/>
                                    <a:pt x="2658894" y="716641"/>
                                    <a:pt x="2859932" y="963075"/>
                                  </a:cubicBezTo>
                                  <a:cubicBezTo>
                                    <a:pt x="3060970" y="1209509"/>
                                    <a:pt x="3166353" y="1514309"/>
                                    <a:pt x="3404681" y="1692650"/>
                                  </a:cubicBezTo>
                                  <a:cubicBezTo>
                                    <a:pt x="3643009" y="1870991"/>
                                    <a:pt x="3989962" y="2037982"/>
                                    <a:pt x="4289898" y="2033118"/>
                                  </a:cubicBezTo>
                                  <a:cubicBezTo>
                                    <a:pt x="4589834" y="2028254"/>
                                    <a:pt x="4935166" y="1843429"/>
                                    <a:pt x="5204298" y="1663467"/>
                                  </a:cubicBezTo>
                                  <a:cubicBezTo>
                                    <a:pt x="5473430" y="1483505"/>
                                    <a:pt x="5689059" y="1218426"/>
                                    <a:pt x="5904689" y="953347"/>
                                  </a:cubicBezTo>
                                </a:path>
                              </a:pathLst>
                            </a:custGeom>
                            <a:noFill/>
                            <a:ln w="25400" cap="flat" cmpd="sng" algn="ctr">
                              <a:solidFill>
                                <a:srgbClr val="4F81BD">
                                  <a:shade val="50000"/>
                                </a:srgbClr>
                              </a:solidFill>
                              <a:prstDash val="solid"/>
                            </a:ln>
                            <a:effectLst/>
                          </wps:spPr>
                          <wps:bodyPr rtlCol="0" anchor="ctr"/>
                        </wps:wsp>
                      </wpg:grpSp>
                      <wpg:grpSp>
                        <wpg:cNvPr id="74" name="Group 74">
                          <a:extLst/>
                        </wpg:cNvPr>
                        <wpg:cNvGrpSpPr/>
                        <wpg:grpSpPr>
                          <a:xfrm>
                            <a:off x="663595" y="5137365"/>
                            <a:ext cx="527090" cy="148094"/>
                            <a:chOff x="663595" y="5137365"/>
                            <a:chExt cx="787940" cy="119785"/>
                          </a:xfrm>
                        </wpg:grpSpPr>
                        <wps:wsp>
                          <wps:cNvPr id="76" name="Rectangle 76">
                            <a:extLst/>
                          </wps:cNvPr>
                          <wps:cNvSpPr/>
                          <wps:spPr>
                            <a:xfrm>
                              <a:off x="663595" y="5137365"/>
                              <a:ext cx="787940" cy="119785"/>
                            </a:xfrm>
                            <a:prstGeom prst="rect">
                              <a:avLst/>
                            </a:prstGeom>
                            <a:solidFill>
                              <a:sysClr val="window" lastClr="FFFFFF"/>
                            </a:solidFill>
                            <a:ln w="25400" cap="flat" cmpd="sng" algn="ctr">
                              <a:noFill/>
                              <a:prstDash val="solid"/>
                            </a:ln>
                            <a:effectLst/>
                          </wps:spPr>
                          <wps:bodyPr rtlCol="0" anchor="ctr"/>
                        </wps:wsp>
                        <wps:wsp>
                          <wps:cNvPr id="77" name="Freeform: Shape 77">
                            <a:extLst/>
                          </wps:cNvPr>
                          <wps:cNvSpPr/>
                          <wps:spPr>
                            <a:xfrm>
                              <a:off x="724436" y="5137365"/>
                              <a:ext cx="554474" cy="89797"/>
                            </a:xfrm>
                            <a:custGeom>
                              <a:avLst/>
                              <a:gdLst>
                                <a:gd name="connsiteX0" fmla="*/ 0 w 5904689"/>
                                <a:gd name="connsiteY0" fmla="*/ 933892 h 2033221"/>
                                <a:gd name="connsiteX1" fmla="*/ 739302 w 5904689"/>
                                <a:gd name="connsiteY1" fmla="*/ 204318 h 2033221"/>
                                <a:gd name="connsiteX2" fmla="*/ 1420238 w 5904689"/>
                                <a:gd name="connsiteY2" fmla="*/ 37 h 2033221"/>
                                <a:gd name="connsiteX3" fmla="*/ 2198451 w 5904689"/>
                                <a:gd name="connsiteY3" fmla="*/ 214045 h 2033221"/>
                                <a:gd name="connsiteX4" fmla="*/ 2859932 w 5904689"/>
                                <a:gd name="connsiteY4" fmla="*/ 963075 h 2033221"/>
                                <a:gd name="connsiteX5" fmla="*/ 3404681 w 5904689"/>
                                <a:gd name="connsiteY5" fmla="*/ 1692650 h 2033221"/>
                                <a:gd name="connsiteX6" fmla="*/ 4289898 w 5904689"/>
                                <a:gd name="connsiteY6" fmla="*/ 2033118 h 2033221"/>
                                <a:gd name="connsiteX7" fmla="*/ 5204298 w 5904689"/>
                                <a:gd name="connsiteY7" fmla="*/ 1663467 h 2033221"/>
                                <a:gd name="connsiteX8" fmla="*/ 5904689 w 5904689"/>
                                <a:gd name="connsiteY8" fmla="*/ 953347 h 203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04689" h="2033221">
                                  <a:moveTo>
                                    <a:pt x="0" y="933892"/>
                                  </a:moveTo>
                                  <a:cubicBezTo>
                                    <a:pt x="251298" y="646926"/>
                                    <a:pt x="502596" y="359960"/>
                                    <a:pt x="739302" y="204318"/>
                                  </a:cubicBezTo>
                                  <a:cubicBezTo>
                                    <a:pt x="976008" y="48676"/>
                                    <a:pt x="1177047" y="-1584"/>
                                    <a:pt x="1420238" y="37"/>
                                  </a:cubicBezTo>
                                  <a:cubicBezTo>
                                    <a:pt x="1663429" y="1658"/>
                                    <a:pt x="1958502" y="53539"/>
                                    <a:pt x="2198451" y="214045"/>
                                  </a:cubicBezTo>
                                  <a:cubicBezTo>
                                    <a:pt x="2438400" y="374551"/>
                                    <a:pt x="2658894" y="716641"/>
                                    <a:pt x="2859932" y="963075"/>
                                  </a:cubicBezTo>
                                  <a:cubicBezTo>
                                    <a:pt x="3060970" y="1209509"/>
                                    <a:pt x="3166353" y="1514309"/>
                                    <a:pt x="3404681" y="1692650"/>
                                  </a:cubicBezTo>
                                  <a:cubicBezTo>
                                    <a:pt x="3643009" y="1870991"/>
                                    <a:pt x="3989962" y="2037982"/>
                                    <a:pt x="4289898" y="2033118"/>
                                  </a:cubicBezTo>
                                  <a:cubicBezTo>
                                    <a:pt x="4589834" y="2028254"/>
                                    <a:pt x="4935166" y="1843429"/>
                                    <a:pt x="5204298" y="1663467"/>
                                  </a:cubicBezTo>
                                  <a:cubicBezTo>
                                    <a:pt x="5473430" y="1483505"/>
                                    <a:pt x="5689059" y="1218426"/>
                                    <a:pt x="5904689" y="953347"/>
                                  </a:cubicBezTo>
                                </a:path>
                              </a:pathLst>
                            </a:custGeom>
                            <a:noFill/>
                            <a:ln w="25400" cap="flat" cmpd="sng" algn="ctr">
                              <a:solidFill>
                                <a:srgbClr val="4F81BD">
                                  <a:shade val="50000"/>
                                </a:srgbClr>
                              </a:solidFill>
                              <a:prstDash val="solid"/>
                            </a:ln>
                            <a:effectLst/>
                          </wps:spPr>
                          <wps:bodyPr rtlCol="0" anchor="ctr"/>
                        </wps:wsp>
                      </wpg:grpSp>
                      <wpg:grpSp>
                        <wpg:cNvPr id="78" name="Group 78">
                          <a:extLst/>
                        </wpg:cNvPr>
                        <wpg:cNvGrpSpPr/>
                        <wpg:grpSpPr>
                          <a:xfrm>
                            <a:off x="685049" y="6330428"/>
                            <a:ext cx="527090" cy="148094"/>
                            <a:chOff x="685049" y="6330428"/>
                            <a:chExt cx="787940" cy="119785"/>
                          </a:xfrm>
                        </wpg:grpSpPr>
                        <wps:wsp>
                          <wps:cNvPr id="79" name="Rectangle 79">
                            <a:extLst/>
                          </wps:cNvPr>
                          <wps:cNvSpPr/>
                          <wps:spPr>
                            <a:xfrm>
                              <a:off x="685049" y="6330428"/>
                              <a:ext cx="787940" cy="119785"/>
                            </a:xfrm>
                            <a:prstGeom prst="rect">
                              <a:avLst/>
                            </a:prstGeom>
                            <a:solidFill>
                              <a:sysClr val="window" lastClr="FFFFFF"/>
                            </a:solidFill>
                            <a:ln w="25400" cap="flat" cmpd="sng" algn="ctr">
                              <a:noFill/>
                              <a:prstDash val="solid"/>
                            </a:ln>
                            <a:effectLst/>
                          </wps:spPr>
                          <wps:bodyPr rtlCol="0" anchor="ctr"/>
                        </wps:wsp>
                        <wps:wsp>
                          <wps:cNvPr id="80" name="Freeform: Shape 80">
                            <a:extLst/>
                          </wps:cNvPr>
                          <wps:cNvSpPr/>
                          <wps:spPr>
                            <a:xfrm>
                              <a:off x="745890" y="6330428"/>
                              <a:ext cx="554474" cy="89797"/>
                            </a:xfrm>
                            <a:custGeom>
                              <a:avLst/>
                              <a:gdLst>
                                <a:gd name="connsiteX0" fmla="*/ 0 w 5904689"/>
                                <a:gd name="connsiteY0" fmla="*/ 933892 h 2033221"/>
                                <a:gd name="connsiteX1" fmla="*/ 739302 w 5904689"/>
                                <a:gd name="connsiteY1" fmla="*/ 204318 h 2033221"/>
                                <a:gd name="connsiteX2" fmla="*/ 1420238 w 5904689"/>
                                <a:gd name="connsiteY2" fmla="*/ 37 h 2033221"/>
                                <a:gd name="connsiteX3" fmla="*/ 2198451 w 5904689"/>
                                <a:gd name="connsiteY3" fmla="*/ 214045 h 2033221"/>
                                <a:gd name="connsiteX4" fmla="*/ 2859932 w 5904689"/>
                                <a:gd name="connsiteY4" fmla="*/ 963075 h 2033221"/>
                                <a:gd name="connsiteX5" fmla="*/ 3404681 w 5904689"/>
                                <a:gd name="connsiteY5" fmla="*/ 1692650 h 2033221"/>
                                <a:gd name="connsiteX6" fmla="*/ 4289898 w 5904689"/>
                                <a:gd name="connsiteY6" fmla="*/ 2033118 h 2033221"/>
                                <a:gd name="connsiteX7" fmla="*/ 5204298 w 5904689"/>
                                <a:gd name="connsiteY7" fmla="*/ 1663467 h 2033221"/>
                                <a:gd name="connsiteX8" fmla="*/ 5904689 w 5904689"/>
                                <a:gd name="connsiteY8" fmla="*/ 953347 h 203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04689" h="2033221">
                                  <a:moveTo>
                                    <a:pt x="0" y="933892"/>
                                  </a:moveTo>
                                  <a:cubicBezTo>
                                    <a:pt x="251298" y="646926"/>
                                    <a:pt x="502596" y="359960"/>
                                    <a:pt x="739302" y="204318"/>
                                  </a:cubicBezTo>
                                  <a:cubicBezTo>
                                    <a:pt x="976008" y="48676"/>
                                    <a:pt x="1177047" y="-1584"/>
                                    <a:pt x="1420238" y="37"/>
                                  </a:cubicBezTo>
                                  <a:cubicBezTo>
                                    <a:pt x="1663429" y="1658"/>
                                    <a:pt x="1958502" y="53539"/>
                                    <a:pt x="2198451" y="214045"/>
                                  </a:cubicBezTo>
                                  <a:cubicBezTo>
                                    <a:pt x="2438400" y="374551"/>
                                    <a:pt x="2658894" y="716641"/>
                                    <a:pt x="2859932" y="963075"/>
                                  </a:cubicBezTo>
                                  <a:cubicBezTo>
                                    <a:pt x="3060970" y="1209509"/>
                                    <a:pt x="3166353" y="1514309"/>
                                    <a:pt x="3404681" y="1692650"/>
                                  </a:cubicBezTo>
                                  <a:cubicBezTo>
                                    <a:pt x="3643009" y="1870991"/>
                                    <a:pt x="3989962" y="2037982"/>
                                    <a:pt x="4289898" y="2033118"/>
                                  </a:cubicBezTo>
                                  <a:cubicBezTo>
                                    <a:pt x="4589834" y="2028254"/>
                                    <a:pt x="4935166" y="1843429"/>
                                    <a:pt x="5204298" y="1663467"/>
                                  </a:cubicBezTo>
                                  <a:cubicBezTo>
                                    <a:pt x="5473430" y="1483505"/>
                                    <a:pt x="5689059" y="1218426"/>
                                    <a:pt x="5904689" y="953347"/>
                                  </a:cubicBezTo>
                                </a:path>
                              </a:pathLst>
                            </a:custGeom>
                            <a:noFill/>
                            <a:ln w="25400" cap="flat" cmpd="sng" algn="ctr">
                              <a:solidFill>
                                <a:srgbClr val="4F81BD">
                                  <a:shade val="50000"/>
                                </a:srgbClr>
                              </a:solidFill>
                              <a:prstDash val="solid"/>
                            </a:ln>
                            <a:effectLst/>
                          </wps:spPr>
                          <wps:bodyPr rtlCol="0" anchor="ctr"/>
                        </wps:wsp>
                      </wpg:grpSp>
                      <wps:wsp>
                        <wps:cNvPr id="81" name="TextBox 133">
                          <a:extLst/>
                        </wps:cNvPr>
                        <wps:cNvSpPr txBox="1"/>
                        <wps:spPr>
                          <a:xfrm>
                            <a:off x="0" y="0"/>
                            <a:ext cx="723265" cy="401320"/>
                          </a:xfrm>
                          <a:prstGeom prst="rect">
                            <a:avLst/>
                          </a:prstGeom>
                          <a:noFill/>
                        </wps:spPr>
                        <wps:txbx>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20"/>
                                  <w:szCs w:val="20"/>
                                </w:rPr>
                                <w:t>Frequency</w:t>
                              </w:r>
                            </w:p>
                            <w:p w:rsidR="005D267F" w:rsidRDefault="005D267F" w:rsidP="005D267F">
                              <w:pPr>
                                <w:pStyle w:val="NormalWeb"/>
                                <w:spacing w:before="0" w:beforeAutospacing="0" w:after="0" w:afterAutospacing="0"/>
                              </w:pPr>
                              <w:r w:rsidRPr="005D267F">
                                <w:rPr>
                                  <w:rFonts w:ascii="Calibri" w:hAnsi="Calibri" w:cs="Times New Roman"/>
                                  <w:color w:val="000000"/>
                                  <w:kern w:val="24"/>
                                  <w:sz w:val="20"/>
                                  <w:szCs w:val="20"/>
                                </w:rPr>
                                <w:t>(kHz)</w:t>
                              </w:r>
                            </w:p>
                          </w:txbxContent>
                        </wps:txbx>
                        <wps:bodyPr wrap="none" rtlCol="0">
                          <a:spAutoFit/>
                        </wps:bodyPr>
                      </wps:wsp>
                      <wps:wsp>
                        <wps:cNvPr id="82" name="TextBox 65">
                          <a:extLst/>
                        </wps:cNvPr>
                        <wps:cNvSpPr txBox="1"/>
                        <wps:spPr>
                          <a:xfrm>
                            <a:off x="1589628" y="3331860"/>
                            <a:ext cx="4022725" cy="193040"/>
                          </a:xfrm>
                          <a:prstGeom prst="rect">
                            <a:avLst/>
                          </a:prstGeom>
                          <a:solidFill>
                            <a:sysClr val="window" lastClr="FFFFFF">
                              <a:lumMod val="95000"/>
                            </a:sysClr>
                          </a:solidFill>
                          <a:ln>
                            <a:solidFill>
                              <a:srgbClr val="4F81BD"/>
                            </a:solidFill>
                          </a:ln>
                        </wps:spPr>
                        <wps:txbx>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138.5 – 139.5 kHz (139 kHz, Europe): Radio Ripple Control (Note 3)</w:t>
                              </w:r>
                            </w:p>
                          </w:txbxContent>
                        </wps:txbx>
                        <wps:bodyPr wrap="square" rtlCol="0">
                          <a:spAutoFit/>
                        </wps:bodyPr>
                      </wps:wsp>
                    </wpg:wgp>
                  </a:graphicData>
                </a:graphic>
              </wp:inline>
            </w:drawing>
          </mc:Choice>
          <mc:Fallback>
            <w:pict>
              <v:group id="Group 134" o:spid="_x0000_s1026" style="width:447.75pt;height:526.6pt;mso-position-horizontal-relative:char;mso-position-vertical-relative:line" coordsize="56864,6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">
                <v:shapetype id="_x0000_t32" coordsize="21600,21600" o:spt="32" o:oned="t" path="m,l21600,21600e" filled="f">
                  <v:path arrowok="t" fillok="f" o:connecttype="none"/>
                  <o:lock v:ext="edit" shapetype="t"/>
                </v:shapetype>
                <v:shape id="Straight Arrow Connector 252" o:spid="_x0000_s1027" type="#_x0000_t32" style="position:absolute;left:9153;top:2376;width:0;height:64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UdcEAAADcAAAADwAAAGRycy9kb3ducmV2LnhtbESPzarCMBSE9xd8h3AEd9fUgiLVKCJe&#10;caPgz8bdsTm2xeakJLla394IgsthZr5hpvPW1OJOzleWFQz6CQji3OqKCwWn49/vGIQPyBpry6Tg&#10;SR7ms87PFDNtH7yn+yEUIkLYZ6igDKHJpPR5SQZ93zbE0btaZzBE6QqpHT4i3NQyTZKRNFhxXCix&#10;oWVJ+e3wbxSwN26b6kVyWdEWT7uz8efhWqlet11MQARqwzf8aW+0gnSYwvt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BNR1wQAAANwAAAAPAAAAAAAAAAAAAAAA&#10;AKECAABkcnMvZG93bnJldi54bWxQSwUGAAAAAAQABAD5AAAAjwMAAAAA&#10;" strokecolor="#4a7ebb" strokeweight="1.75pt">
                  <v:stroke endarrow="block"/>
                  <o:lock v:ext="edit" shapetype="f"/>
                </v:shape>
                <v:line id="Straight Connector 253" o:spid="_x0000_s1028" style="position:absolute;visibility:visible;mso-wrap-style:square" from="7773,24212" to="10436,2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IhsMAAADcAAAADwAAAGRycy9kb3ducmV2LnhtbESPQWsCMRSE7wX/Q3iCt5pVadHVKCII&#10;HjxYFfT4TJ6bxc3Luom6/fdNodDjMDPfMLNF6yrxpCaUnhUM+hkIYu1NyYWC42H9PgYRIrLByjMp&#10;+KYAi3nnbYa58S/+ouc+FiJBOOSowMZY51IGbclh6PuaOHlX3ziMSTaFNA2+EtxVcphln9JhyWnB&#10;Yk0rS/q2fzgFJ4vb3U5fIvnRealNYYy/T5TqddvlFESkNv6H/9obo2D4MYL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6yIbDAAAA3AAAAA8AAAAAAAAAAAAA&#10;AAAAoQIAAGRycy9kb3ducmV2LnhtbFBLBQYAAAAABAAEAPkAAACRAwAAAAA=&#10;" strokecolor="#4a7ebb"/>
                <v:line id="Straight Connector 254" o:spid="_x0000_s1029" style="position:absolute;visibility:visible;mso-wrap-style:square" from="7645,14150" to="10308,1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Q8sMAAADcAAAADwAAAGRycy9kb3ducmV2LnhtbESPQWsCMRSE74L/ITzBm2bVKu1qFCkU&#10;eujBqtAen8lzs7h5WTeprv/eFASPw8x8wyxWravEhZpQelYwGmYgiLU3JRcK9ruPwSuIEJENVp5J&#10;wY0CrJbdzgJz46/8TZdtLESCcMhRgY2xzqUM2pLDMPQ1cfKOvnEYk2wKaRq8Jrir5DjLZtJhyWnB&#10;Yk3vlvRp++cU/Fj82mz0IZKf/K61KYzx5zel+r12PQcRqY3P8KP9aRSMp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TUPLDAAAA3AAAAA8AAAAAAAAAAAAA&#10;AAAAoQIAAGRycy9kb3ducmV2LnhtbFBLBQYAAAAABAAEAPkAAACRAwAAAAA=&#10;" strokecolor="#4a7ebb"/>
                <v:line id="Straight Connector 255" o:spid="_x0000_s1030" style="position:absolute;visibility:visible;mso-wrap-style:square" from="7645,9037" to="10308,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acMAAADcAAAADwAAAGRycy9kb3ducmV2LnhtbESPQWsCMRSE74L/ITzBm2ZVFLs1ighC&#10;Dz1YFezxNXluFjcv6ybV7b9vBMHjMDPfMItV6ypxoyaUnhWMhhkIYu1NyYWC42E7mIMIEdlg5ZkU&#10;/FGA1bLbWWBu/J2/6LaPhUgQDjkqsDHWuZRBW3IYhr4mTt7ZNw5jkk0hTYP3BHeVHGfZTDosOS1Y&#10;rGljSV/2v07ByeLnbqd/IvnJ91qbwhh/fVOq32vX7yAitfEVfrY/jILxdAqP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f9WnDAAAA3AAAAA8AAAAAAAAAAAAA&#10;AAAAoQIAAGRycy9kb3ducmV2LnhtbFBLBQYAAAAABAAEAPkAAACRAwAAAAA=&#10;" strokecolor="#4a7ebb"/>
                <v:line id="Straight Connector 32" o:spid="_x0000_s1031" style="position:absolute;visibility:visible;mso-wrap-style:square" from="7773,3924" to="10436,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oGMMAAADbAAAADwAAAGRycy9kb3ducmV2LnhtbESPQWvCQBSE74X+h+UVvDWbKkgbs4oI&#10;goceUivU43P3mQ3Nvo3ZrYn/visUehxm5humXI2uFVfqQ+NZwUuWgyDW3jRcKzh8bp9fQYSIbLD1&#10;TApuFGC1fHwosTB+4A+67mMtEoRDgQpsjF0hZdCWHIbMd8TJO/veYUyyr6XpcUhw18ppns+lw4bT&#10;gsWONpb09/7HKfiy+F5V+hTJz45rbWpj/OVNqcnTuF6AiDTG//Bfe2cUzKZ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SKBjDAAAA2wAAAA8AAAAAAAAAAAAA&#10;AAAAoQIAAGRycy9kb3ducmV2LnhtbFBLBQYAAAAABAAEAPkAAACRAwAAAAA=&#10;" strokecolor="#4a7ebb"/>
                <v:line id="Straight Connector 33" o:spid="_x0000_s1032" style="position:absolute;visibility:visible;mso-wrap-style:square" from="7645,19181" to="10308,1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6Ng8MAAADbAAAADwAAAGRycy9kb3ducmV2LnhtbESPQWsCMRSE7wX/Q3iF3mq2Lki7GpdF&#10;EDx4sLbQHp/Jc7O4eVk3Ubf/vhEEj8PMfMPMy8G14kJ9aDwreBtnIIi1Nw3XCr6/Vq/vIEJENth6&#10;JgV/FKBcjJ7mWBh/5U+67GItEoRDgQpsjF0hZdCWHIax74iTd/C9w5hkX0vT4zXBXSsnWTaVDhtO&#10;CxY7WlrSx93ZKfixuNlu9T6Sz38rbWpj/OlDqZfnoZqBiDTER/jeXhsFeQ6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ejYPDAAAA2wAAAA8AAAAAAAAAAAAA&#10;AAAAoQIAAGRycy9kb3ducmV2LnhtbFBLBQYAAAAABAAEAPkAAACRAwAAAAA=&#10;" strokecolor="#4a7ebb"/>
                <v:shapetype id="_x0000_t202" coordsize="21600,21600" o:spt="202" path="m,l,21600r21600,l21600,xe">
                  <v:stroke joinstyle="miter"/>
                  <v:path gradientshapeok="t" o:connecttype="rect"/>
                </v:shapetype>
                <v:shape id="TextBox 44" o:spid="_x0000_s1033" type="#_x0000_t202" style="position:absolute;left:3971;top:2849;width:2985;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20</w:t>
                        </w:r>
                      </w:p>
                    </w:txbxContent>
                  </v:textbox>
                </v:shape>
                <v:shape id="TextBox 45" o:spid="_x0000_s1034" type="#_x0000_t202" style="position:absolute;left:2355;top:23035;width:3569;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100</w:t>
                        </w:r>
                      </w:p>
                    </w:txbxContent>
                  </v:textbox>
                </v:shape>
                <v:shape id="TextBox 46" o:spid="_x0000_s1035" type="#_x0000_t202" style="position:absolute;left:3971;top:18134;width:299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80</w:t>
                        </w:r>
                      </w:p>
                    </w:txbxContent>
                  </v:textbox>
                </v:shape>
                <v:shape id="TextBox 47" o:spid="_x0000_s1036" type="#_x0000_t202" style="position:absolute;left:4009;top:12943;width:299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60</w:t>
                        </w:r>
                      </w:p>
                    </w:txbxContent>
                  </v:textbox>
                </v:shape>
                <v:shape id="TextBox 48" o:spid="_x0000_s1037" type="#_x0000_t202" style="position:absolute;left:4092;top:7919;width:2990;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40</w:t>
                        </w:r>
                      </w:p>
                    </w:txbxContent>
                  </v:textbox>
                </v:shape>
                <v:shape id="TextBox 49" o:spid="_x0000_s1038" type="#_x0000_t202" style="position:absolute;left:13773;top:3093;width:3991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9VJMUA&#10;AADbAAAADwAAAGRycy9kb3ducmV2LnhtbESPQWvCQBSE74L/YXlCL6VurCJtdBUxFOzBUqPU6yP7&#10;zAazb0N2q2l/fVcoeBxm5htmvuxsLS7U+sqxgtEwAUFcOF1xqeCwf3t6AeEDssbaMSn4IQ/LRb83&#10;x1S7K+/okodSRAj7FBWYEJpUSl8YsuiHriGO3sm1FkOUbSl1i9cIt7V8TpKptFhxXDDY0NpQcc6/&#10;rYLsa0KTj2Px2GXvBtfh93ObnVZKPQy61QxEoC7cw//tjVYwfoXb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1UkxQAAANsAAAAPAAAAAAAAAAAAAAAAAJgCAABkcnMv&#10;ZG93bnJldi54bWxQSwUGAAAAAAQABAD1AAAAigMAAAAA&#10;" fillcolor="#dce6f2"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19.95-20.05 kHz (20kHz, Global): Std freq and time signal (Note 1)</w:t>
                        </w:r>
                      </w:p>
                    </w:txbxContent>
                  </v:textbox>
                </v:shape>
                <v:shape id="TextBox 50" o:spid="_x0000_s1039" type="#_x0000_t202" style="position:absolute;left:13861;top:7976;width:39821;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xMIA&#10;AADbAAAADwAAAGRycy9kb3ducmV2LnhtbERPz2vCMBS+C/sfwht4EU0nRUY1ilgG28Ghnej10Tyb&#10;YvNSmkw7//rlIHj8+H4vVr1txJU6XztW8DZJQBCXTtdcKTj8fIzfQfiArLFxTAr+yMNq+TJYYKbd&#10;jfd0LUIlYgj7DBWYENpMSl8asugnriWO3Nl1FkOEXSV1h7cYbhs5TZKZtFhzbDDY0sZQeSl+rYL8&#10;mFL6fSpHff5lcBPuu21+Xis1fO3XcxCB+vAUP9yfWkEa18c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4/EwgAAANsAAAAPAAAAAAAAAAAAAAAAAJgCAABkcnMvZG93&#10;bnJldi54bWxQSwUGAAAAAAQABAD1AAAAhwMAAAAA&#10;" fillcolor="#dce6f2"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39 -41 kHz (40kHz, Japan): Std freq and time signal (Note 1)</w:t>
                        </w:r>
                      </w:p>
                    </w:txbxContent>
                  </v:textbox>
                </v:shape>
                <v:shape id="TextBox 51" o:spid="_x0000_s1040" type="#_x0000_t202" style="position:absolute;left:13861;top:10320;width:39821;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qX8YA&#10;AADbAAAADwAAAGRycy9kb3ducmV2LnhtbESPT2vCQBTE74V+h+UVehHdKKFI6iohoWAPlfoHvT6y&#10;z2xo9m3IbjXtp+8KQo/DzPyGWawG24oL9b5xrGA6SUAQV043XCs47N/GcxA+IGtsHZOCH/KwWj4+&#10;LDDT7spbuuxCLSKEfYYKTAhdJqWvDFn0E9cRR+/seoshyr6WusdrhNtWzpLkRVpsOC4Y7KgwVH3t&#10;vq2C8phSujlVo6F8N1iE38+P8pwr9fw05K8gAg3hP3xvr7WCdAq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8qX8YAAADbAAAADwAAAAAAAAAAAAAAAACYAgAAZHJz&#10;L2Rvd25yZXYueG1sUEsFBgAAAAAEAAQA9QAAAIsDAAAAAA==&#10;" fillcolor="#dce6f2"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49.25 -50.75 kHz (50kHz, Russia): Std freq and time signal (Note1)</w:t>
                        </w:r>
                      </w:p>
                    </w:txbxContent>
                  </v:textbox>
                </v:shape>
                <v:shape id="TextBox 52" o:spid="_x0000_s1041" type="#_x0000_t202" style="position:absolute;left:13861;top:13173;width:39910;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0KMUA&#10;AADbAAAADwAAAGRycy9kb3ducmV2LnhtbESPT2vCQBTE70K/w/IKXqRulCCSuooYBD1U/FPa6yP7&#10;zIZm34bsqmk/fVcQPA4z8xtmtuhsLa7U+sqxgtEwAUFcOF1xqeDztH6bgvABWWPtmBT8kofF/KU3&#10;w0y7Gx/oegyliBD2GSowITSZlL4wZNEPXUMcvbNrLYYo21LqFm8Rbms5TpKJtFhxXDDY0MpQ8XO8&#10;WAX5V0rp7rsYdPnW4Cr87T/y81Kp/mu3fAcRqAvP8KO90QrSMd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bQoxQAAANsAAAAPAAAAAAAAAAAAAAAAAJgCAABkcnMv&#10;ZG93bnJldi54bWxQSwUGAAAAAAQABAD1AAAAigMAAAAA&#10;" fillcolor="#dce6f2" strokecolor="#4f81bd">
                  <v:textbox style="mso-fit-shape-to-text:t">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59 -61 kHz (60kHz, Japan, UK, USA): Std freq and time signal (Note 1)</w:t>
                        </w:r>
                      </w:p>
                    </w:txbxContent>
                  </v:textbox>
                </v:shape>
                <v:shape id="TextBox 53" o:spid="_x0000_s1042" type="#_x0000_t202" style="position:absolute;left:13861;top:14444;width:39821;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Rs8UA&#10;AADbAAAADwAAAGRycy9kb3ducmV2LnhtbESPQWvCQBSE7wX/w/IEL6Kb2lAkdRUxFNpDxUbR6yP7&#10;zIZm34bsVtP++q4g9DjMzDfMYtXbRlyo87VjBY/TBARx6XTNlYLD/nUyB+EDssbGMSn4IQ+r5eBh&#10;gZl2V/6kSxEqESHsM1RgQmgzKX1pyKKfupY4emfXWQxRdpXUHV4j3DZyliTP0mLNccFgSxtD5Vfx&#10;bRXkx5TS7akc9/m7wU343X3k57VSo2G/fgERqA//4Xv7TStIn+D2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RGzxQAAANsAAAAPAAAAAAAAAAAAAAAAAJgCAABkcnMv&#10;ZG93bnJldi54bWxQSwUGAAAAAAQABAD1AAAAigMAAAAA&#10;" fillcolor="#dce6f2" strokecolor="#4f81bd">
                  <v:textbox style="mso-fit-shape-to-text:t">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65.85 -67.35 kHz (66.6kHz, Russia): Std freq and time signal (Note 1)</w:t>
                        </w:r>
                      </w:p>
                    </w:txbxContent>
                  </v:textbox>
                </v:shape>
                <v:shape id="TextBox 54" o:spid="_x0000_s1043" type="#_x0000_t202" style="position:absolute;left:13863;top:15837;width:39910;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Jx8UA&#10;AADbAAAADwAAAGRycy9kb3ducmV2LnhtbESPQWvCQBSE74X+h+UVehHdtAQp0U0Qg9AeKlZFr4/s&#10;MxuafRuyq6b99V1B6HGYmW+YeTHYVlyo941jBS+TBARx5XTDtYL9bjV+A+EDssbWMSn4IQ9F/vgw&#10;x0y7K3/RZRtqESHsM1RgQugyKX1lyKKfuI44eifXWwxR9rXUPV4j3LbyNUmm0mLDccFgR0tD1ff2&#10;bBWUh5TS9bEaDeWHwWX43XyWp4VSz0/DYgYi0BD+w/f2u1aQpn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InHxQAAANsAAAAPAAAAAAAAAAAAAAAAAJgCAABkcnMv&#10;ZG93bnJldi54bWxQSwUGAAAAAAQABAD1AAAAigMAAAAA&#10;" fillcolor="#dce6f2" strokecolor="#4f81bd">
                  <v:textbox style="mso-fit-shape-to-text:t">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68.25 -68.75 kHz (68.5kHz, China): Std freq and time signal (Note 1)</w:t>
                        </w:r>
                      </w:p>
                    </w:txbxContent>
                  </v:textbox>
                </v:shape>
                <v:shape id="TextBox 55" o:spid="_x0000_s1044" type="#_x0000_t202" style="position:absolute;left:13773;top:17327;width:39910;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sXMUA&#10;AADbAAAADwAAAGRycy9kb3ducmV2LnhtbESPQWvCQBSE74L/YXlCL1I3LbFI6ipiKOjBYrW010f2&#10;mQ3Nvg3ZVaO/visIHoeZ+YaZzjtbixO1vnKs4GWUgCAunK64VPC9/3iegPABWWPtmBRcyMN81u9N&#10;MdPuzF902oVSRAj7DBWYEJpMSl8YsuhHriGO3sG1FkOUbSl1i+cIt7V8TZI3abHiuGCwoaWh4m93&#10;tAryn5TSz99i2OVrg8tw3W7yw0Kpp0G3eAcRqAuP8L290grSMdy+x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CxcxQAAANsAAAAPAAAAAAAAAAAAAAAAAJgCAABkcnMv&#10;ZG93bnJldi54bWxQSwUGAAAAAAQABAD1AAAAigMAAAAA&#10;" fillcolor="#dce6f2" strokecolor="#4f81bd">
                  <v:textbox style="mso-fit-shape-to-text:t">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77.25 -77.75 kHz (77.5 kHz, Germany): Std freq and time signal (Note1)</w:t>
                        </w:r>
                      </w:p>
                    </w:txbxContent>
                  </v:textbox>
                </v:shape>
                <v:line id="Straight Connector 46" o:spid="_x0000_s1045" style="position:absolute;visibility:visible;mso-wrap-style:square" from="7620,34267" to="10282,3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9dZsMAAADbAAAADwAAAGRycy9kb3ducmV2LnhtbESPQWsCMRSE7wX/Q3iCt262KtJuNysi&#10;CB48WC20x9fkdbN087Juoq7/3hQKPQ4z8w1TLgfXigv1ofGs4CnLQRBrbxquFbwfN4/PIEJENth6&#10;JgU3CrCsRg8lFsZf+Y0uh1iLBOFQoAIbY1dIGbQlhyHzHXHyvn3vMCbZ19L0eE1w18ppni+kw4bT&#10;gsWO1pb0z+HsFHxY3O33+iuSn32utKmN8acXpSbjYfUKItIQ/8N/7a1RMF/A75f0A2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vXWbDAAAA2wAAAA8AAAAAAAAAAAAA&#10;AAAAoQIAAGRycy9kb3ducmV2LnhtbFBLBQYAAAAABAAEAPkAAACRAwAAAAA=&#10;" strokecolor="#4a7ebb"/>
                <v:shape id="TextBox 57" o:spid="_x0000_s1046" type="#_x0000_t202" style="position:absolute;left:3178;top:33149;width:356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NssMA&#10;AADbAAAADwAAAGRycy9kb3ducmV2LnhtbESPwW7CMBBE70j8g7VIvYEDghYCBlW0SNxKAx+wipc4&#10;JF5HsQtpv75GQuI4mpk3mtWms7W4UutLxwrGowQEce50yYWC03E3nIPwAVlj7ZgU/JKHzbrfW2Gq&#10;3Y2/6ZqFQkQI+xQVmBCaVEqfG7LoR64hjt7ZtRZDlG0hdYu3CLe1nCTJq7RYclww2NDWUF5lP1bB&#10;PLFfVbWYHLyd/o1nZvvhPpuLUi+D7n0JIlAXnuFHe68VTN/g/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pNssMAAADbAAAADwAAAAAAAAAAAAAAAACYAgAAZHJzL2Rv&#10;d25yZXYueG1sUEsFBgAAAAAEAAQA9QAAAIgDA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140</w:t>
                        </w:r>
                      </w:p>
                    </w:txbxContent>
                  </v:textbox>
                </v:shape>
                <v:line id="Straight Connector 48" o:spid="_x0000_s1047" style="position:absolute;visibility:visible;mso-wrap-style:square" from="7645,29243" to="10308,2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oG8IAAADaAAAADwAAAGRycy9kb3ducmV2LnhtbESPQWsCMRSE7wX/Q3gFbzVbxdKuxmUR&#10;BA8e1Bba4zN53SzdvKybqOu/N4LQ4zAz3zDzoneNOFMXas8KXkcZCGLtTc2Vgq/P1cs7iBCRDTae&#10;ScGVAhSLwdMcc+MvvKPzPlYiQTjkqMDG2OZSBm3JYRj5ljh5v75zGJPsKmk6vCS4a+Q4y96kw5rT&#10;gsWWlpb03/7kFHxb3Gy3+hDJT35KbSpj/PFDqeFzX85AROrjf/jRXhsFU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ToG8IAAADaAAAADwAAAAAAAAAAAAAA&#10;AAChAgAAZHJzL2Rvd25yZXYueG1sUEsFBgAAAAAEAAQA+QAAAJADAAAAAA==&#10;" strokecolor="#4a7ebb"/>
                <v:shape id="TextBox 59" o:spid="_x0000_s1048" type="#_x0000_t202" style="position:absolute;left:3141;top:27966;width:3569;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x9BsIA&#10;AADaAAAADwAAAGRycy9kb3ducmV2LnhtbESP3YrCMBSE7wXfIRzBO00VFbdrFPEH9k7X3Qc4NMem&#10;tjkpTdS6T28EYS+HmfmGWaxaW4kbNb5wrGA0TEAQZ04XnCv4/dkP5iB8QNZYOSYFD/KwWnY7C0y1&#10;u/M33U4hFxHCPkUFJoQ6ldJnhiz6oauJo3d2jcUQZZNL3eA9wm0lx0kykxYLjgsGa9oYysrT1SqY&#10;J/ZQlh/jo7eTv9HUbLZuV1+U6vfa9SeIQG34D7/bX1rBD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H0GwgAAANoAAAAPAAAAAAAAAAAAAAAAAJgCAABkcnMvZG93&#10;bnJldi54bWxQSwUGAAAAAAQABAD1AAAAhwM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120</w:t>
                        </w:r>
                      </w:p>
                    </w:txbxContent>
                  </v:textbox>
                </v:shape>
                <v:line id="Straight Connector 50" o:spid="_x0000_s1049" style="position:absolute;visibility:visible;mso-wrap-style:square" from="7766,39169" to="10428,3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T98IAAADaAAAADwAAAGRycy9kb3ducmV2LnhtbESPQWsCMRSE7wX/Q3gFbzVbBduuxmUR&#10;BA8e1Bba4zN53SzdvKybqOu/N4LQ4zAz3zDzoneNOFMXas8KXkcZCGLtTc2Vgq/P1cs7iBCRDTae&#10;ScGVAhSLwdMcc+MvvKPzPlYiQTjkqMDG2OZSBm3JYRj5ljh5v75zGJPsKmk6vCS4a+Q4y6bSYc1p&#10;wWJLS0v6b39yCr4tbrZbfYjkJz+lNpUx/vih1PC5L2cgIvXxP/xor42CN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rT98IAAADaAAAADwAAAAAAAAAAAAAA&#10;AAChAgAAZHJzL2Rvd25yZXYueG1sUEsFBgAAAAAEAAQA+QAAAJADAAAAAA==&#10;" strokecolor="#4a7ebb"/>
                <v:shape id="TextBox 61" o:spid="_x0000_s1050" type="#_x0000_t202" style="position:absolute;left:3150;top:37932;width:356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160</w:t>
                        </w:r>
                      </w:p>
                    </w:txbxContent>
                  </v:textbox>
                </v:shape>
                <v:shape id="TextBox 64" o:spid="_x0000_s1051" type="#_x0000_t202" style="position:absolute;left:15896;top:30040;width:4022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iZMIA&#10;AADaAAAADwAAAGRycy9kb3ducmV2LnhtbESP3YrCMBSE7wXfIRxh7zTVC+l2m4o/FFYQYbs+wKE5&#10;tsXmpDRR69sbQfBymJlvmHQ1mFbcqHeNZQXzWQSCuLS64UrB6T+fxiCcR9bYWiYFD3KwysajFBNt&#10;7/xHt8JXIkDYJaig9r5LpHRlTQbdzHbEwTvb3qAPsq+k7vEe4KaViyhaSoMNh4UaO9rWVF6Kq1Gw&#10;Wefx8brvlnN3iI+HUx7v8sIp9TUZ1j8gPA3+E363f7WCb3hdCT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6JkwgAAANoAAAAPAAAAAAAAAAAAAAAAAJgCAABkcnMvZG93&#10;bnJldi54bWxQSwUGAAAAAAQABAD1AAAAhwMAAAAA&#10;" fillcolor="#f2f2f2" strokecolor="#4f81bd">
                  <v:textbox style="mso-fit-shape-to-text:t">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128.6 – 129.6 kHz (129.1 kHz, Europe): Radio Ripple Control (Note 3)</w:t>
                        </w:r>
                      </w:p>
                    </w:txbxContent>
                  </v:textbox>
                </v:shape>
                <v:shape id="TextBox 66" o:spid="_x0000_s1052" type="#_x0000_t202" style="position:absolute;left:14767;top:31723;width:2145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aq8MA&#10;AADbAAAADwAAAGRycy9kb3ducmV2LnhtbESPQWvCQBCF74X+h2UKvRTd6KFIdJVSERShYuIPGLJj&#10;spidDdlV03/vHARvM7w3732zWA2+VTfqowtsYDLOQBFXwTquDZzKzWgGKiZki21gMvBPEVbL97cF&#10;5jbc+Ui3ItVKQjjmaKBJqcu1jlVDHuM4dMSinUPvMcna19r2eJdw3+ppln1rj46locGOfhuqLsXV&#10;G1ify42rTsfAej9z2WH/tSvKP2M+P4afOahEQ3qZn9dbK/hCL7/IA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2aq8MAAADbAAAADwAAAAAAAAAAAAAAAACYAgAAZHJzL2Rv&#10;d25yZXYueG1sUEsFBgAAAAAEAAQA9QAAAIgDAAAAAA==&#10;" fillcolor="#fdeada" strokecolor="#4f81bd">
                  <v:textbox style="mso-fit-shape-to-text:t">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135.7 – 137.8 kHz: Amateur radio (Note 4)</w:t>
                        </w:r>
                      </w:p>
                    </w:txbxContent>
                  </v:textbox>
                </v:shape>
                <v:shape id="TextBox 67" o:spid="_x0000_s1053" type="#_x0000_t202" style="position:absolute;left:17258;top:21499;width:28498;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hYcAA&#10;AADbAAAADwAAAGRycy9kb3ducmV2LnhtbERPzWrCQBC+F/oOyxS8lLrRllKiq5SC4MFLrA8wzY5J&#10;NDsbdicmvr1bELzNx/c7y/XoWnWhEBvPBmbTDBRx6W3DlYHD7+btC1QUZIutZzJwpQjr1fPTEnPr&#10;By7ospdKpRCOORqoRbpc61jW5DBOfUecuKMPDiXBUGkbcEjhrtXzLPvUDhtODTV29FNTed73zkAh&#10;w2tZyOlo3d/7ddfbLPQfZ2MmL+P3ApTQKA/x3b21af4M/n9J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EhYcAAAADbAAAADwAAAAAAAAAAAAAAAACYAgAAZHJzL2Rvd25y&#10;ZXYueG1sUEsFBgAAAAAEAAQA9QAAAIUDAAAAAA==&#10;" fillcolor="#95b3d7"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it-IT"/>
                          </w:rPr>
                          <w:t>90 – 110 kHz : Maritime radio (LORAN-C)   (Note 2)</w:t>
                        </w:r>
                      </w:p>
                    </w:txbxContent>
                  </v:textbox>
                </v:shape>
                <v:shape id="TextBox 68" o:spid="_x0000_s1054" type="#_x0000_t202" style="position:absolute;left:13773;top:23695;width:39821;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bNcMA&#10;AADbAAAADwAAAGRycy9kb3ducmV2LnhtbERPTWvCQBC9C/6HZYReSt0oUiR1I2IQ2oOlxqLXITvJ&#10;hmZnQ3arsb++Wyh4m8f7nNV6sK24UO8bxwpm0wQEcel0w7WCz+PuaQnCB2SNrWNScCMP62w8WmGq&#10;3ZUPdClCLWII+xQVmBC6VEpfGrLop64jjlzleoshwr6WusdrDLetnCfJs7TYcGww2NHWUPlVfFsF&#10;+WlBi/dz+Tjkbwa34edjn1cbpR4mw+YFRKAh3MX/7lcd58/h75d4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6bNcMAAADbAAAADwAAAAAAAAAAAAAAAACYAgAAZHJzL2Rv&#10;d25yZXYueG1sUEsFBgAAAAAEAAQA9QAAAIgDAAAAAA==&#10;" fillcolor="#dce6f2" strokecolor="#4f81bd">
                  <v:textbox style="mso-fit-shape-to-text:t">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99.75 - 102.5 kHz (100 kHz, China): Std freq and time signal (Notes 1)</w:t>
                        </w:r>
                      </w:p>
                    </w:txbxContent>
                  </v:textbox>
                </v:shape>
                <v:shape id="TextBox 69" o:spid="_x0000_s1055" type="#_x0000_t202" style="position:absolute;left:37927;top:36585;width:18936;height:7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AysAA&#10;AADbAAAADwAAAGRycy9kb3ducmV2LnhtbERPS4vCMBC+C/sfwgh701QFka5RRFiQXS++Dnsbm7EN&#10;NpPQZG3990YQvM3H95z5srO1uFETjGMFo2EGgrhw2nCp4Hj4HsxAhIissXZMCu4UYLn46M0x167l&#10;Hd32sRQphEOOCqoYfS5lKCqyGIbOEyfu4hqLMcGmlLrBNoXbWo6zbCotGk4NFXpaV1Rc9/9WwclH&#10;8/NbtH/+sjXTbHu+H66TtVKf/W71BSJSF9/il3uj0/wJPH9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7AysAAAADbAAAADwAAAAAAAAAAAAAAAACYAgAAZHJzL2Rvd25y&#10;ZXYueG1sUEsFBgAAAAAEAAQA9QAAAIUDAAAAAA==&#10;" fillcolor="#e6b9b8" strokecolor="#4f81bd">
                  <v:textbox>
                    <w:txbxContent>
                      <w:p w:rsidR="005D267F" w:rsidRPr="005D267F" w:rsidRDefault="005D267F" w:rsidP="005D267F">
                        <w:pPr>
                          <w:pStyle w:val="NormalWeb"/>
                          <w:spacing w:before="0" w:beforeAutospacing="0" w:after="0" w:afterAutospacing="0"/>
                          <w:rPr>
                            <w:rFonts w:ascii="Calibri" w:hAnsi="Calibri" w:cs="Times New Roman"/>
                            <w:color w:val="000000"/>
                            <w:kern w:val="24"/>
                            <w:sz w:val="16"/>
                            <w:szCs w:val="16"/>
                          </w:rPr>
                        </w:pPr>
                      </w:p>
                      <w:p w:rsidR="005D267F" w:rsidRPr="005D267F" w:rsidRDefault="005D267F" w:rsidP="005D267F">
                        <w:pPr>
                          <w:pStyle w:val="NormalWeb"/>
                          <w:spacing w:before="0" w:beforeAutospacing="0" w:after="0" w:afterAutospacing="0"/>
                          <w:rPr>
                            <w:rFonts w:ascii="Calibri" w:hAnsi="Calibri" w:cs="Times New Roman"/>
                            <w:color w:val="000000"/>
                            <w:kern w:val="24"/>
                            <w:sz w:val="16"/>
                            <w:szCs w:val="16"/>
                          </w:rPr>
                        </w:pPr>
                      </w:p>
                      <w:p w:rsidR="005D267F" w:rsidRPr="005D267F" w:rsidRDefault="005D267F" w:rsidP="005D267F">
                        <w:pPr>
                          <w:pStyle w:val="NormalWeb"/>
                          <w:spacing w:before="0" w:beforeAutospacing="0" w:after="0" w:afterAutospacing="0"/>
                          <w:rPr>
                            <w:rFonts w:ascii="Calibri" w:hAnsi="Calibri" w:cs="Times New Roman"/>
                            <w:color w:val="000000"/>
                            <w:kern w:val="24"/>
                            <w:sz w:val="16"/>
                            <w:szCs w:val="16"/>
                          </w:rPr>
                        </w:pPr>
                      </w:p>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148.5 – 283.5 kHz (Region 1): AM broadcast services (Note 5)</w:t>
                        </w:r>
                      </w:p>
                    </w:txbxContent>
                  </v:textbox>
                </v:shape>
                <v:shape id="TextBox 70" o:spid="_x0000_s1056" type="#_x0000_t202" style="position:absolute;left:13861;top:38279;width:39821;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m2sMA&#10;AADbAAAADwAAAGRycy9kb3ducmV2LnhtbERPTWvCQBC9F/oflin0IrppCVKimyAGoT1UrIpeh+yY&#10;Dc3OhuyqaX99VxB6m8f7nHkx2FZcqPeNYwUvkwQEceV0w7WC/W41fgPhA7LG1jEp+CEPRf74MMdM&#10;uyt/0WUbahFD2GeowITQZVL6ypBFP3EdceROrrcYIuxrqXu8xnDbytckmUqLDccGgx0tDVXf27NV&#10;UB5SStfHajSUHwaX4XfzWZ4WSj0/DYsZiEBD+Bff3e86zk/h9ks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um2sMAAADbAAAADwAAAAAAAAAAAAAAAACYAgAAZHJzL2Rv&#10;d25yZXYueG1sUEsFBgAAAAAEAAQA9QAAAIgDAAAAAA==&#10;" fillcolor="#dce6f2"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157.5 – 166.5 kHz (162 kHz, France): Std freq and time signal (Note 1)</w:t>
                        </w:r>
                      </w:p>
                    </w:txbxContent>
                  </v:textbox>
                </v:shape>
                <v:shape id="TextBox 73" o:spid="_x0000_s1057" type="#_x0000_t202" style="position:absolute;left:20767;top:63676;width:36097;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RGMIA&#10;AADbAAAADwAAAGRycy9kb3ducmV2LnhtbERPTWvCQBC9C/0PyxR6041KpKSuUqpWb2LaS29DdroJ&#10;yc6G7KrRX+8Kgrd5vM+ZL3vbiBN1vnKsYDxKQBAXTldsFPz+bIbvIHxA1tg4JgUX8rBcvAzmmGl3&#10;5gOd8mBEDGGfoYIyhDaT0hclWfQj1xJH7t91FkOEnZG6w3MMt42cJMlMWqw4NpTY0ldJRZ0frYLN&#10;1UwL9z1J07rdblf7v/XY7Gql3l77zw8QgfrwFD/cOx3np3D/JR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lEYwgAAANsAAAAPAAAAAAAAAAAAAAAAAJgCAABkcnMvZG93&#10;bnJldi54bWxQSwUGAAAAAAQABAD1AAAAhwMAAAAA&#10;" fillcolor="#e6b9b8"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de-DE"/>
                          </w:rPr>
                          <w:t>1605.5 – 1705 kHz (Region 2): AM broadcast services (Note 5)</w:t>
                        </w:r>
                      </w:p>
                    </w:txbxContent>
                  </v:textbox>
                </v:shape>
                <v:shape id="TextBox 79" o:spid="_x0000_s1058" type="#_x0000_t202" style="position:absolute;left:2463;top:48720;width:3578;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400</w:t>
                        </w:r>
                      </w:p>
                    </w:txbxContent>
                  </v:textbox>
                </v:shape>
                <v:shape id="TextBox 80" o:spid="_x0000_s1059" type="#_x0000_t202" style="position:absolute;left:2347;top:42303;width:3578;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300</w:t>
                        </w:r>
                      </w:p>
                    </w:txbxContent>
                  </v:textbox>
                </v:shape>
                <v:shape id="TextBox 82" o:spid="_x0000_s1060" type="#_x0000_t202" style="position:absolute;left:2497;top:55205;width:3577;height:2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500</w:t>
                        </w:r>
                      </w:p>
                    </w:txbxContent>
                  </v:textbox>
                </v:shape>
                <v:shape id="TextBox 83" o:spid="_x0000_s1061" type="#_x0000_t202" style="position:absolute;left:17258;top:49471;width:3569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risAA&#10;AADbAAAADwAAAGRycy9kb3ducmV2LnhtbERPS27CMBDdI/UO1lTqDpwWgWgaB1UVn24JOcA0HpKo&#10;8TiyHUg5Pa6ExG6e3ney9Wg6cSbnW8sKXmcJCOLK6pZrBeVxO12B8AFZY2eZFPyRh3X+NMkw1fbC&#10;BzoXoRYxhH2KCpoQ+lRKXzVk0M9sTxy5k3UGQ4SultrhJYabTr4lyVIabDk2NNjTV0PVbzEYBZt5&#10;fXW4J39alMVQbn+uu244KvXyPH5+gAg0hof47v7Wcf47/P8SD5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9risAAAADbAAAADwAAAAAAAAAAAAAAAACYAgAAZHJzL2Rvd25y&#10;ZXYueG1sUEsFBgAAAAAEAAQA9QAAAIUDAAAAAA==&#10;" fillcolor="#b9cde5"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 xml:space="preserve">424 kHz, 490 kHz, 518 kHz : Maritime radio (NAVTEX) (Note 2) </w:t>
                        </w:r>
                      </w:p>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495 – 505 kHz: Maritime radio (NAVDAT) (Note 2)</w:t>
                        </w:r>
                      </w:p>
                    </w:txbxContent>
                  </v:textbox>
                </v:shape>
                <v:shape id="TextBox 84" o:spid="_x0000_s1062" type="#_x0000_t202" style="position:absolute;left:14793;top:52752;width:23440;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uzsIA&#10;AADbAAAADwAAAGRycy9kb3ducmV2LnhtbERPS2vCQBC+F/oflin0UuqmHiRGVymlhUJFiAq9jtnJ&#10;A7OzaXY16b93DoLHj++9XI+uVRfqQ+PZwNskAUVceNtwZeCw/3pNQYWIbLH1TAb+KcB69fiwxMz6&#10;gXO67GKlJIRDhgbqGLtM61DU5DBMfEcsXOl7h1FgX2nb4yDhrtXTJJlphw1LQ40dfdRUnHZnJ73z&#10;v580L89luhmOuT78vvDpc2vM89P4vgAVaYx38c39bQ1MZb18kR+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7OwgAAANsAAAAPAAAAAAAAAAAAAAAAAJgCAABkcnMvZG93&#10;bnJldi54bWxQSwUGAAAAAAQABAD1AAAAhwMAAAAA&#10;" fillcolor="#fdeada"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rPr>
                          <w:t>472 – 479 kHz: Amateur radio (Note 4)</w:t>
                        </w:r>
                      </w:p>
                    </w:txbxContent>
                  </v:textbox>
                </v:shape>
                <v:shape id="TextBox 86" o:spid="_x0000_s1063" type="#_x0000_t202" style="position:absolute;left:20767;top:56791;width:36097;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8EsUA&#10;AADbAAAADwAAAGRycy9kb3ducmV2LnhtbESPT2vCQBTE70K/w/IK3nSjYijRTZC2/rlJbS/eHtnn&#10;JiT7NmS3Gvvpu4WCx2FmfsOsi8G24kq9rx0rmE0TEMSl0zUbBV+f28kLCB+QNbaOScGdPBT502iN&#10;mXY3/qDrKRgRIewzVFCF0GVS+rIii37qOuLoXVxvMUTZG6l7vEW4beU8SVJpsea4UGFHrxWVzenb&#10;Ktj+mEXpdvPlsun2+7fj+X1mDo1S4+dhswIRaAiP8H/7oBWkK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rwSxQAAANsAAAAPAAAAAAAAAAAAAAAAAJgCAABkcnMv&#10;ZG93bnJldi54bWxQSwUGAAAAAAQABAD1AAAAigMAAAAA&#10;" fillcolor="#e6b9b8"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de-DE"/>
                          </w:rPr>
                          <w:t>525 kHz - 526.5 kHz (Region 2): AM broadcast services (Note 5)</w:t>
                        </w:r>
                      </w:p>
                    </w:txbxContent>
                  </v:textbox>
                </v:shape>
                <v:shape id="TextBox 87" o:spid="_x0000_s1064" type="#_x0000_t202" style="position:absolute;left:37887;top:58743;width:189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psQA&#10;AADbAAAADwAAAGRycy9kb3ducmV2LnhtbESPT2vCQBTE7wW/w/IEb3WTFEuJriL+vxWtF2+P7HMT&#10;kn0bsluNfvpuodDjMDO/YWaL3jbiRp2vHCtIxwkI4sLpio2C89f29QOED8gaG8ek4EEeFvPBywxz&#10;7e58pNspGBEh7HNUUIbQ5lL6oiSLfuxa4uhdXWcxRNkZqTu8R7htZJYk79JixXGhxJZWJRX16dsq&#10;2D7NW+F22WRSt/v9+vOySc2hVmo07JdTEIH68B/+ax+0giyF3y/x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nabEAAAA2wAAAA8AAAAAAAAAAAAAAAAAmAIAAGRycy9k&#10;b3ducmV2LnhtbFBLBQYAAAAABAAEAPUAAACJAwAAAAA=&#10;" fillcolor="#e6b9b8" strokecolor="#4f81bd">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de-DE"/>
                          </w:rPr>
                          <w:t xml:space="preserve">526.5 – 1606.5 kHz (Global): </w:t>
                        </w:r>
                      </w:p>
                      <w:p w:rsidR="005D267F" w:rsidRDefault="005D267F" w:rsidP="005D267F">
                        <w:pPr>
                          <w:pStyle w:val="NormalWeb"/>
                          <w:spacing w:before="0" w:beforeAutospacing="0" w:after="0" w:afterAutospacing="0"/>
                        </w:pPr>
                        <w:r w:rsidRPr="005D267F">
                          <w:rPr>
                            <w:rFonts w:ascii="Calibri" w:hAnsi="Calibri" w:cs="Times New Roman"/>
                            <w:color w:val="000000"/>
                            <w:kern w:val="24"/>
                            <w:sz w:val="18"/>
                            <w:szCs w:val="18"/>
                            <w:lang w:val="de-DE"/>
                          </w:rPr>
                          <w:t>AM broadcast services (Note 5)</w:t>
                        </w:r>
                      </w:p>
                    </w:txbxContent>
                  </v:textbox>
                </v:shape>
                <v:group id="Group 68" o:spid="_x0000_s1065" style="position:absolute;left:6943;top:45696;width:5271;height:1481" coordorigin="6943,45696" coordsize="7879,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69" o:spid="_x0000_s1066" style="position:absolute;left:6943;top:45696;width:7880;height: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ZH8IA&#10;AADbAAAADwAAAGRycy9kb3ducmV2LnhtbESPQWvCQBSE74L/YXmCN92oUErqRkpB6cFDm5aen9nX&#10;TUj2bdjdJvHfuwXB4zAz3zD7w2Q7MZAPjWMFm3UGgrhyumGj4PvruHoGESKyxs4xKbhSgEMxn+0x&#10;127kTxrKaESCcMhRQR1jn0sZqposhrXriZP367zFmKQ3UnscE9x2cptlT9Jiw2mhxp7eaqra8s8q&#10;GM6bj4ve/bSmPEXjR7x0Br1Sy8X0+gIi0hQf4Xv7XSvY7uD/S/oB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kfwgAAANsAAAAPAAAAAAAAAAAAAAAAAJgCAABkcnMvZG93&#10;bnJldi54bWxQSwUGAAAAAAQABAD1AAAAhwMAAAAA&#10;" fillcolor="window" stroked="f" strokeweight="2pt"/>
                  <v:shape id="Freeform: Shape 70" o:spid="_x0000_s1067" style="position:absolute;left:7650;top:45898;width:5545;height:898;visibility:visible;mso-wrap-style:square;v-text-anchor:middle" coordsize="5904689,203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U37oA&#10;AADbAAAADwAAAGRycy9kb3ducmV2LnhtbERPSwrCMBDdC94hjOBOU12oVKOIKLhR8HOAoRmb0mZS&#10;kqj19mYhuHy8/2rT2Ua8yIfKsYLJOANBXDhdcangfjuMFiBCRNbYOCYFHwqwWfd7K8y1e/OFXtdY&#10;ihTCIUcFJsY2lzIUhiyGsWuJE/dw3mJM0JdSe3yncNvIaZbNpMWKU4PBlnaGivr6tArOTe3C/nTY&#10;lQblE+/1fE+dV2o46LZLEJG6+Bf/3EetYJ7Wpy/pB8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hRU37oAAADbAAAADwAAAAAAAAAAAAAAAACYAgAAZHJzL2Rvd25yZXYueG1s&#10;UEsFBgAAAAAEAAQA9QAAAH8DAAAAAA==&#10;" path="m,933892c251298,646926,502596,359960,739302,204318,976008,48676,1177047,-1584,1420238,37v243191,1621,538264,53502,778213,214008c2438400,374551,2658894,716641,2859932,963075v201038,246434,306421,551234,544749,729575c3643009,1870991,3989962,2037982,4289898,2033118v299936,-4864,645268,-189689,914400,-369651c5473430,1483505,5689059,1218426,5904689,953347e" filled="f" strokecolor="#385d8a" strokeweight="2pt">
                    <v:path arrowok="t" o:connecttype="custom" o:connectlocs="0,41245;69424,9024;133366,2;206444,9453;268560,42534;319714,74756;402839,89792;488705,73467;554475,42104" o:connectangles="0,0,0,0,0,0,0,0,0"/>
                  </v:shape>
                </v:group>
                <v:group id="Group 71" o:spid="_x0000_s1068" style="position:absolute;left:6635;top:40583;width:5271;height:1481" coordorigin="6635,40583" coordsize="7879,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2" o:spid="_x0000_s1069" style="position:absolute;left:6635;top:40583;width:7880;height: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TmcIA&#10;AADbAAAADwAAAGRycy9kb3ducmV2LnhtbESPQWsCMRSE7wX/Q3hCbzWrBSurUUSoePBQt8Xzc/PM&#10;Lm5eliTdXf99Iwg9DjPzDbPaDLYRHflQO1YwnWQgiEunazYKfr4/3xYgQkTW2DgmBXcKsFmPXlaY&#10;a9fziboiGpEgHHJUUMXY5lKGsiKLYeJa4uRdnbcYk/RGao99gttGzrJsLi3WnBYqbGlXUXkrfq2C&#10;7jj9uuj3880U+2h8j5fGoFfqdTxslyAiDfE//GwftIKPG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hOZwgAAANsAAAAPAAAAAAAAAAAAAAAAAJgCAABkcnMvZG93&#10;bnJldi54bWxQSwUGAAAAAAQABAD1AAAAhwMAAAAA&#10;" fillcolor="window" stroked="f" strokeweight="2pt"/>
                  <v:shape id="Freeform: Shape 73" o:spid="_x0000_s1070" style="position:absolute;left:7244;top:40583;width:5545;height:898;visibility:visible;mso-wrap-style:square;v-text-anchor:middle" coordsize="5904689,203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KqMEA&#10;AADbAAAADwAAAGRycy9kb3ducmV2LnhtbESP3YrCMBSE74V9h3AW9k7T3QVdusYiRcEbBX8e4NAc&#10;m9LmpCRR69sbQfBymJlvmHkx2E5cyYfGsYLvSQaCuHK64VrB6bge/4EIEVlj55gU3ClAsfgYzTHX&#10;7sZ7uh5iLRKEQ44KTIx9LmWoDFkME9cTJ+/svMWYpK+l9nhLcNvJnyybSosNpwWDPZWGqvZwsQp2&#10;XevCarsua4Pygqd2tqLBK/X1OSz/QUQa4jv8am+0gtkvPL+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GyqjBAAAA2wAAAA8AAAAAAAAAAAAAAAAAmAIAAGRycy9kb3du&#10;cmV2LnhtbFBLBQYAAAAABAAEAPUAAACGAwAAAAA=&#10;" path="m,933892c251298,646926,502596,359960,739302,204318,976008,48676,1177047,-1584,1420238,37v243191,1621,538264,53502,778213,214008c2438400,374551,2658894,716641,2859932,963075v201038,246434,306421,551234,544749,729575c3643009,1870991,3989962,2037982,4289898,2033118v299936,-4864,645268,-189689,914400,-369651c5473430,1483505,5689059,1218426,5904689,953347e" filled="f" strokecolor="#385d8a" strokeweight="2pt">
                    <v:path arrowok="t" o:connecttype="custom" o:connectlocs="0,41245;69423,9024;133366,2;206443,9453;268559,42534;319713,74756;402839,89792;488704,73467;554474,42104" o:connectangles="0,0,0,0,0,0,0,0,0"/>
                  </v:shape>
                </v:group>
                <v:group id="Group 74" o:spid="_x0000_s1071" style="position:absolute;left:6635;top:51373;width:5271;height:1481" coordorigin="6635,51373" coordsize="7879,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6" o:spid="_x0000_s1072" style="position:absolute;left:6635;top:51373;width:7880;height: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VmsIA&#10;AADbAAAADwAAAGRycy9kb3ducmV2LnhtbESPQWsCMRSE74X+h/CE3mpWBVtWo0hB8dCDrtLzc/PM&#10;Lm5eliTubv99Iwg9DjPzDbNcD7YRHflQO1YwGWcgiEunazYKzqft+yeIEJE1No5JwS8FWK9eX5aY&#10;a9fzkboiGpEgHHJUUMXY5lKGsiKLYexa4uRdnbcYk/RGao99gttGTrNsLi3WnBYqbOmrovJW3K2C&#10;7ntyuOjZz80Uu2h8j5fGoFfqbTRsFiAiDfE//GzvtYKPOTy+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RWawgAAANsAAAAPAAAAAAAAAAAAAAAAAJgCAABkcnMvZG93&#10;bnJldi54bWxQSwUGAAAAAAQABAD1AAAAhwMAAAAA&#10;" fillcolor="window" stroked="f" strokeweight="2pt"/>
                  <v:shape id="Freeform: Shape 77" o:spid="_x0000_s1073" style="position:absolute;left:7244;top:51373;width:5545;height:898;visibility:visible;mso-wrap-style:square;v-text-anchor:middle" coordsize="5904689,203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Mq8EA&#10;AADbAAAADwAAAGRycy9kb3ducmV2LnhtbESP3YrCMBSE74V9h3AWvNPUvdhK17SIKOzNCv48wKE5&#10;25Q2JyWJWt/eCIKXw8x8w6yq0fbiSj60jhUs5hkI4trplhsF59NutgQRIrLG3jEpuFOAqvyYrLDQ&#10;7sYHuh5jIxKEQ4EKTIxDIWWoDVkMczcQJ+/feYsxSd9I7fGW4LaXX1n2LS22nBYMDrQxVHfHi1Ww&#10;7zsXtn+7TWNQXvDc5VsavVLTz3H9AyLSGN/hV/tXK8hzeH5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9zKvBAAAA2wAAAA8AAAAAAAAAAAAAAAAAmAIAAGRycy9kb3du&#10;cmV2LnhtbFBLBQYAAAAABAAEAPUAAACGAwAAAAA=&#10;" path="m,933892c251298,646926,502596,359960,739302,204318,976008,48676,1177047,-1584,1420238,37v243191,1621,538264,53502,778213,214008c2438400,374551,2658894,716641,2859932,963075v201038,246434,306421,551234,544749,729575c3643009,1870991,3989962,2037982,4289898,2033118v299936,-4864,645268,-189689,914400,-369651c5473430,1483505,5689059,1218426,5904689,953347e" filled="f" strokecolor="#385d8a" strokeweight="2pt">
                    <v:path arrowok="t" o:connecttype="custom" o:connectlocs="0,41245;69423,9024;133366,2;206443,9453;268559,42534;319713,74756;402839,89792;488704,73467;554474,42104" o:connectangles="0,0,0,0,0,0,0,0,0"/>
                  </v:shape>
                </v:group>
                <v:group id="Group 78" o:spid="_x0000_s1074" style="position:absolute;left:6850;top:63304;width:5271;height:1481" coordorigin="6850,63304" coordsize="7879,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075" style="position:absolute;left:6850;top:63304;width:7879;height: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B6MIA&#10;AADbAAAADwAAAGRycy9kb3ducmV2LnhtbESPQWsCMRSE7wX/Q3gFbzVrBWu3RpGC4sGDXcXzc/Oa&#10;Xdy8LEnc3f77Rij0OMzMN8xyPdhGdORD7VjBdJKBIC6drtkoOJ+2LwsQISJrbByTgh8KsF6NnpaY&#10;a9fzF3VFNCJBOOSooIqxzaUMZUUWw8S1xMn7dt5iTNIbqT32CW4b+Zplc2mx5rRQYUufFZW34m4V&#10;dIfp8apnl5spdtH4Hq+NQa/U+HnYfICINMT/8F97rxW8vcP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oHowgAAANsAAAAPAAAAAAAAAAAAAAAAAJgCAABkcnMvZG93&#10;bnJldi54bWxQSwUGAAAAAAQABAD1AAAAhwMAAAAA&#10;" fillcolor="window" stroked="f" strokeweight="2pt"/>
                  <v:shape id="Freeform: Shape 80" o:spid="_x0000_s1076" style="position:absolute;left:7458;top:63304;width:5545;height:898;visibility:visible;mso-wrap-style:square;v-text-anchor:middle" coordsize="5904689,203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k+LoA&#10;AADbAAAADwAAAGRycy9kb3ducmV2LnhtbERPSwrCMBDdC94hjOBOU12oVKOIKLhR8HOAoRmb0mZS&#10;kqj19mYhuHy8/2rT2Ua8yIfKsYLJOANBXDhdcangfjuMFiBCRNbYOCYFHwqwWfd7K8y1e/OFXtdY&#10;ihTCIUcFJsY2lzIUhiyGsWuJE/dw3mJM0JdSe3yncNvIaZbNpMWKU4PBlnaGivr6tArOTe3C/nTY&#10;lQblE+/1fE+dV2o46LZLEJG6+Bf/3EetYJHWpy/pB8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8Ek+LoAAADbAAAADwAAAAAAAAAAAAAAAACYAgAAZHJzL2Rvd25yZXYueG1s&#10;UEsFBgAAAAAEAAQA9QAAAH8DAAAAAA==&#10;" path="m,933892c251298,646926,502596,359960,739302,204318,976008,48676,1177047,-1584,1420238,37v243191,1621,538264,53502,778213,214008c2438400,374551,2658894,716641,2859932,963075v201038,246434,306421,551234,544749,729575c3643009,1870991,3989962,2037982,4289898,2033118v299936,-4864,645268,-189689,914400,-369651c5473430,1483505,5689059,1218426,5904689,953347e" filled="f" strokecolor="#385d8a" strokeweight="2pt">
                    <v:path arrowok="t" o:connecttype="custom" o:connectlocs="0,41245;69423,9024;133366,2;206443,9453;268559,42534;319713,74756;402839,89792;488704,73467;554474,42104" o:connectangles="0,0,0,0,0,0,0,0,0"/>
                  </v:shape>
                </v:group>
                <v:shape id="TextBox 133" o:spid="_x0000_s1077" type="#_x0000_t202" style="position:absolute;width:7232;height:4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5D267F" w:rsidRDefault="005D267F" w:rsidP="005D267F">
                        <w:pPr>
                          <w:pStyle w:val="NormalWeb"/>
                          <w:spacing w:before="0" w:beforeAutospacing="0" w:after="0" w:afterAutospacing="0"/>
                        </w:pPr>
                        <w:r w:rsidRPr="005D267F">
                          <w:rPr>
                            <w:rFonts w:ascii="Calibri" w:hAnsi="Calibri" w:cs="Times New Roman"/>
                            <w:color w:val="000000"/>
                            <w:kern w:val="24"/>
                            <w:sz w:val="20"/>
                            <w:szCs w:val="20"/>
                          </w:rPr>
                          <w:t>Frequency</w:t>
                        </w:r>
                      </w:p>
                      <w:p w:rsidR="005D267F" w:rsidRDefault="005D267F" w:rsidP="005D267F">
                        <w:pPr>
                          <w:pStyle w:val="NormalWeb"/>
                          <w:spacing w:before="0" w:beforeAutospacing="0" w:after="0" w:afterAutospacing="0"/>
                        </w:pPr>
                        <w:r w:rsidRPr="005D267F">
                          <w:rPr>
                            <w:rFonts w:ascii="Calibri" w:hAnsi="Calibri" w:cs="Times New Roman"/>
                            <w:color w:val="000000"/>
                            <w:kern w:val="24"/>
                            <w:sz w:val="20"/>
                            <w:szCs w:val="20"/>
                          </w:rPr>
                          <w:t>(kHz)</w:t>
                        </w:r>
                      </w:p>
                    </w:txbxContent>
                  </v:textbox>
                </v:shape>
                <v:shape id="TextBox 65" o:spid="_x0000_s1078" type="#_x0000_t202" style="position:absolute;left:15896;top:33318;width:40227;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OGsEA&#10;AADbAAAADwAAAGRycy9kb3ducmV2LnhtbESP3YrCMBSE7xd8h3AE79ZULyRUo/hDQUGErT7AoTm2&#10;xeakNFHr2xtB2MthZr5hFqveNuJBna8da5iMExDEhTM1lxou5+xXgfAB2WDjmDS8yMNqOfhZYGrc&#10;k//okYdSRAj7FDVUIbSplL6oyKIfu5Y4elfXWQxRdqU0HT4j3DZymiQzabHmuFBhS9uKilt+txo2&#10;60yd7od2NvFHdTpeMrXLcq/1aNiv5yAC9eE//G3vjQY1hc+X+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ThrBAAAA2wAAAA8AAAAAAAAAAAAAAAAAmAIAAGRycy9kb3du&#10;cmV2LnhtbFBLBQYAAAAABAAEAPUAAACGAwAAAAA=&#10;" fillcolor="#f2f2f2" strokecolor="#4f81bd">
                  <v:textbox style="mso-fit-shape-to-text:t">
                    <w:txbxContent>
                      <w:p w:rsidR="005D267F" w:rsidRDefault="005D267F" w:rsidP="005D267F">
                        <w:pPr>
                          <w:pStyle w:val="NormalWeb"/>
                          <w:spacing w:before="0" w:beforeAutospacing="0" w:after="0" w:afterAutospacing="0" w:line="160" w:lineRule="exact"/>
                        </w:pPr>
                        <w:r w:rsidRPr="005D267F">
                          <w:rPr>
                            <w:rFonts w:ascii="Calibri" w:hAnsi="Calibri" w:cs="Times New Roman"/>
                            <w:color w:val="000000"/>
                            <w:kern w:val="24"/>
                            <w:sz w:val="18"/>
                            <w:szCs w:val="18"/>
                          </w:rPr>
                          <w:t>138.5 – 139.5 kHz (139 kHz, Europe): Radio Ripple Control (Note 3)</w:t>
                        </w:r>
                      </w:p>
                    </w:txbxContent>
                  </v:textbox>
                </v:shape>
                <w10:anchorlock/>
              </v:group>
            </w:pict>
          </mc:Fallback>
        </mc:AlternateContent>
      </w:r>
    </w:p>
    <w:p w:rsidR="005D267F" w:rsidRDefault="005D267F" w:rsidP="005D267F">
      <w:pPr>
        <w:spacing w:before="120"/>
        <w:jc w:val="center"/>
        <w:rPr>
          <w:rFonts w:eastAsia="MS Mincho"/>
          <w:lang w:eastAsia="ja-JP"/>
        </w:rPr>
      </w:pPr>
    </w:p>
    <w:p w:rsidR="005D267F" w:rsidRPr="00014971" w:rsidRDefault="005D267F" w:rsidP="005D267F">
      <w:pPr>
        <w:numPr>
          <w:ilvl w:val="0"/>
          <w:numId w:val="70"/>
        </w:numPr>
        <w:spacing w:line="216" w:lineRule="auto"/>
        <w:ind w:left="567"/>
        <w:rPr>
          <w:rFonts w:ascii="MS PGothic" w:eastAsia="MS PGothic" w:hAnsi="MS PGothic" w:cs="MS PGothic"/>
          <w:sz w:val="16"/>
          <w:szCs w:val="16"/>
          <w:lang w:eastAsia="ja-JP"/>
        </w:rPr>
      </w:pPr>
      <w:r w:rsidRPr="005D267F">
        <w:rPr>
          <w:rFonts w:ascii="Calibri" w:eastAsia="SimSun" w:hAnsi="Calibri"/>
          <w:color w:val="000000"/>
          <w:kern w:val="24"/>
          <w:sz w:val="16"/>
          <w:szCs w:val="16"/>
          <w:lang w:eastAsia="ja-JP"/>
        </w:rPr>
        <w:t xml:space="preserve">Note 1: Amplitude modulation (BCD); The clocks and watches that periodically receive digital signals of the standard time transmitted from the standard-time-signal transmitting stations to synchronize and adjust own time. </w:t>
      </w:r>
    </w:p>
    <w:p w:rsidR="005D267F" w:rsidRPr="00014971" w:rsidRDefault="005D267F" w:rsidP="005D267F">
      <w:pPr>
        <w:numPr>
          <w:ilvl w:val="0"/>
          <w:numId w:val="70"/>
        </w:numPr>
        <w:spacing w:line="216" w:lineRule="auto"/>
        <w:ind w:left="567"/>
        <w:rPr>
          <w:rFonts w:ascii="MS PGothic" w:eastAsia="MS PGothic" w:hAnsi="MS PGothic" w:cs="MS PGothic"/>
          <w:sz w:val="16"/>
          <w:szCs w:val="16"/>
          <w:lang w:eastAsia="ja-JP"/>
        </w:rPr>
      </w:pPr>
      <w:r w:rsidRPr="005D267F">
        <w:rPr>
          <w:rFonts w:ascii="Calibri" w:eastAsia="SimSun" w:hAnsi="Calibri"/>
          <w:color w:val="000000"/>
          <w:kern w:val="24"/>
          <w:sz w:val="16"/>
          <w:szCs w:val="16"/>
          <w:lang w:eastAsia="ja-JP"/>
        </w:rPr>
        <w:t>Note 2: Pulse, FSK etc. Radio system that secures safety of vessel operation which is used at port and harbor or on the sea.</w:t>
      </w:r>
    </w:p>
    <w:p w:rsidR="005D267F" w:rsidRPr="00014971" w:rsidRDefault="005D267F" w:rsidP="005D267F">
      <w:pPr>
        <w:numPr>
          <w:ilvl w:val="0"/>
          <w:numId w:val="70"/>
        </w:numPr>
        <w:spacing w:line="216" w:lineRule="auto"/>
        <w:ind w:left="567"/>
        <w:rPr>
          <w:rFonts w:ascii="MS PGothic" w:eastAsia="MS PGothic" w:hAnsi="MS PGothic" w:cs="MS PGothic"/>
          <w:sz w:val="16"/>
          <w:szCs w:val="16"/>
          <w:lang w:eastAsia="ja-JP"/>
        </w:rPr>
      </w:pPr>
      <w:r w:rsidRPr="005D267F">
        <w:rPr>
          <w:rFonts w:ascii="Calibri" w:eastAsia="SimSun" w:hAnsi="Calibri"/>
          <w:color w:val="000000"/>
          <w:kern w:val="24"/>
          <w:sz w:val="16"/>
          <w:szCs w:val="16"/>
          <w:lang w:eastAsia="ja-JP"/>
        </w:rPr>
        <w:t xml:space="preserve">Note 3: A radio system used for load / demand control of electricity, which communicates over the electrical distribution system. </w:t>
      </w:r>
    </w:p>
    <w:p w:rsidR="005D267F" w:rsidRPr="00014971" w:rsidRDefault="005D267F" w:rsidP="005D267F">
      <w:pPr>
        <w:numPr>
          <w:ilvl w:val="0"/>
          <w:numId w:val="70"/>
        </w:numPr>
        <w:spacing w:line="216" w:lineRule="auto"/>
        <w:ind w:left="567"/>
        <w:rPr>
          <w:rFonts w:ascii="MS PGothic" w:eastAsia="MS PGothic" w:hAnsi="MS PGothic" w:cs="MS PGothic"/>
          <w:sz w:val="16"/>
          <w:szCs w:val="16"/>
          <w:lang w:eastAsia="ja-JP"/>
        </w:rPr>
      </w:pPr>
      <w:r w:rsidRPr="005D267F">
        <w:rPr>
          <w:rFonts w:ascii="Calibri" w:eastAsia="SimSun" w:hAnsi="Calibri"/>
          <w:color w:val="000000"/>
          <w:kern w:val="24"/>
          <w:sz w:val="16"/>
          <w:szCs w:val="16"/>
          <w:lang w:eastAsia="ja-JP"/>
        </w:rPr>
        <w:t>Note 4: Radio service with transmitter and receiver devices used for technology research and training of amateur radio operators.</w:t>
      </w:r>
    </w:p>
    <w:p w:rsidR="005D267F" w:rsidRPr="00014971" w:rsidRDefault="005D267F" w:rsidP="005D267F">
      <w:pPr>
        <w:numPr>
          <w:ilvl w:val="0"/>
          <w:numId w:val="70"/>
        </w:numPr>
        <w:spacing w:line="216" w:lineRule="auto"/>
        <w:ind w:left="567"/>
        <w:rPr>
          <w:rFonts w:ascii="MS PGothic" w:eastAsia="MS PGothic" w:hAnsi="MS PGothic" w:cs="MS PGothic"/>
          <w:sz w:val="16"/>
          <w:szCs w:val="16"/>
          <w:lang w:eastAsia="ja-JP"/>
        </w:rPr>
      </w:pPr>
      <w:r w:rsidRPr="005D267F">
        <w:rPr>
          <w:rFonts w:ascii="Calibri" w:eastAsia="SimSun" w:hAnsi="Calibri"/>
          <w:color w:val="000000"/>
          <w:kern w:val="24"/>
          <w:sz w:val="16"/>
          <w:szCs w:val="16"/>
          <w:lang w:eastAsia="ja-JP"/>
        </w:rPr>
        <w:t>Note 5: Note 6: Amplitude modulation; Audio broadcasting service with receiver devices which use long wave or medium wave band.</w:t>
      </w:r>
    </w:p>
    <w:p w:rsidR="005D267F" w:rsidRPr="003D65A7" w:rsidRDefault="005D267F" w:rsidP="005D267F">
      <w:pPr>
        <w:spacing w:before="120"/>
        <w:jc w:val="center"/>
        <w:rPr>
          <w:lang w:eastAsia="ja-JP"/>
        </w:rPr>
      </w:pPr>
      <w:r w:rsidRPr="003D65A7">
        <w:rPr>
          <w:rFonts w:eastAsia="MS Mincho"/>
          <w:lang w:eastAsia="ja-JP"/>
        </w:rPr>
        <w:t>Figure 5.1</w:t>
      </w:r>
      <w:r w:rsidRPr="003D65A7">
        <w:rPr>
          <w:lang w:eastAsia="ja-JP"/>
        </w:rPr>
        <w:t xml:space="preserve"> </w:t>
      </w:r>
      <w:r>
        <w:rPr>
          <w:lang w:eastAsia="ja-JP"/>
        </w:rPr>
        <w:t>Global and regional s</w:t>
      </w:r>
      <w:r w:rsidRPr="003D65A7">
        <w:rPr>
          <w:lang w:eastAsia="ja-JP"/>
        </w:rPr>
        <w:t>pectrum use of incumbent radiocommunication services and systems</w:t>
      </w:r>
    </w:p>
    <w:p w:rsidR="005D267F" w:rsidRPr="005D267F" w:rsidRDefault="005D267F" w:rsidP="005D267F">
      <w:pPr>
        <w:ind w:firstLine="720"/>
        <w:rPr>
          <w:rFonts w:ascii="Calibri" w:eastAsia="SimSun" w:hAnsi="Calibri"/>
          <w:sz w:val="22"/>
          <w:szCs w:val="22"/>
          <w:lang w:eastAsia="ja-JP"/>
        </w:rPr>
      </w:pPr>
    </w:p>
    <w:p w:rsidR="005D267F" w:rsidRPr="005D267F" w:rsidRDefault="005D267F" w:rsidP="005D267F">
      <w:pPr>
        <w:rPr>
          <w:rFonts w:eastAsia="SimSun"/>
          <w:szCs w:val="22"/>
          <w:lang w:eastAsia="ja-JP"/>
        </w:rPr>
      </w:pPr>
      <w:r w:rsidRPr="005D267F">
        <w:rPr>
          <w:rFonts w:eastAsia="SimSun"/>
          <w:szCs w:val="22"/>
          <w:lang w:eastAsia="ja-JP"/>
        </w:rPr>
        <w:br w:type="page"/>
      </w:r>
    </w:p>
    <w:p w:rsidR="005D267F" w:rsidRPr="00CC71C5" w:rsidRDefault="005D267F" w:rsidP="005D267F">
      <w:pPr>
        <w:spacing w:after="120"/>
        <w:jc w:val="center"/>
        <w:rPr>
          <w:rFonts w:eastAsia="MS Mincho"/>
          <w:i/>
          <w:szCs w:val="22"/>
          <w:lang w:eastAsia="ja-JP"/>
        </w:rPr>
      </w:pPr>
      <w:r w:rsidRPr="005D267F">
        <w:rPr>
          <w:rFonts w:eastAsia="SimSun"/>
          <w:szCs w:val="22"/>
          <w:lang w:eastAsia="ja-JP"/>
        </w:rPr>
        <w:lastRenderedPageBreak/>
        <w:t>Table 5.</w:t>
      </w:r>
      <w:r w:rsidRPr="003D65A7">
        <w:rPr>
          <w:rFonts w:eastAsia="MS Mincho"/>
          <w:szCs w:val="22"/>
          <w:lang w:eastAsia="ja-JP"/>
        </w:rPr>
        <w:t>1</w:t>
      </w:r>
      <w:r w:rsidRPr="005D267F">
        <w:rPr>
          <w:rFonts w:eastAsia="SimSun"/>
          <w:szCs w:val="22"/>
          <w:lang w:eastAsia="ja-JP"/>
        </w:rPr>
        <w:t xml:space="preserve"> Non-ISM band frequency ranges considered for WPT systems for EV applications characterized by frequency ranges, key parameters, and concerned incumbent systems</w:t>
      </w:r>
    </w:p>
    <w:tbl>
      <w:tblPr>
        <w:tblStyle w:val="TableGrid"/>
        <w:tblW w:w="8901" w:type="dxa"/>
        <w:jc w:val="center"/>
        <w:tblLayout w:type="fixed"/>
        <w:tblLook w:val="04A0" w:firstRow="1" w:lastRow="0" w:firstColumn="1" w:lastColumn="0" w:noHBand="0" w:noVBand="1"/>
      </w:tblPr>
      <w:tblGrid>
        <w:gridCol w:w="1531"/>
        <w:gridCol w:w="3685"/>
        <w:gridCol w:w="3685"/>
      </w:tblGrid>
      <w:tr w:rsidR="005D267F" w:rsidRPr="003D65A7" w:rsidTr="005D267F">
        <w:trPr>
          <w:jc w:val="center"/>
        </w:trPr>
        <w:tc>
          <w:tcPr>
            <w:tcW w:w="1531" w:type="dxa"/>
            <w:shd w:val="clear" w:color="auto" w:fill="C6D9F1"/>
          </w:tcPr>
          <w:p w:rsidR="005D267F" w:rsidRPr="003D65A7" w:rsidRDefault="005D267F" w:rsidP="00AE25FA">
            <w:pPr>
              <w:spacing w:before="40" w:after="40"/>
              <w:rPr>
                <w:sz w:val="20"/>
                <w:szCs w:val="20"/>
              </w:rPr>
            </w:pPr>
          </w:p>
        </w:tc>
        <w:tc>
          <w:tcPr>
            <w:tcW w:w="3685" w:type="dxa"/>
            <w:shd w:val="clear" w:color="auto" w:fill="C6D9F1"/>
          </w:tcPr>
          <w:p w:rsidR="005D267F" w:rsidRPr="003D65A7" w:rsidRDefault="005D267F" w:rsidP="00AE25FA">
            <w:pPr>
              <w:spacing w:before="40" w:after="40"/>
              <w:rPr>
                <w:sz w:val="20"/>
                <w:szCs w:val="20"/>
              </w:rPr>
            </w:pPr>
            <w:r w:rsidRPr="003D65A7">
              <w:rPr>
                <w:sz w:val="20"/>
                <w:szCs w:val="20"/>
              </w:rPr>
              <w:t>Resonant magnetic induction for Electric Passenger Vehicles</w:t>
            </w:r>
          </w:p>
        </w:tc>
        <w:tc>
          <w:tcPr>
            <w:tcW w:w="3685" w:type="dxa"/>
            <w:shd w:val="clear" w:color="auto" w:fill="C6D9F1"/>
          </w:tcPr>
          <w:p w:rsidR="005D267F" w:rsidRPr="003D65A7" w:rsidRDefault="005D267F" w:rsidP="00AE25FA">
            <w:pPr>
              <w:spacing w:before="40" w:after="40"/>
              <w:rPr>
                <w:sz w:val="20"/>
                <w:szCs w:val="20"/>
              </w:rPr>
            </w:pPr>
            <w:r w:rsidRPr="003D65A7">
              <w:rPr>
                <w:sz w:val="20"/>
                <w:szCs w:val="20"/>
              </w:rPr>
              <w:t>Shaped Magnetic Field in Resonance (SMFIR) WPT for Heavy Duty Electric Vehicles</w:t>
            </w:r>
          </w:p>
        </w:tc>
      </w:tr>
      <w:tr w:rsidR="005D267F" w:rsidRPr="003D65A7" w:rsidTr="00AE25FA">
        <w:trPr>
          <w:jc w:val="center"/>
        </w:trPr>
        <w:tc>
          <w:tcPr>
            <w:tcW w:w="1531" w:type="dxa"/>
          </w:tcPr>
          <w:p w:rsidR="005D267F" w:rsidRPr="003D65A7" w:rsidRDefault="005D267F" w:rsidP="00AE25FA">
            <w:pPr>
              <w:spacing w:before="40" w:after="40"/>
              <w:rPr>
                <w:sz w:val="20"/>
                <w:szCs w:val="20"/>
              </w:rPr>
            </w:pPr>
            <w:r w:rsidRPr="003D65A7">
              <w:rPr>
                <w:sz w:val="20"/>
                <w:szCs w:val="20"/>
              </w:rPr>
              <w:t>Frequency Range (including those under study)</w:t>
            </w:r>
          </w:p>
        </w:tc>
        <w:tc>
          <w:tcPr>
            <w:tcW w:w="3685" w:type="dxa"/>
          </w:tcPr>
          <w:p w:rsidR="005D267F" w:rsidRPr="00493A9F" w:rsidRDefault="005D267F" w:rsidP="00AE25FA">
            <w:pPr>
              <w:spacing w:before="40" w:after="40"/>
              <w:rPr>
                <w:sz w:val="20"/>
                <w:szCs w:val="20"/>
              </w:rPr>
            </w:pPr>
            <w:r w:rsidRPr="00493A9F">
              <w:rPr>
                <w:sz w:val="20"/>
                <w:szCs w:val="20"/>
              </w:rPr>
              <w:t>Japan reported the following regulated frequency range:</w:t>
            </w:r>
          </w:p>
          <w:p w:rsidR="005D267F" w:rsidRPr="003D65A7" w:rsidRDefault="005D267F" w:rsidP="00AE25FA">
            <w:pPr>
              <w:spacing w:before="40" w:after="40"/>
              <w:rPr>
                <w:sz w:val="21"/>
                <w:szCs w:val="20"/>
              </w:rPr>
            </w:pPr>
            <w:r w:rsidRPr="00493A9F">
              <w:rPr>
                <w:sz w:val="20"/>
                <w:szCs w:val="20"/>
              </w:rPr>
              <w:t xml:space="preserve">79 kHz – 90 kHz </w:t>
            </w:r>
          </w:p>
          <w:p w:rsidR="005D267F" w:rsidRPr="00606BC8" w:rsidRDefault="005D267F" w:rsidP="00AE25FA">
            <w:pPr>
              <w:spacing w:before="40" w:after="40"/>
              <w:rPr>
                <w:i/>
                <w:sz w:val="20"/>
                <w:szCs w:val="20"/>
              </w:rPr>
            </w:pPr>
            <w:r w:rsidRPr="00A13678">
              <w:rPr>
                <w:sz w:val="20"/>
                <w:szCs w:val="20"/>
              </w:rPr>
              <w:t>In China</w:t>
            </w:r>
            <w:r>
              <w:rPr>
                <w:sz w:val="20"/>
                <w:szCs w:val="20"/>
              </w:rPr>
              <w:t>,</w:t>
            </w:r>
            <w:r w:rsidRPr="00A13678">
              <w:rPr>
                <w:sz w:val="20"/>
                <w:szCs w:val="20"/>
              </w:rPr>
              <w:t xml:space="preserve"> as of September 2017, China Electricity Council </w:t>
            </w:r>
            <w:r>
              <w:rPr>
                <w:sz w:val="20"/>
                <w:szCs w:val="20"/>
              </w:rPr>
              <w:t xml:space="preserve">(CEC) </w:t>
            </w:r>
            <w:r w:rsidRPr="00A13678">
              <w:rPr>
                <w:sz w:val="20"/>
                <w:szCs w:val="20"/>
              </w:rPr>
              <w:t xml:space="preserve">has agreed frequency range selection of 79/81.38-90 kHz. CCSA is </w:t>
            </w:r>
            <w:r w:rsidRPr="000A75F7">
              <w:rPr>
                <w:sz w:val="20"/>
                <w:szCs w:val="20"/>
              </w:rPr>
              <w:t>conducting</w:t>
            </w:r>
            <w:r w:rsidRPr="00A13678">
              <w:rPr>
                <w:sz w:val="20"/>
                <w:szCs w:val="20"/>
              </w:rPr>
              <w:t xml:space="preserve"> sharing and compatibility studies </w:t>
            </w:r>
            <w:r>
              <w:rPr>
                <w:sz w:val="20"/>
                <w:szCs w:val="20"/>
              </w:rPr>
              <w:t xml:space="preserve">of WPT using 79-90 kHz band </w:t>
            </w:r>
            <w:r w:rsidRPr="00A13678">
              <w:rPr>
                <w:sz w:val="20"/>
                <w:szCs w:val="20"/>
              </w:rPr>
              <w:t xml:space="preserve">with incumbent systems. </w:t>
            </w:r>
          </w:p>
        </w:tc>
        <w:tc>
          <w:tcPr>
            <w:tcW w:w="3685" w:type="dxa"/>
          </w:tcPr>
          <w:p w:rsidR="005D267F" w:rsidRDefault="005D267F" w:rsidP="00AE25FA">
            <w:pPr>
              <w:spacing w:before="40" w:after="40"/>
              <w:rPr>
                <w:sz w:val="20"/>
                <w:szCs w:val="20"/>
              </w:rPr>
            </w:pPr>
            <w:r w:rsidRPr="00493A9F">
              <w:rPr>
                <w:sz w:val="20"/>
                <w:szCs w:val="20"/>
              </w:rPr>
              <w:t>Korea reported the following regulated frequency range:</w:t>
            </w:r>
          </w:p>
          <w:p w:rsidR="005D267F" w:rsidRPr="003D65A7" w:rsidRDefault="005D267F" w:rsidP="00AE25FA">
            <w:pPr>
              <w:spacing w:before="40" w:after="40"/>
              <w:rPr>
                <w:sz w:val="20"/>
                <w:szCs w:val="20"/>
              </w:rPr>
            </w:pPr>
            <w:r w:rsidRPr="003D65A7">
              <w:rPr>
                <w:sz w:val="20"/>
                <w:szCs w:val="20"/>
              </w:rPr>
              <w:t>19 kHz – 21 kHz,</w:t>
            </w:r>
          </w:p>
          <w:p w:rsidR="005D267F" w:rsidRPr="003D65A7" w:rsidRDefault="005D267F" w:rsidP="00AE25FA">
            <w:pPr>
              <w:spacing w:before="40" w:after="40"/>
              <w:rPr>
                <w:sz w:val="20"/>
                <w:szCs w:val="20"/>
              </w:rPr>
            </w:pPr>
            <w:r w:rsidRPr="003D65A7">
              <w:rPr>
                <w:sz w:val="20"/>
                <w:szCs w:val="20"/>
              </w:rPr>
              <w:t>59 kHz – 61 kHz</w:t>
            </w:r>
          </w:p>
        </w:tc>
      </w:tr>
      <w:tr w:rsidR="005D267F" w:rsidRPr="003D65A7" w:rsidTr="00AE25FA">
        <w:trPr>
          <w:jc w:val="center"/>
        </w:trPr>
        <w:tc>
          <w:tcPr>
            <w:tcW w:w="1531" w:type="dxa"/>
          </w:tcPr>
          <w:p w:rsidR="005D267F" w:rsidRPr="003D65A7" w:rsidRDefault="005D267F" w:rsidP="00AE25FA">
            <w:pPr>
              <w:spacing w:before="40" w:after="40"/>
              <w:rPr>
                <w:sz w:val="20"/>
                <w:szCs w:val="20"/>
              </w:rPr>
            </w:pPr>
            <w:r w:rsidRPr="003D65A7">
              <w:rPr>
                <w:sz w:val="20"/>
                <w:szCs w:val="20"/>
              </w:rPr>
              <w:t>Application types</w:t>
            </w:r>
          </w:p>
        </w:tc>
        <w:tc>
          <w:tcPr>
            <w:tcW w:w="3685" w:type="dxa"/>
          </w:tcPr>
          <w:p w:rsidR="005D267F" w:rsidRPr="003D65A7" w:rsidRDefault="005D267F" w:rsidP="00AE25FA">
            <w:pPr>
              <w:spacing w:before="40" w:after="40"/>
              <w:rPr>
                <w:sz w:val="20"/>
                <w:szCs w:val="20"/>
              </w:rPr>
            </w:pPr>
            <w:r w:rsidRPr="003D65A7">
              <w:rPr>
                <w:sz w:val="20"/>
                <w:szCs w:val="20"/>
              </w:rPr>
              <w:t>Electric passenger vehicle charging while parking (Static)</w:t>
            </w:r>
          </w:p>
        </w:tc>
        <w:tc>
          <w:tcPr>
            <w:tcW w:w="3685" w:type="dxa"/>
          </w:tcPr>
          <w:p w:rsidR="005D267F" w:rsidRPr="003D65A7" w:rsidRDefault="005D267F" w:rsidP="00AE25FA">
            <w:pPr>
              <w:spacing w:before="40" w:after="40"/>
              <w:rPr>
                <w:sz w:val="20"/>
                <w:szCs w:val="20"/>
              </w:rPr>
            </w:pPr>
            <w:r w:rsidRPr="003D65A7">
              <w:rPr>
                <w:sz w:val="20"/>
                <w:szCs w:val="20"/>
              </w:rPr>
              <w:t>On-line Electric Vehicle (OLEV) (Heavy duty electric vehicle charging while in motion and stopping/parking)</w:t>
            </w:r>
          </w:p>
        </w:tc>
      </w:tr>
      <w:tr w:rsidR="005D267F" w:rsidRPr="003D65A7" w:rsidTr="00AE25FA">
        <w:trPr>
          <w:jc w:val="center"/>
        </w:trPr>
        <w:tc>
          <w:tcPr>
            <w:tcW w:w="1531" w:type="dxa"/>
          </w:tcPr>
          <w:p w:rsidR="005D267F" w:rsidRPr="003D65A7" w:rsidRDefault="005D267F" w:rsidP="00AE25FA">
            <w:pPr>
              <w:spacing w:before="40" w:after="40"/>
              <w:rPr>
                <w:sz w:val="20"/>
                <w:szCs w:val="20"/>
              </w:rPr>
            </w:pPr>
            <w:r w:rsidRPr="003D65A7">
              <w:rPr>
                <w:sz w:val="20"/>
                <w:szCs w:val="20"/>
              </w:rPr>
              <w:t>Technology Principle</w:t>
            </w:r>
          </w:p>
        </w:tc>
        <w:tc>
          <w:tcPr>
            <w:tcW w:w="3685" w:type="dxa"/>
          </w:tcPr>
          <w:p w:rsidR="005D267F" w:rsidRPr="003D65A7" w:rsidRDefault="005D267F" w:rsidP="00AE25FA">
            <w:pPr>
              <w:spacing w:before="40" w:after="40"/>
              <w:rPr>
                <w:sz w:val="20"/>
                <w:szCs w:val="20"/>
              </w:rPr>
            </w:pPr>
            <w:r w:rsidRPr="003D65A7">
              <w:rPr>
                <w:sz w:val="20"/>
                <w:szCs w:val="20"/>
              </w:rPr>
              <w:t>Resonant magnetic induction</w:t>
            </w:r>
          </w:p>
        </w:tc>
        <w:tc>
          <w:tcPr>
            <w:tcW w:w="3685" w:type="dxa"/>
          </w:tcPr>
          <w:p w:rsidR="005D267F" w:rsidRPr="003D65A7" w:rsidRDefault="005D267F" w:rsidP="00AE25FA">
            <w:pPr>
              <w:spacing w:before="40" w:after="40"/>
              <w:rPr>
                <w:sz w:val="20"/>
                <w:szCs w:val="20"/>
              </w:rPr>
            </w:pPr>
            <w:r w:rsidRPr="003D65A7">
              <w:rPr>
                <w:sz w:val="20"/>
                <w:szCs w:val="20"/>
              </w:rPr>
              <w:t>Resonant magnetic induction</w:t>
            </w:r>
          </w:p>
        </w:tc>
      </w:tr>
      <w:tr w:rsidR="005D267F" w:rsidRPr="003D65A7" w:rsidTr="00AE25FA">
        <w:trPr>
          <w:jc w:val="center"/>
        </w:trPr>
        <w:tc>
          <w:tcPr>
            <w:tcW w:w="1531" w:type="dxa"/>
          </w:tcPr>
          <w:p w:rsidR="005D267F" w:rsidRPr="003D65A7" w:rsidRDefault="005D267F" w:rsidP="00AE25FA">
            <w:pPr>
              <w:spacing w:before="40" w:after="40"/>
              <w:rPr>
                <w:sz w:val="20"/>
                <w:szCs w:val="20"/>
              </w:rPr>
            </w:pPr>
            <w:r w:rsidRPr="003D65A7">
              <w:rPr>
                <w:sz w:val="20"/>
                <w:szCs w:val="20"/>
              </w:rPr>
              <w:t>CJK countries under consideration</w:t>
            </w:r>
          </w:p>
        </w:tc>
        <w:tc>
          <w:tcPr>
            <w:tcW w:w="3685" w:type="dxa"/>
          </w:tcPr>
          <w:p w:rsidR="005D267F" w:rsidRPr="003D65A7" w:rsidRDefault="005D267F" w:rsidP="00AE25FA">
            <w:pPr>
              <w:spacing w:before="40" w:after="40"/>
              <w:rPr>
                <w:sz w:val="20"/>
                <w:szCs w:val="20"/>
              </w:rPr>
            </w:pPr>
            <w:r w:rsidRPr="003D65A7">
              <w:rPr>
                <w:sz w:val="20"/>
                <w:szCs w:val="20"/>
              </w:rPr>
              <w:t>Japan issue</w:t>
            </w:r>
            <w:r>
              <w:rPr>
                <w:sz w:val="20"/>
                <w:szCs w:val="20"/>
              </w:rPr>
              <w:t>d</w:t>
            </w:r>
            <w:r w:rsidRPr="003D65A7">
              <w:rPr>
                <w:sz w:val="20"/>
                <w:szCs w:val="20"/>
              </w:rPr>
              <w:t xml:space="preserve"> new rules (technical conditions) for the WPT use in 79 – 90 kHz.</w:t>
            </w:r>
          </w:p>
          <w:p w:rsidR="005D267F" w:rsidRPr="00606BC8" w:rsidRDefault="005D267F" w:rsidP="00AE25FA">
            <w:pPr>
              <w:spacing w:before="40" w:after="40"/>
              <w:rPr>
                <w:i/>
                <w:sz w:val="20"/>
                <w:szCs w:val="20"/>
              </w:rPr>
            </w:pPr>
            <w:r>
              <w:rPr>
                <w:sz w:val="20"/>
                <w:szCs w:val="20"/>
              </w:rPr>
              <w:t>China (</w:t>
            </w:r>
            <w:r w:rsidRPr="004F3150">
              <w:rPr>
                <w:sz w:val="20"/>
                <w:szCs w:val="20"/>
              </w:rPr>
              <w:t>79/81.38-90 kHz</w:t>
            </w:r>
            <w:r>
              <w:rPr>
                <w:sz w:val="20"/>
                <w:szCs w:val="20"/>
              </w:rPr>
              <w:t xml:space="preserve"> under </w:t>
            </w:r>
            <w:r w:rsidRPr="004F3150">
              <w:rPr>
                <w:sz w:val="20"/>
                <w:szCs w:val="20"/>
              </w:rPr>
              <w:t>sharing and compatibility studies</w:t>
            </w:r>
            <w:r>
              <w:rPr>
                <w:sz w:val="20"/>
                <w:szCs w:val="20"/>
              </w:rPr>
              <w:t xml:space="preserve">) </w:t>
            </w:r>
          </w:p>
        </w:tc>
        <w:tc>
          <w:tcPr>
            <w:tcW w:w="3685" w:type="dxa"/>
          </w:tcPr>
          <w:p w:rsidR="005D267F" w:rsidRPr="003D65A7" w:rsidRDefault="005D267F" w:rsidP="00AE25FA">
            <w:pPr>
              <w:spacing w:before="40" w:after="40"/>
              <w:rPr>
                <w:sz w:val="20"/>
                <w:szCs w:val="20"/>
              </w:rPr>
            </w:pPr>
            <w:r w:rsidRPr="003D65A7">
              <w:rPr>
                <w:sz w:val="20"/>
                <w:szCs w:val="20"/>
              </w:rPr>
              <w:t>Korea</w:t>
            </w:r>
          </w:p>
        </w:tc>
      </w:tr>
      <w:tr w:rsidR="005D267F" w:rsidRPr="003D65A7" w:rsidTr="00AE25FA">
        <w:trPr>
          <w:jc w:val="center"/>
        </w:trPr>
        <w:tc>
          <w:tcPr>
            <w:tcW w:w="1531" w:type="dxa"/>
          </w:tcPr>
          <w:p w:rsidR="005D267F" w:rsidRPr="003D65A7" w:rsidRDefault="005D267F" w:rsidP="00AE25FA">
            <w:pPr>
              <w:spacing w:before="40" w:after="40"/>
              <w:rPr>
                <w:sz w:val="20"/>
                <w:szCs w:val="20"/>
              </w:rPr>
            </w:pPr>
            <w:r w:rsidRPr="003D65A7">
              <w:rPr>
                <w:sz w:val="20"/>
                <w:szCs w:val="20"/>
              </w:rPr>
              <w:t>Power Range</w:t>
            </w:r>
          </w:p>
        </w:tc>
        <w:tc>
          <w:tcPr>
            <w:tcW w:w="3685" w:type="dxa"/>
          </w:tcPr>
          <w:p w:rsidR="005D267F" w:rsidRPr="003D65A7" w:rsidRDefault="005D267F" w:rsidP="00AE25FA">
            <w:pPr>
              <w:spacing w:before="40" w:after="40"/>
              <w:rPr>
                <w:sz w:val="20"/>
                <w:szCs w:val="20"/>
              </w:rPr>
            </w:pPr>
            <w:r>
              <w:rPr>
                <w:sz w:val="20"/>
                <w:szCs w:val="20"/>
              </w:rPr>
              <w:t>M</w:t>
            </w:r>
            <w:r w:rsidRPr="003D65A7">
              <w:rPr>
                <w:sz w:val="20"/>
                <w:szCs w:val="20"/>
              </w:rPr>
              <w:t>aximum 7.7 kW; Classes are assumed for passenger vehicle</w:t>
            </w:r>
          </w:p>
          <w:p w:rsidR="005D267F" w:rsidRPr="00606BC8" w:rsidRDefault="005D267F" w:rsidP="00AE25FA">
            <w:pPr>
              <w:spacing w:before="40" w:after="40"/>
              <w:rPr>
                <w:i/>
                <w:sz w:val="20"/>
                <w:szCs w:val="20"/>
              </w:rPr>
            </w:pPr>
          </w:p>
        </w:tc>
        <w:tc>
          <w:tcPr>
            <w:tcW w:w="3685" w:type="dxa"/>
          </w:tcPr>
          <w:p w:rsidR="005D267F" w:rsidRPr="003D65A7" w:rsidRDefault="005D267F" w:rsidP="005D267F">
            <w:pPr>
              <w:pStyle w:val="ListParagraph"/>
              <w:numPr>
                <w:ilvl w:val="0"/>
                <w:numId w:val="54"/>
              </w:numPr>
              <w:spacing w:before="40" w:after="40"/>
              <w:ind w:leftChars="0" w:left="138" w:hanging="138"/>
            </w:pPr>
            <w:r w:rsidRPr="003D65A7">
              <w:t>Minimum power: 75 kW</w:t>
            </w:r>
          </w:p>
          <w:p w:rsidR="005D267F" w:rsidRPr="003D65A7" w:rsidRDefault="005D267F" w:rsidP="005D267F">
            <w:pPr>
              <w:pStyle w:val="ListParagraph"/>
              <w:numPr>
                <w:ilvl w:val="0"/>
                <w:numId w:val="54"/>
              </w:numPr>
              <w:spacing w:before="40" w:after="40"/>
              <w:ind w:leftChars="0" w:left="138" w:hanging="138"/>
            </w:pPr>
            <w:r w:rsidRPr="003D65A7">
              <w:t>Normal Power: 100 kW</w:t>
            </w:r>
          </w:p>
          <w:p w:rsidR="005D267F" w:rsidRPr="003D65A7" w:rsidRDefault="005D267F" w:rsidP="005D267F">
            <w:pPr>
              <w:pStyle w:val="ListParagraph"/>
              <w:numPr>
                <w:ilvl w:val="0"/>
                <w:numId w:val="54"/>
              </w:numPr>
              <w:spacing w:before="40" w:after="40"/>
              <w:ind w:leftChars="0" w:left="138" w:hanging="138"/>
            </w:pPr>
            <w:r w:rsidRPr="003D65A7">
              <w:t>Maximum Power: On developing</w:t>
            </w:r>
          </w:p>
          <w:p w:rsidR="005D267F" w:rsidRPr="003D65A7" w:rsidRDefault="005D267F" w:rsidP="005D267F">
            <w:pPr>
              <w:pStyle w:val="ListParagraph"/>
              <w:numPr>
                <w:ilvl w:val="0"/>
                <w:numId w:val="54"/>
              </w:numPr>
              <w:spacing w:before="40" w:after="40"/>
              <w:ind w:leftChars="0" w:left="138" w:hanging="138"/>
            </w:pPr>
            <w:r w:rsidRPr="003D65A7">
              <w:t>Air gap: 20 cm</w:t>
            </w:r>
          </w:p>
          <w:p w:rsidR="005D267F" w:rsidRPr="003D65A7" w:rsidRDefault="005D267F" w:rsidP="005D267F">
            <w:pPr>
              <w:pStyle w:val="ListParagraph"/>
              <w:numPr>
                <w:ilvl w:val="0"/>
                <w:numId w:val="54"/>
              </w:numPr>
              <w:spacing w:before="40" w:after="40"/>
              <w:ind w:leftChars="0" w:left="138" w:hanging="138"/>
            </w:pPr>
            <w:r w:rsidRPr="003D65A7">
              <w:t>Time and cost saving</w:t>
            </w:r>
          </w:p>
        </w:tc>
      </w:tr>
      <w:tr w:rsidR="005D267F" w:rsidRPr="003D65A7" w:rsidTr="00AE25FA">
        <w:trPr>
          <w:jc w:val="center"/>
        </w:trPr>
        <w:tc>
          <w:tcPr>
            <w:tcW w:w="1531" w:type="dxa"/>
          </w:tcPr>
          <w:p w:rsidR="005D267F" w:rsidRPr="003D65A7" w:rsidRDefault="005D267F" w:rsidP="00AE25FA">
            <w:pPr>
              <w:spacing w:before="40" w:after="40"/>
              <w:rPr>
                <w:sz w:val="20"/>
                <w:szCs w:val="20"/>
              </w:rPr>
            </w:pPr>
            <w:r w:rsidRPr="003D65A7">
              <w:rPr>
                <w:sz w:val="20"/>
                <w:szCs w:val="20"/>
              </w:rPr>
              <w:t>Advantage</w:t>
            </w:r>
          </w:p>
        </w:tc>
        <w:tc>
          <w:tcPr>
            <w:tcW w:w="3685" w:type="dxa"/>
          </w:tcPr>
          <w:p w:rsidR="005D267F" w:rsidRPr="003D65A7" w:rsidRDefault="005D267F" w:rsidP="00AE25FA">
            <w:pPr>
              <w:spacing w:before="40" w:after="40"/>
              <w:rPr>
                <w:sz w:val="20"/>
                <w:szCs w:val="20"/>
              </w:rPr>
            </w:pPr>
            <w:r w:rsidRPr="003D65A7">
              <w:rPr>
                <w:sz w:val="20"/>
                <w:szCs w:val="20"/>
              </w:rPr>
              <w:t>Global harmonized spectrum</w:t>
            </w:r>
          </w:p>
          <w:p w:rsidR="005D267F" w:rsidRPr="003D65A7" w:rsidRDefault="005D267F" w:rsidP="00AE25FA">
            <w:pPr>
              <w:spacing w:before="40" w:after="40"/>
              <w:rPr>
                <w:sz w:val="20"/>
                <w:szCs w:val="20"/>
              </w:rPr>
            </w:pPr>
            <w:r w:rsidRPr="003D65A7">
              <w:rPr>
                <w:sz w:val="20"/>
                <w:szCs w:val="20"/>
              </w:rPr>
              <w:t>Higher power transmission efficiency</w:t>
            </w:r>
          </w:p>
        </w:tc>
        <w:tc>
          <w:tcPr>
            <w:tcW w:w="3685" w:type="dxa"/>
          </w:tcPr>
          <w:p w:rsidR="005D267F" w:rsidRPr="003D65A7" w:rsidRDefault="005D267F" w:rsidP="005D267F">
            <w:pPr>
              <w:pStyle w:val="ListParagraph"/>
              <w:numPr>
                <w:ilvl w:val="0"/>
                <w:numId w:val="54"/>
              </w:numPr>
              <w:spacing w:before="40" w:after="40"/>
              <w:ind w:leftChars="0" w:left="138" w:hanging="138"/>
            </w:pPr>
            <w:r w:rsidRPr="003D65A7">
              <w:t>Increased power transmission efficiency</w:t>
            </w:r>
          </w:p>
          <w:p w:rsidR="005D267F" w:rsidRPr="003D65A7" w:rsidRDefault="005D267F" w:rsidP="005D267F">
            <w:pPr>
              <w:pStyle w:val="ListParagraph"/>
              <w:numPr>
                <w:ilvl w:val="0"/>
                <w:numId w:val="54"/>
              </w:numPr>
              <w:spacing w:before="40" w:after="40"/>
              <w:ind w:leftChars="0" w:left="138" w:hanging="138"/>
            </w:pPr>
            <w:r w:rsidRPr="003D65A7">
              <w:t>Maximized air gap</w:t>
            </w:r>
          </w:p>
          <w:p w:rsidR="005D267F" w:rsidRPr="003D65A7" w:rsidRDefault="005D267F" w:rsidP="005D267F">
            <w:pPr>
              <w:pStyle w:val="ListParagraph"/>
              <w:numPr>
                <w:ilvl w:val="0"/>
                <w:numId w:val="54"/>
              </w:numPr>
              <w:spacing w:before="40" w:after="40"/>
              <w:ind w:leftChars="0" w:left="138" w:hanging="138"/>
            </w:pPr>
            <w:r w:rsidRPr="003D65A7">
              <w:t>Reduced audible noise</w:t>
            </w:r>
          </w:p>
          <w:p w:rsidR="005D267F" w:rsidRPr="003D65A7" w:rsidRDefault="005D267F" w:rsidP="005D267F">
            <w:pPr>
              <w:pStyle w:val="ListParagraph"/>
              <w:numPr>
                <w:ilvl w:val="0"/>
                <w:numId w:val="54"/>
              </w:numPr>
              <w:spacing w:before="40" w:after="40"/>
              <w:ind w:leftChars="0" w:left="138" w:hanging="138"/>
            </w:pPr>
            <w:r w:rsidRPr="003D65A7">
              <w:t>Effective shield design</w:t>
            </w:r>
          </w:p>
          <w:p w:rsidR="005D267F" w:rsidRPr="003D65A7" w:rsidRDefault="005D267F" w:rsidP="005D267F">
            <w:pPr>
              <w:pStyle w:val="ListParagraph"/>
              <w:numPr>
                <w:ilvl w:val="0"/>
                <w:numId w:val="54"/>
              </w:numPr>
              <w:spacing w:before="40" w:after="40"/>
              <w:ind w:leftChars="0" w:left="138" w:hanging="138"/>
            </w:pPr>
            <w:r w:rsidRPr="003D65A7">
              <w:t>Time and cost saving</w:t>
            </w:r>
          </w:p>
        </w:tc>
      </w:tr>
      <w:tr w:rsidR="005D267F" w:rsidRPr="003D65A7" w:rsidTr="00AE25FA">
        <w:trPr>
          <w:jc w:val="center"/>
        </w:trPr>
        <w:tc>
          <w:tcPr>
            <w:tcW w:w="1531" w:type="dxa"/>
          </w:tcPr>
          <w:p w:rsidR="005D267F" w:rsidRPr="003D65A7" w:rsidRDefault="005D267F" w:rsidP="00AE25FA">
            <w:pPr>
              <w:spacing w:before="40" w:after="40"/>
              <w:rPr>
                <w:sz w:val="20"/>
                <w:szCs w:val="20"/>
              </w:rPr>
            </w:pPr>
            <w:r w:rsidRPr="003D65A7">
              <w:rPr>
                <w:sz w:val="20"/>
                <w:szCs w:val="20"/>
              </w:rPr>
              <w:t>Related Alliance/</w:t>
            </w:r>
            <w:r w:rsidRPr="003D65A7">
              <w:rPr>
                <w:sz w:val="20"/>
                <w:szCs w:val="20"/>
              </w:rPr>
              <w:br/>
              <w:t>international standards</w:t>
            </w:r>
          </w:p>
        </w:tc>
        <w:tc>
          <w:tcPr>
            <w:tcW w:w="3685" w:type="dxa"/>
          </w:tcPr>
          <w:p w:rsidR="005D267F" w:rsidRPr="0072643F" w:rsidRDefault="005D267F" w:rsidP="005D267F">
            <w:pPr>
              <w:pStyle w:val="ListParagraph"/>
              <w:numPr>
                <w:ilvl w:val="0"/>
                <w:numId w:val="54"/>
              </w:numPr>
              <w:spacing w:before="40" w:after="40"/>
              <w:ind w:leftChars="0" w:left="138" w:hanging="138"/>
            </w:pPr>
            <w:r w:rsidRPr="00493A9F">
              <w:t>81.38</w:t>
            </w:r>
            <w:r w:rsidRPr="0072643F">
              <w:t>-90 kHz as the primary interest in IEC PT61980 (IEC TC69) and ISO PAS19363 (ISO TC22)</w:t>
            </w:r>
          </w:p>
          <w:p w:rsidR="005D267F" w:rsidRDefault="005D267F" w:rsidP="005D267F">
            <w:pPr>
              <w:pStyle w:val="ListParagraph"/>
              <w:numPr>
                <w:ilvl w:val="0"/>
                <w:numId w:val="54"/>
              </w:numPr>
              <w:spacing w:before="40" w:after="40"/>
              <w:ind w:leftChars="0" w:left="138" w:hanging="138"/>
            </w:pPr>
            <w:r w:rsidRPr="0072643F">
              <w:t>81.38-90 kHz in agreement in SAE J2954</w:t>
            </w:r>
          </w:p>
          <w:p w:rsidR="005D267F" w:rsidRPr="0072643F" w:rsidRDefault="005D267F" w:rsidP="005D267F">
            <w:pPr>
              <w:pStyle w:val="ListParagraph"/>
              <w:numPr>
                <w:ilvl w:val="0"/>
                <w:numId w:val="54"/>
              </w:numPr>
              <w:spacing w:before="40" w:after="40"/>
              <w:ind w:leftChars="0" w:left="138" w:hanging="138"/>
            </w:pPr>
            <w:r>
              <w:t>79-90 kHz is proposed in ITU-R SG1 WP 1A / 1B.</w:t>
            </w:r>
          </w:p>
        </w:tc>
        <w:tc>
          <w:tcPr>
            <w:tcW w:w="3685" w:type="dxa"/>
          </w:tcPr>
          <w:p w:rsidR="005D267F" w:rsidRPr="003D65A7" w:rsidRDefault="005D267F" w:rsidP="00AE25FA">
            <w:pPr>
              <w:spacing w:before="40" w:after="40"/>
              <w:rPr>
                <w:sz w:val="20"/>
                <w:szCs w:val="20"/>
              </w:rPr>
            </w:pPr>
          </w:p>
        </w:tc>
      </w:tr>
      <w:tr w:rsidR="005D267F" w:rsidRPr="003D65A7" w:rsidTr="00AE25FA">
        <w:trPr>
          <w:jc w:val="center"/>
        </w:trPr>
        <w:tc>
          <w:tcPr>
            <w:tcW w:w="1531" w:type="dxa"/>
          </w:tcPr>
          <w:p w:rsidR="005D267F" w:rsidRPr="003D65A7" w:rsidRDefault="005D267F" w:rsidP="00AE25FA">
            <w:pPr>
              <w:spacing w:before="40" w:after="40"/>
              <w:rPr>
                <w:sz w:val="20"/>
                <w:szCs w:val="20"/>
              </w:rPr>
            </w:pPr>
            <w:r w:rsidRPr="003D65A7">
              <w:rPr>
                <w:sz w:val="20"/>
                <w:szCs w:val="20"/>
              </w:rPr>
              <w:t>Domestic concerned incumbents for spectrum sharing</w:t>
            </w:r>
          </w:p>
        </w:tc>
        <w:tc>
          <w:tcPr>
            <w:tcW w:w="3685" w:type="dxa"/>
          </w:tcPr>
          <w:p w:rsidR="005D267F" w:rsidRPr="0072643F" w:rsidRDefault="005D267F" w:rsidP="00AE25FA">
            <w:pPr>
              <w:spacing w:before="40" w:after="40"/>
              <w:rPr>
                <w:sz w:val="20"/>
                <w:szCs w:val="20"/>
              </w:rPr>
            </w:pPr>
            <w:r w:rsidRPr="00493A9F">
              <w:rPr>
                <w:sz w:val="20"/>
                <w:szCs w:val="20"/>
              </w:rPr>
              <w:t>Japan completed studies on the impact studies for the following services</w:t>
            </w:r>
            <w:r w:rsidRPr="0072643F">
              <w:rPr>
                <w:sz w:val="20"/>
                <w:szCs w:val="20"/>
              </w:rPr>
              <w:t>:</w:t>
            </w:r>
          </w:p>
          <w:p w:rsidR="005D267F" w:rsidRPr="0072643F" w:rsidRDefault="005D267F" w:rsidP="005D267F">
            <w:pPr>
              <w:pStyle w:val="ListParagraph"/>
              <w:numPr>
                <w:ilvl w:val="0"/>
                <w:numId w:val="54"/>
              </w:numPr>
              <w:spacing w:before="40" w:after="40"/>
              <w:ind w:leftChars="0" w:left="138" w:hanging="138"/>
            </w:pPr>
            <w:r w:rsidRPr="0072643F">
              <w:t xml:space="preserve">Standard </w:t>
            </w:r>
            <w:r>
              <w:t xml:space="preserve">frequency and time signal devices </w:t>
            </w:r>
            <w:r w:rsidRPr="0072643F">
              <w:t>(40 kHz, 60 kHz)</w:t>
            </w:r>
          </w:p>
          <w:p w:rsidR="005D267F" w:rsidRPr="0072643F" w:rsidRDefault="005D267F" w:rsidP="005D267F">
            <w:pPr>
              <w:pStyle w:val="ListParagraph"/>
              <w:numPr>
                <w:ilvl w:val="0"/>
                <w:numId w:val="54"/>
              </w:numPr>
              <w:spacing w:before="40" w:after="40"/>
              <w:ind w:leftChars="0" w:left="138" w:hanging="138"/>
            </w:pPr>
            <w:r w:rsidRPr="0072643F">
              <w:t>Railway radio systems (10 kHz – 250 kHz)</w:t>
            </w:r>
          </w:p>
          <w:p w:rsidR="005D267F" w:rsidRPr="0072643F" w:rsidRDefault="005D267F" w:rsidP="005D267F">
            <w:pPr>
              <w:pStyle w:val="ListParagraph"/>
              <w:numPr>
                <w:ilvl w:val="0"/>
                <w:numId w:val="54"/>
              </w:numPr>
              <w:spacing w:before="40" w:after="40"/>
              <w:ind w:leftChars="0" w:left="138" w:hanging="138"/>
            </w:pPr>
            <w:r w:rsidRPr="0072643F">
              <w:t>Amateur radio (135.7 kHz – 137.8 kHz)</w:t>
            </w:r>
          </w:p>
          <w:p w:rsidR="005D267F" w:rsidRDefault="005D267F" w:rsidP="005D267F">
            <w:pPr>
              <w:pStyle w:val="ListParagraph"/>
              <w:numPr>
                <w:ilvl w:val="0"/>
                <w:numId w:val="54"/>
              </w:numPr>
              <w:spacing w:before="40" w:after="40"/>
              <w:ind w:leftChars="0" w:left="138" w:hanging="138"/>
            </w:pPr>
            <w:r w:rsidRPr="0072643F">
              <w:t>AM Broadcast (526.5 kHz – 1606.5 kHz)</w:t>
            </w:r>
          </w:p>
          <w:p w:rsidR="005D267F" w:rsidRDefault="005D267F" w:rsidP="00AE25FA">
            <w:pPr>
              <w:spacing w:before="40" w:after="40"/>
            </w:pPr>
          </w:p>
          <w:p w:rsidR="005D267F" w:rsidRPr="009B1592" w:rsidRDefault="005D267F" w:rsidP="00AE25FA">
            <w:pPr>
              <w:spacing w:before="40" w:after="40"/>
            </w:pPr>
            <w:r w:rsidRPr="00A13678">
              <w:rPr>
                <w:sz w:val="20"/>
                <w:szCs w:val="20"/>
              </w:rPr>
              <w:t>China is taking sharing and compatibility studies to assess impact to the following incumbent systems:</w:t>
            </w:r>
          </w:p>
          <w:p w:rsidR="005D267F" w:rsidRDefault="005D267F" w:rsidP="005D267F">
            <w:pPr>
              <w:pStyle w:val="ListParagraph"/>
              <w:numPr>
                <w:ilvl w:val="0"/>
                <w:numId w:val="54"/>
              </w:numPr>
              <w:spacing w:before="40" w:after="40"/>
              <w:ind w:leftChars="0" w:left="203" w:hanging="203"/>
            </w:pPr>
            <w:r>
              <w:t>Loran C</w:t>
            </w:r>
          </w:p>
          <w:p w:rsidR="005D267F" w:rsidRDefault="005D267F" w:rsidP="005D267F">
            <w:pPr>
              <w:pStyle w:val="ListParagraph"/>
              <w:numPr>
                <w:ilvl w:val="0"/>
                <w:numId w:val="54"/>
              </w:numPr>
              <w:spacing w:before="40" w:after="40"/>
              <w:ind w:leftChars="0" w:left="203" w:hanging="203"/>
            </w:pPr>
            <w:r w:rsidRPr="00F23F28">
              <w:lastRenderedPageBreak/>
              <w:t>Standard frequency and time signal devices</w:t>
            </w:r>
            <w:r>
              <w:t xml:space="preserve"> </w:t>
            </w:r>
          </w:p>
          <w:p w:rsidR="005D267F" w:rsidRPr="0072643F" w:rsidRDefault="005D267F" w:rsidP="005D267F">
            <w:pPr>
              <w:pStyle w:val="ListParagraph"/>
              <w:numPr>
                <w:ilvl w:val="0"/>
                <w:numId w:val="54"/>
              </w:numPr>
              <w:spacing w:before="40" w:after="40"/>
              <w:ind w:leftChars="0" w:left="203" w:hanging="203"/>
            </w:pPr>
            <w:r>
              <w:t>Broadcasting services</w:t>
            </w:r>
          </w:p>
        </w:tc>
        <w:tc>
          <w:tcPr>
            <w:tcW w:w="3685" w:type="dxa"/>
          </w:tcPr>
          <w:p w:rsidR="005D267F" w:rsidRPr="003D65A7" w:rsidRDefault="005D267F" w:rsidP="00AE25FA">
            <w:pPr>
              <w:spacing w:before="40" w:after="40"/>
              <w:rPr>
                <w:sz w:val="20"/>
                <w:szCs w:val="20"/>
              </w:rPr>
            </w:pPr>
            <w:r w:rsidRPr="003D65A7">
              <w:rPr>
                <w:sz w:val="20"/>
                <w:szCs w:val="20"/>
              </w:rPr>
              <w:lastRenderedPageBreak/>
              <w:t>Fixed Maritime Mobile (20.25 kHz kHz) Maritime Mobile (20.25.5 kHz), Restricted to Hyperbolic Curve Radio-navigation(DECCA) (84 kHz – 86 kHz)</w:t>
            </w:r>
          </w:p>
        </w:tc>
      </w:tr>
    </w:tbl>
    <w:p w:rsidR="005D267F" w:rsidRPr="003D65A7" w:rsidRDefault="005D267F" w:rsidP="005D267F">
      <w:pPr>
        <w:ind w:firstLine="720"/>
        <w:rPr>
          <w:b/>
        </w:rPr>
      </w:pPr>
    </w:p>
    <w:p w:rsidR="005D267F" w:rsidRPr="00E734B8" w:rsidRDefault="005D267F" w:rsidP="005D267F">
      <w:pPr>
        <w:pStyle w:val="Heading1"/>
        <w:jc w:val="left"/>
      </w:pPr>
      <w:bookmarkStart w:id="20" w:name="_Toc494297296"/>
      <w:r w:rsidRPr="00E734B8">
        <w:t>6. Status of studies on the impact to the incumbent systems in some APT member countries</w:t>
      </w:r>
      <w:bookmarkEnd w:id="20"/>
    </w:p>
    <w:p w:rsidR="005D267F" w:rsidRPr="00E734B8" w:rsidRDefault="005D267F" w:rsidP="005D267F">
      <w:pPr>
        <w:pStyle w:val="Heading2"/>
        <w:rPr>
          <w:rFonts w:ascii="Times New Roman" w:hAnsi="Times New Roman" w:cs="Times New Roman"/>
        </w:rPr>
      </w:pPr>
      <w:bookmarkStart w:id="21" w:name="_Toc494297297"/>
      <w:r w:rsidRPr="00E734B8">
        <w:rPr>
          <w:rFonts w:ascii="Times New Roman" w:hAnsi="Times New Roman" w:cs="Times New Roman"/>
        </w:rPr>
        <w:t>6.</w:t>
      </w:r>
      <w:r>
        <w:rPr>
          <w:rFonts w:ascii="Times New Roman" w:hAnsi="Times New Roman" w:cs="Times New Roman"/>
        </w:rPr>
        <w:t>1</w:t>
      </w:r>
      <w:r w:rsidRPr="00E734B8">
        <w:rPr>
          <w:rFonts w:ascii="Times New Roman" w:hAnsi="Times New Roman" w:cs="Times New Roman"/>
        </w:rPr>
        <w:t xml:space="preserve"> Impact studies in </w:t>
      </w:r>
      <w:r>
        <w:rPr>
          <w:rFonts w:ascii="Times New Roman" w:hAnsi="Times New Roman" w:cs="Times New Roman"/>
        </w:rPr>
        <w:t>China</w:t>
      </w:r>
      <w:bookmarkEnd w:id="21"/>
    </w:p>
    <w:p w:rsidR="005D267F" w:rsidRDefault="005D267F" w:rsidP="005D267F">
      <w:pPr>
        <w:ind w:firstLine="720"/>
        <w:rPr>
          <w:lang w:val="en-GB"/>
        </w:rPr>
      </w:pPr>
      <w:r>
        <w:rPr>
          <w:lang w:val="en-GB"/>
        </w:rPr>
        <w:t xml:space="preserve">CCSA is conducting sharing and compatibility studies </w:t>
      </w:r>
      <w:r>
        <w:rPr>
          <w:rFonts w:eastAsia="SimSun" w:hint="eastAsia"/>
          <w:lang w:val="en-GB" w:eastAsia="zh-CN"/>
        </w:rPr>
        <w:t xml:space="preserve">of </w:t>
      </w:r>
      <w:r>
        <w:rPr>
          <w:rFonts w:eastAsia="SimSun"/>
          <w:lang w:val="en-GB" w:eastAsia="zh-CN"/>
        </w:rPr>
        <w:t>79-90 kHz</w:t>
      </w:r>
      <w:r>
        <w:rPr>
          <w:rFonts w:eastAsia="SimSun" w:hint="eastAsia"/>
          <w:lang w:val="en-GB" w:eastAsia="zh-CN"/>
        </w:rPr>
        <w:t xml:space="preserve"> band</w:t>
      </w:r>
      <w:r>
        <w:rPr>
          <w:lang w:val="en-GB"/>
        </w:rPr>
        <w:t xml:space="preserve"> with incumbent systems</w:t>
      </w:r>
      <w:r>
        <w:rPr>
          <w:rFonts w:eastAsia="SimSun" w:hint="eastAsia"/>
          <w:lang w:val="en-GB" w:eastAsia="zh-CN"/>
        </w:rPr>
        <w:t xml:space="preserve"> </w:t>
      </w:r>
      <w:r>
        <w:rPr>
          <w:lang w:val="en-GB"/>
        </w:rPr>
        <w:t>shown below:</w:t>
      </w:r>
    </w:p>
    <w:p w:rsidR="005D267F" w:rsidRPr="00655E54" w:rsidRDefault="005D267F" w:rsidP="005D267F">
      <w:pPr>
        <w:pStyle w:val="ListParagraph"/>
        <w:numPr>
          <w:ilvl w:val="0"/>
          <w:numId w:val="72"/>
        </w:numPr>
        <w:ind w:leftChars="0"/>
        <w:rPr>
          <w:sz w:val="24"/>
          <w:szCs w:val="24"/>
          <w:lang w:val="en-GB"/>
        </w:rPr>
      </w:pPr>
      <w:r w:rsidRPr="00655E54">
        <w:rPr>
          <w:sz w:val="24"/>
          <w:szCs w:val="24"/>
          <w:lang w:val="en-GB"/>
        </w:rPr>
        <w:t>Loran C</w:t>
      </w:r>
    </w:p>
    <w:p w:rsidR="005D267F" w:rsidRPr="00655E54" w:rsidRDefault="005D267F" w:rsidP="005D267F">
      <w:pPr>
        <w:pStyle w:val="ListParagraph"/>
        <w:numPr>
          <w:ilvl w:val="0"/>
          <w:numId w:val="72"/>
        </w:numPr>
        <w:ind w:leftChars="0"/>
        <w:rPr>
          <w:sz w:val="24"/>
          <w:szCs w:val="24"/>
          <w:lang w:val="en-GB"/>
        </w:rPr>
      </w:pPr>
      <w:r w:rsidRPr="00655E54">
        <w:rPr>
          <w:sz w:val="24"/>
          <w:szCs w:val="24"/>
          <w:lang w:val="en-GB"/>
        </w:rPr>
        <w:t>Standard Frequency and Time Signal</w:t>
      </w:r>
    </w:p>
    <w:p w:rsidR="005D267F" w:rsidRDefault="005D267F" w:rsidP="005D267F">
      <w:pPr>
        <w:pStyle w:val="ListParagraph"/>
        <w:numPr>
          <w:ilvl w:val="0"/>
          <w:numId w:val="72"/>
        </w:numPr>
        <w:ind w:leftChars="0"/>
        <w:rPr>
          <w:sz w:val="24"/>
          <w:szCs w:val="24"/>
          <w:lang w:val="en-GB"/>
        </w:rPr>
      </w:pPr>
      <w:r w:rsidRPr="00655E54">
        <w:rPr>
          <w:sz w:val="24"/>
          <w:szCs w:val="24"/>
          <w:lang w:val="en-GB"/>
        </w:rPr>
        <w:t>Broadcasting services</w:t>
      </w:r>
    </w:p>
    <w:p w:rsidR="005D267F" w:rsidRPr="00655E54" w:rsidRDefault="005D267F" w:rsidP="005D267F">
      <w:pPr>
        <w:pStyle w:val="ListParagraph"/>
        <w:ind w:leftChars="0" w:left="1140"/>
        <w:rPr>
          <w:sz w:val="24"/>
          <w:szCs w:val="24"/>
          <w:lang w:val="en-GB"/>
        </w:rPr>
      </w:pPr>
    </w:p>
    <w:p w:rsidR="005D267F" w:rsidRDefault="005D267F" w:rsidP="005D267F">
      <w:pPr>
        <w:pStyle w:val="Heading2"/>
        <w:rPr>
          <w:rFonts w:ascii="Times New Roman" w:hAnsi="Times New Roman" w:cs="Times New Roman"/>
        </w:rPr>
      </w:pPr>
      <w:bookmarkStart w:id="22" w:name="_Toc494297298"/>
      <w:r w:rsidRPr="00E734B8">
        <w:rPr>
          <w:rFonts w:ascii="Times New Roman" w:hAnsi="Times New Roman" w:cs="Times New Roman"/>
        </w:rPr>
        <w:t>6.</w:t>
      </w:r>
      <w:r>
        <w:rPr>
          <w:rFonts w:ascii="Times New Roman" w:hAnsi="Times New Roman" w:cs="Times New Roman"/>
        </w:rPr>
        <w:t>2</w:t>
      </w:r>
      <w:r w:rsidRPr="00E734B8">
        <w:rPr>
          <w:rFonts w:ascii="Times New Roman" w:hAnsi="Times New Roman" w:cs="Times New Roman"/>
        </w:rPr>
        <w:t xml:space="preserve"> </w:t>
      </w:r>
      <w:r>
        <w:rPr>
          <w:rFonts w:ascii="Times New Roman" w:hAnsi="Times New Roman" w:cs="Times New Roman"/>
        </w:rPr>
        <w:tab/>
        <w:t>S</w:t>
      </w:r>
      <w:r w:rsidRPr="00E734B8">
        <w:rPr>
          <w:rFonts w:ascii="Times New Roman" w:hAnsi="Times New Roman" w:cs="Times New Roman"/>
        </w:rPr>
        <w:t>tud</w:t>
      </w:r>
      <w:r>
        <w:rPr>
          <w:rFonts w:ascii="Times New Roman" w:hAnsi="Times New Roman" w:cs="Times New Roman"/>
        </w:rPr>
        <w:t>y</w:t>
      </w:r>
      <w:r w:rsidRPr="00E734B8">
        <w:rPr>
          <w:rFonts w:ascii="Times New Roman" w:hAnsi="Times New Roman" w:cs="Times New Roman"/>
        </w:rPr>
        <w:t xml:space="preserve"> </w:t>
      </w:r>
      <w:r>
        <w:rPr>
          <w:rFonts w:ascii="Times New Roman" w:hAnsi="Times New Roman" w:cs="Times New Roman"/>
        </w:rPr>
        <w:t xml:space="preserve">results on WPT for passenger EVs </w:t>
      </w:r>
      <w:r w:rsidRPr="00E734B8">
        <w:rPr>
          <w:rFonts w:ascii="Times New Roman" w:hAnsi="Times New Roman" w:cs="Times New Roman"/>
        </w:rPr>
        <w:t>in Japan</w:t>
      </w:r>
      <w:bookmarkEnd w:id="22"/>
    </w:p>
    <w:p w:rsidR="005D267F" w:rsidRPr="005C697A" w:rsidRDefault="005D267F" w:rsidP="005D267F">
      <w:pPr>
        <w:ind w:firstLineChars="295" w:firstLine="708"/>
        <w:jc w:val="both"/>
        <w:rPr>
          <w:rFonts w:eastAsia="MS Mincho"/>
          <w:lang w:eastAsia="ja-JP"/>
        </w:rPr>
      </w:pPr>
      <w:r w:rsidRPr="00125783">
        <w:rPr>
          <w:rFonts w:eastAsia="MS Mincho"/>
          <w:lang w:eastAsia="ja-JP"/>
        </w:rPr>
        <w:t>Japanese national regulations for WPT systems for passenger (light duty) EVs had been published and put into force in March 2016. Since 2013 when this study on the WPT system impact has been initiated</w:t>
      </w:r>
      <w:r>
        <w:rPr>
          <w:rFonts w:eastAsia="MS Mincho"/>
          <w:lang w:eastAsia="ja-JP"/>
        </w:rPr>
        <w:t xml:space="preserve"> at t</w:t>
      </w:r>
      <w:r w:rsidRPr="008A06EA">
        <w:rPr>
          <w:rFonts w:eastAsia="MS Mincho"/>
          <w:lang w:eastAsia="ja-JP"/>
        </w:rPr>
        <w:t>he WPT-Working Group (WG) under MIC’s Committee on Electromagnetic Environment for Radio-wave Utilization</w:t>
      </w:r>
      <w:r w:rsidRPr="00125783">
        <w:rPr>
          <w:rFonts w:eastAsia="MS Mincho"/>
          <w:lang w:eastAsia="ja-JP"/>
        </w:rPr>
        <w:t xml:space="preserve">, WPT systems for passenger EVs using 79-90 kHz range could </w:t>
      </w:r>
      <w:r w:rsidRPr="005C697A">
        <w:rPr>
          <w:rFonts w:eastAsia="MS Mincho"/>
          <w:lang w:eastAsia="ja-JP"/>
        </w:rPr>
        <w:t xml:space="preserve">have </w:t>
      </w:r>
      <w:r w:rsidRPr="00125783">
        <w:rPr>
          <w:rFonts w:eastAsia="MS Mincho"/>
          <w:lang w:eastAsia="ja-JP"/>
        </w:rPr>
        <w:t>demonstrate</w:t>
      </w:r>
      <w:r w:rsidRPr="005C697A">
        <w:rPr>
          <w:rFonts w:eastAsia="MS Mincho"/>
          <w:lang w:eastAsia="ja-JP"/>
        </w:rPr>
        <w:t>d</w:t>
      </w:r>
      <w:r w:rsidRPr="00125783">
        <w:rPr>
          <w:rFonts w:eastAsia="MS Mincho"/>
          <w:lang w:eastAsia="ja-JP"/>
        </w:rPr>
        <w:t xml:space="preserve"> performance not-causing unwanted effect to </w:t>
      </w:r>
      <w:r w:rsidRPr="005C697A">
        <w:rPr>
          <w:rFonts w:eastAsia="MS Mincho"/>
          <w:lang w:eastAsia="ja-JP"/>
        </w:rPr>
        <w:t xml:space="preserve">the concerned incumbent radio systems and services including </w:t>
      </w:r>
      <w:r w:rsidRPr="00125783">
        <w:rPr>
          <w:rFonts w:eastAsia="MS Mincho"/>
          <w:lang w:eastAsia="ja-JP"/>
        </w:rPr>
        <w:t>Standard Frequency and Time Signal devices, AM broadcast</w:t>
      </w:r>
      <w:r w:rsidRPr="005C697A">
        <w:rPr>
          <w:rFonts w:eastAsia="MS Mincho"/>
          <w:lang w:eastAsia="ja-JP"/>
        </w:rPr>
        <w:t>ing services</w:t>
      </w:r>
      <w:r w:rsidRPr="00125783">
        <w:rPr>
          <w:rFonts w:eastAsia="MS Mincho"/>
          <w:lang w:eastAsia="ja-JP"/>
        </w:rPr>
        <w:t xml:space="preserve">, and amateur radios in the defined use cases. </w:t>
      </w:r>
      <w:r>
        <w:rPr>
          <w:rFonts w:eastAsia="MS Mincho"/>
          <w:lang w:eastAsia="ja-JP"/>
        </w:rPr>
        <w:t>Subsequently</w:t>
      </w:r>
      <w:r w:rsidRPr="00125783">
        <w:rPr>
          <w:rFonts w:eastAsia="MS Mincho"/>
          <w:lang w:eastAsia="ja-JP"/>
        </w:rPr>
        <w:t>, the WG reached an agreement on additional technical requirements not to cause harmful interference to railway wireless control systems.</w:t>
      </w:r>
      <w:r w:rsidRPr="005C697A">
        <w:rPr>
          <w:rFonts w:eastAsia="MS Mincho"/>
          <w:lang w:eastAsia="ja-JP"/>
        </w:rPr>
        <w:t xml:space="preserve"> </w:t>
      </w:r>
    </w:p>
    <w:p w:rsidR="005D267F" w:rsidRPr="00125783" w:rsidRDefault="005D267F" w:rsidP="005D267F">
      <w:pPr>
        <w:ind w:firstLineChars="295" w:firstLine="708"/>
        <w:jc w:val="both"/>
        <w:rPr>
          <w:rFonts w:eastAsia="MS Mincho"/>
          <w:lang w:eastAsia="ja-JP"/>
        </w:rPr>
      </w:pPr>
      <w:r w:rsidRPr="005C697A">
        <w:rPr>
          <w:rFonts w:eastAsia="MS Mincho"/>
          <w:lang w:eastAsia="ja-JP"/>
        </w:rPr>
        <w:t>This section describes the latest study results and methodologies taken in the studies on the impact of WPT for passenger EVs to the systems and services shown above.</w:t>
      </w:r>
    </w:p>
    <w:p w:rsidR="005D267F" w:rsidRPr="00125783" w:rsidRDefault="005D267F" w:rsidP="005D267F">
      <w:pPr>
        <w:ind w:firstLineChars="295" w:firstLine="708"/>
        <w:jc w:val="both"/>
        <w:rPr>
          <w:rFonts w:eastAsia="MS Mincho"/>
          <w:lang w:eastAsia="ja-JP"/>
        </w:rPr>
      </w:pPr>
      <w:r w:rsidRPr="00125783">
        <w:rPr>
          <w:rFonts w:eastAsia="MS Mincho"/>
          <w:lang w:eastAsia="ja-JP"/>
        </w:rPr>
        <w:t xml:space="preserve">The impact to the incumbent systems are currently studied in ITU-R WP 1A and WP 1B as well. Japan’s assessment methodologies and Japanese study results till 2016 are described in </w:t>
      </w:r>
      <w:r w:rsidRPr="005C697A">
        <w:rPr>
          <w:rFonts w:eastAsia="MS Mincho"/>
          <w:lang w:eastAsia="ja-JP"/>
        </w:rPr>
        <w:t>the new revision of R</w:t>
      </w:r>
      <w:r>
        <w:rPr>
          <w:rFonts w:eastAsia="MS Mincho"/>
          <w:lang w:eastAsia="ja-JP"/>
        </w:rPr>
        <w:t>eport</w:t>
      </w:r>
      <w:r w:rsidRPr="005C697A">
        <w:rPr>
          <w:rFonts w:eastAsia="MS Mincho"/>
          <w:lang w:eastAsia="ja-JP"/>
        </w:rPr>
        <w:t xml:space="preserve"> ITU-R SM.2303-1</w:t>
      </w:r>
      <w:r w:rsidRPr="00436D9C">
        <w:rPr>
          <w:rFonts w:eastAsia="MS Mincho"/>
          <w:lang w:eastAsia="ja-JP"/>
        </w:rPr>
        <w:t xml:space="preserve"> "Wireless power transmission using technologies other than radio frequency beam" </w:t>
      </w:r>
      <w:r w:rsidRPr="005C697A">
        <w:rPr>
          <w:rFonts w:eastAsia="MS Mincho"/>
          <w:lang w:eastAsia="ja-JP"/>
        </w:rPr>
        <w:t>(</w:t>
      </w:r>
      <w:r>
        <w:rPr>
          <w:rFonts w:eastAsia="MS Mincho"/>
          <w:lang w:eastAsia="ja-JP"/>
        </w:rPr>
        <w:t xml:space="preserve">to be published as </w:t>
      </w:r>
      <w:r w:rsidRPr="005C697A">
        <w:rPr>
          <w:rFonts w:eastAsia="MS Mincho"/>
          <w:lang w:eastAsia="ja-JP"/>
        </w:rPr>
        <w:t>SM.2303-2) which was approved at SG1 in June 2017.</w:t>
      </w:r>
    </w:p>
    <w:p w:rsidR="005D267F" w:rsidRPr="00125783" w:rsidRDefault="005D267F" w:rsidP="005D267F">
      <w:pPr>
        <w:ind w:firstLineChars="295" w:firstLine="708"/>
        <w:jc w:val="both"/>
        <w:rPr>
          <w:rFonts w:eastAsia="MS Mincho"/>
          <w:lang w:eastAsia="ja-JP"/>
        </w:rPr>
      </w:pPr>
    </w:p>
    <w:p w:rsidR="005D267F" w:rsidRPr="00125783" w:rsidRDefault="005D267F" w:rsidP="005D267F">
      <w:pPr>
        <w:pStyle w:val="Heading2"/>
        <w:numPr>
          <w:ilvl w:val="2"/>
          <w:numId w:val="90"/>
        </w:numPr>
        <w:rPr>
          <w:rFonts w:ascii="Times New Roman" w:hAnsi="Times New Roman" w:cs="Times New Roman"/>
        </w:rPr>
      </w:pPr>
      <w:bookmarkStart w:id="23" w:name="_Toc494297169"/>
      <w:bookmarkStart w:id="24" w:name="_Toc494297210"/>
      <w:bookmarkStart w:id="25" w:name="_Toc494297300"/>
      <w:bookmarkStart w:id="26" w:name="_Toc494297172"/>
      <w:bookmarkStart w:id="27" w:name="_Toc494297213"/>
      <w:bookmarkStart w:id="28" w:name="_Toc494297303"/>
      <w:bookmarkStart w:id="29" w:name="_Toc494297304"/>
      <w:bookmarkEnd w:id="23"/>
      <w:bookmarkEnd w:id="24"/>
      <w:bookmarkEnd w:id="25"/>
      <w:bookmarkEnd w:id="26"/>
      <w:bookmarkEnd w:id="27"/>
      <w:bookmarkEnd w:id="28"/>
      <w:r w:rsidRPr="00125783">
        <w:rPr>
          <w:rFonts w:ascii="Times New Roman" w:hAnsi="Times New Roman" w:cs="Times New Roman"/>
        </w:rPr>
        <w:t>Objectives and preconditions for studies</w:t>
      </w:r>
      <w:bookmarkEnd w:id="29"/>
    </w:p>
    <w:p w:rsidR="005D267F" w:rsidRPr="005C697A" w:rsidRDefault="005D267F" w:rsidP="005D267F">
      <w:pPr>
        <w:ind w:firstLineChars="295" w:firstLine="708"/>
        <w:jc w:val="both"/>
        <w:rPr>
          <w:rFonts w:eastAsia="MS Mincho"/>
          <w:lang w:eastAsia="ja-JP"/>
        </w:rPr>
      </w:pPr>
      <w:r w:rsidRPr="005C697A">
        <w:rPr>
          <w:rFonts w:eastAsia="MS Mincho"/>
          <w:lang w:eastAsia="ja-JP"/>
        </w:rPr>
        <w:t>Seeing substantial increasing demand of WPT systems for passenger EVs, in 2013 t</w:t>
      </w:r>
      <w:bookmarkStart w:id="30" w:name="_Hlk492564435"/>
      <w:r w:rsidRPr="009A1284">
        <w:rPr>
          <w:rFonts w:eastAsia="MS Mincho"/>
          <w:lang w:eastAsia="ja-JP"/>
        </w:rPr>
        <w:t>he WG</w:t>
      </w:r>
      <w:bookmarkEnd w:id="30"/>
      <w:r w:rsidRPr="009A1284">
        <w:rPr>
          <w:rFonts w:eastAsia="MS Mincho"/>
          <w:lang w:eastAsia="ja-JP"/>
        </w:rPr>
        <w:t xml:space="preserve"> </w:t>
      </w:r>
      <w:r w:rsidRPr="005C697A">
        <w:rPr>
          <w:rFonts w:eastAsia="MS Mincho"/>
          <w:lang w:eastAsia="ja-JP"/>
        </w:rPr>
        <w:t>initiated</w:t>
      </w:r>
      <w:r w:rsidRPr="009A1284">
        <w:rPr>
          <w:rFonts w:eastAsia="MS Mincho"/>
          <w:lang w:eastAsia="ja-JP"/>
        </w:rPr>
        <w:t xml:space="preserve"> studies on spectrum sharing </w:t>
      </w:r>
      <w:r w:rsidRPr="005C697A">
        <w:rPr>
          <w:rFonts w:eastAsia="MS Mincho"/>
          <w:lang w:eastAsia="ja-JP"/>
        </w:rPr>
        <w:t xml:space="preserve">for WPT for passenger EVs </w:t>
      </w:r>
      <w:r w:rsidRPr="009A1284">
        <w:rPr>
          <w:rFonts w:eastAsia="MS Mincho"/>
          <w:lang w:eastAsia="ja-JP"/>
        </w:rPr>
        <w:t xml:space="preserve">and impact to </w:t>
      </w:r>
      <w:r w:rsidRPr="005C697A">
        <w:rPr>
          <w:rFonts w:eastAsia="MS Mincho"/>
          <w:lang w:eastAsia="ja-JP"/>
        </w:rPr>
        <w:t xml:space="preserve">the incumbent </w:t>
      </w:r>
      <w:r w:rsidRPr="009A1284">
        <w:rPr>
          <w:rFonts w:eastAsia="MS Mincho"/>
          <w:lang w:eastAsia="ja-JP"/>
        </w:rPr>
        <w:t>radiocommunication services.</w:t>
      </w:r>
      <w:r w:rsidRPr="005C697A">
        <w:rPr>
          <w:rFonts w:eastAsia="MS Mincho"/>
          <w:lang w:eastAsia="ja-JP"/>
        </w:rPr>
        <w:t xml:space="preserve"> The WG aimed to provide technical conditions for new rulemaking intended for WPT technologies including suitable frequency ranges and emission limits which shall not cause harmful interference to incumbent radiocommunication s</w:t>
      </w:r>
      <w:r>
        <w:rPr>
          <w:rFonts w:eastAsia="MS Mincho"/>
          <w:lang w:eastAsia="ja-JP"/>
        </w:rPr>
        <w:t>ervice</w:t>
      </w:r>
      <w:r w:rsidRPr="005C697A">
        <w:rPr>
          <w:rFonts w:eastAsia="MS Mincho"/>
          <w:lang w:eastAsia="ja-JP"/>
        </w:rPr>
        <w:t xml:space="preserve">s. Key technical conditions </w:t>
      </w:r>
      <w:r>
        <w:rPr>
          <w:rFonts w:eastAsia="MS Mincho"/>
          <w:lang w:eastAsia="ja-JP"/>
        </w:rPr>
        <w:t xml:space="preserve">agreed at the WG, </w:t>
      </w:r>
      <w:r w:rsidRPr="005C697A">
        <w:rPr>
          <w:rFonts w:eastAsia="MS Mincho"/>
          <w:lang w:eastAsia="ja-JP"/>
        </w:rPr>
        <w:t>such as f</w:t>
      </w:r>
      <w:r w:rsidRPr="009A1284">
        <w:rPr>
          <w:rFonts w:eastAsia="MS Mincho"/>
          <w:lang w:eastAsia="ja-JP"/>
        </w:rPr>
        <w:t>requency ranges and emission limits</w:t>
      </w:r>
      <w:r>
        <w:rPr>
          <w:rFonts w:eastAsia="MS Mincho"/>
          <w:lang w:eastAsia="ja-JP"/>
        </w:rPr>
        <w:t>,</w:t>
      </w:r>
      <w:r w:rsidRPr="009A1284">
        <w:rPr>
          <w:rFonts w:eastAsia="MS Mincho"/>
          <w:lang w:eastAsia="ja-JP"/>
        </w:rPr>
        <w:t xml:space="preserve"> </w:t>
      </w:r>
      <w:r w:rsidRPr="005C697A">
        <w:rPr>
          <w:rFonts w:eastAsia="MS Mincho"/>
          <w:lang w:eastAsia="ja-JP"/>
        </w:rPr>
        <w:t>must</w:t>
      </w:r>
      <w:r w:rsidRPr="009A1284">
        <w:rPr>
          <w:rFonts w:eastAsia="MS Mincho"/>
          <w:lang w:eastAsia="ja-JP"/>
        </w:rPr>
        <w:t xml:space="preserve"> be agreed</w:t>
      </w:r>
      <w:r w:rsidRPr="005C697A">
        <w:rPr>
          <w:rFonts w:eastAsia="MS Mincho"/>
          <w:lang w:eastAsia="ja-JP"/>
        </w:rPr>
        <w:t xml:space="preserve"> and accepted globally and / or regionally</w:t>
      </w:r>
      <w:r>
        <w:rPr>
          <w:rFonts w:eastAsia="MS Mincho"/>
          <w:lang w:eastAsia="ja-JP"/>
        </w:rPr>
        <w:t xml:space="preserve"> as well</w:t>
      </w:r>
      <w:r w:rsidRPr="009A1284">
        <w:rPr>
          <w:rFonts w:eastAsia="MS Mincho"/>
          <w:lang w:eastAsia="ja-JP"/>
        </w:rPr>
        <w:t>.</w:t>
      </w:r>
      <w:r>
        <w:rPr>
          <w:rFonts w:eastAsia="MS Mincho"/>
          <w:lang w:eastAsia="ja-JP"/>
        </w:rPr>
        <w:t xml:space="preserve"> </w:t>
      </w:r>
    </w:p>
    <w:p w:rsidR="005D267F" w:rsidRPr="00885DA7" w:rsidRDefault="005D267F" w:rsidP="005D267F">
      <w:pPr>
        <w:ind w:firstLine="660"/>
        <w:jc w:val="both"/>
        <w:rPr>
          <w:rFonts w:eastAsia="MS Mincho"/>
          <w:lang w:eastAsia="ja-JP"/>
        </w:rPr>
      </w:pPr>
      <w:r w:rsidRPr="009A1284">
        <w:rPr>
          <w:rFonts w:eastAsia="MS Mincho"/>
          <w:lang w:eastAsia="ja-JP"/>
        </w:rPr>
        <w:t>In the studies, e</w:t>
      </w:r>
      <w:r w:rsidRPr="005C697A">
        <w:rPr>
          <w:rFonts w:eastAsia="MS Mincho"/>
          <w:lang w:eastAsia="ja-JP"/>
        </w:rPr>
        <w:t>xisting radiated emission limits specified in current Japan’s radio regulations for inductive cooking heaters wer</w:t>
      </w:r>
      <w:r w:rsidRPr="00885DA7">
        <w:rPr>
          <w:rFonts w:eastAsia="MS Mincho"/>
          <w:lang w:eastAsia="ja-JP"/>
        </w:rPr>
        <w:t xml:space="preserve">e </w:t>
      </w:r>
      <w:r w:rsidRPr="005C697A">
        <w:rPr>
          <w:rFonts w:eastAsia="MS Mincho"/>
          <w:lang w:eastAsia="ja-JP"/>
        </w:rPr>
        <w:t xml:space="preserve">the </w:t>
      </w:r>
      <w:r w:rsidRPr="00885DA7">
        <w:rPr>
          <w:rFonts w:eastAsia="MS Mincho"/>
          <w:lang w:eastAsia="ja-JP"/>
        </w:rPr>
        <w:t xml:space="preserve">baseline specifications </w:t>
      </w:r>
      <w:r w:rsidRPr="009A1284">
        <w:rPr>
          <w:rFonts w:eastAsia="MS Mincho"/>
          <w:lang w:eastAsia="ja-JP"/>
        </w:rPr>
        <w:t xml:space="preserve">when considering </w:t>
      </w:r>
      <w:r w:rsidRPr="00885DA7">
        <w:rPr>
          <w:rFonts w:eastAsia="MS Mincho"/>
          <w:lang w:eastAsia="ja-JP"/>
        </w:rPr>
        <w:t>radiated emission limits for WPT systems.</w:t>
      </w:r>
      <w:r w:rsidRPr="005C697A">
        <w:rPr>
          <w:rFonts w:eastAsia="MS Mincho"/>
          <w:lang w:eastAsia="ja-JP"/>
        </w:rPr>
        <w:t xml:space="preserve"> So far, any harmful disturbances and / or electromagnetic interference to other radiocommunication systems from inductive cooking heaters have not been reported. In addition, the same situation is globally found because commercialized ISM devices and inductive cooking heaters are applying international standards, such as CISPR 11, Group 2, Class B, and/or CISPR 14-1. Specifically, </w:t>
      </w:r>
      <w:r>
        <w:rPr>
          <w:rFonts w:eastAsia="MS Mincho"/>
          <w:lang w:eastAsia="ja-JP"/>
        </w:rPr>
        <w:t xml:space="preserve">almost same levels of </w:t>
      </w:r>
      <w:r w:rsidRPr="00B817C7">
        <w:rPr>
          <w:rFonts w:eastAsia="MS Mincho"/>
          <w:lang w:eastAsia="ja-JP"/>
        </w:rPr>
        <w:t xml:space="preserve">radiated emission limits </w:t>
      </w:r>
      <w:r>
        <w:rPr>
          <w:rFonts w:eastAsia="MS Mincho"/>
          <w:lang w:eastAsia="ja-JP"/>
        </w:rPr>
        <w:t xml:space="preserve">are adopted </w:t>
      </w:r>
      <w:r w:rsidRPr="00B817C7">
        <w:rPr>
          <w:rFonts w:eastAsia="MS Mincho"/>
          <w:lang w:eastAsia="ja-JP"/>
        </w:rPr>
        <w:t>in Japanese regulations for inductive cooking heaters, CISPR 11, Group 2, Class B, and CISPR 14-1</w:t>
      </w:r>
      <w:r w:rsidRPr="003A02E8">
        <w:rPr>
          <w:rFonts w:eastAsia="MS Mincho"/>
          <w:lang w:eastAsia="ja-JP"/>
        </w:rPr>
        <w:t xml:space="preserve">, which </w:t>
      </w:r>
      <w:r w:rsidRPr="00375309">
        <w:rPr>
          <w:rFonts w:eastAsia="MS Mincho"/>
          <w:lang w:eastAsia="ja-JP"/>
        </w:rPr>
        <w:t>offers global harmoniz</w:t>
      </w:r>
      <w:r w:rsidRPr="00802D1B">
        <w:rPr>
          <w:rFonts w:eastAsia="MS Mincho"/>
          <w:lang w:eastAsia="ja-JP"/>
        </w:rPr>
        <w:t xml:space="preserve">ed protection of radio reception from interference sources including WPT systems. </w:t>
      </w:r>
    </w:p>
    <w:p w:rsidR="005D267F" w:rsidRPr="005C697A" w:rsidRDefault="005D267F" w:rsidP="005D267F">
      <w:pPr>
        <w:ind w:firstLine="660"/>
        <w:jc w:val="both"/>
        <w:rPr>
          <w:rFonts w:eastAsia="MS Mincho"/>
          <w:lang w:eastAsia="ja-JP"/>
        </w:rPr>
      </w:pPr>
      <w:r w:rsidRPr="00885DA7">
        <w:rPr>
          <w:rFonts w:eastAsia="MS Mincho"/>
          <w:lang w:eastAsia="ja-JP"/>
        </w:rPr>
        <w:t xml:space="preserve">WPT systems for </w:t>
      </w:r>
      <w:r w:rsidRPr="005C697A">
        <w:rPr>
          <w:rFonts w:eastAsia="MS Mincho"/>
          <w:lang w:eastAsia="ja-JP"/>
        </w:rPr>
        <w:t xml:space="preserve">passenger </w:t>
      </w:r>
      <w:r w:rsidRPr="00885DA7">
        <w:rPr>
          <w:rFonts w:eastAsia="MS Mincho"/>
          <w:lang w:eastAsia="ja-JP"/>
        </w:rPr>
        <w:t xml:space="preserve">EVs </w:t>
      </w:r>
      <w:r w:rsidRPr="005C697A">
        <w:rPr>
          <w:rFonts w:eastAsia="MS Mincho"/>
          <w:lang w:eastAsia="ja-JP"/>
        </w:rPr>
        <w:t xml:space="preserve">are expected to </w:t>
      </w:r>
      <w:r w:rsidRPr="00885DA7">
        <w:rPr>
          <w:rFonts w:eastAsia="MS Mincho"/>
          <w:lang w:eastAsia="ja-JP"/>
        </w:rPr>
        <w:t>be</w:t>
      </w:r>
      <w:r w:rsidRPr="005C697A">
        <w:rPr>
          <w:rFonts w:eastAsia="MS Mincho"/>
          <w:lang w:eastAsia="ja-JP"/>
        </w:rPr>
        <w:t xml:space="preserve"> launched and</w:t>
      </w:r>
      <w:r w:rsidRPr="00885DA7">
        <w:rPr>
          <w:rFonts w:eastAsia="MS Mincho"/>
          <w:lang w:eastAsia="ja-JP"/>
        </w:rPr>
        <w:t xml:space="preserve"> commercialized mainly in urban areas. Therefore, radio environment </w:t>
      </w:r>
      <w:r w:rsidRPr="005C697A">
        <w:rPr>
          <w:rFonts w:eastAsia="MS Mincho"/>
          <w:lang w:eastAsia="ja-JP"/>
        </w:rPr>
        <w:t xml:space="preserve">characteristics </w:t>
      </w:r>
      <w:r w:rsidRPr="00885DA7">
        <w:rPr>
          <w:rFonts w:eastAsia="MS Mincho"/>
          <w:lang w:eastAsia="ja-JP"/>
        </w:rPr>
        <w:t>and usage models in urban a</w:t>
      </w:r>
      <w:r w:rsidRPr="005C697A">
        <w:rPr>
          <w:rFonts w:eastAsia="MS Mincho"/>
          <w:lang w:eastAsia="ja-JP"/>
        </w:rPr>
        <w:t>reas should correctly and suitably be chosen in the</w:t>
      </w:r>
      <w:r w:rsidRPr="00885DA7">
        <w:rPr>
          <w:rFonts w:eastAsia="MS Mincho"/>
          <w:lang w:eastAsia="ja-JP"/>
        </w:rPr>
        <w:t xml:space="preserve"> stud</w:t>
      </w:r>
      <w:r w:rsidRPr="005C697A">
        <w:rPr>
          <w:rFonts w:eastAsia="MS Mincho"/>
          <w:lang w:eastAsia="ja-JP"/>
        </w:rPr>
        <w:t xml:space="preserve">ies. </w:t>
      </w:r>
      <w:r w:rsidRPr="00885DA7">
        <w:rPr>
          <w:rFonts w:eastAsia="MS Mincho"/>
          <w:lang w:eastAsia="ja-JP"/>
        </w:rPr>
        <w:t xml:space="preserve">For example, the </w:t>
      </w:r>
      <w:r w:rsidRPr="005C697A">
        <w:rPr>
          <w:rFonts w:eastAsia="MS Mincho"/>
          <w:lang w:eastAsia="ja-JP"/>
        </w:rPr>
        <w:t xml:space="preserve">required </w:t>
      </w:r>
      <w:r w:rsidRPr="00885DA7">
        <w:rPr>
          <w:rFonts w:eastAsia="MS Mincho"/>
          <w:lang w:eastAsia="ja-JP"/>
        </w:rPr>
        <w:t xml:space="preserve">separation distance </w:t>
      </w:r>
      <w:r w:rsidRPr="005C697A">
        <w:rPr>
          <w:rFonts w:eastAsia="MS Mincho"/>
          <w:lang w:eastAsia="ja-JP"/>
        </w:rPr>
        <w:t xml:space="preserve">assumed for </w:t>
      </w:r>
      <w:r w:rsidRPr="00885DA7">
        <w:rPr>
          <w:rFonts w:eastAsia="MS Mincho"/>
          <w:lang w:eastAsia="ja-JP"/>
        </w:rPr>
        <w:t>the radio</w:t>
      </w:r>
      <w:r w:rsidRPr="009A1284">
        <w:rPr>
          <w:rFonts w:eastAsia="MS Mincho"/>
          <w:lang w:eastAsia="ja-JP"/>
        </w:rPr>
        <w:t xml:space="preserve">communication device was 10 meters as </w:t>
      </w:r>
      <w:r w:rsidRPr="00B817C7">
        <w:rPr>
          <w:rFonts w:eastAsia="MS Mincho"/>
          <w:lang w:eastAsia="ja-JP"/>
        </w:rPr>
        <w:t xml:space="preserve">specified in CISPR 11 </w:t>
      </w:r>
      <w:r w:rsidRPr="00B817C7">
        <w:rPr>
          <w:rFonts w:eastAsia="MS Mincho"/>
          <w:lang w:eastAsia="ja-JP"/>
        </w:rPr>
        <w:lastRenderedPageBreak/>
        <w:t xml:space="preserve">Group-2 Class-B. Also, propagation loss due to walls of houses and buildings was </w:t>
      </w:r>
      <w:r>
        <w:rPr>
          <w:rFonts w:eastAsia="MS Mincho"/>
          <w:lang w:eastAsia="ja-JP"/>
        </w:rPr>
        <w:t xml:space="preserve">assumed </w:t>
      </w:r>
      <w:r w:rsidRPr="00B817C7">
        <w:rPr>
          <w:rFonts w:eastAsia="MS Mincho"/>
          <w:lang w:eastAsia="ja-JP"/>
        </w:rPr>
        <w:t xml:space="preserve">10 dB referring to </w:t>
      </w:r>
      <w:r>
        <w:rPr>
          <w:rFonts w:eastAsia="MS Mincho"/>
          <w:lang w:eastAsia="ja-JP"/>
        </w:rPr>
        <w:t xml:space="preserve">a </w:t>
      </w:r>
      <w:r w:rsidRPr="00B817C7">
        <w:rPr>
          <w:rFonts w:eastAsia="MS Mincho"/>
          <w:lang w:eastAsia="ja-JP"/>
        </w:rPr>
        <w:t>Japanese domestic study. Furthermore</w:t>
      </w:r>
      <w:r w:rsidRPr="003A02E8">
        <w:rPr>
          <w:rFonts w:eastAsia="MS Mincho"/>
          <w:lang w:eastAsia="ja-JP"/>
        </w:rPr>
        <w:t xml:space="preserve">, </w:t>
      </w:r>
      <w:r w:rsidRPr="00375309">
        <w:rPr>
          <w:rFonts w:eastAsia="MS Mincho"/>
          <w:lang w:eastAsia="ja-JP"/>
        </w:rPr>
        <w:t xml:space="preserve">it should be noted that </w:t>
      </w:r>
      <w:r w:rsidRPr="00885DA7">
        <w:rPr>
          <w:rFonts w:eastAsia="MS Mincho"/>
          <w:lang w:eastAsia="ja-JP"/>
        </w:rPr>
        <w:t xml:space="preserve">self-interference </w:t>
      </w:r>
      <w:r w:rsidRPr="005C697A">
        <w:rPr>
          <w:rFonts w:eastAsia="MS Mincho"/>
          <w:lang w:eastAsia="ja-JP"/>
        </w:rPr>
        <w:t xml:space="preserve">case </w:t>
      </w:r>
      <w:r w:rsidRPr="00885DA7">
        <w:rPr>
          <w:rFonts w:eastAsia="MS Mincho"/>
          <w:lang w:eastAsia="ja-JP"/>
        </w:rPr>
        <w:t>was not taken into considerations,</w:t>
      </w:r>
      <w:r w:rsidRPr="009A1284">
        <w:rPr>
          <w:rFonts w:eastAsia="MS Mincho"/>
          <w:lang w:eastAsia="ja-JP"/>
        </w:rPr>
        <w:t xml:space="preserve"> where s</w:t>
      </w:r>
      <w:r w:rsidRPr="00885DA7">
        <w:rPr>
          <w:rFonts w:eastAsia="MS Mincho"/>
          <w:lang w:eastAsia="ja-JP"/>
        </w:rPr>
        <w:t xml:space="preserve">elf-interference means </w:t>
      </w:r>
      <w:r w:rsidRPr="005C697A">
        <w:rPr>
          <w:rFonts w:eastAsia="MS Mincho"/>
          <w:lang w:eastAsia="ja-JP"/>
        </w:rPr>
        <w:t>an event that</w:t>
      </w:r>
      <w:r w:rsidRPr="00885DA7">
        <w:rPr>
          <w:rFonts w:eastAsia="MS Mincho"/>
          <w:lang w:eastAsia="ja-JP"/>
        </w:rPr>
        <w:t xml:space="preserve"> </w:t>
      </w:r>
      <w:r w:rsidRPr="005C697A">
        <w:rPr>
          <w:rFonts w:eastAsia="MS Mincho"/>
          <w:lang w:eastAsia="ja-JP"/>
        </w:rPr>
        <w:t xml:space="preserve">unwanted emission from </w:t>
      </w:r>
      <w:r w:rsidRPr="00885DA7">
        <w:rPr>
          <w:rFonts w:eastAsia="MS Mincho"/>
          <w:lang w:eastAsia="ja-JP"/>
        </w:rPr>
        <w:t xml:space="preserve">an owner’s WPT system interferes to the same owner’s wireless devices. </w:t>
      </w:r>
      <w:r w:rsidRPr="005C697A">
        <w:rPr>
          <w:rFonts w:eastAsia="MS Mincho"/>
          <w:lang w:eastAsia="ja-JP"/>
        </w:rPr>
        <w:t>Notably,</w:t>
      </w:r>
      <w:r w:rsidRPr="00885DA7">
        <w:rPr>
          <w:rFonts w:eastAsia="MS Mincho"/>
          <w:lang w:eastAsia="ja-JP"/>
        </w:rPr>
        <w:t xml:space="preserve"> for the impact study </w:t>
      </w:r>
      <w:r w:rsidRPr="005C697A">
        <w:rPr>
          <w:rFonts w:eastAsia="MS Mincho"/>
          <w:lang w:eastAsia="ja-JP"/>
        </w:rPr>
        <w:t>to</w:t>
      </w:r>
      <w:r w:rsidRPr="00885DA7">
        <w:rPr>
          <w:rFonts w:eastAsia="MS Mincho"/>
          <w:lang w:eastAsia="ja-JP"/>
        </w:rPr>
        <w:t xml:space="preserve"> AM broadcast</w:t>
      </w:r>
      <w:r w:rsidRPr="005C697A">
        <w:rPr>
          <w:rFonts w:eastAsia="MS Mincho"/>
          <w:lang w:eastAsia="ja-JP"/>
        </w:rPr>
        <w:t>ing</w:t>
      </w:r>
      <w:r w:rsidRPr="00885DA7">
        <w:rPr>
          <w:rFonts w:eastAsia="MS Mincho"/>
          <w:lang w:eastAsia="ja-JP"/>
        </w:rPr>
        <w:t xml:space="preserve"> services</w:t>
      </w:r>
      <w:r w:rsidRPr="005C697A">
        <w:rPr>
          <w:rFonts w:eastAsia="MS Mincho"/>
          <w:lang w:eastAsia="ja-JP"/>
        </w:rPr>
        <w:t xml:space="preserve">, </w:t>
      </w:r>
      <w:r w:rsidRPr="00885DA7">
        <w:rPr>
          <w:rFonts w:eastAsia="MS Mincho"/>
          <w:lang w:eastAsia="ja-JP"/>
        </w:rPr>
        <w:t>radiated emission limits from WPT systems should be lower than the environment noise level in urban areas</w:t>
      </w:r>
      <w:r w:rsidRPr="005C697A">
        <w:rPr>
          <w:rFonts w:eastAsia="MS Mincho"/>
          <w:lang w:eastAsia="ja-JP"/>
        </w:rPr>
        <w:t xml:space="preserve">; and then, </w:t>
      </w:r>
      <w:r w:rsidRPr="00885DA7">
        <w:rPr>
          <w:rFonts w:eastAsia="MS Mincho"/>
          <w:lang w:eastAsia="ja-JP"/>
        </w:rPr>
        <w:t>Rec</w:t>
      </w:r>
      <w:r w:rsidRPr="005C697A">
        <w:rPr>
          <w:rFonts w:eastAsia="MS Mincho"/>
          <w:lang w:eastAsia="ja-JP"/>
        </w:rPr>
        <w:t>ommendation</w:t>
      </w:r>
      <w:r w:rsidRPr="00885DA7">
        <w:rPr>
          <w:rFonts w:eastAsia="MS Mincho"/>
          <w:lang w:eastAsia="ja-JP"/>
        </w:rPr>
        <w:t xml:space="preserve"> ITU-R P.372</w:t>
      </w:r>
      <w:r w:rsidRPr="005C697A">
        <w:rPr>
          <w:rFonts w:eastAsia="MS Mincho"/>
          <w:lang w:eastAsia="ja-JP"/>
        </w:rPr>
        <w:t>-13 as a global technical standard, was referenced to determine the radio noise characteristics. It was assumed that the separation distance in suburban areas was larger than those in urban areas while man-made-noise level in suburban areas goes lower.</w:t>
      </w:r>
    </w:p>
    <w:p w:rsidR="005D267F" w:rsidRPr="003D65A7" w:rsidRDefault="005D267F" w:rsidP="005D267F">
      <w:pPr>
        <w:jc w:val="both"/>
        <w:rPr>
          <w:rFonts w:eastAsia="MS Mincho"/>
          <w:lang w:eastAsia="ja-JP"/>
        </w:rPr>
      </w:pPr>
      <w:r w:rsidRPr="00885DA7">
        <w:rPr>
          <w:rFonts w:eastAsia="MS Mincho"/>
          <w:lang w:eastAsia="ja-JP"/>
        </w:rPr>
        <w:tab/>
        <w:t xml:space="preserve">While section 6.1 describes studies mainly from technical aspects, there may be other conditions when considering possibility of adverse impact to radiocommunication services, for example, relative location / orientation between the WPT systems and the radiocommunication devices, operation hour and its time distribution of the WPT systems and </w:t>
      </w:r>
      <w:r>
        <w:rPr>
          <w:rFonts w:eastAsia="MS Mincho"/>
          <w:lang w:eastAsia="ja-JP"/>
        </w:rPr>
        <w:t xml:space="preserve">the </w:t>
      </w:r>
      <w:r w:rsidRPr="005C697A">
        <w:rPr>
          <w:rFonts w:eastAsia="MS Mincho"/>
          <w:lang w:eastAsia="ja-JP"/>
        </w:rPr>
        <w:t xml:space="preserve">radiocommunication systems, probability of unwanted-emission-concerned frequency channel selection of the radiocommunication devices in timing and geographical aspects, and so on.  </w:t>
      </w:r>
      <w:r w:rsidRPr="009A1284">
        <w:rPr>
          <w:rFonts w:eastAsia="MS Mincho"/>
          <w:lang w:eastAsia="ja-JP"/>
        </w:rPr>
        <w:t>T</w:t>
      </w:r>
      <w:r w:rsidRPr="00125783">
        <w:rPr>
          <w:rFonts w:eastAsia="MS Mincho"/>
          <w:lang w:eastAsia="ja-JP"/>
        </w:rPr>
        <w:t xml:space="preserve">herefore, a possibility to cause harmful interference to radiocommunication systems may be lower than technical study results. </w:t>
      </w:r>
      <w:bookmarkStart w:id="31" w:name="_Hlk492573530"/>
      <w:r w:rsidRPr="00216537">
        <w:rPr>
          <w:rFonts w:eastAsia="MS Mincho" w:hint="eastAsia"/>
          <w:lang w:eastAsia="ja-JP"/>
        </w:rPr>
        <w:t xml:space="preserve">If the WPT system </w:t>
      </w:r>
      <w:r>
        <w:rPr>
          <w:rFonts w:eastAsia="MS Mincho"/>
          <w:lang w:eastAsia="ja-JP"/>
        </w:rPr>
        <w:t xml:space="preserve">should </w:t>
      </w:r>
      <w:r w:rsidRPr="00216537">
        <w:rPr>
          <w:rFonts w:eastAsia="MS Mincho" w:hint="eastAsia"/>
          <w:lang w:eastAsia="ja-JP"/>
        </w:rPr>
        <w:t>cause unacceptable interference to the</w:t>
      </w:r>
      <w:r>
        <w:rPr>
          <w:rFonts w:eastAsia="MS Mincho" w:hint="eastAsia"/>
          <w:lang w:eastAsia="ja-JP"/>
        </w:rPr>
        <w:t xml:space="preserve"> </w:t>
      </w:r>
      <w:r w:rsidRPr="00216537">
        <w:rPr>
          <w:rFonts w:eastAsia="MS Mincho" w:hint="eastAsia"/>
          <w:lang w:eastAsia="ja-JP"/>
        </w:rPr>
        <w:t>receivers, radio administrations shall provide necessary regulatory</w:t>
      </w:r>
      <w:r>
        <w:rPr>
          <w:rFonts w:eastAsia="MS Mincho"/>
          <w:lang w:eastAsia="ja-JP"/>
        </w:rPr>
        <w:t xml:space="preserve"> </w:t>
      </w:r>
      <w:r w:rsidRPr="00216537">
        <w:rPr>
          <w:rFonts w:eastAsia="MS Mincho" w:hint="eastAsia"/>
          <w:lang w:eastAsia="ja-JP"/>
        </w:rPr>
        <w:t>measures / orders to stop WPT system operation causing harmful</w:t>
      </w:r>
      <w:r>
        <w:rPr>
          <w:rFonts w:eastAsia="MS Mincho"/>
          <w:lang w:eastAsia="ja-JP"/>
        </w:rPr>
        <w:t xml:space="preserve"> </w:t>
      </w:r>
      <w:r w:rsidRPr="00216537">
        <w:rPr>
          <w:rFonts w:eastAsia="MS Mincho" w:hint="eastAsia"/>
          <w:lang w:eastAsia="ja-JP"/>
        </w:rPr>
        <w:t>interference to the other incumbent radio systems.</w:t>
      </w:r>
      <w:bookmarkEnd w:id="31"/>
    </w:p>
    <w:p w:rsidR="005D267F" w:rsidRPr="003D65A7" w:rsidRDefault="005D267F" w:rsidP="005D267F">
      <w:pPr>
        <w:rPr>
          <w:rFonts w:eastAsia="MS Mincho"/>
          <w:b/>
          <w:lang w:eastAsia="ja-JP"/>
        </w:rPr>
      </w:pPr>
    </w:p>
    <w:p w:rsidR="005D267F" w:rsidRPr="00E734B8" w:rsidRDefault="005D267F" w:rsidP="005D267F">
      <w:pPr>
        <w:pStyle w:val="Heading2"/>
        <w:rPr>
          <w:rFonts w:ascii="Times New Roman" w:hAnsi="Times New Roman" w:cs="Times New Roman"/>
        </w:rPr>
      </w:pPr>
      <w:bookmarkStart w:id="32" w:name="_Toc494297305"/>
      <w:r w:rsidRPr="00E734B8">
        <w:rPr>
          <w:rFonts w:ascii="Times New Roman" w:hAnsi="Times New Roman" w:cs="Times New Roman"/>
        </w:rPr>
        <w:t>6.</w:t>
      </w:r>
      <w:r>
        <w:rPr>
          <w:rFonts w:ascii="Times New Roman" w:hAnsi="Times New Roman" w:cs="Times New Roman"/>
        </w:rPr>
        <w:t>2.2</w:t>
      </w:r>
      <w:r>
        <w:rPr>
          <w:rFonts w:ascii="Times New Roman" w:hAnsi="Times New Roman" w:cs="Times New Roman"/>
        </w:rPr>
        <w:tab/>
      </w:r>
      <w:r w:rsidRPr="00E734B8">
        <w:rPr>
          <w:rFonts w:ascii="Times New Roman" w:hAnsi="Times New Roman" w:cs="Times New Roman"/>
        </w:rPr>
        <w:t>Assessment process</w:t>
      </w:r>
      <w:bookmarkEnd w:id="32"/>
    </w:p>
    <w:p w:rsidR="005D267F" w:rsidRPr="003D65A7" w:rsidRDefault="005D267F" w:rsidP="005D267F">
      <w:pPr>
        <w:ind w:firstLineChars="295" w:firstLine="708"/>
        <w:jc w:val="both"/>
        <w:rPr>
          <w:rFonts w:eastAsia="MS Mincho"/>
          <w:lang w:eastAsia="ja-JP"/>
        </w:rPr>
      </w:pPr>
      <w:r w:rsidRPr="003D65A7">
        <w:t>The WG performed studies on frequency selection for WPT systems and on the impact of WPT to the other incumbent radiocommunication services from 2013 to 2015. Assessment was made with proposed WPT operating frequencies. WPT for EVs was the most interested agenda item.</w:t>
      </w:r>
    </w:p>
    <w:p w:rsidR="005D267F" w:rsidRPr="003D65A7" w:rsidRDefault="005D267F" w:rsidP="005D267F">
      <w:pPr>
        <w:ind w:firstLineChars="295" w:firstLine="708"/>
      </w:pPr>
      <w:r w:rsidRPr="003D65A7">
        <w:t>Assessment in the studies had the following steps:</w:t>
      </w:r>
    </w:p>
    <w:p w:rsidR="005D267F" w:rsidRPr="003D65A7" w:rsidRDefault="005D267F" w:rsidP="005D267F">
      <w:pPr>
        <w:numPr>
          <w:ilvl w:val="0"/>
          <w:numId w:val="26"/>
        </w:numPr>
        <w:tabs>
          <w:tab w:val="left" w:pos="1134"/>
          <w:tab w:val="left" w:pos="1871"/>
          <w:tab w:val="left" w:pos="2268"/>
          <w:tab w:val="left" w:pos="2608"/>
          <w:tab w:val="left" w:pos="3345"/>
        </w:tabs>
        <w:overflowPunct w:val="0"/>
        <w:autoSpaceDE w:val="0"/>
        <w:autoSpaceDN w:val="0"/>
        <w:adjustRightInd w:val="0"/>
        <w:spacing w:before="80"/>
        <w:ind w:left="1134" w:hanging="708"/>
        <w:jc w:val="both"/>
        <w:textAlignment w:val="baseline"/>
        <w:rPr>
          <w:lang w:eastAsia="ja-JP"/>
        </w:rPr>
      </w:pPr>
      <w:r w:rsidRPr="003D65A7">
        <w:rPr>
          <w:lang w:eastAsia="ja-JP"/>
        </w:rPr>
        <w:t>First step: Survey on spectrum use and determination of candidate frequency ranges.</w:t>
      </w:r>
    </w:p>
    <w:p w:rsidR="005D267F" w:rsidRPr="003D65A7" w:rsidRDefault="005D267F" w:rsidP="005D267F">
      <w:pPr>
        <w:tabs>
          <w:tab w:val="left" w:pos="2608"/>
          <w:tab w:val="left" w:pos="3345"/>
        </w:tabs>
        <w:spacing w:before="80"/>
        <w:ind w:leftChars="472" w:left="1133"/>
        <w:jc w:val="both"/>
        <w:rPr>
          <w:lang w:eastAsia="ja-JP"/>
        </w:rPr>
      </w:pPr>
      <w:r w:rsidRPr="003D65A7">
        <w:rPr>
          <w:lang w:eastAsia="ja-JP"/>
        </w:rPr>
        <w:t>Survey the spectrum usage of incumbent radiocommunication services in the proposed WPT operating frequency ranges, adjacent bands, and other frequency ranges in which WPT harmonics may fall. These services may have any possibility to suffer service quality degradation caused by WPT systems. Determine candidate bands for WPT from relatively vacant spectrum.</w:t>
      </w:r>
    </w:p>
    <w:p w:rsidR="005D267F" w:rsidRPr="003D65A7" w:rsidRDefault="005D267F" w:rsidP="005D267F">
      <w:pPr>
        <w:numPr>
          <w:ilvl w:val="0"/>
          <w:numId w:val="26"/>
        </w:numPr>
        <w:tabs>
          <w:tab w:val="left" w:pos="1134"/>
          <w:tab w:val="left" w:pos="1871"/>
          <w:tab w:val="left" w:pos="2268"/>
          <w:tab w:val="left" w:pos="2608"/>
          <w:tab w:val="left" w:pos="3345"/>
        </w:tabs>
        <w:overflowPunct w:val="0"/>
        <w:autoSpaceDE w:val="0"/>
        <w:autoSpaceDN w:val="0"/>
        <w:adjustRightInd w:val="0"/>
        <w:spacing w:before="80"/>
        <w:ind w:left="1134" w:hanging="708"/>
        <w:jc w:val="both"/>
        <w:textAlignment w:val="baseline"/>
        <w:rPr>
          <w:lang w:eastAsia="ja-JP"/>
        </w:rPr>
      </w:pPr>
      <w:r w:rsidRPr="003D65A7">
        <w:rPr>
          <w:lang w:eastAsia="ja-JP"/>
        </w:rPr>
        <w:t>Second step: Selection of preferential incumbent radiocommunication systems to protect.</w:t>
      </w:r>
    </w:p>
    <w:p w:rsidR="005D267F" w:rsidRPr="003D65A7" w:rsidRDefault="005D267F" w:rsidP="005D267F">
      <w:pPr>
        <w:tabs>
          <w:tab w:val="left" w:pos="2608"/>
          <w:tab w:val="left" w:pos="3345"/>
        </w:tabs>
        <w:spacing w:before="80"/>
        <w:ind w:left="1134"/>
        <w:jc w:val="both"/>
        <w:rPr>
          <w:lang w:eastAsia="ja-JP"/>
        </w:rPr>
      </w:pPr>
      <w:r w:rsidRPr="003D65A7">
        <w:rPr>
          <w:lang w:eastAsia="ja-JP"/>
        </w:rPr>
        <w:t>Pick up incumbent radiocommunication systems which might be suffered from WPT in the candidate band(s). Prioritize the systems to protect by clarifying attributes of services in accordance with the following condition and/or usage situations:</w:t>
      </w:r>
    </w:p>
    <w:p w:rsidR="005D267F" w:rsidRPr="003D65A7" w:rsidRDefault="005D267F" w:rsidP="005D267F">
      <w:pPr>
        <w:numPr>
          <w:ilvl w:val="0"/>
          <w:numId w:val="25"/>
        </w:numPr>
        <w:tabs>
          <w:tab w:val="left" w:pos="1871"/>
          <w:tab w:val="left" w:pos="2268"/>
          <w:tab w:val="left" w:pos="2608"/>
          <w:tab w:val="left" w:pos="3345"/>
        </w:tabs>
        <w:overflowPunct w:val="0"/>
        <w:autoSpaceDE w:val="0"/>
        <w:autoSpaceDN w:val="0"/>
        <w:adjustRightInd w:val="0"/>
        <w:spacing w:before="80"/>
        <w:ind w:left="1560" w:hanging="284"/>
        <w:jc w:val="both"/>
        <w:textAlignment w:val="baseline"/>
        <w:rPr>
          <w:lang w:eastAsia="ja-JP"/>
        </w:rPr>
      </w:pPr>
      <w:r w:rsidRPr="003D65A7">
        <w:rPr>
          <w:lang w:eastAsia="ja-JP"/>
        </w:rPr>
        <w:t>The frequency range category in the Radio Regulations</w:t>
      </w:r>
      <w:r w:rsidRPr="003D65A7">
        <w:rPr>
          <w:rFonts w:eastAsia="MS Mincho"/>
          <w:lang w:eastAsia="ja-JP"/>
        </w:rPr>
        <w:t xml:space="preserve"> (RR)</w:t>
      </w:r>
      <w:r w:rsidRPr="003D65A7">
        <w:rPr>
          <w:lang w:eastAsia="ja-JP"/>
        </w:rPr>
        <w:t xml:space="preserve"> </w:t>
      </w:r>
    </w:p>
    <w:p w:rsidR="005D267F" w:rsidRPr="003D65A7" w:rsidRDefault="005D267F" w:rsidP="005D267F">
      <w:pPr>
        <w:numPr>
          <w:ilvl w:val="0"/>
          <w:numId w:val="25"/>
        </w:numPr>
        <w:tabs>
          <w:tab w:val="left" w:pos="1871"/>
          <w:tab w:val="left" w:pos="2268"/>
          <w:tab w:val="left" w:pos="2608"/>
          <w:tab w:val="left" w:pos="3345"/>
        </w:tabs>
        <w:overflowPunct w:val="0"/>
        <w:autoSpaceDE w:val="0"/>
        <w:autoSpaceDN w:val="0"/>
        <w:adjustRightInd w:val="0"/>
        <w:spacing w:before="80"/>
        <w:ind w:left="1560" w:hanging="284"/>
        <w:jc w:val="both"/>
        <w:textAlignment w:val="baseline"/>
        <w:rPr>
          <w:lang w:eastAsia="ja-JP"/>
        </w:rPr>
      </w:pPr>
      <w:r w:rsidRPr="003D65A7">
        <w:rPr>
          <w:lang w:eastAsia="ja-JP"/>
        </w:rPr>
        <w:t>Justifications for protection from the WPT system</w:t>
      </w:r>
    </w:p>
    <w:p w:rsidR="005D267F" w:rsidRPr="003D65A7" w:rsidRDefault="005D267F" w:rsidP="005D267F">
      <w:pPr>
        <w:numPr>
          <w:ilvl w:val="0"/>
          <w:numId w:val="25"/>
        </w:numPr>
        <w:tabs>
          <w:tab w:val="left" w:pos="1871"/>
          <w:tab w:val="left" w:pos="2268"/>
          <w:tab w:val="left" w:pos="2608"/>
          <w:tab w:val="left" w:pos="3345"/>
        </w:tabs>
        <w:overflowPunct w:val="0"/>
        <w:autoSpaceDE w:val="0"/>
        <w:autoSpaceDN w:val="0"/>
        <w:adjustRightInd w:val="0"/>
        <w:spacing w:before="80"/>
        <w:ind w:left="1560" w:hanging="284"/>
        <w:jc w:val="both"/>
        <w:textAlignment w:val="baseline"/>
        <w:rPr>
          <w:lang w:eastAsia="ja-JP"/>
        </w:rPr>
      </w:pPr>
      <w:r w:rsidRPr="003D65A7">
        <w:rPr>
          <w:lang w:eastAsia="ja-JP"/>
        </w:rPr>
        <w:t>Mechanism to avoid harmful interference from WPT systems</w:t>
      </w:r>
    </w:p>
    <w:p w:rsidR="005D267F" w:rsidRPr="003D65A7" w:rsidRDefault="005D267F" w:rsidP="005D267F">
      <w:pPr>
        <w:tabs>
          <w:tab w:val="left" w:pos="2608"/>
          <w:tab w:val="left" w:pos="3345"/>
        </w:tabs>
        <w:spacing w:before="80"/>
        <w:ind w:left="1134"/>
        <w:jc w:val="both"/>
        <w:rPr>
          <w:lang w:eastAsia="ja-JP"/>
        </w:rPr>
      </w:pPr>
      <w:r w:rsidRPr="003D65A7">
        <w:rPr>
          <w:lang w:eastAsia="ja-JP"/>
        </w:rPr>
        <w:t>Above considerations lead to selection of the preferential incumbent radiocommunication systems.</w:t>
      </w:r>
    </w:p>
    <w:p w:rsidR="005D267F" w:rsidRPr="003D65A7" w:rsidRDefault="005D267F" w:rsidP="005D267F">
      <w:pPr>
        <w:numPr>
          <w:ilvl w:val="0"/>
          <w:numId w:val="26"/>
        </w:numPr>
        <w:tabs>
          <w:tab w:val="left" w:pos="1134"/>
          <w:tab w:val="left" w:pos="1871"/>
          <w:tab w:val="left" w:pos="2268"/>
          <w:tab w:val="left" w:pos="2608"/>
          <w:tab w:val="left" w:pos="3345"/>
        </w:tabs>
        <w:overflowPunct w:val="0"/>
        <w:autoSpaceDE w:val="0"/>
        <w:autoSpaceDN w:val="0"/>
        <w:adjustRightInd w:val="0"/>
        <w:spacing w:before="80"/>
        <w:ind w:left="1134" w:hanging="708"/>
        <w:jc w:val="both"/>
        <w:textAlignment w:val="baseline"/>
        <w:rPr>
          <w:lang w:eastAsia="ja-JP"/>
        </w:rPr>
      </w:pPr>
      <w:r w:rsidRPr="003D65A7">
        <w:rPr>
          <w:lang w:eastAsia="ja-JP"/>
        </w:rPr>
        <w:t>Third step: Assessment of WPT emission to the incumbent systems.</w:t>
      </w:r>
    </w:p>
    <w:p w:rsidR="005D267F" w:rsidRPr="003D65A7" w:rsidRDefault="005D267F" w:rsidP="005D267F">
      <w:pPr>
        <w:tabs>
          <w:tab w:val="left" w:pos="2608"/>
          <w:tab w:val="left" w:pos="3345"/>
        </w:tabs>
        <w:spacing w:before="80"/>
        <w:ind w:left="1134"/>
        <w:jc w:val="both"/>
        <w:rPr>
          <w:lang w:eastAsia="ja-JP"/>
        </w:rPr>
      </w:pPr>
      <w:r w:rsidRPr="003D65A7">
        <w:rPr>
          <w:lang w:eastAsia="ja-JP"/>
        </w:rPr>
        <w:t>The impact of WPT systems to each selected incumbent radiocommunication services are assessed by simulation and/or measurement. In this step, the following points should be clarified.</w:t>
      </w:r>
    </w:p>
    <w:p w:rsidR="005D267F" w:rsidRPr="003D65A7" w:rsidRDefault="005D267F" w:rsidP="005D267F">
      <w:pPr>
        <w:numPr>
          <w:ilvl w:val="0"/>
          <w:numId w:val="25"/>
        </w:numPr>
        <w:tabs>
          <w:tab w:val="left" w:pos="1871"/>
          <w:tab w:val="left" w:pos="2268"/>
          <w:tab w:val="left" w:pos="2608"/>
          <w:tab w:val="left" w:pos="3345"/>
        </w:tabs>
        <w:overflowPunct w:val="0"/>
        <w:autoSpaceDE w:val="0"/>
        <w:autoSpaceDN w:val="0"/>
        <w:adjustRightInd w:val="0"/>
        <w:spacing w:before="80"/>
        <w:jc w:val="both"/>
        <w:textAlignment w:val="baseline"/>
        <w:rPr>
          <w:lang w:eastAsia="ja-JP"/>
        </w:rPr>
      </w:pPr>
      <w:r w:rsidRPr="003D65A7">
        <w:rPr>
          <w:lang w:eastAsia="ja-JP"/>
        </w:rPr>
        <w:t>Frequency ranges of power transmission, power level, and any other parameters or characteristics that may influence to the incumbent radiocommunication services.</w:t>
      </w:r>
    </w:p>
    <w:p w:rsidR="005D267F" w:rsidRPr="003D65A7" w:rsidRDefault="005D267F" w:rsidP="005D267F">
      <w:pPr>
        <w:numPr>
          <w:ilvl w:val="0"/>
          <w:numId w:val="25"/>
        </w:numPr>
        <w:tabs>
          <w:tab w:val="left" w:pos="1871"/>
          <w:tab w:val="left" w:pos="2268"/>
          <w:tab w:val="left" w:pos="2608"/>
          <w:tab w:val="left" w:pos="3345"/>
        </w:tabs>
        <w:overflowPunct w:val="0"/>
        <w:autoSpaceDE w:val="0"/>
        <w:autoSpaceDN w:val="0"/>
        <w:adjustRightInd w:val="0"/>
        <w:spacing w:before="80"/>
        <w:ind w:left="1560" w:hanging="284"/>
        <w:jc w:val="both"/>
        <w:textAlignment w:val="baseline"/>
        <w:rPr>
          <w:lang w:eastAsia="ja-JP"/>
        </w:rPr>
      </w:pPr>
      <w:r w:rsidRPr="003D65A7">
        <w:rPr>
          <w:lang w:eastAsia="ja-JP"/>
        </w:rPr>
        <w:lastRenderedPageBreak/>
        <w:t>Use cases of the incumbent systems with defining parameters including: operation period of time (in particular overlapped period in use with WPT), physical separation distance or positioning.</w:t>
      </w:r>
    </w:p>
    <w:p w:rsidR="005D267F" w:rsidRPr="003D65A7" w:rsidRDefault="005D267F" w:rsidP="005D267F">
      <w:pPr>
        <w:numPr>
          <w:ilvl w:val="0"/>
          <w:numId w:val="25"/>
        </w:numPr>
        <w:tabs>
          <w:tab w:val="left" w:pos="1871"/>
          <w:tab w:val="left" w:pos="2268"/>
          <w:tab w:val="left" w:pos="2608"/>
          <w:tab w:val="left" w:pos="3345"/>
        </w:tabs>
        <w:overflowPunct w:val="0"/>
        <w:autoSpaceDE w:val="0"/>
        <w:autoSpaceDN w:val="0"/>
        <w:adjustRightInd w:val="0"/>
        <w:spacing w:before="80"/>
        <w:ind w:left="1560" w:hanging="284"/>
        <w:jc w:val="both"/>
        <w:textAlignment w:val="baseline"/>
        <w:rPr>
          <w:lang w:eastAsia="ja-JP"/>
        </w:rPr>
      </w:pPr>
      <w:r w:rsidRPr="003D65A7">
        <w:rPr>
          <w:lang w:eastAsia="ja-JP"/>
        </w:rPr>
        <w:t xml:space="preserve">Emission strength from WPT systems: The maximum emission strength should appropriately be determined for assessment referring to available regulations or draft document developed in CISPR/B. </w:t>
      </w:r>
    </w:p>
    <w:p w:rsidR="005D267F" w:rsidRPr="003D65A7" w:rsidRDefault="005D267F" w:rsidP="005D267F">
      <w:pPr>
        <w:numPr>
          <w:ilvl w:val="0"/>
          <w:numId w:val="25"/>
        </w:numPr>
        <w:tabs>
          <w:tab w:val="left" w:pos="1871"/>
          <w:tab w:val="left" w:pos="2268"/>
          <w:tab w:val="left" w:pos="2608"/>
          <w:tab w:val="left" w:pos="3345"/>
        </w:tabs>
        <w:overflowPunct w:val="0"/>
        <w:autoSpaceDE w:val="0"/>
        <w:autoSpaceDN w:val="0"/>
        <w:adjustRightInd w:val="0"/>
        <w:spacing w:before="80"/>
        <w:ind w:left="1560" w:hanging="284"/>
        <w:jc w:val="both"/>
        <w:textAlignment w:val="baseline"/>
        <w:rPr>
          <w:lang w:eastAsia="ja-JP"/>
        </w:rPr>
      </w:pPr>
      <w:r w:rsidRPr="003D65A7">
        <w:rPr>
          <w:lang w:eastAsia="ja-JP"/>
        </w:rPr>
        <w:t xml:space="preserve">Test and verification: Unwanted emission strength calculated or measured at the concerned receiver shall not exceed the receiver sensitivity or shall not cause any operational failure. In addition, use case conditions such as use-time distribution, time-overlapping of operations, and practical device locations should be taken into consideration. </w:t>
      </w:r>
    </w:p>
    <w:p w:rsidR="005D267F" w:rsidRPr="003D65A7" w:rsidRDefault="005D267F" w:rsidP="005D267F">
      <w:pPr>
        <w:ind w:firstLineChars="295" w:firstLine="708"/>
        <w:jc w:val="both"/>
        <w:rPr>
          <w:rFonts w:eastAsia="MS Mincho"/>
          <w:lang w:eastAsia="ja-JP"/>
        </w:rPr>
      </w:pPr>
      <w:r w:rsidRPr="003D65A7">
        <w:rPr>
          <w:lang w:eastAsia="ja-JP"/>
        </w:rPr>
        <w:t>The advisability of mitigation of the impact should be discussed and judged by the result of the above-mentioned process. Frequency ranges with an adequate mitigation of impact verified and confirmed in the process could be recommended as the candidate frequency ranges for non-beam WPT for EVs.</w:t>
      </w:r>
    </w:p>
    <w:p w:rsidR="005D267F" w:rsidRPr="003D65A7" w:rsidRDefault="005D267F" w:rsidP="005D267F">
      <w:pPr>
        <w:jc w:val="both"/>
        <w:rPr>
          <w:rFonts w:eastAsia="MS Mincho"/>
          <w:lang w:eastAsia="ja-JP"/>
        </w:rPr>
      </w:pPr>
    </w:p>
    <w:p w:rsidR="005D267F" w:rsidRPr="00E734B8" w:rsidRDefault="005D267F" w:rsidP="005D267F">
      <w:pPr>
        <w:pStyle w:val="Heading2"/>
        <w:rPr>
          <w:rFonts w:ascii="Times New Roman" w:hAnsi="Times New Roman" w:cs="Times New Roman"/>
        </w:rPr>
      </w:pPr>
      <w:bookmarkStart w:id="33" w:name="_Toc494297306"/>
      <w:r w:rsidRPr="00E734B8">
        <w:rPr>
          <w:rFonts w:ascii="Times New Roman" w:hAnsi="Times New Roman" w:cs="Times New Roman"/>
        </w:rPr>
        <w:t>6.</w:t>
      </w:r>
      <w:r>
        <w:rPr>
          <w:rFonts w:ascii="Times New Roman" w:hAnsi="Times New Roman" w:cs="Times New Roman"/>
        </w:rPr>
        <w:t>2.3</w:t>
      </w:r>
      <w:r>
        <w:rPr>
          <w:rFonts w:ascii="Times New Roman" w:hAnsi="Times New Roman" w:cs="Times New Roman"/>
        </w:rPr>
        <w:tab/>
      </w:r>
      <w:r w:rsidRPr="00E734B8">
        <w:rPr>
          <w:rFonts w:ascii="Times New Roman" w:hAnsi="Times New Roman" w:cs="Times New Roman"/>
        </w:rPr>
        <w:t>Survey on spectrum use and determination of candidate frequency ranges</w:t>
      </w:r>
      <w:bookmarkEnd w:id="33"/>
    </w:p>
    <w:p w:rsidR="005D267F" w:rsidRPr="003D65A7" w:rsidRDefault="005D267F" w:rsidP="005D267F">
      <w:pPr>
        <w:ind w:firstLineChars="295" w:firstLine="708"/>
        <w:jc w:val="both"/>
        <w:rPr>
          <w:lang w:eastAsia="ja-JP"/>
        </w:rPr>
      </w:pPr>
      <w:r w:rsidRPr="003D65A7">
        <w:rPr>
          <w:lang w:eastAsia="ja-JP"/>
        </w:rPr>
        <w:t>WPT frequency ranges for EVs are assumed to be in the frequency range below 150 kHz, considering discussions about WPT frequency in IEC TC 69/PT61980, ISO TC22/PAS 19363 and SAE J2954TF. Also, frequency ranges of harmonics were taken in consideration of frequency range selection. This survey covered frequency ranges below 1 MHz. The result of the survey of spectrum use is shown in Table 6</w:t>
      </w:r>
      <w:r w:rsidRPr="003D65A7">
        <w:rPr>
          <w:rFonts w:eastAsia="MS Mincho"/>
          <w:lang w:eastAsia="ja-JP"/>
        </w:rPr>
        <w:t>.</w:t>
      </w:r>
      <w:r w:rsidRPr="003D65A7">
        <w:rPr>
          <w:lang w:eastAsia="ja-JP"/>
        </w:rPr>
        <w:t xml:space="preserve">1 and </w:t>
      </w:r>
      <w:r w:rsidRPr="003D65A7">
        <w:rPr>
          <w:rFonts w:eastAsia="MS Mincho"/>
          <w:lang w:eastAsia="ja-JP"/>
        </w:rPr>
        <w:t>Figure 5.1</w:t>
      </w:r>
      <w:r w:rsidRPr="003D65A7">
        <w:rPr>
          <w:lang w:eastAsia="ja-JP"/>
        </w:rPr>
        <w:t>. Given the survey results in domestic and international spectrum availability and proposals of WPT systems for EVs, the following frequency ranges were chosen for assessment:</w:t>
      </w:r>
    </w:p>
    <w:p w:rsidR="005D267F" w:rsidRPr="003D65A7" w:rsidRDefault="005D267F" w:rsidP="005D267F">
      <w:pPr>
        <w:ind w:firstLineChars="200" w:firstLine="480"/>
        <w:jc w:val="both"/>
        <w:rPr>
          <w:lang w:eastAsia="ja-JP"/>
        </w:rPr>
      </w:pPr>
      <w:r w:rsidRPr="003D65A7">
        <w:rPr>
          <w:lang w:eastAsia="ja-JP"/>
        </w:rPr>
        <w:t>42-48 kHz (45 kHz band),</w:t>
      </w:r>
    </w:p>
    <w:p w:rsidR="005D267F" w:rsidRPr="003D65A7" w:rsidRDefault="005D267F" w:rsidP="005D267F">
      <w:pPr>
        <w:ind w:firstLineChars="200" w:firstLine="480"/>
        <w:jc w:val="both"/>
        <w:rPr>
          <w:lang w:eastAsia="ja-JP"/>
        </w:rPr>
      </w:pPr>
      <w:r w:rsidRPr="003D65A7">
        <w:rPr>
          <w:lang w:eastAsia="ja-JP"/>
        </w:rPr>
        <w:t>52-58 kHz (55 kHz band),</w:t>
      </w:r>
    </w:p>
    <w:p w:rsidR="005D267F" w:rsidRPr="003D65A7" w:rsidRDefault="005D267F" w:rsidP="005D267F">
      <w:pPr>
        <w:ind w:firstLineChars="200" w:firstLine="480"/>
        <w:jc w:val="both"/>
        <w:rPr>
          <w:lang w:eastAsia="ja-JP"/>
        </w:rPr>
      </w:pPr>
      <w:r w:rsidRPr="003D65A7">
        <w:rPr>
          <w:lang w:eastAsia="ja-JP"/>
        </w:rPr>
        <w:t>79-90 kHz (85 kHz band), and</w:t>
      </w:r>
    </w:p>
    <w:p w:rsidR="005D267F" w:rsidRDefault="005D267F" w:rsidP="005D267F">
      <w:pPr>
        <w:ind w:firstLineChars="200" w:firstLine="480"/>
        <w:jc w:val="both"/>
        <w:rPr>
          <w:rFonts w:eastAsia="MS Mincho"/>
          <w:lang w:eastAsia="ja-JP"/>
        </w:rPr>
      </w:pPr>
      <w:r w:rsidRPr="003D65A7">
        <w:rPr>
          <w:lang w:eastAsia="ja-JP"/>
        </w:rPr>
        <w:t>140.91-148.5 kHz (145 kHz band).</w:t>
      </w:r>
    </w:p>
    <w:p w:rsidR="005D267F" w:rsidRPr="00724D18" w:rsidRDefault="005D267F" w:rsidP="005D267F">
      <w:pPr>
        <w:jc w:val="both"/>
        <w:rPr>
          <w:rFonts w:eastAsia="MS Mincho"/>
          <w:lang w:eastAsia="ja-JP"/>
        </w:rPr>
      </w:pPr>
    </w:p>
    <w:p w:rsidR="005D267F" w:rsidRPr="003D65A7" w:rsidRDefault="005D267F" w:rsidP="005D267F">
      <w:pPr>
        <w:pStyle w:val="TableNo"/>
        <w:spacing w:before="0"/>
        <w:rPr>
          <w:sz w:val="24"/>
          <w:szCs w:val="24"/>
          <w:lang w:eastAsia="ja-JP"/>
        </w:rPr>
      </w:pPr>
      <w:r w:rsidRPr="003D65A7">
        <w:rPr>
          <w:sz w:val="24"/>
          <w:szCs w:val="24"/>
          <w:lang w:eastAsia="ja-JP"/>
        </w:rPr>
        <w:t>T</w:t>
      </w:r>
      <w:r w:rsidRPr="003D65A7">
        <w:rPr>
          <w:caps w:val="0"/>
          <w:sz w:val="24"/>
          <w:lang w:eastAsia="ja-JP"/>
        </w:rPr>
        <w:t>able 6.1: Spectrum use of incumbent radiocommunication services and systems</w:t>
      </w:r>
    </w:p>
    <w:tbl>
      <w:tblPr>
        <w:tblW w:w="10199" w:type="dxa"/>
        <w:jc w:val="center"/>
        <w:tblLayout w:type="fixed"/>
        <w:tblCellMar>
          <w:left w:w="99" w:type="dxa"/>
          <w:right w:w="99" w:type="dxa"/>
        </w:tblCellMar>
        <w:tblLook w:val="04A0" w:firstRow="1" w:lastRow="0" w:firstColumn="1" w:lastColumn="0" w:noHBand="0" w:noVBand="1"/>
      </w:tblPr>
      <w:tblGrid>
        <w:gridCol w:w="901"/>
        <w:gridCol w:w="1360"/>
        <w:gridCol w:w="3402"/>
        <w:gridCol w:w="1531"/>
        <w:gridCol w:w="3005"/>
      </w:tblGrid>
      <w:tr w:rsidR="005D267F" w:rsidRPr="003D65A7" w:rsidTr="00AE25FA">
        <w:trPr>
          <w:trHeight w:val="624"/>
          <w:jc w:val="center"/>
        </w:trPr>
        <w:tc>
          <w:tcPr>
            <w:tcW w:w="2261" w:type="dxa"/>
            <w:gridSpan w:val="2"/>
            <w:tcBorders>
              <w:top w:val="single" w:sz="4" w:space="0" w:color="auto"/>
              <w:left w:val="single" w:sz="4" w:space="0" w:color="auto"/>
              <w:bottom w:val="double" w:sz="4" w:space="0" w:color="auto"/>
              <w:right w:val="single" w:sz="4" w:space="0" w:color="auto"/>
            </w:tcBorders>
            <w:shd w:val="clear" w:color="000000" w:fill="BBE0E3"/>
            <w:vAlign w:val="center"/>
            <w:hideMark/>
          </w:tcPr>
          <w:p w:rsidR="005D267F" w:rsidRPr="003D65A7" w:rsidRDefault="005D267F" w:rsidP="00AE25FA">
            <w:pPr>
              <w:snapToGrid w:val="0"/>
              <w:spacing w:before="40" w:after="40"/>
              <w:jc w:val="center"/>
              <w:rPr>
                <w:rFonts w:eastAsia="MS PGothic"/>
                <w:b/>
                <w:bCs/>
                <w:color w:val="000000"/>
                <w:sz w:val="18"/>
                <w:szCs w:val="16"/>
                <w:lang w:eastAsia="ja-JP"/>
              </w:rPr>
            </w:pPr>
            <w:r w:rsidRPr="003D65A7">
              <w:rPr>
                <w:rFonts w:eastAsia="MS PGothic"/>
                <w:b/>
                <w:bCs/>
                <w:color w:val="000000"/>
                <w:sz w:val="18"/>
                <w:szCs w:val="16"/>
                <w:lang w:eastAsia="ja-JP"/>
              </w:rPr>
              <w:t>Radiocommunication services and systems</w:t>
            </w:r>
          </w:p>
        </w:tc>
        <w:tc>
          <w:tcPr>
            <w:tcW w:w="3402" w:type="dxa"/>
            <w:tcBorders>
              <w:top w:val="single" w:sz="4" w:space="0" w:color="auto"/>
              <w:left w:val="nil"/>
              <w:bottom w:val="double" w:sz="4" w:space="0" w:color="auto"/>
              <w:right w:val="single" w:sz="4" w:space="0" w:color="auto"/>
            </w:tcBorders>
            <w:shd w:val="clear" w:color="000000" w:fill="BBE0E3"/>
            <w:vAlign w:val="center"/>
            <w:hideMark/>
          </w:tcPr>
          <w:p w:rsidR="005D267F" w:rsidRPr="003D65A7" w:rsidRDefault="005D267F" w:rsidP="00AE25FA">
            <w:pPr>
              <w:snapToGrid w:val="0"/>
              <w:spacing w:before="40" w:after="40"/>
              <w:jc w:val="center"/>
              <w:rPr>
                <w:rFonts w:eastAsia="MS PGothic"/>
                <w:b/>
                <w:bCs/>
                <w:color w:val="000000"/>
                <w:sz w:val="18"/>
                <w:szCs w:val="16"/>
                <w:lang w:eastAsia="ja-JP"/>
              </w:rPr>
            </w:pPr>
            <w:r w:rsidRPr="003D65A7">
              <w:rPr>
                <w:rFonts w:eastAsia="MS PGothic"/>
                <w:b/>
                <w:bCs/>
                <w:color w:val="000000"/>
                <w:sz w:val="18"/>
                <w:szCs w:val="16"/>
                <w:lang w:eastAsia="ja-JP"/>
              </w:rPr>
              <w:t>Frequency bands</w:t>
            </w:r>
          </w:p>
        </w:tc>
        <w:tc>
          <w:tcPr>
            <w:tcW w:w="1531" w:type="dxa"/>
            <w:tcBorders>
              <w:top w:val="single" w:sz="4" w:space="0" w:color="auto"/>
              <w:left w:val="nil"/>
              <w:bottom w:val="double" w:sz="4" w:space="0" w:color="auto"/>
              <w:right w:val="single" w:sz="4" w:space="0" w:color="auto"/>
            </w:tcBorders>
            <w:shd w:val="clear" w:color="000000" w:fill="BBE0E3"/>
            <w:vAlign w:val="center"/>
            <w:hideMark/>
          </w:tcPr>
          <w:p w:rsidR="005D267F" w:rsidRPr="003D65A7" w:rsidRDefault="005D267F" w:rsidP="00AE25FA">
            <w:pPr>
              <w:snapToGrid w:val="0"/>
              <w:spacing w:before="40" w:after="40"/>
              <w:jc w:val="center"/>
              <w:rPr>
                <w:rFonts w:eastAsia="MS PGothic"/>
                <w:b/>
                <w:bCs/>
                <w:color w:val="000000"/>
                <w:sz w:val="18"/>
                <w:szCs w:val="16"/>
                <w:lang w:eastAsia="ja-JP"/>
              </w:rPr>
            </w:pPr>
            <w:r w:rsidRPr="003D65A7">
              <w:rPr>
                <w:rFonts w:eastAsia="MS PGothic"/>
                <w:b/>
                <w:bCs/>
                <w:color w:val="000000"/>
                <w:sz w:val="18"/>
                <w:szCs w:val="16"/>
                <w:lang w:eastAsia="ja-JP"/>
              </w:rPr>
              <w:t>Modulation</w:t>
            </w:r>
          </w:p>
        </w:tc>
        <w:tc>
          <w:tcPr>
            <w:tcW w:w="3005" w:type="dxa"/>
            <w:tcBorders>
              <w:top w:val="single" w:sz="4" w:space="0" w:color="auto"/>
              <w:left w:val="nil"/>
              <w:bottom w:val="double" w:sz="4" w:space="0" w:color="auto"/>
              <w:right w:val="single" w:sz="4" w:space="0" w:color="auto"/>
            </w:tcBorders>
            <w:shd w:val="clear" w:color="000000" w:fill="BBE0E3"/>
            <w:vAlign w:val="center"/>
            <w:hideMark/>
          </w:tcPr>
          <w:p w:rsidR="005D267F" w:rsidRPr="003D65A7" w:rsidRDefault="005D267F" w:rsidP="00AE25FA">
            <w:pPr>
              <w:snapToGrid w:val="0"/>
              <w:spacing w:before="40" w:after="40"/>
              <w:jc w:val="center"/>
              <w:rPr>
                <w:rFonts w:eastAsia="MS PGothic"/>
                <w:b/>
                <w:bCs/>
                <w:color w:val="000000"/>
                <w:sz w:val="18"/>
                <w:szCs w:val="16"/>
                <w:lang w:eastAsia="ja-JP"/>
              </w:rPr>
            </w:pPr>
            <w:r w:rsidRPr="003D65A7">
              <w:rPr>
                <w:rFonts w:eastAsia="MS PGothic"/>
                <w:b/>
                <w:bCs/>
                <w:color w:val="000000"/>
                <w:sz w:val="18"/>
                <w:szCs w:val="16"/>
                <w:lang w:eastAsia="ja-JP"/>
              </w:rPr>
              <w:t>Remarks</w:t>
            </w:r>
          </w:p>
        </w:tc>
      </w:tr>
      <w:tr w:rsidR="005D267F" w:rsidRPr="003D65A7" w:rsidTr="00AE25FA">
        <w:trPr>
          <w:trHeight w:val="1984"/>
          <w:jc w:val="center"/>
        </w:trPr>
        <w:tc>
          <w:tcPr>
            <w:tcW w:w="2261" w:type="dxa"/>
            <w:gridSpan w:val="2"/>
            <w:tcBorders>
              <w:top w:val="double" w:sz="4" w:space="0" w:color="auto"/>
              <w:left w:val="single" w:sz="4" w:space="0" w:color="auto"/>
              <w:bottom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Standard frequency and time signal</w:t>
            </w:r>
          </w:p>
        </w:tc>
        <w:tc>
          <w:tcPr>
            <w:tcW w:w="3402" w:type="dxa"/>
            <w:tcBorders>
              <w:top w:val="double" w:sz="4" w:space="0" w:color="auto"/>
              <w:left w:val="nil"/>
              <w:bottom w:val="nil"/>
              <w:right w:val="single" w:sz="4" w:space="0" w:color="auto"/>
            </w:tcBorders>
            <w:shd w:val="clear" w:color="000000" w:fill="DCE6F1"/>
            <w:vAlign w:val="center"/>
            <w:hideMark/>
          </w:tcPr>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19.95 kHz - 20.05 kHz (20 kHz, Global)</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39 kHz - 41 kHz (40 kHz, Japan)</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49.25 kHz - 50.75 kHz (50 kHz, Russia)</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59 kHz - 61 kHz (60 kHz, UK, US and Japan)</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65.85 kHz - 67.35 kHz (66.6 kHz, Russia)</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68.25 kHz - 68.75 kHz (68.5 kHz, China)</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77.25 kHz - 77.75 kHz (77.5 kHz, Germany)</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99.75 kHz - 102.5 kHz (100 kHz, China)</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157.5 kHz - 166.5 kHz (162 kHz, France)</w:t>
            </w:r>
          </w:p>
        </w:tc>
        <w:tc>
          <w:tcPr>
            <w:tcW w:w="1531" w:type="dxa"/>
            <w:tcBorders>
              <w:top w:val="double" w:sz="4" w:space="0" w:color="auto"/>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Amplitude Modulation (BCD)</w:t>
            </w:r>
          </w:p>
        </w:tc>
        <w:tc>
          <w:tcPr>
            <w:tcW w:w="3005" w:type="dxa"/>
            <w:tcBorders>
              <w:top w:val="double" w:sz="4" w:space="0" w:color="auto"/>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 xml:space="preserve">Clocks and watches periodically receive digital signals transmitted from standard frequency and time signal stations to synchronize and adjust their own time. </w:t>
            </w:r>
          </w:p>
        </w:tc>
      </w:tr>
      <w:tr w:rsidR="005D267F" w:rsidRPr="003D65A7" w:rsidTr="00AE25FA">
        <w:trPr>
          <w:trHeight w:val="680"/>
          <w:jc w:val="center"/>
        </w:trPr>
        <w:tc>
          <w:tcPr>
            <w:tcW w:w="2261"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Ripple Control</w:t>
            </w:r>
          </w:p>
        </w:tc>
        <w:tc>
          <w:tcPr>
            <w:tcW w:w="3402" w:type="dxa"/>
            <w:tcBorders>
              <w:top w:val="single" w:sz="4" w:space="0" w:color="auto"/>
              <w:left w:val="nil"/>
              <w:bottom w:val="nil"/>
              <w:right w:val="single" w:sz="4" w:space="0" w:color="auto"/>
            </w:tcBorders>
            <w:shd w:val="clear" w:color="000000" w:fill="DCE6F1"/>
            <w:vAlign w:val="center"/>
            <w:hideMark/>
          </w:tcPr>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128.6 kHz - 129.6 kHz (129.1kHz, Europe)</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138.5 kHz - 139.5 kHz (139 kHz, Europe)</w:t>
            </w:r>
          </w:p>
        </w:tc>
        <w:tc>
          <w:tcPr>
            <w:tcW w:w="1531"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jc w:val="center"/>
              <w:rPr>
                <w:rFonts w:eastAsia="MS PGothic"/>
                <w:color w:val="000000"/>
                <w:sz w:val="16"/>
                <w:szCs w:val="16"/>
                <w:lang w:eastAsia="ja-JP"/>
              </w:rPr>
            </w:pPr>
            <w:r w:rsidRPr="003D65A7">
              <w:rPr>
                <w:rFonts w:eastAsia="MS PGothic"/>
                <w:color w:val="000000"/>
                <w:sz w:val="16"/>
                <w:szCs w:val="16"/>
                <w:lang w:eastAsia="ja-JP"/>
              </w:rPr>
              <w:t>－</w:t>
            </w:r>
          </w:p>
        </w:tc>
        <w:tc>
          <w:tcPr>
            <w:tcW w:w="3005"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Radio systems used for load/demand control of electricity, which communicates over the electrical distribution system</w:t>
            </w:r>
          </w:p>
        </w:tc>
      </w:tr>
      <w:tr w:rsidR="005D267F" w:rsidRPr="003D65A7" w:rsidTr="00AE25FA">
        <w:trPr>
          <w:trHeight w:val="510"/>
          <w:jc w:val="center"/>
        </w:trPr>
        <w:tc>
          <w:tcPr>
            <w:tcW w:w="901"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sz w:val="16"/>
                <w:szCs w:val="16"/>
                <w:lang w:eastAsia="ja-JP"/>
              </w:rPr>
              <w:t>T</w:t>
            </w:r>
            <w:r w:rsidRPr="003D65A7">
              <w:rPr>
                <w:sz w:val="16"/>
                <w:szCs w:val="16"/>
              </w:rPr>
              <w:t>rain protection automatic warning system</w:t>
            </w:r>
          </w:p>
        </w:tc>
        <w:tc>
          <w:tcPr>
            <w:tcW w:w="1360"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Automatic Train Stop (ATS) Systems</w:t>
            </w:r>
          </w:p>
        </w:tc>
        <w:tc>
          <w:tcPr>
            <w:tcW w:w="3402" w:type="dxa"/>
            <w:tcBorders>
              <w:top w:val="single" w:sz="4" w:space="0" w:color="auto"/>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rPr>
                <w:rFonts w:eastAsia="MS PGothic"/>
                <w:color w:val="000000"/>
                <w:sz w:val="16"/>
                <w:szCs w:val="16"/>
                <w:lang w:eastAsia="ja-JP"/>
              </w:rPr>
            </w:pPr>
            <w:r w:rsidRPr="003D65A7">
              <w:rPr>
                <w:rFonts w:eastAsia="MS PGothic"/>
                <w:color w:val="000000"/>
                <w:sz w:val="16"/>
                <w:szCs w:val="16"/>
                <w:lang w:eastAsia="ja-JP"/>
              </w:rPr>
              <w:t>10 kHz - 250 kHz (Japan)</w:t>
            </w:r>
          </w:p>
        </w:tc>
        <w:tc>
          <w:tcPr>
            <w:tcW w:w="1531"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jc w:val="center"/>
              <w:rPr>
                <w:rFonts w:eastAsia="MS PGothic"/>
                <w:color w:val="000000"/>
                <w:sz w:val="16"/>
                <w:szCs w:val="16"/>
                <w:lang w:eastAsia="ja-JP"/>
              </w:rPr>
            </w:pPr>
            <w:r w:rsidRPr="003D65A7">
              <w:rPr>
                <w:rFonts w:eastAsia="MS PGothic"/>
                <w:color w:val="000000"/>
                <w:sz w:val="16"/>
                <w:szCs w:val="16"/>
                <w:lang w:eastAsia="ja-JP"/>
              </w:rPr>
              <w:t>－</w:t>
            </w:r>
          </w:p>
        </w:tc>
        <w:tc>
          <w:tcPr>
            <w:tcW w:w="3005"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Telecommunication systems which apply electric current to the coils installed along railroad tracks and detect electric current induced in the coils installed on train vehicles on the rail to control the trains.</w:t>
            </w:r>
          </w:p>
        </w:tc>
      </w:tr>
      <w:tr w:rsidR="005D267F" w:rsidRPr="003D65A7" w:rsidTr="00AE25FA">
        <w:trPr>
          <w:trHeight w:val="510"/>
          <w:jc w:val="center"/>
        </w:trPr>
        <w:tc>
          <w:tcPr>
            <w:tcW w:w="901" w:type="dxa"/>
            <w:vMerge/>
            <w:tcBorders>
              <w:left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1360"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402"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rPr>
                <w:rFonts w:eastAsia="MS PGothic"/>
                <w:color w:val="000000"/>
                <w:sz w:val="16"/>
                <w:szCs w:val="16"/>
                <w:lang w:eastAsia="ja-JP"/>
              </w:rPr>
            </w:pPr>
            <w:r w:rsidRPr="003D65A7">
              <w:rPr>
                <w:rFonts w:eastAsia="MS PGothic"/>
                <w:color w:val="000000"/>
                <w:sz w:val="16"/>
                <w:szCs w:val="16"/>
                <w:lang w:eastAsia="ja-JP"/>
              </w:rPr>
              <w:t>425 kHz - 524 kHz (Japan)</w:t>
            </w:r>
          </w:p>
        </w:tc>
        <w:tc>
          <w:tcPr>
            <w:tcW w:w="1531"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jc w:val="center"/>
              <w:rPr>
                <w:rFonts w:eastAsia="MS PGothic"/>
                <w:color w:val="000000"/>
                <w:sz w:val="16"/>
                <w:szCs w:val="16"/>
                <w:lang w:eastAsia="ja-JP"/>
              </w:rPr>
            </w:pPr>
          </w:p>
        </w:tc>
        <w:tc>
          <w:tcPr>
            <w:tcW w:w="3005"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r>
      <w:tr w:rsidR="005D267F" w:rsidRPr="003D65A7" w:rsidTr="00AE25FA">
        <w:trPr>
          <w:trHeight w:val="510"/>
          <w:jc w:val="center"/>
        </w:trPr>
        <w:tc>
          <w:tcPr>
            <w:tcW w:w="901" w:type="dxa"/>
            <w:vMerge/>
            <w:tcBorders>
              <w:left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1360"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Inductive Train Radio Systems (ITRS)</w:t>
            </w:r>
          </w:p>
        </w:tc>
        <w:tc>
          <w:tcPr>
            <w:tcW w:w="3402"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rPr>
                <w:rFonts w:eastAsia="MS PGothic"/>
                <w:color w:val="000000"/>
                <w:sz w:val="16"/>
                <w:szCs w:val="16"/>
                <w:lang w:eastAsia="ja-JP"/>
              </w:rPr>
            </w:pPr>
            <w:r w:rsidRPr="003D65A7">
              <w:rPr>
                <w:rFonts w:eastAsia="MS PGothic"/>
                <w:color w:val="000000"/>
                <w:sz w:val="16"/>
                <w:szCs w:val="16"/>
                <w:lang w:eastAsia="ja-JP"/>
              </w:rPr>
              <w:t>100 kHz - 250 kHz (Japan)</w:t>
            </w:r>
          </w:p>
        </w:tc>
        <w:tc>
          <w:tcPr>
            <w:tcW w:w="1531"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jc w:val="center"/>
              <w:rPr>
                <w:rFonts w:eastAsia="MS PGothic"/>
                <w:color w:val="000000"/>
                <w:sz w:val="16"/>
                <w:szCs w:val="16"/>
                <w:lang w:eastAsia="ja-JP"/>
              </w:rPr>
            </w:pPr>
            <w:r w:rsidRPr="003D65A7">
              <w:rPr>
                <w:rFonts w:eastAsia="MS PGothic"/>
                <w:color w:val="000000"/>
                <w:sz w:val="16"/>
                <w:szCs w:val="16"/>
                <w:lang w:eastAsia="ja-JP"/>
              </w:rPr>
              <w:t>－</w:t>
            </w:r>
          </w:p>
        </w:tc>
        <w:tc>
          <w:tcPr>
            <w:tcW w:w="3005"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Signal transmission systems which use inductive coupling between transmission line which is installed along the railroad track and so forth and antennae which are installed on train vehicles.</w:t>
            </w:r>
          </w:p>
        </w:tc>
      </w:tr>
      <w:tr w:rsidR="005D267F" w:rsidRPr="003D65A7" w:rsidTr="00AE25FA">
        <w:trPr>
          <w:trHeight w:val="510"/>
          <w:jc w:val="center"/>
        </w:trPr>
        <w:tc>
          <w:tcPr>
            <w:tcW w:w="901"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1360"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402"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rPr>
                <w:rFonts w:eastAsia="MS PGothic"/>
                <w:color w:val="000000"/>
                <w:sz w:val="16"/>
                <w:szCs w:val="16"/>
                <w:lang w:eastAsia="ja-JP"/>
              </w:rPr>
            </w:pPr>
            <w:r w:rsidRPr="003D65A7">
              <w:rPr>
                <w:rFonts w:eastAsia="MS PGothic"/>
                <w:color w:val="000000"/>
                <w:sz w:val="16"/>
                <w:szCs w:val="16"/>
                <w:lang w:eastAsia="ja-JP"/>
              </w:rPr>
              <w:t>80 kHz, 92 kHz (Japan, only one route)</w:t>
            </w:r>
          </w:p>
        </w:tc>
        <w:tc>
          <w:tcPr>
            <w:tcW w:w="1531"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005"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r>
      <w:tr w:rsidR="005D267F" w:rsidRPr="003D65A7" w:rsidTr="00AE25FA">
        <w:trPr>
          <w:trHeight w:val="510"/>
          <w:jc w:val="center"/>
        </w:trPr>
        <w:tc>
          <w:tcPr>
            <w:tcW w:w="2261" w:type="dxa"/>
            <w:gridSpan w:val="2"/>
            <w:vMerge w:val="restart"/>
            <w:tcBorders>
              <w:top w:val="single" w:sz="4" w:space="0" w:color="auto"/>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lastRenderedPageBreak/>
              <w:t>Amateur radio</w:t>
            </w:r>
          </w:p>
        </w:tc>
        <w:tc>
          <w:tcPr>
            <w:tcW w:w="3402" w:type="dxa"/>
            <w:tcBorders>
              <w:top w:val="single" w:sz="4" w:space="0" w:color="auto"/>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rPr>
                <w:rFonts w:eastAsia="MS PGothic"/>
                <w:color w:val="000000"/>
                <w:sz w:val="16"/>
                <w:szCs w:val="16"/>
                <w:lang w:eastAsia="ja-JP"/>
              </w:rPr>
            </w:pPr>
            <w:r w:rsidRPr="003D65A7">
              <w:rPr>
                <w:rFonts w:eastAsia="MS PGothic"/>
                <w:color w:val="000000"/>
                <w:sz w:val="16"/>
                <w:szCs w:val="16"/>
                <w:lang w:eastAsia="ja-JP"/>
              </w:rPr>
              <w:t>135.7 kHz - 137.8 kHz</w:t>
            </w:r>
          </w:p>
        </w:tc>
        <w:tc>
          <w:tcPr>
            <w:tcW w:w="1531" w:type="dxa"/>
            <w:vMerge w:val="restart"/>
            <w:tcBorders>
              <w:top w:val="single" w:sz="4" w:space="0" w:color="auto"/>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Amplitude Modulation, Frequency Modulation, Single Sideband, etc.</w:t>
            </w:r>
          </w:p>
        </w:tc>
        <w:tc>
          <w:tcPr>
            <w:tcW w:w="3005" w:type="dxa"/>
            <w:vMerge w:val="restart"/>
            <w:tcBorders>
              <w:top w:val="single" w:sz="4" w:space="0" w:color="auto"/>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Systems for the amateur service as defined in No. 1.56 of the Radio Regulation, for the purpose of self-training intercommunication and technical investigations carried out by amateurs</w:t>
            </w:r>
          </w:p>
        </w:tc>
      </w:tr>
      <w:tr w:rsidR="005D267F" w:rsidRPr="003D65A7" w:rsidTr="00AE25FA">
        <w:trPr>
          <w:trHeight w:val="510"/>
          <w:jc w:val="center"/>
        </w:trPr>
        <w:tc>
          <w:tcPr>
            <w:tcW w:w="2261" w:type="dxa"/>
            <w:gridSpan w:val="2"/>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402"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rPr>
                <w:rFonts w:eastAsia="MS PGothic"/>
                <w:color w:val="000000"/>
                <w:sz w:val="16"/>
                <w:szCs w:val="16"/>
                <w:lang w:eastAsia="ja-JP"/>
              </w:rPr>
            </w:pPr>
            <w:r w:rsidRPr="003D65A7">
              <w:rPr>
                <w:rFonts w:eastAsia="MS PGothic"/>
                <w:color w:val="000000"/>
                <w:sz w:val="16"/>
                <w:szCs w:val="16"/>
                <w:lang w:eastAsia="ja-JP"/>
              </w:rPr>
              <w:t>472 kHz - 479 kHz</w:t>
            </w:r>
          </w:p>
        </w:tc>
        <w:tc>
          <w:tcPr>
            <w:tcW w:w="1531"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005"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r>
      <w:tr w:rsidR="005D267F" w:rsidRPr="003D65A7" w:rsidTr="00AE25FA">
        <w:trPr>
          <w:trHeight w:val="510"/>
          <w:jc w:val="center"/>
        </w:trPr>
        <w:tc>
          <w:tcPr>
            <w:tcW w:w="2261" w:type="dxa"/>
            <w:gridSpan w:val="2"/>
            <w:vMerge w:val="restart"/>
            <w:tcBorders>
              <w:top w:val="single" w:sz="4" w:space="0" w:color="auto"/>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Maritime radio</w:t>
            </w:r>
          </w:p>
        </w:tc>
        <w:tc>
          <w:tcPr>
            <w:tcW w:w="3402"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jc w:val="both"/>
              <w:rPr>
                <w:rFonts w:eastAsia="MS PGothic"/>
                <w:color w:val="000000"/>
                <w:sz w:val="16"/>
                <w:szCs w:val="16"/>
                <w:lang w:eastAsia="ja-JP"/>
              </w:rPr>
            </w:pPr>
            <w:r w:rsidRPr="003D65A7">
              <w:rPr>
                <w:rFonts w:eastAsia="MS PGothic"/>
                <w:color w:val="000000"/>
                <w:sz w:val="16"/>
                <w:szCs w:val="16"/>
                <w:lang w:eastAsia="ja-JP"/>
              </w:rPr>
              <w:t>90 kHz - 110 kHz (LORAN)</w:t>
            </w:r>
          </w:p>
        </w:tc>
        <w:tc>
          <w:tcPr>
            <w:tcW w:w="1531"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Pulse Modulation, Frequency Shift Keying etc.</w:t>
            </w:r>
          </w:p>
        </w:tc>
        <w:tc>
          <w:tcPr>
            <w:tcW w:w="3005" w:type="dxa"/>
            <w:vMerge w:val="restart"/>
            <w:tcBorders>
              <w:top w:val="nil"/>
              <w:left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Radio systems used at port and harbor or on the sea in order to secure safety of vessel operation, etc.</w:t>
            </w:r>
          </w:p>
        </w:tc>
      </w:tr>
      <w:tr w:rsidR="005D267F" w:rsidRPr="003D65A7" w:rsidTr="00AE25FA">
        <w:trPr>
          <w:trHeight w:val="510"/>
          <w:jc w:val="center"/>
        </w:trPr>
        <w:tc>
          <w:tcPr>
            <w:tcW w:w="2261" w:type="dxa"/>
            <w:gridSpan w:val="2"/>
            <w:vMerge/>
            <w:tcBorders>
              <w:left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402"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jc w:val="both"/>
              <w:rPr>
                <w:rFonts w:eastAsia="MS PGothic"/>
                <w:color w:val="000000"/>
                <w:sz w:val="16"/>
                <w:szCs w:val="16"/>
                <w:lang w:eastAsia="ja-JP"/>
              </w:rPr>
            </w:pPr>
            <w:r w:rsidRPr="003D65A7">
              <w:rPr>
                <w:rFonts w:eastAsia="MS PGothic"/>
                <w:color w:val="000000"/>
                <w:sz w:val="16"/>
                <w:szCs w:val="16"/>
                <w:lang w:eastAsia="ja-JP"/>
              </w:rPr>
              <w:t>424 kHz, 490 kHz, 518 kHz (NAVTEX)</w:t>
            </w:r>
          </w:p>
        </w:tc>
        <w:tc>
          <w:tcPr>
            <w:tcW w:w="1531" w:type="dxa"/>
            <w:vMerge/>
            <w:tcBorders>
              <w:left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005" w:type="dxa"/>
            <w:vMerge/>
            <w:tcBorders>
              <w:left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r>
      <w:tr w:rsidR="005D267F" w:rsidRPr="003D65A7" w:rsidTr="00AE25FA">
        <w:trPr>
          <w:trHeight w:val="510"/>
          <w:jc w:val="center"/>
        </w:trPr>
        <w:tc>
          <w:tcPr>
            <w:tcW w:w="2261" w:type="dxa"/>
            <w:gridSpan w:val="2"/>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402"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60"/>
              <w:jc w:val="both"/>
              <w:rPr>
                <w:rFonts w:eastAsia="MS PGothic"/>
                <w:color w:val="000000"/>
                <w:sz w:val="16"/>
                <w:szCs w:val="16"/>
                <w:lang w:eastAsia="ja-JP"/>
              </w:rPr>
            </w:pPr>
            <w:r w:rsidRPr="003D65A7">
              <w:rPr>
                <w:rFonts w:eastAsia="MS PGothic"/>
                <w:color w:val="000000"/>
                <w:sz w:val="16"/>
                <w:szCs w:val="16"/>
                <w:lang w:eastAsia="ja-JP"/>
              </w:rPr>
              <w:t>495 kHz - 505kHz (NAVDAT)</w:t>
            </w:r>
          </w:p>
        </w:tc>
        <w:tc>
          <w:tcPr>
            <w:tcW w:w="1531"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c>
          <w:tcPr>
            <w:tcW w:w="3005" w:type="dxa"/>
            <w:vMerge/>
            <w:tcBorders>
              <w:left w:val="single" w:sz="4" w:space="0" w:color="auto"/>
              <w:bottom w:val="single" w:sz="4" w:space="0" w:color="auto"/>
              <w:right w:val="single" w:sz="4" w:space="0" w:color="auto"/>
            </w:tcBorders>
            <w:vAlign w:val="center"/>
            <w:hideMark/>
          </w:tcPr>
          <w:p w:rsidR="005D267F" w:rsidRPr="003D65A7" w:rsidRDefault="005D267F" w:rsidP="00AE25FA">
            <w:pPr>
              <w:snapToGrid w:val="0"/>
              <w:rPr>
                <w:rFonts w:eastAsia="MS PGothic"/>
                <w:color w:val="000000"/>
                <w:sz w:val="16"/>
                <w:szCs w:val="16"/>
                <w:lang w:eastAsia="ja-JP"/>
              </w:rPr>
            </w:pPr>
          </w:p>
        </w:tc>
      </w:tr>
      <w:tr w:rsidR="005D267F" w:rsidRPr="003D65A7" w:rsidTr="00AE25FA">
        <w:trPr>
          <w:trHeight w:val="1020"/>
          <w:jc w:val="center"/>
        </w:trPr>
        <w:tc>
          <w:tcPr>
            <w:tcW w:w="2261" w:type="dxa"/>
            <w:gridSpan w:val="2"/>
            <w:tcBorders>
              <w:top w:val="single" w:sz="4" w:space="0" w:color="auto"/>
              <w:left w:val="single" w:sz="4" w:space="0" w:color="auto"/>
              <w:bottom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AM broadcasting</w:t>
            </w:r>
          </w:p>
        </w:tc>
        <w:tc>
          <w:tcPr>
            <w:tcW w:w="3402"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148.5 kHz - 283.5 kHz (Region 1)</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525 kHz - 526.5 kHz (Region 2)</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526.5 kHz - 1606.5 kHz (Global)</w:t>
            </w:r>
          </w:p>
          <w:p w:rsidR="005D267F" w:rsidRPr="003D65A7" w:rsidRDefault="005D267F" w:rsidP="00AE25FA">
            <w:pPr>
              <w:snapToGrid w:val="0"/>
              <w:spacing w:before="20"/>
              <w:rPr>
                <w:rFonts w:eastAsia="MS PGothic"/>
                <w:color w:val="000000"/>
                <w:sz w:val="16"/>
                <w:szCs w:val="16"/>
                <w:lang w:eastAsia="ja-JP"/>
              </w:rPr>
            </w:pPr>
            <w:r w:rsidRPr="003D65A7">
              <w:rPr>
                <w:rFonts w:eastAsia="MS PGothic"/>
                <w:color w:val="000000"/>
                <w:sz w:val="16"/>
                <w:szCs w:val="16"/>
                <w:lang w:eastAsia="ja-JP"/>
              </w:rPr>
              <w:t>1605.5 kHz - 1705 kHz (Region 2)</w:t>
            </w:r>
          </w:p>
        </w:tc>
        <w:tc>
          <w:tcPr>
            <w:tcW w:w="1531"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Amplitude Modulation</w:t>
            </w:r>
          </w:p>
        </w:tc>
        <w:tc>
          <w:tcPr>
            <w:tcW w:w="3005" w:type="dxa"/>
            <w:tcBorders>
              <w:top w:val="nil"/>
              <w:left w:val="nil"/>
              <w:bottom w:val="single" w:sz="4" w:space="0" w:color="auto"/>
              <w:right w:val="single" w:sz="4" w:space="0" w:color="auto"/>
            </w:tcBorders>
            <w:shd w:val="clear" w:color="000000" w:fill="DCE6F1"/>
            <w:vAlign w:val="center"/>
            <w:hideMark/>
          </w:tcPr>
          <w:p w:rsidR="005D267F" w:rsidRPr="003D65A7" w:rsidRDefault="005D267F" w:rsidP="00AE25FA">
            <w:pPr>
              <w:snapToGrid w:val="0"/>
              <w:rPr>
                <w:rFonts w:eastAsia="MS PGothic"/>
                <w:color w:val="000000"/>
                <w:sz w:val="16"/>
                <w:szCs w:val="16"/>
                <w:lang w:eastAsia="ja-JP"/>
              </w:rPr>
            </w:pPr>
            <w:r w:rsidRPr="003D65A7">
              <w:rPr>
                <w:rFonts w:eastAsia="MS PGothic"/>
                <w:color w:val="000000"/>
                <w:sz w:val="16"/>
                <w:szCs w:val="16"/>
                <w:lang w:eastAsia="ja-JP"/>
              </w:rPr>
              <w:t>Systems for audio broadcasting services with receivers which use LF and MF bands.</w:t>
            </w:r>
          </w:p>
        </w:tc>
      </w:tr>
    </w:tbl>
    <w:p w:rsidR="005D267F" w:rsidRPr="003D65A7" w:rsidRDefault="005D267F" w:rsidP="005D267F">
      <w:pPr>
        <w:rPr>
          <w:rFonts w:eastAsia="MS Mincho"/>
          <w:lang w:eastAsia="ja-JP"/>
        </w:rPr>
      </w:pPr>
    </w:p>
    <w:p w:rsidR="005D267F" w:rsidRPr="00E734B8" w:rsidRDefault="005D267F" w:rsidP="005D267F">
      <w:pPr>
        <w:pStyle w:val="Heading2"/>
        <w:rPr>
          <w:rFonts w:ascii="Times New Roman" w:eastAsia="MS Mincho" w:hAnsi="Times New Roman" w:cs="Times New Roman"/>
        </w:rPr>
      </w:pPr>
      <w:bookmarkStart w:id="34" w:name="_Toc494297307"/>
      <w:r w:rsidRPr="00E734B8">
        <w:rPr>
          <w:rFonts w:ascii="Times New Roman" w:hAnsi="Times New Roman" w:cs="Times New Roman"/>
        </w:rPr>
        <w:t>6.</w:t>
      </w:r>
      <w:r>
        <w:rPr>
          <w:rFonts w:ascii="Times New Roman" w:hAnsi="Times New Roman" w:cs="Times New Roman"/>
        </w:rPr>
        <w:t>2</w:t>
      </w:r>
      <w:r w:rsidRPr="00E734B8">
        <w:rPr>
          <w:rFonts w:ascii="Times New Roman" w:hAnsi="Times New Roman" w:cs="Times New Roman"/>
        </w:rPr>
        <w:t>.</w:t>
      </w:r>
      <w:r w:rsidRPr="00E734B8">
        <w:rPr>
          <w:rFonts w:ascii="Times New Roman" w:eastAsia="MS Mincho" w:hAnsi="Times New Roman" w:cs="Times New Roman"/>
        </w:rPr>
        <w:t>4</w:t>
      </w:r>
      <w:r>
        <w:rPr>
          <w:rFonts w:ascii="Times New Roman" w:hAnsi="Times New Roman" w:cs="Times New Roman"/>
        </w:rPr>
        <w:tab/>
      </w:r>
      <w:r w:rsidRPr="00E734B8">
        <w:rPr>
          <w:rFonts w:ascii="Times New Roman" w:hAnsi="Times New Roman" w:cs="Times New Roman"/>
        </w:rPr>
        <w:t>Selection of preferential incumbent systems to protect</w:t>
      </w:r>
      <w:bookmarkEnd w:id="34"/>
    </w:p>
    <w:p w:rsidR="005D267F" w:rsidRPr="003D65A7" w:rsidRDefault="005D267F" w:rsidP="005D267F">
      <w:pPr>
        <w:ind w:firstLine="851"/>
        <w:jc w:val="both"/>
        <w:rPr>
          <w:lang w:eastAsia="ja-JP"/>
        </w:rPr>
      </w:pPr>
      <w:r w:rsidRPr="003D65A7">
        <w:rPr>
          <w:lang w:eastAsia="ja-JP"/>
        </w:rPr>
        <w:t xml:space="preserve">As a result of survey of incumbent systems, the following four incumbent systems were selected for assessment of the impact of WPT for </w:t>
      </w:r>
      <w:r>
        <w:rPr>
          <w:lang w:eastAsia="ja-JP"/>
        </w:rPr>
        <w:t xml:space="preserve">passenger </w:t>
      </w:r>
      <w:r w:rsidRPr="003D65A7">
        <w:rPr>
          <w:lang w:eastAsia="ja-JP"/>
        </w:rPr>
        <w:t>EVs:</w:t>
      </w:r>
    </w:p>
    <w:p w:rsidR="005D267F" w:rsidRPr="003D65A7" w:rsidRDefault="005D267F" w:rsidP="005D267F">
      <w:pPr>
        <w:tabs>
          <w:tab w:val="left" w:pos="2608"/>
          <w:tab w:val="left" w:pos="3345"/>
        </w:tabs>
        <w:spacing w:before="60"/>
        <w:ind w:left="1560" w:hanging="426"/>
        <w:jc w:val="both"/>
        <w:rPr>
          <w:lang w:eastAsia="ja-JP"/>
        </w:rPr>
      </w:pPr>
      <w:r w:rsidRPr="003D65A7">
        <w:rPr>
          <w:lang w:eastAsia="ja-JP"/>
        </w:rPr>
        <w:t xml:space="preserve">- </w:t>
      </w:r>
      <w:r w:rsidRPr="003D65A7">
        <w:rPr>
          <w:lang w:eastAsia="ja-JP"/>
        </w:rPr>
        <w:tab/>
        <w:t>Standard frequency and time signal services and systems (40 kHz, 60 kHz)</w:t>
      </w:r>
    </w:p>
    <w:p w:rsidR="005D267F" w:rsidRPr="003D65A7" w:rsidRDefault="005D267F" w:rsidP="005D267F">
      <w:pPr>
        <w:tabs>
          <w:tab w:val="left" w:pos="1560"/>
          <w:tab w:val="left" w:pos="2608"/>
          <w:tab w:val="left" w:pos="3345"/>
        </w:tabs>
        <w:spacing w:before="60"/>
        <w:ind w:leftChars="472" w:left="2266" w:hangingChars="472" w:hanging="1133"/>
        <w:jc w:val="both"/>
        <w:rPr>
          <w:lang w:eastAsia="ja-JP"/>
        </w:rPr>
      </w:pPr>
      <w:r w:rsidRPr="003D65A7">
        <w:rPr>
          <w:lang w:eastAsia="ja-JP"/>
        </w:rPr>
        <w:t xml:space="preserve">- </w:t>
      </w:r>
      <w:r w:rsidRPr="003D65A7">
        <w:rPr>
          <w:lang w:eastAsia="ja-JP"/>
        </w:rPr>
        <w:tab/>
        <w:t>Train radio systems (10 kHz - 250 kHz)</w:t>
      </w:r>
    </w:p>
    <w:p w:rsidR="005D267F" w:rsidRPr="003D65A7" w:rsidRDefault="005D267F" w:rsidP="005D267F">
      <w:pPr>
        <w:tabs>
          <w:tab w:val="left" w:pos="1560"/>
          <w:tab w:val="left" w:pos="2608"/>
          <w:tab w:val="left" w:pos="3345"/>
        </w:tabs>
        <w:spacing w:before="60"/>
        <w:ind w:leftChars="472" w:left="2266" w:hangingChars="472" w:hanging="1133"/>
        <w:jc w:val="both"/>
        <w:rPr>
          <w:lang w:eastAsia="ja-JP"/>
        </w:rPr>
      </w:pPr>
      <w:r w:rsidRPr="003D65A7">
        <w:rPr>
          <w:lang w:eastAsia="ja-JP"/>
        </w:rPr>
        <w:t xml:space="preserve">- </w:t>
      </w:r>
      <w:r w:rsidRPr="003D65A7">
        <w:rPr>
          <w:lang w:eastAsia="ja-JP"/>
        </w:rPr>
        <w:tab/>
        <w:t>Amateur radio (135.7 kHz - 137.8 kHz)</w:t>
      </w:r>
    </w:p>
    <w:p w:rsidR="005D267F" w:rsidRPr="003D65A7" w:rsidRDefault="005D267F" w:rsidP="005D267F">
      <w:pPr>
        <w:tabs>
          <w:tab w:val="left" w:pos="1560"/>
          <w:tab w:val="left" w:pos="2608"/>
          <w:tab w:val="left" w:pos="3345"/>
        </w:tabs>
        <w:spacing w:before="60"/>
        <w:ind w:leftChars="472" w:left="2266" w:hangingChars="472" w:hanging="1133"/>
        <w:jc w:val="both"/>
        <w:rPr>
          <w:lang w:eastAsia="ja-JP"/>
        </w:rPr>
      </w:pPr>
      <w:r w:rsidRPr="003D65A7">
        <w:rPr>
          <w:lang w:eastAsia="ja-JP"/>
        </w:rPr>
        <w:t xml:space="preserve">- </w:t>
      </w:r>
      <w:r w:rsidRPr="003D65A7">
        <w:rPr>
          <w:lang w:eastAsia="ja-JP"/>
        </w:rPr>
        <w:tab/>
        <w:t>AM broadcasting (526.5 kHz - 1606.5 kHz)</w:t>
      </w:r>
    </w:p>
    <w:p w:rsidR="005D267F" w:rsidRPr="003D65A7" w:rsidRDefault="005D267F" w:rsidP="005D267F">
      <w:pPr>
        <w:ind w:firstLine="709"/>
        <w:jc w:val="both"/>
        <w:rPr>
          <w:lang w:eastAsia="ja-JP"/>
        </w:rPr>
      </w:pPr>
      <w:r w:rsidRPr="003D65A7">
        <w:rPr>
          <w:lang w:eastAsia="ja-JP"/>
        </w:rPr>
        <w:t xml:space="preserve">Train radio systems are operated in a unique environment. Therefore, they are not categorized clearly in Japan’s radio regulations. However, the WG decided the train radio systems to assess because it is a safety matter to prevent train service users from any accidents. </w:t>
      </w:r>
    </w:p>
    <w:p w:rsidR="005D267F" w:rsidRPr="003D65A7" w:rsidRDefault="005D267F" w:rsidP="005D267F">
      <w:pPr>
        <w:ind w:firstLine="709"/>
        <w:jc w:val="both"/>
        <w:rPr>
          <w:rFonts w:eastAsia="MS Mincho"/>
          <w:lang w:eastAsia="ja-JP"/>
        </w:rPr>
      </w:pPr>
      <w:r w:rsidRPr="003D65A7">
        <w:rPr>
          <w:lang w:eastAsia="ja-JP"/>
        </w:rPr>
        <w:t>Ripple Control service is not operated in Japan and was put outside the scope.</w:t>
      </w:r>
    </w:p>
    <w:p w:rsidR="005D267F" w:rsidRPr="003D65A7" w:rsidRDefault="005D267F" w:rsidP="005D267F">
      <w:pPr>
        <w:tabs>
          <w:tab w:val="left" w:pos="2608"/>
          <w:tab w:val="left" w:pos="3345"/>
        </w:tabs>
        <w:spacing w:before="80"/>
        <w:jc w:val="both"/>
        <w:rPr>
          <w:rFonts w:eastAsia="MS Mincho"/>
          <w:lang w:eastAsia="ja-JP"/>
        </w:rPr>
      </w:pPr>
    </w:p>
    <w:p w:rsidR="005D267F" w:rsidRPr="00E734B8" w:rsidRDefault="005D267F" w:rsidP="005D267F">
      <w:pPr>
        <w:pStyle w:val="Heading2"/>
        <w:rPr>
          <w:rFonts w:ascii="Times New Roman" w:hAnsi="Times New Roman" w:cs="Times New Roman"/>
        </w:rPr>
      </w:pPr>
      <w:bookmarkStart w:id="35" w:name="_Toc494297308"/>
      <w:r w:rsidRPr="00E734B8">
        <w:rPr>
          <w:rFonts w:ascii="Times New Roman" w:eastAsia="MS Mincho" w:hAnsi="Times New Roman" w:cs="Times New Roman"/>
        </w:rPr>
        <w:t>6</w:t>
      </w:r>
      <w:r w:rsidRPr="00E734B8">
        <w:rPr>
          <w:rFonts w:ascii="Times New Roman" w:hAnsi="Times New Roman" w:cs="Times New Roman"/>
        </w:rPr>
        <w:t>.</w:t>
      </w:r>
      <w:r>
        <w:rPr>
          <w:rFonts w:ascii="Times New Roman" w:hAnsi="Times New Roman" w:cs="Times New Roman"/>
        </w:rPr>
        <w:t>2</w:t>
      </w:r>
      <w:r w:rsidRPr="00E734B8">
        <w:rPr>
          <w:rFonts w:ascii="Times New Roman" w:hAnsi="Times New Roman" w:cs="Times New Roman"/>
        </w:rPr>
        <w:t>.</w:t>
      </w:r>
      <w:r w:rsidRPr="00E734B8">
        <w:rPr>
          <w:rFonts w:ascii="Times New Roman" w:eastAsia="MS Mincho" w:hAnsi="Times New Roman" w:cs="Times New Roman"/>
        </w:rPr>
        <w:t>5</w:t>
      </w:r>
      <w:r>
        <w:rPr>
          <w:rFonts w:ascii="Times New Roman" w:hAnsi="Times New Roman" w:cs="Times New Roman"/>
        </w:rPr>
        <w:tab/>
      </w:r>
      <w:r w:rsidRPr="00E734B8">
        <w:rPr>
          <w:rFonts w:ascii="Times New Roman" w:eastAsia="MS Mincho" w:hAnsi="Times New Roman" w:cs="Times New Roman"/>
        </w:rPr>
        <w:t>Study</w:t>
      </w:r>
      <w:r w:rsidRPr="00E734B8">
        <w:rPr>
          <w:rFonts w:ascii="Times New Roman" w:hAnsi="Times New Roman" w:cs="Times New Roman"/>
        </w:rPr>
        <w:t xml:space="preserve"> on the impact of WPT </w:t>
      </w:r>
      <w:r w:rsidRPr="00E734B8">
        <w:rPr>
          <w:rFonts w:ascii="Times New Roman" w:eastAsia="MS Mincho" w:hAnsi="Times New Roman" w:cs="Times New Roman"/>
        </w:rPr>
        <w:t xml:space="preserve">systems for </w:t>
      </w:r>
      <w:r>
        <w:rPr>
          <w:rFonts w:ascii="Times New Roman" w:eastAsia="MS Mincho" w:hAnsi="Times New Roman" w:cs="Times New Roman"/>
        </w:rPr>
        <w:t xml:space="preserve">passenger </w:t>
      </w:r>
      <w:r w:rsidRPr="00E734B8">
        <w:rPr>
          <w:rFonts w:ascii="Times New Roman" w:eastAsia="MS Mincho" w:hAnsi="Times New Roman" w:cs="Times New Roman"/>
        </w:rPr>
        <w:t>EVs</w:t>
      </w:r>
      <w:r w:rsidRPr="00E734B8">
        <w:rPr>
          <w:rFonts w:ascii="Times New Roman" w:hAnsi="Times New Roman" w:cs="Times New Roman"/>
        </w:rPr>
        <w:t xml:space="preserve"> to the incumbent radiocommunication systems</w:t>
      </w:r>
      <w:bookmarkEnd w:id="35"/>
    </w:p>
    <w:p w:rsidR="005D267F" w:rsidRPr="003D65A7" w:rsidRDefault="005D267F" w:rsidP="005D267F">
      <w:pPr>
        <w:ind w:leftChars="178" w:left="1130" w:hangingChars="293" w:hanging="703"/>
        <w:jc w:val="both"/>
        <w:rPr>
          <w:lang w:eastAsia="ja-JP"/>
        </w:rPr>
      </w:pPr>
      <w:r w:rsidRPr="003D65A7">
        <w:rPr>
          <w:rFonts w:eastAsia="MS Mincho"/>
          <w:lang w:eastAsia="ja-JP"/>
        </w:rPr>
        <w:t>(1)</w:t>
      </w:r>
      <w:r w:rsidRPr="003D65A7">
        <w:rPr>
          <w:lang w:eastAsia="ja-JP"/>
        </w:rPr>
        <w:t xml:space="preserve"> Determination of specifications of WPT systems for </w:t>
      </w:r>
      <w:r>
        <w:rPr>
          <w:lang w:eastAsia="ja-JP"/>
        </w:rPr>
        <w:t xml:space="preserve">passenger </w:t>
      </w:r>
      <w:r w:rsidRPr="003D65A7">
        <w:rPr>
          <w:lang w:eastAsia="ja-JP"/>
        </w:rPr>
        <w:t>EVs</w:t>
      </w:r>
    </w:p>
    <w:p w:rsidR="005D267F" w:rsidRPr="003D65A7" w:rsidRDefault="005D267F" w:rsidP="005D267F">
      <w:pPr>
        <w:ind w:leftChars="472" w:left="1133"/>
        <w:jc w:val="both"/>
        <w:rPr>
          <w:lang w:eastAsia="ja-JP"/>
        </w:rPr>
      </w:pPr>
      <w:r w:rsidRPr="003D65A7">
        <w:rPr>
          <w:lang w:eastAsia="ja-JP"/>
        </w:rPr>
        <w:t xml:space="preserve">Specifications of </w:t>
      </w:r>
      <w:r>
        <w:rPr>
          <w:lang w:eastAsia="ja-JP"/>
        </w:rPr>
        <w:t xml:space="preserve">the </w:t>
      </w:r>
      <w:r w:rsidRPr="003D65A7">
        <w:rPr>
          <w:lang w:eastAsia="ja-JP"/>
        </w:rPr>
        <w:t>WPT systems were determined as follows:</w:t>
      </w:r>
    </w:p>
    <w:p w:rsidR="005D267F" w:rsidRPr="003D65A7" w:rsidRDefault="005D267F" w:rsidP="005D267F">
      <w:pPr>
        <w:numPr>
          <w:ilvl w:val="0"/>
          <w:numId w:val="25"/>
        </w:numPr>
        <w:tabs>
          <w:tab w:val="left" w:pos="1701"/>
          <w:tab w:val="left" w:pos="1871"/>
          <w:tab w:val="left" w:pos="1985"/>
          <w:tab w:val="left" w:pos="2608"/>
          <w:tab w:val="left" w:pos="3345"/>
        </w:tabs>
        <w:overflowPunct w:val="0"/>
        <w:autoSpaceDE w:val="0"/>
        <w:autoSpaceDN w:val="0"/>
        <w:adjustRightInd w:val="0"/>
        <w:spacing w:before="60"/>
        <w:ind w:leftChars="709" w:left="2127" w:hangingChars="177" w:hanging="425"/>
        <w:jc w:val="both"/>
        <w:textAlignment w:val="baseline"/>
        <w:rPr>
          <w:lang w:eastAsia="ja-JP"/>
        </w:rPr>
      </w:pPr>
      <w:r w:rsidRPr="003D65A7">
        <w:rPr>
          <w:lang w:eastAsia="ja-JP"/>
        </w:rPr>
        <w:t>WPT technology: Magnetic coupling (resonant magnetic coupling)</w:t>
      </w:r>
    </w:p>
    <w:p w:rsidR="005D267F" w:rsidRPr="003D65A7" w:rsidRDefault="005D267F" w:rsidP="005D267F">
      <w:pPr>
        <w:numPr>
          <w:ilvl w:val="0"/>
          <w:numId w:val="25"/>
        </w:numPr>
        <w:tabs>
          <w:tab w:val="left" w:pos="1701"/>
          <w:tab w:val="left" w:pos="1871"/>
          <w:tab w:val="left" w:pos="1985"/>
          <w:tab w:val="left" w:pos="2608"/>
          <w:tab w:val="left" w:pos="3345"/>
        </w:tabs>
        <w:overflowPunct w:val="0"/>
        <w:autoSpaceDE w:val="0"/>
        <w:autoSpaceDN w:val="0"/>
        <w:adjustRightInd w:val="0"/>
        <w:spacing w:before="60"/>
        <w:ind w:leftChars="709" w:left="2127" w:hangingChars="177" w:hanging="425"/>
        <w:jc w:val="both"/>
        <w:textAlignment w:val="baseline"/>
        <w:rPr>
          <w:lang w:eastAsia="ja-JP"/>
        </w:rPr>
      </w:pPr>
      <w:r w:rsidRPr="003D65A7">
        <w:rPr>
          <w:lang w:eastAsia="ja-JP"/>
        </w:rPr>
        <w:t>Application: Electric passenger vehicle charging while parking (Static)</w:t>
      </w:r>
    </w:p>
    <w:p w:rsidR="005D267F" w:rsidRPr="003D65A7" w:rsidRDefault="005D267F" w:rsidP="005D267F">
      <w:pPr>
        <w:numPr>
          <w:ilvl w:val="0"/>
          <w:numId w:val="25"/>
        </w:numPr>
        <w:tabs>
          <w:tab w:val="left" w:pos="1701"/>
          <w:tab w:val="left" w:pos="1871"/>
          <w:tab w:val="left" w:pos="1985"/>
          <w:tab w:val="left" w:pos="2608"/>
          <w:tab w:val="left" w:pos="3345"/>
        </w:tabs>
        <w:overflowPunct w:val="0"/>
        <w:autoSpaceDE w:val="0"/>
        <w:autoSpaceDN w:val="0"/>
        <w:adjustRightInd w:val="0"/>
        <w:spacing w:before="60"/>
        <w:ind w:leftChars="709" w:left="2127" w:hangingChars="177" w:hanging="425"/>
        <w:jc w:val="both"/>
        <w:textAlignment w:val="baseline"/>
        <w:rPr>
          <w:lang w:eastAsia="ja-JP"/>
        </w:rPr>
      </w:pPr>
      <w:r w:rsidRPr="003D65A7">
        <w:rPr>
          <w:lang w:eastAsia="ja-JP"/>
        </w:rPr>
        <w:t xml:space="preserve">Frequency range: 79 kHz - 90 kHz (so-called 85 kHz band) </w:t>
      </w:r>
    </w:p>
    <w:p w:rsidR="005D267F" w:rsidRPr="003D65A7" w:rsidRDefault="005D267F" w:rsidP="005D267F">
      <w:pPr>
        <w:ind w:leftChars="472" w:left="1133"/>
        <w:jc w:val="both"/>
        <w:rPr>
          <w:lang w:eastAsia="ja-JP"/>
        </w:rPr>
      </w:pPr>
      <w:r w:rsidRPr="003D65A7">
        <w:rPr>
          <w:lang w:eastAsia="ja-JP"/>
        </w:rPr>
        <w:t xml:space="preserve">In the first phase of discussion, </w:t>
      </w:r>
      <w:r w:rsidRPr="003D65A7">
        <w:rPr>
          <w:rFonts w:eastAsia="MS Mincho"/>
          <w:lang w:eastAsia="ja-JP"/>
        </w:rPr>
        <w:t>four</w:t>
      </w:r>
      <w:r w:rsidRPr="003D65A7">
        <w:rPr>
          <w:lang w:eastAsia="ja-JP"/>
        </w:rPr>
        <w:t xml:space="preserve"> frequency ranges were proposed by industries. As the result of survey and discussion, 79 kHz - 90 kHz range was selected as the primary frequency range by referring to IEC and SAE discussion results in the view of global harmonization.</w:t>
      </w:r>
    </w:p>
    <w:p w:rsidR="005D267F" w:rsidRPr="003D65A7" w:rsidRDefault="005D267F" w:rsidP="005D267F">
      <w:pPr>
        <w:numPr>
          <w:ilvl w:val="0"/>
          <w:numId w:val="25"/>
        </w:numPr>
        <w:tabs>
          <w:tab w:val="left" w:pos="1701"/>
          <w:tab w:val="left" w:pos="1871"/>
          <w:tab w:val="left" w:pos="1985"/>
          <w:tab w:val="left" w:pos="2608"/>
          <w:tab w:val="left" w:pos="3345"/>
        </w:tabs>
        <w:overflowPunct w:val="0"/>
        <w:autoSpaceDE w:val="0"/>
        <w:autoSpaceDN w:val="0"/>
        <w:adjustRightInd w:val="0"/>
        <w:spacing w:before="80"/>
        <w:ind w:leftChars="709" w:left="2127" w:hangingChars="177" w:hanging="425"/>
        <w:jc w:val="both"/>
        <w:textAlignment w:val="baseline"/>
        <w:rPr>
          <w:lang w:eastAsia="ja-JP"/>
        </w:rPr>
      </w:pPr>
      <w:r w:rsidRPr="003D65A7">
        <w:rPr>
          <w:lang w:eastAsia="ja-JP"/>
        </w:rPr>
        <w:t>Transmission power range: 3 kW-class and 7.7 kW-class; Classes are assumed for passenger vehicles</w:t>
      </w:r>
    </w:p>
    <w:p w:rsidR="005D267F" w:rsidRPr="003D65A7" w:rsidRDefault="005D267F" w:rsidP="005D267F">
      <w:pPr>
        <w:spacing w:before="80"/>
        <w:ind w:leftChars="177" w:left="1133" w:hangingChars="295" w:hanging="708"/>
        <w:jc w:val="both"/>
        <w:rPr>
          <w:lang w:eastAsia="ja-JP"/>
        </w:rPr>
      </w:pPr>
      <w:r w:rsidRPr="003D65A7">
        <w:rPr>
          <w:lang w:eastAsia="ja-JP"/>
        </w:rPr>
        <w:t>(</w:t>
      </w:r>
      <w:r w:rsidRPr="003D65A7">
        <w:rPr>
          <w:rFonts w:eastAsia="MS Mincho"/>
          <w:lang w:eastAsia="ja-JP"/>
        </w:rPr>
        <w:t>2</w:t>
      </w:r>
      <w:r w:rsidRPr="003D65A7">
        <w:rPr>
          <w:lang w:eastAsia="ja-JP"/>
        </w:rPr>
        <w:t>) Emission limits for assessment</w:t>
      </w:r>
    </w:p>
    <w:p w:rsidR="005D267F" w:rsidRPr="003D65A7" w:rsidRDefault="005D267F" w:rsidP="005D267F">
      <w:pPr>
        <w:tabs>
          <w:tab w:val="left" w:pos="1418"/>
          <w:tab w:val="left" w:pos="1548"/>
        </w:tabs>
        <w:spacing w:before="80"/>
        <w:ind w:leftChars="472" w:left="1133"/>
        <w:jc w:val="both"/>
        <w:rPr>
          <w:lang w:eastAsia="ja-JP"/>
        </w:rPr>
      </w:pPr>
      <w:r w:rsidRPr="003D65A7">
        <w:rPr>
          <w:lang w:eastAsia="ja-JP"/>
        </w:rPr>
        <w:t>Referring to the emission limits of FCC Part 18 as a global reference and Japan’s radio regulations for inductive cooking heaters, and also referring to CISPR 11 Group2 Class B for the frequency range over 150 kHz, the following emission limits of magnetic field were determined for assessment.</w:t>
      </w:r>
    </w:p>
    <w:p w:rsidR="005D267F" w:rsidRPr="003D65A7" w:rsidRDefault="005D267F" w:rsidP="005D267F">
      <w:pPr>
        <w:tabs>
          <w:tab w:val="left" w:pos="1418"/>
        </w:tabs>
        <w:spacing w:before="80"/>
        <w:ind w:leftChars="708" w:left="2125" w:hanging="426"/>
        <w:rPr>
          <w:lang w:eastAsia="ja-JP"/>
        </w:rPr>
      </w:pPr>
      <w:r w:rsidRPr="003D65A7">
        <w:rPr>
          <w:lang w:eastAsia="ja-JP"/>
        </w:rPr>
        <w:t>(a)</w:t>
      </w:r>
      <w:r w:rsidRPr="003D65A7">
        <w:rPr>
          <w:lang w:eastAsia="ja-JP"/>
        </w:rPr>
        <w:tab/>
        <w:t>WPT frequency range (frequency range used for power transmission)</w:t>
      </w:r>
    </w:p>
    <w:p w:rsidR="005D267F" w:rsidRPr="003D65A7" w:rsidRDefault="005D267F" w:rsidP="005D267F">
      <w:pPr>
        <w:tabs>
          <w:tab w:val="left" w:pos="1418"/>
        </w:tabs>
        <w:spacing w:before="80"/>
        <w:ind w:leftChars="709" w:left="2128" w:hanging="426"/>
        <w:rPr>
          <w:lang w:eastAsia="ja-JP"/>
        </w:rPr>
      </w:pPr>
      <w:r w:rsidRPr="003D65A7">
        <w:rPr>
          <w:lang w:eastAsia="ja-JP"/>
        </w:rPr>
        <w:tab/>
        <w:t>68.4 dBμA/m@10m for 3 kW Tx Power</w:t>
      </w:r>
    </w:p>
    <w:p w:rsidR="005D267F" w:rsidRPr="003D65A7" w:rsidRDefault="005D267F" w:rsidP="005D267F">
      <w:pPr>
        <w:tabs>
          <w:tab w:val="left" w:pos="1418"/>
        </w:tabs>
        <w:spacing w:before="80"/>
        <w:ind w:leftChars="709" w:left="2128" w:hanging="426"/>
        <w:rPr>
          <w:lang w:eastAsia="ja-JP"/>
        </w:rPr>
      </w:pPr>
      <w:r w:rsidRPr="003D65A7">
        <w:rPr>
          <w:lang w:eastAsia="ja-JP"/>
        </w:rPr>
        <w:tab/>
        <w:t>72.5 dBμA/m@10m for 7.7 kW Tx Power</w:t>
      </w:r>
    </w:p>
    <w:p w:rsidR="005D267F" w:rsidRPr="003D65A7" w:rsidRDefault="005D267F" w:rsidP="005D267F">
      <w:pPr>
        <w:tabs>
          <w:tab w:val="left" w:pos="1418"/>
        </w:tabs>
        <w:spacing w:before="80"/>
        <w:ind w:leftChars="709" w:left="2128" w:hanging="426"/>
        <w:rPr>
          <w:lang w:eastAsia="ja-JP"/>
        </w:rPr>
      </w:pPr>
      <w:r w:rsidRPr="003D65A7">
        <w:rPr>
          <w:lang w:eastAsia="ja-JP"/>
        </w:rPr>
        <w:lastRenderedPageBreak/>
        <w:t>(b)</w:t>
      </w:r>
      <w:r w:rsidRPr="003D65A7">
        <w:rPr>
          <w:lang w:eastAsia="ja-JP"/>
        </w:rPr>
        <w:tab/>
        <w:t>Frequency range from 526.5-1606.5 kHz (AM broadcasting services frequency range):</w:t>
      </w:r>
    </w:p>
    <w:p w:rsidR="005D267F" w:rsidRPr="003D65A7" w:rsidRDefault="005D267F" w:rsidP="005D267F">
      <w:pPr>
        <w:tabs>
          <w:tab w:val="left" w:pos="1418"/>
        </w:tabs>
        <w:spacing w:before="80"/>
        <w:ind w:leftChars="709" w:left="2128" w:hanging="426"/>
        <w:rPr>
          <w:lang w:eastAsia="ja-JP"/>
        </w:rPr>
      </w:pPr>
      <w:r w:rsidRPr="003D65A7">
        <w:rPr>
          <w:lang w:eastAsia="ja-JP"/>
        </w:rPr>
        <w:tab/>
        <w:t xml:space="preserve"> -2.0 dBμA/m@10m (same as the current Japanese emission rule)</w:t>
      </w:r>
    </w:p>
    <w:p w:rsidR="005D267F" w:rsidRPr="003D65A7" w:rsidRDefault="005D267F" w:rsidP="005D267F">
      <w:pPr>
        <w:tabs>
          <w:tab w:val="left" w:pos="1418"/>
        </w:tabs>
        <w:spacing w:before="80"/>
        <w:ind w:leftChars="709" w:left="2128" w:hanging="426"/>
        <w:rPr>
          <w:lang w:eastAsia="ja-JP"/>
        </w:rPr>
      </w:pPr>
      <w:r w:rsidRPr="003D65A7">
        <w:rPr>
          <w:lang w:eastAsia="ja-JP"/>
        </w:rPr>
        <w:t>(c)</w:t>
      </w:r>
      <w:r w:rsidRPr="003D65A7">
        <w:rPr>
          <w:lang w:eastAsia="ja-JP"/>
        </w:rPr>
        <w:tab/>
        <w:t>Other frequency ranges expect for 526.5-1606.5 kHz:</w:t>
      </w:r>
    </w:p>
    <w:p w:rsidR="005D267F" w:rsidRPr="003D65A7" w:rsidRDefault="005D267F" w:rsidP="005D267F">
      <w:pPr>
        <w:tabs>
          <w:tab w:val="left" w:pos="1418"/>
        </w:tabs>
        <w:spacing w:before="80"/>
        <w:ind w:leftChars="709" w:left="2128" w:hanging="426"/>
        <w:rPr>
          <w:lang w:eastAsia="ja-JP"/>
        </w:rPr>
      </w:pPr>
      <w:r w:rsidRPr="003D65A7">
        <w:rPr>
          <w:lang w:eastAsia="ja-JP"/>
        </w:rPr>
        <w:tab/>
        <w:t xml:space="preserve"> 23.1 dBμA/m@10m</w:t>
      </w:r>
    </w:p>
    <w:p w:rsidR="005D267F" w:rsidRPr="003D65A7" w:rsidRDefault="005D267F" w:rsidP="005D267F">
      <w:pPr>
        <w:tabs>
          <w:tab w:val="left" w:pos="1418"/>
          <w:tab w:val="left" w:pos="1548"/>
        </w:tabs>
        <w:spacing w:before="80"/>
        <w:ind w:leftChars="886" w:left="2126"/>
        <w:jc w:val="both"/>
        <w:rPr>
          <w:rFonts w:eastAsia="MS Mincho"/>
          <w:lang w:eastAsia="ja-JP"/>
        </w:rPr>
      </w:pPr>
      <w:r w:rsidRPr="003D65A7">
        <w:rPr>
          <w:rFonts w:eastAsia="MS Mincho"/>
          <w:lang w:eastAsia="ja-JP"/>
        </w:rPr>
        <w:t>The above target emission limits were settled firstly, in the frequency ranges both under 526.5 kHz and over 1606.5 kHz. However, after discussion, it was approved to apply the limits of CISPR 11, Group 2, Class B in the frequency range over 150 kHz except for AM broadcasting frequency ranges.</w:t>
      </w:r>
    </w:p>
    <w:p w:rsidR="005D267F" w:rsidRPr="003D65A7" w:rsidRDefault="005D267F" w:rsidP="005D267F"/>
    <w:p w:rsidR="005D267F" w:rsidRPr="00E734B8" w:rsidRDefault="005D267F" w:rsidP="005D267F">
      <w:pPr>
        <w:pStyle w:val="Heading2"/>
        <w:rPr>
          <w:rFonts w:ascii="Times New Roman" w:hAnsi="Times New Roman" w:cs="Times New Roman"/>
        </w:rPr>
      </w:pPr>
      <w:bookmarkStart w:id="36" w:name="_Toc494297309"/>
      <w:r w:rsidRPr="00E734B8">
        <w:rPr>
          <w:rFonts w:ascii="Times New Roman" w:hAnsi="Times New Roman" w:cs="Times New Roman"/>
          <w:lang w:eastAsia="ja-JP"/>
        </w:rPr>
        <w:t>6.</w:t>
      </w:r>
      <w:r>
        <w:rPr>
          <w:rFonts w:ascii="Times New Roman" w:hAnsi="Times New Roman" w:cs="Times New Roman"/>
          <w:lang w:eastAsia="ja-JP"/>
        </w:rPr>
        <w:t>2</w:t>
      </w:r>
      <w:r w:rsidRPr="00E734B8">
        <w:rPr>
          <w:rFonts w:ascii="Times New Roman" w:hAnsi="Times New Roman" w:cs="Times New Roman"/>
          <w:lang w:eastAsia="ja-JP"/>
        </w:rPr>
        <w:t>.</w:t>
      </w:r>
      <w:r w:rsidRPr="00E734B8">
        <w:rPr>
          <w:rFonts w:ascii="Times New Roman" w:eastAsia="MS Mincho" w:hAnsi="Times New Roman" w:cs="Times New Roman"/>
          <w:lang w:eastAsia="ja-JP"/>
        </w:rPr>
        <w:t>6</w:t>
      </w:r>
      <w:r>
        <w:rPr>
          <w:rFonts w:ascii="Times New Roman" w:hAnsi="Times New Roman" w:cs="Times New Roman"/>
        </w:rPr>
        <w:tab/>
      </w:r>
      <w:r w:rsidRPr="00E734B8">
        <w:rPr>
          <w:rFonts w:ascii="Times New Roman" w:hAnsi="Times New Roman" w:cs="Times New Roman"/>
        </w:rPr>
        <w:t>AM broadcasting</w:t>
      </w:r>
      <w:r w:rsidRPr="00E734B8">
        <w:rPr>
          <w:rFonts w:ascii="Times New Roman" w:hAnsi="Times New Roman" w:cs="Times New Roman"/>
          <w:lang w:eastAsia="ja-JP"/>
        </w:rPr>
        <w:t xml:space="preserve"> services</w:t>
      </w:r>
      <w:bookmarkEnd w:id="36"/>
    </w:p>
    <w:p w:rsidR="005D267F" w:rsidRPr="00DB4171" w:rsidRDefault="005D267F" w:rsidP="005D267F">
      <w:pPr>
        <w:tabs>
          <w:tab w:val="left" w:pos="1134"/>
          <w:tab w:val="left" w:pos="1871"/>
          <w:tab w:val="left" w:pos="2268"/>
        </w:tabs>
        <w:overflowPunct w:val="0"/>
        <w:autoSpaceDE w:val="0"/>
        <w:autoSpaceDN w:val="0"/>
        <w:adjustRightInd w:val="0"/>
        <w:spacing w:before="120"/>
        <w:textAlignment w:val="baseline"/>
        <w:rPr>
          <w:rFonts w:eastAsia="MS Mincho"/>
          <w:szCs w:val="20"/>
          <w:lang w:eastAsia="ja-JP"/>
        </w:rPr>
      </w:pPr>
      <w:r>
        <w:rPr>
          <w:rFonts w:eastAsia="MS Mincho"/>
          <w:szCs w:val="20"/>
          <w:lang w:eastAsia="ja-JP"/>
        </w:rPr>
        <w:tab/>
      </w:r>
      <w:r w:rsidRPr="00DB4171">
        <w:rPr>
          <w:rFonts w:eastAsia="MS Mincho"/>
          <w:szCs w:val="20"/>
          <w:lang w:eastAsia="ja-JP"/>
        </w:rPr>
        <w:t xml:space="preserve">For co-existence between WPT systems and broadcasting services, the impact to broadcasting services should be discussed in any radio environments, such as rural, residence and urban areas. </w:t>
      </w:r>
      <w:r>
        <w:rPr>
          <w:rFonts w:eastAsia="MS Mincho"/>
          <w:szCs w:val="20"/>
          <w:lang w:eastAsia="ja-JP"/>
        </w:rPr>
        <w:t xml:space="preserve">This </w:t>
      </w:r>
      <w:r w:rsidRPr="00DB4171">
        <w:rPr>
          <w:rFonts w:eastAsia="MS Mincho"/>
          <w:szCs w:val="20"/>
          <w:lang w:eastAsia="ja-JP"/>
        </w:rPr>
        <w:t xml:space="preserve">section describes a study on the impact in urban and suburban areas conducted </w:t>
      </w:r>
      <w:r>
        <w:rPr>
          <w:rFonts w:eastAsia="MS Mincho"/>
          <w:szCs w:val="20"/>
          <w:lang w:eastAsia="ja-JP"/>
        </w:rPr>
        <w:t xml:space="preserve">in </w:t>
      </w:r>
      <w:r w:rsidRPr="00DB4171">
        <w:rPr>
          <w:rFonts w:eastAsia="MS Mincho"/>
          <w:szCs w:val="20"/>
          <w:lang w:eastAsia="ja-JP"/>
        </w:rPr>
        <w:t xml:space="preserve">Japan. </w:t>
      </w:r>
      <w:r>
        <w:rPr>
          <w:rFonts w:eastAsia="MS Mincho"/>
          <w:szCs w:val="20"/>
          <w:lang w:eastAsia="ja-JP"/>
        </w:rPr>
        <w:t xml:space="preserve">Meanwhile, the European Broadcasting Union provides </w:t>
      </w:r>
      <w:r w:rsidRPr="00DB4171">
        <w:rPr>
          <w:rFonts w:eastAsia="MS Mincho"/>
          <w:szCs w:val="20"/>
          <w:lang w:eastAsia="ja-JP"/>
        </w:rPr>
        <w:t xml:space="preserve">a study based on an analytical approach using the protection criteria of broadcasting service </w:t>
      </w:r>
      <w:r>
        <w:rPr>
          <w:rFonts w:eastAsia="MS Mincho"/>
          <w:szCs w:val="20"/>
          <w:lang w:eastAsia="ja-JP"/>
        </w:rPr>
        <w:t xml:space="preserve">written in </w:t>
      </w:r>
      <w:r w:rsidRPr="00DB4171">
        <w:rPr>
          <w:rFonts w:eastAsia="MS Mincho"/>
          <w:szCs w:val="20"/>
          <w:lang w:eastAsia="ja-JP"/>
        </w:rPr>
        <w:t xml:space="preserve">ITU-R Recommendations and </w:t>
      </w:r>
      <w:r>
        <w:rPr>
          <w:rFonts w:eastAsia="MS Mincho"/>
          <w:szCs w:val="20"/>
          <w:lang w:eastAsia="ja-JP"/>
        </w:rPr>
        <w:t>R</w:t>
      </w:r>
      <w:r w:rsidRPr="00DB4171">
        <w:rPr>
          <w:rFonts w:eastAsia="MS Mincho"/>
          <w:szCs w:val="20"/>
          <w:lang w:eastAsia="ja-JP"/>
        </w:rPr>
        <w:t xml:space="preserve">eports. It derives the maximum tolerable magnetic field from WPT at the broadcasting receiver in the LF and MF bands. The derived maximum tolerable magnetic field strengths are almost at same level as the environment noise level in quiet rural areas as described in Rec. ITU-R P.372-13. </w:t>
      </w:r>
      <w:r>
        <w:rPr>
          <w:rFonts w:eastAsia="MS Mincho"/>
          <w:szCs w:val="20"/>
          <w:lang w:eastAsia="ja-JP"/>
        </w:rPr>
        <w:t>For details, please see Section 7.2.1 of the new revision of Report ITU-R SM.2303-1 (to be published as SM.2303-2).</w:t>
      </w:r>
      <w:r w:rsidRPr="00DB4171">
        <w:rPr>
          <w:rFonts w:eastAsia="MS Mincho"/>
          <w:szCs w:val="20"/>
          <w:lang w:eastAsia="ja-JP"/>
        </w:rPr>
        <w:t> </w:t>
      </w:r>
    </w:p>
    <w:p w:rsidR="005D267F" w:rsidRPr="00656D23" w:rsidRDefault="005D267F" w:rsidP="005D267F">
      <w:pPr>
        <w:tabs>
          <w:tab w:val="left" w:pos="1134"/>
          <w:tab w:val="left" w:pos="1871"/>
          <w:tab w:val="left" w:pos="2268"/>
        </w:tabs>
        <w:overflowPunct w:val="0"/>
        <w:autoSpaceDE w:val="0"/>
        <w:autoSpaceDN w:val="0"/>
        <w:adjustRightInd w:val="0"/>
        <w:spacing w:before="120"/>
        <w:textAlignment w:val="baseline"/>
        <w:rPr>
          <w:rFonts w:eastAsia="MS Mincho"/>
          <w:szCs w:val="20"/>
          <w:lang w:eastAsia="ja-JP"/>
        </w:rPr>
      </w:pPr>
      <w:r>
        <w:rPr>
          <w:rFonts w:eastAsia="MS Mincho"/>
          <w:szCs w:val="20"/>
          <w:lang w:eastAsia="ja-JP"/>
        </w:rPr>
        <w:tab/>
      </w:r>
      <w:r w:rsidRPr="00656D23">
        <w:rPr>
          <w:rFonts w:eastAsia="MS Mincho"/>
          <w:szCs w:val="20"/>
          <w:lang w:eastAsia="ja-JP"/>
        </w:rPr>
        <w:t xml:space="preserve">WPT systems for EVs shall not cause harmful interference to an AM broadcasting </w:t>
      </w:r>
      <w:r w:rsidRPr="00656D23">
        <w:rPr>
          <w:rFonts w:eastAsia="MS Mincho"/>
          <w:szCs w:val="20"/>
        </w:rPr>
        <w:t>receiver</w:t>
      </w:r>
      <w:r w:rsidRPr="00656D23">
        <w:rPr>
          <w:rFonts w:eastAsia="MS Mincho"/>
          <w:szCs w:val="20"/>
          <w:lang w:eastAsia="ja-JP"/>
        </w:rPr>
        <w:t xml:space="preserve"> located at least within 10 meters distance from the systems based on the target radiated emission limits. Emission measurements using a WPT transmitter and WPT receivers on a mock wagon were performed under the agreed worst use case conditions, where the rotation angle of AM broadcasting receivers was selected and set to null direction to receive broadcasting signal considering antenna directive patterns. In addition, the AM receivers were located on the axis at which the strongest WPT unwanted emission waveform arrives considering WPT coil emission patterns. WPT’s 7th harmonic of </w:t>
      </w:r>
      <w:r w:rsidRPr="00656D23">
        <w:rPr>
          <w:rFonts w:eastAsia="MS Mincho"/>
          <w:i/>
          <w:iCs/>
          <w:szCs w:val="20"/>
          <w:lang w:eastAsia="ja-JP"/>
        </w:rPr>
        <w:t>Fc</w:t>
      </w:r>
      <w:r w:rsidRPr="00656D23">
        <w:rPr>
          <w:rFonts w:eastAsia="MS Mincho"/>
          <w:szCs w:val="20"/>
          <w:lang w:eastAsia="ja-JP"/>
        </w:rPr>
        <w:t xml:space="preserve"> = 85.106 kHz falls into 594 kHz AM broadcasting channel, which covers a wide area of Kanto-region of Japan. Hearing (audibility) assessment was performed as well. A criterion for satisfactory mitigation of the impact of WPT for </w:t>
      </w:r>
      <w:r>
        <w:rPr>
          <w:rFonts w:eastAsia="MS Mincho"/>
          <w:szCs w:val="20"/>
          <w:lang w:eastAsia="ja-JP"/>
        </w:rPr>
        <w:t xml:space="preserve">passenger </w:t>
      </w:r>
      <w:r w:rsidRPr="00656D23">
        <w:rPr>
          <w:rFonts w:eastAsia="MS Mincho"/>
          <w:szCs w:val="20"/>
          <w:lang w:eastAsia="ja-JP"/>
        </w:rPr>
        <w:t>EVs to AM broadcasting was confirmed.</w:t>
      </w:r>
    </w:p>
    <w:p w:rsidR="005D267F" w:rsidRPr="00656D23" w:rsidRDefault="005D267F" w:rsidP="005D267F">
      <w:pPr>
        <w:tabs>
          <w:tab w:val="left" w:pos="1134"/>
          <w:tab w:val="left" w:pos="1871"/>
          <w:tab w:val="left" w:pos="2268"/>
        </w:tabs>
        <w:overflowPunct w:val="0"/>
        <w:autoSpaceDE w:val="0"/>
        <w:autoSpaceDN w:val="0"/>
        <w:adjustRightInd w:val="0"/>
        <w:spacing w:before="120"/>
        <w:textAlignment w:val="baseline"/>
        <w:rPr>
          <w:rFonts w:eastAsia="MS Mincho"/>
          <w:szCs w:val="20"/>
          <w:lang w:eastAsia="ja-JP"/>
        </w:rPr>
      </w:pPr>
      <w:r>
        <w:rPr>
          <w:rFonts w:eastAsia="MS Mincho"/>
          <w:szCs w:val="20"/>
          <w:lang w:eastAsia="ja-JP"/>
        </w:rPr>
        <w:tab/>
      </w:r>
      <w:r w:rsidRPr="00656D23">
        <w:rPr>
          <w:rFonts w:eastAsia="MS Mincho"/>
          <w:szCs w:val="20"/>
          <w:lang w:eastAsia="ja-JP"/>
        </w:rPr>
        <w:t>Details are described below:</w:t>
      </w:r>
    </w:p>
    <w:p w:rsidR="005D267F" w:rsidRPr="00656D23" w:rsidRDefault="005D267F" w:rsidP="005D267F">
      <w:pPr>
        <w:rPr>
          <w:lang w:eastAsia="ja-JP"/>
        </w:rPr>
      </w:pPr>
      <w:r w:rsidRPr="00656D23">
        <w:rPr>
          <w:lang w:eastAsia="ja-JP"/>
        </w:rPr>
        <w:t>(a)</w:t>
      </w:r>
      <w:r w:rsidRPr="00656D23">
        <w:rPr>
          <w:lang w:eastAsia="ja-JP"/>
        </w:rPr>
        <w:tab/>
        <w:t>Basic conditions of the impact study</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Chars="106" w:left="991" w:hanging="737"/>
        <w:textAlignment w:val="baseline"/>
        <w:rPr>
          <w:rFonts w:eastAsia="MS Mincho"/>
          <w:szCs w:val="20"/>
          <w:lang w:eastAsia="ja-JP"/>
        </w:rPr>
      </w:pPr>
      <w:r w:rsidRPr="00656D23">
        <w:rPr>
          <w:rFonts w:eastAsia="MS Mincho"/>
          <w:szCs w:val="20"/>
          <w:lang w:eastAsia="ja-JP"/>
        </w:rPr>
        <w:tab/>
        <w:t xml:space="preserve">At first, the WG clarified the following conditions and use cases for the impact study. </w:t>
      </w:r>
    </w:p>
    <w:p w:rsidR="005D267F" w:rsidRPr="00656D23" w:rsidRDefault="005D267F" w:rsidP="005D267F">
      <w:pPr>
        <w:tabs>
          <w:tab w:val="left" w:pos="1134"/>
          <w:tab w:val="left" w:pos="2127"/>
          <w:tab w:val="left" w:pos="2608"/>
          <w:tab w:val="left" w:pos="3345"/>
        </w:tabs>
        <w:overflowPunct w:val="0"/>
        <w:autoSpaceDE w:val="0"/>
        <w:autoSpaceDN w:val="0"/>
        <w:adjustRightInd w:val="0"/>
        <w:spacing w:before="80"/>
        <w:ind w:leftChars="425" w:left="1417" w:hanging="397"/>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 xml:space="preserve">Acceptable maximum emission (the target emission limit) is –2.0 dBμA/m@10m which follows the existing emission limit for inductive cooking heaters in the </w:t>
      </w:r>
      <w:r w:rsidRPr="00656D23">
        <w:rPr>
          <w:rFonts w:eastAsia="MS Mincho"/>
          <w:lang w:eastAsia="ja-JP"/>
        </w:rPr>
        <w:t>526.5</w:t>
      </w:r>
      <w:r w:rsidRPr="00656D23">
        <w:rPr>
          <w:rFonts w:eastAsia="MS Mincho"/>
          <w:lang w:eastAsia="ja-JP"/>
        </w:rPr>
        <w:noBreakHyphen/>
        <w:t>1 606.5 kHz range (AM broadcasting frequency range)</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Chars="425" w:left="1417" w:hanging="397"/>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 xml:space="preserve">Self-interference </w:t>
      </w:r>
      <w:r>
        <w:rPr>
          <w:rFonts w:eastAsia="MS Mincho"/>
          <w:szCs w:val="20"/>
          <w:lang w:eastAsia="ja-JP"/>
        </w:rPr>
        <w:t>was not taken into consideration.</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Chars="425" w:left="1417" w:hanging="397"/>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AM broadcasting receivers are located inside houses or buildings. On the other hand, a WPT system for EVs is located outside of the houses or buildings. Propagation loss due to house walls should be considered.</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Chars="425" w:left="1417" w:hanging="397"/>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 xml:space="preserve">Separation distance between a WPT system and an AM broadcasting receiver is 10 m, under assumption that the nearest neighborhood house is located more than 10 m apart from the WPT owner’s house. </w:t>
      </w:r>
    </w:p>
    <w:p w:rsidR="005D267F" w:rsidRDefault="005D267F" w:rsidP="005D267F">
      <w:pPr>
        <w:tabs>
          <w:tab w:val="left" w:pos="1134"/>
          <w:tab w:val="left" w:pos="1871"/>
          <w:tab w:val="left" w:pos="2608"/>
          <w:tab w:val="left" w:pos="3345"/>
        </w:tabs>
        <w:overflowPunct w:val="0"/>
        <w:autoSpaceDE w:val="0"/>
        <w:autoSpaceDN w:val="0"/>
        <w:adjustRightInd w:val="0"/>
        <w:spacing w:before="80"/>
        <w:ind w:leftChars="425" w:left="1417" w:hanging="397"/>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 xml:space="preserve">Receivers are assumed to be located in a high-field strength area (receiving electric field strength is more than 80 dBμV/m), and a medium-field strength area </w:t>
      </w:r>
      <w:r w:rsidRPr="00656D23">
        <w:rPr>
          <w:rFonts w:eastAsia="MS Mincho"/>
          <w:szCs w:val="20"/>
          <w:lang w:eastAsia="ja-JP"/>
        </w:rPr>
        <w:lastRenderedPageBreak/>
        <w:t xml:space="preserve">(66 dBμV/m). The protection for the broadcast reception users in a low–field strength area (48 dBμV/m) is also important. However, the impact study in the WG focused on high-field strength and medium-field strength areas, because WPT systems are expected to gain in popularity in urban areas in the initial stage and then spread over other areas. </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Chars="425" w:left="1417" w:hanging="397"/>
        <w:textAlignment w:val="baseline"/>
        <w:rPr>
          <w:rFonts w:eastAsia="MS Mincho"/>
          <w:szCs w:val="20"/>
          <w:lang w:eastAsia="ja-JP"/>
        </w:rPr>
      </w:pPr>
    </w:p>
    <w:p w:rsidR="005D267F" w:rsidRPr="00656D23" w:rsidRDefault="005D267F" w:rsidP="005D267F">
      <w:pPr>
        <w:rPr>
          <w:lang w:eastAsia="ja-JP"/>
        </w:rPr>
      </w:pPr>
      <w:bookmarkStart w:id="37" w:name="_Hlk491190902"/>
      <w:r w:rsidRPr="00656D23">
        <w:rPr>
          <w:lang w:eastAsia="ja-JP"/>
        </w:rPr>
        <w:t>(b)</w:t>
      </w:r>
      <w:r w:rsidRPr="00656D23">
        <w:rPr>
          <w:lang w:eastAsia="ja-JP"/>
        </w:rPr>
        <w:tab/>
        <w:t>Analytical study</w:t>
      </w:r>
    </w:p>
    <w:bookmarkEnd w:id="37"/>
    <w:p w:rsidR="005D267F" w:rsidRPr="00656D23" w:rsidRDefault="005D267F" w:rsidP="005D267F">
      <w:pPr>
        <w:tabs>
          <w:tab w:val="left" w:pos="1871"/>
          <w:tab w:val="left" w:pos="2608"/>
          <w:tab w:val="left" w:pos="3345"/>
        </w:tabs>
        <w:overflowPunct w:val="0"/>
        <w:autoSpaceDE w:val="0"/>
        <w:autoSpaceDN w:val="0"/>
        <w:adjustRightInd w:val="0"/>
        <w:spacing w:before="80"/>
        <w:ind w:leftChars="164" w:left="991" w:hanging="597"/>
        <w:textAlignment w:val="baseline"/>
        <w:rPr>
          <w:rFonts w:eastAsia="MS Mincho"/>
          <w:szCs w:val="20"/>
          <w:lang w:eastAsia="ja-JP"/>
        </w:rPr>
      </w:pPr>
      <w:r w:rsidRPr="00656D23">
        <w:rPr>
          <w:rFonts w:eastAsia="MS Mincho"/>
          <w:szCs w:val="20"/>
          <w:lang w:eastAsia="ja-JP"/>
        </w:rPr>
        <w:tab/>
        <w:t xml:space="preserve">In the next step, the impact of WPT for </w:t>
      </w:r>
      <w:r>
        <w:rPr>
          <w:rFonts w:eastAsia="MS Mincho"/>
          <w:szCs w:val="20"/>
          <w:lang w:eastAsia="ja-JP"/>
        </w:rPr>
        <w:t xml:space="preserve">passenger </w:t>
      </w:r>
      <w:r w:rsidRPr="00656D23">
        <w:rPr>
          <w:rFonts w:eastAsia="MS Mincho"/>
          <w:szCs w:val="20"/>
          <w:lang w:eastAsia="ja-JP"/>
        </w:rPr>
        <w:t>EVs on AM broadcasting was studied by an analytical approach. In this step, the following criteria were agreed and taken.</w:t>
      </w:r>
    </w:p>
    <w:p w:rsidR="005D267F" w:rsidRPr="00656D23" w:rsidRDefault="005D267F" w:rsidP="005D267F">
      <w:pPr>
        <w:tabs>
          <w:tab w:val="left" w:pos="1985"/>
          <w:tab w:val="left" w:pos="2608"/>
          <w:tab w:val="left" w:pos="3345"/>
        </w:tabs>
        <w:overflowPunct w:val="0"/>
        <w:autoSpaceDE w:val="0"/>
        <w:autoSpaceDN w:val="0"/>
        <w:adjustRightInd w:val="0"/>
        <w:spacing w:before="80"/>
        <w:ind w:leftChars="414" w:left="1418" w:hanging="424"/>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Acceptable radiated emission limits should be lower than environmental noise level in a particular area. An emission limit of 26.0 dBμV/m at 594 kHz is adopted by referring to the environmental noise of “City” described in Recommendation ITU-R P.372-13. This electric field strength (26.0 dBμV/m) is converted to magnetic field strength (–25.5 dBμA/m) as the acceptable maximum unwanted emission at the receiver.</w:t>
      </w:r>
    </w:p>
    <w:p w:rsidR="005D267F" w:rsidRPr="00656D23" w:rsidRDefault="005D267F" w:rsidP="005D267F">
      <w:pPr>
        <w:tabs>
          <w:tab w:val="left" w:pos="1985"/>
          <w:tab w:val="left" w:pos="2608"/>
          <w:tab w:val="left" w:pos="3345"/>
        </w:tabs>
        <w:overflowPunct w:val="0"/>
        <w:autoSpaceDE w:val="0"/>
        <w:autoSpaceDN w:val="0"/>
        <w:adjustRightInd w:val="0"/>
        <w:spacing w:before="80"/>
        <w:ind w:leftChars="414" w:left="1418" w:hanging="424"/>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Propagation loss due to walls of houses and buildings between a WPT system and an AM broadcasting receiver is assumed to be 10 dB by referring to the reported results of MIC’s round-table conference concerning MF broadcasting pre-emphasis (Dec. 1983).</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Chars="106" w:left="991" w:hanging="737"/>
        <w:textAlignment w:val="baseline"/>
        <w:rPr>
          <w:rFonts w:eastAsia="MS Mincho"/>
          <w:szCs w:val="20"/>
          <w:lang w:eastAsia="ja-JP"/>
        </w:rPr>
      </w:pPr>
      <w:r w:rsidRPr="00656D23">
        <w:rPr>
          <w:rFonts w:eastAsia="MS Mincho"/>
          <w:szCs w:val="20"/>
          <w:lang w:eastAsia="ja-JP"/>
        </w:rPr>
        <w:tab/>
        <w:t xml:space="preserve">This analysis intended to assess the impact to the AM receiver in terms of magnetic-field emission by calculation when a measured unwanted emission strength was given and applied. For that purpose, the system model simulated the condition in (a) and other conditions were agreed; and then, unwanted emission strength at the receiver location was calculated. It was assumed that a WPT system for EV was located 10 m apart from the nearest neighborhood house in which the receiver was located. Furthermore, an AM broadcasting receiver was located at 50 cm inside from windows of the house. The WPT parameters such as radiated emission strength (i.e., –15.6 dBμA/m) and necessary conditions were the same as the WPT system shown as “Test Equipment B” for EVs described in </w:t>
      </w:r>
      <w:r w:rsidRPr="009D0D2B">
        <w:rPr>
          <w:rFonts w:eastAsia="MS Mincho"/>
          <w:szCs w:val="20"/>
          <w:lang w:eastAsia="ja-JP"/>
        </w:rPr>
        <w:t xml:space="preserve">Annex 3 to </w:t>
      </w:r>
      <w:r>
        <w:rPr>
          <w:rFonts w:eastAsia="MS Mincho"/>
          <w:szCs w:val="20"/>
          <w:lang w:eastAsia="ja-JP"/>
        </w:rPr>
        <w:t>the new r</w:t>
      </w:r>
      <w:r w:rsidRPr="009D0D2B">
        <w:rPr>
          <w:rFonts w:eastAsia="MS Mincho"/>
          <w:szCs w:val="20"/>
          <w:lang w:eastAsia="ja-JP"/>
        </w:rPr>
        <w:t>evision of Report ITU-R SM.2303-1 (SM.2303-2)</w:t>
      </w:r>
      <w:r w:rsidRPr="002E2DB7">
        <w:rPr>
          <w:rFonts w:eastAsia="MS Mincho"/>
          <w:szCs w:val="20"/>
          <w:lang w:eastAsia="ja-JP"/>
        </w:rPr>
        <w:t>.</w:t>
      </w:r>
    </w:p>
    <w:p w:rsidR="005D267F" w:rsidRPr="00656D23" w:rsidRDefault="005D267F" w:rsidP="005D267F">
      <w:pPr>
        <w:tabs>
          <w:tab w:val="left" w:pos="1010"/>
          <w:tab w:val="left" w:pos="1871"/>
          <w:tab w:val="left" w:pos="2608"/>
          <w:tab w:val="left" w:pos="3345"/>
        </w:tabs>
        <w:overflowPunct w:val="0"/>
        <w:autoSpaceDE w:val="0"/>
        <w:autoSpaceDN w:val="0"/>
        <w:adjustRightInd w:val="0"/>
        <w:spacing w:before="80"/>
        <w:ind w:leftChars="372" w:left="1630" w:hanging="737"/>
        <w:textAlignment w:val="baseline"/>
        <w:rPr>
          <w:rFonts w:eastAsia="MS Mincho"/>
          <w:szCs w:val="20"/>
          <w:lang w:eastAsia="ja-JP"/>
        </w:rPr>
      </w:pPr>
      <w:r w:rsidRPr="00656D23">
        <w:rPr>
          <w:rFonts w:eastAsia="MS Mincho"/>
          <w:szCs w:val="20"/>
          <w:lang w:eastAsia="ja-JP"/>
        </w:rPr>
        <w:tab/>
        <w:t>The following points were suggested in this analytical study:</w:t>
      </w:r>
    </w:p>
    <w:p w:rsidR="005D267F" w:rsidRPr="00656D23" w:rsidRDefault="005D267F" w:rsidP="005D267F">
      <w:pPr>
        <w:tabs>
          <w:tab w:val="left" w:pos="1418"/>
          <w:tab w:val="left" w:pos="1701"/>
          <w:tab w:val="left" w:pos="2608"/>
          <w:tab w:val="left" w:pos="3345"/>
        </w:tabs>
        <w:overflowPunct w:val="0"/>
        <w:autoSpaceDE w:val="0"/>
        <w:autoSpaceDN w:val="0"/>
        <w:adjustRightInd w:val="0"/>
        <w:spacing w:before="80"/>
        <w:ind w:leftChars="414" w:left="1418" w:hanging="424"/>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Calculated emission strength derived with the measured emission strength satisfies the acceptable unwanted emission strength.</w:t>
      </w:r>
    </w:p>
    <w:p w:rsidR="005D267F" w:rsidRPr="00656D23" w:rsidRDefault="005D267F" w:rsidP="005D267F">
      <w:pPr>
        <w:tabs>
          <w:tab w:val="left" w:pos="1418"/>
          <w:tab w:val="left" w:pos="1701"/>
          <w:tab w:val="left" w:pos="2608"/>
          <w:tab w:val="left" w:pos="3345"/>
        </w:tabs>
        <w:overflowPunct w:val="0"/>
        <w:autoSpaceDE w:val="0"/>
        <w:autoSpaceDN w:val="0"/>
        <w:adjustRightInd w:val="0"/>
        <w:spacing w:before="80"/>
        <w:ind w:leftChars="414" w:left="1418" w:hanging="424"/>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 xml:space="preserve">The measured emission strength used for calculation is lower than the target emission limit of –2.0 dBμA/m by more than 10 dB, which shows substantial clearance for emission to the limit. This number was supported because industries sensibly and commonly take account of uncertainty budget by 10 dB or more for their emission performance margin in their design and test stages. </w:t>
      </w:r>
    </w:p>
    <w:p w:rsidR="005D267F" w:rsidRPr="00656D23" w:rsidRDefault="005D267F" w:rsidP="005D267F">
      <w:pPr>
        <w:tabs>
          <w:tab w:val="left" w:pos="1418"/>
          <w:tab w:val="left" w:pos="1701"/>
          <w:tab w:val="left" w:pos="2608"/>
          <w:tab w:val="left" w:pos="3345"/>
        </w:tabs>
        <w:overflowPunct w:val="0"/>
        <w:autoSpaceDE w:val="0"/>
        <w:autoSpaceDN w:val="0"/>
        <w:adjustRightInd w:val="0"/>
        <w:spacing w:before="80"/>
        <w:ind w:leftChars="414" w:left="1418" w:hanging="424"/>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In practical condition, unwanted emission strength from WPT systems reaches to –25.6 dBμA/m (= –15.6 dBμA/m – 10 dB), which is nearly or less than the acceptable unwanted emission strength, –25.5 dBμA/m.</w:t>
      </w:r>
    </w:p>
    <w:p w:rsidR="005D267F" w:rsidRDefault="005D267F" w:rsidP="005D267F">
      <w:pPr>
        <w:tabs>
          <w:tab w:val="left" w:pos="1871"/>
          <w:tab w:val="left" w:pos="2608"/>
          <w:tab w:val="left" w:pos="3345"/>
        </w:tabs>
        <w:overflowPunct w:val="0"/>
        <w:autoSpaceDE w:val="0"/>
        <w:autoSpaceDN w:val="0"/>
        <w:adjustRightInd w:val="0"/>
        <w:spacing w:before="80"/>
        <w:ind w:leftChars="106" w:left="991" w:hanging="737"/>
        <w:textAlignment w:val="baseline"/>
        <w:rPr>
          <w:rFonts w:eastAsia="MS Mincho"/>
          <w:szCs w:val="20"/>
          <w:lang w:eastAsia="ja-JP"/>
        </w:rPr>
      </w:pPr>
      <w:r w:rsidRPr="00656D23">
        <w:rPr>
          <w:rFonts w:eastAsia="MS Mincho"/>
          <w:szCs w:val="20"/>
          <w:lang w:eastAsia="ja-JP"/>
        </w:rPr>
        <w:tab/>
        <w:t>The above consideration was accepted by the WG. Thereafter, the agreed target emission limit of –2.0 dBμA/m in the AM broadcasting frequency range in Japan was confirmed to be the acceptable number and then approved as a new regulation concerning WPT.</w:t>
      </w:r>
    </w:p>
    <w:p w:rsidR="005D267F" w:rsidRPr="00656D23" w:rsidRDefault="005D267F" w:rsidP="005D267F">
      <w:pPr>
        <w:tabs>
          <w:tab w:val="left" w:pos="1871"/>
          <w:tab w:val="left" w:pos="2608"/>
          <w:tab w:val="left" w:pos="3345"/>
        </w:tabs>
        <w:overflowPunct w:val="0"/>
        <w:autoSpaceDE w:val="0"/>
        <w:autoSpaceDN w:val="0"/>
        <w:adjustRightInd w:val="0"/>
        <w:spacing w:before="80"/>
        <w:ind w:leftChars="106" w:left="991" w:hanging="737"/>
        <w:textAlignment w:val="baseline"/>
        <w:rPr>
          <w:rFonts w:eastAsia="MS Mincho"/>
          <w:szCs w:val="20"/>
          <w:lang w:eastAsia="ja-JP"/>
        </w:rPr>
      </w:pPr>
    </w:p>
    <w:p w:rsidR="005D267F" w:rsidRPr="00656D23" w:rsidRDefault="005D267F" w:rsidP="005D267F">
      <w:pPr>
        <w:rPr>
          <w:lang w:eastAsia="ja-JP"/>
        </w:rPr>
      </w:pPr>
      <w:bookmarkStart w:id="38" w:name="_Hlk485279191"/>
      <w:r w:rsidRPr="00656D23">
        <w:rPr>
          <w:lang w:eastAsia="ja-JP"/>
        </w:rPr>
        <w:t>(c)</w:t>
      </w:r>
      <w:r w:rsidRPr="00656D23">
        <w:rPr>
          <w:lang w:eastAsia="ja-JP"/>
        </w:rPr>
        <w:tab/>
        <w:t>Magnetic field emission measurement</w:t>
      </w:r>
      <w:bookmarkEnd w:id="38"/>
    </w:p>
    <w:p w:rsidR="005D267F" w:rsidRPr="00656D23" w:rsidRDefault="005D267F" w:rsidP="005D267F">
      <w:pPr>
        <w:tabs>
          <w:tab w:val="left" w:pos="1871"/>
          <w:tab w:val="left" w:pos="2608"/>
          <w:tab w:val="left" w:pos="3345"/>
        </w:tabs>
        <w:overflowPunct w:val="0"/>
        <w:autoSpaceDE w:val="0"/>
        <w:autoSpaceDN w:val="0"/>
        <w:adjustRightInd w:val="0"/>
        <w:spacing w:before="80"/>
        <w:ind w:leftChars="413" w:left="991"/>
        <w:textAlignment w:val="baseline"/>
        <w:rPr>
          <w:rFonts w:eastAsia="MS Mincho"/>
          <w:szCs w:val="20"/>
          <w:lang w:eastAsia="ja-JP"/>
        </w:rPr>
      </w:pPr>
      <w:r w:rsidRPr="00656D23">
        <w:rPr>
          <w:rFonts w:eastAsia="MS Mincho"/>
          <w:szCs w:val="20"/>
          <w:lang w:eastAsia="ja-JP"/>
        </w:rPr>
        <w:lastRenderedPageBreak/>
        <w:t>In order to confirm the result of the analytical study above, emission measurement using WPT test equipment and AM broadcasting receivers was performed. Conditions and methods were as follows:</w:t>
      </w:r>
    </w:p>
    <w:p w:rsidR="005D267F" w:rsidRPr="00656D23" w:rsidRDefault="005D267F" w:rsidP="005D267F">
      <w:pPr>
        <w:tabs>
          <w:tab w:val="left" w:pos="1134"/>
          <w:tab w:val="left" w:pos="2608"/>
          <w:tab w:val="left" w:pos="3345"/>
        </w:tabs>
        <w:overflowPunct w:val="0"/>
        <w:autoSpaceDE w:val="0"/>
        <w:autoSpaceDN w:val="0"/>
        <w:adjustRightInd w:val="0"/>
        <w:spacing w:before="80"/>
        <w:ind w:leftChars="414" w:left="1418" w:hanging="424"/>
        <w:textAlignment w:val="baseline"/>
        <w:rPr>
          <w:rFonts w:eastAsia="MS Mincho"/>
          <w:szCs w:val="20"/>
          <w:lang w:eastAsia="ja-JP"/>
        </w:rPr>
      </w:pPr>
      <w:r w:rsidRPr="00656D23">
        <w:rPr>
          <w:rFonts w:eastAsia="MS Mincho"/>
          <w:szCs w:val="20"/>
          <w:lang w:eastAsia="ja-JP"/>
        </w:rPr>
        <w:t>i)</w:t>
      </w:r>
      <w:r w:rsidRPr="00656D23">
        <w:rPr>
          <w:rFonts w:eastAsia="MS Mincho"/>
          <w:szCs w:val="20"/>
          <w:lang w:eastAsia="ja-JP"/>
        </w:rPr>
        <w:tab/>
        <w:t>Measurement set up</w:t>
      </w:r>
    </w:p>
    <w:p w:rsidR="005D267F" w:rsidRPr="00656D23" w:rsidRDefault="005D267F" w:rsidP="005D267F">
      <w:pPr>
        <w:tabs>
          <w:tab w:val="left" w:pos="993"/>
          <w:tab w:val="left" w:pos="1418"/>
          <w:tab w:val="left" w:pos="2608"/>
          <w:tab w:val="left" w:pos="3345"/>
        </w:tabs>
        <w:overflowPunct w:val="0"/>
        <w:autoSpaceDE w:val="0"/>
        <w:autoSpaceDN w:val="0"/>
        <w:adjustRightInd w:val="0"/>
        <w:spacing w:before="80"/>
        <w:ind w:leftChars="355" w:left="1418" w:hanging="566"/>
        <w:textAlignment w:val="baseline"/>
        <w:rPr>
          <w:rFonts w:eastAsia="MS Mincho"/>
          <w:szCs w:val="20"/>
          <w:lang w:eastAsia="ja-JP"/>
        </w:rPr>
      </w:pPr>
      <w:r w:rsidRPr="00656D23">
        <w:rPr>
          <w:rFonts w:eastAsia="MS Mincho"/>
          <w:szCs w:val="20"/>
          <w:lang w:eastAsia="ja-JP"/>
        </w:rPr>
        <w:tab/>
      </w:r>
      <w:r w:rsidRPr="00656D23">
        <w:rPr>
          <w:rFonts w:eastAsia="MS Mincho"/>
          <w:szCs w:val="20"/>
          <w:lang w:eastAsia="ja-JP"/>
        </w:rPr>
        <w:tab/>
        <w:t xml:space="preserve">As mentioned above, the “Test Equipment B” for EVs, described in </w:t>
      </w:r>
      <w:r w:rsidRPr="009D0D2B">
        <w:rPr>
          <w:rFonts w:eastAsia="MS Mincho"/>
          <w:szCs w:val="20"/>
          <w:lang w:eastAsia="ja-JP"/>
        </w:rPr>
        <w:t xml:space="preserve">Annex 3 to </w:t>
      </w:r>
      <w:r>
        <w:rPr>
          <w:rFonts w:eastAsia="MS Mincho"/>
          <w:szCs w:val="20"/>
          <w:lang w:eastAsia="ja-JP"/>
        </w:rPr>
        <w:t xml:space="preserve">the new revision of Report ITU-R SM.2303-1 </w:t>
      </w:r>
      <w:r w:rsidRPr="009D0D2B">
        <w:rPr>
          <w:rFonts w:eastAsia="MS Mincho"/>
          <w:szCs w:val="20"/>
          <w:lang w:eastAsia="ja-JP"/>
        </w:rPr>
        <w:t>(SM.2303-2)</w:t>
      </w:r>
      <w:r w:rsidRPr="00656D23">
        <w:rPr>
          <w:rFonts w:eastAsia="MS Mincho"/>
          <w:szCs w:val="20"/>
          <w:lang w:eastAsia="ja-JP"/>
        </w:rPr>
        <w:t xml:space="preserve">, was used in this experimental test. The WPT frequency of the Test Equipment was 85.106 kHz. The transfer power was 3 kW at the input port of the transmission coil. The 7th harmonic of this WPT equipment was 595.742 kHz. Measured radiated emission levels of the WPT frequency and harmonics of “Test Equipment B” are plotted in Figure </w:t>
      </w:r>
      <w:r>
        <w:rPr>
          <w:rFonts w:eastAsia="MS Mincho"/>
          <w:szCs w:val="20"/>
          <w:lang w:eastAsia="ja-JP"/>
        </w:rPr>
        <w:t>6.1</w:t>
      </w:r>
      <w:r w:rsidRPr="00656D23">
        <w:rPr>
          <w:rFonts w:eastAsia="MS Mincho"/>
          <w:szCs w:val="20"/>
          <w:lang w:eastAsia="ja-JP"/>
        </w:rPr>
        <w:t>.</w:t>
      </w:r>
    </w:p>
    <w:p w:rsidR="005D267F" w:rsidRPr="00656D23" w:rsidRDefault="00105ECB" w:rsidP="005D267F">
      <w:pPr>
        <w:tabs>
          <w:tab w:val="left" w:pos="1134"/>
          <w:tab w:val="left" w:pos="1871"/>
          <w:tab w:val="left" w:pos="2268"/>
        </w:tabs>
        <w:overflowPunct w:val="0"/>
        <w:autoSpaceDE w:val="0"/>
        <w:autoSpaceDN w:val="0"/>
        <w:adjustRightInd w:val="0"/>
        <w:spacing w:before="120"/>
        <w:jc w:val="center"/>
        <w:textAlignment w:val="baseline"/>
        <w:rPr>
          <w:rFonts w:eastAsia="MS Mincho"/>
          <w:szCs w:val="20"/>
          <w:lang w:eastAsia="ja-JP"/>
        </w:rPr>
      </w:pPr>
      <w:r w:rsidRPr="005D267F">
        <w:rPr>
          <w:rFonts w:eastAsia="MS Mincho"/>
          <w:noProof/>
          <w:szCs w:val="20"/>
        </w:rPr>
        <w:drawing>
          <wp:inline distT="0" distB="0" distL="0" distR="0">
            <wp:extent cx="4436110" cy="2699385"/>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b="2922"/>
                    <a:stretch>
                      <a:fillRect/>
                    </a:stretch>
                  </pic:blipFill>
                  <pic:spPr bwMode="auto">
                    <a:xfrm>
                      <a:off x="0" y="0"/>
                      <a:ext cx="4436110" cy="2699385"/>
                    </a:xfrm>
                    <a:prstGeom prst="rect">
                      <a:avLst/>
                    </a:prstGeom>
                    <a:noFill/>
                    <a:ln>
                      <a:noFill/>
                    </a:ln>
                  </pic:spPr>
                </pic:pic>
              </a:graphicData>
            </a:graphic>
          </wp:inline>
        </w:drawing>
      </w:r>
    </w:p>
    <w:p w:rsidR="005D267F" w:rsidRPr="00656D23" w:rsidRDefault="005D267F" w:rsidP="005D267F">
      <w:pPr>
        <w:tabs>
          <w:tab w:val="left" w:pos="1134"/>
          <w:tab w:val="left" w:pos="1871"/>
          <w:tab w:val="left" w:pos="2268"/>
        </w:tabs>
        <w:overflowPunct w:val="0"/>
        <w:autoSpaceDE w:val="0"/>
        <w:autoSpaceDN w:val="0"/>
        <w:adjustRightInd w:val="0"/>
        <w:spacing w:before="20" w:after="240"/>
        <w:jc w:val="center"/>
        <w:textAlignment w:val="baseline"/>
        <w:rPr>
          <w:rFonts w:eastAsia="MS Mincho"/>
          <w:sz w:val="18"/>
          <w:szCs w:val="20"/>
          <w:lang w:eastAsia="ja-JP"/>
        </w:rPr>
      </w:pPr>
      <w:r w:rsidRPr="00656D23">
        <w:rPr>
          <w:rFonts w:eastAsia="MS Mincho"/>
          <w:sz w:val="18"/>
          <w:szCs w:val="20"/>
          <w:lang w:eastAsia="ja-JP"/>
        </w:rPr>
        <w:t>Notes: The 6th harmonic is not plotted as can be plotted below the bottom of the y-axis scale.</w:t>
      </w:r>
    </w:p>
    <w:p w:rsidR="005D267F" w:rsidRDefault="005D267F" w:rsidP="005D267F">
      <w:pPr>
        <w:jc w:val="center"/>
        <w:rPr>
          <w:lang w:eastAsia="ja-JP"/>
        </w:rPr>
      </w:pPr>
      <w:bookmarkStart w:id="39" w:name="_Hlk491190478"/>
      <w:r w:rsidRPr="003D65A7">
        <w:rPr>
          <w:lang w:eastAsia="ja-JP"/>
        </w:rPr>
        <w:t>F</w:t>
      </w:r>
      <w:r w:rsidRPr="003D65A7">
        <w:rPr>
          <w:rFonts w:eastAsia="MS Mincho"/>
          <w:lang w:eastAsia="ja-JP"/>
        </w:rPr>
        <w:t>igure</w:t>
      </w:r>
      <w:r w:rsidRPr="003D65A7">
        <w:rPr>
          <w:lang w:eastAsia="ja-JP"/>
        </w:rPr>
        <w:t xml:space="preserve"> 6</w:t>
      </w:r>
      <w:r w:rsidRPr="003D65A7">
        <w:rPr>
          <w:rFonts w:eastAsia="MS Mincho"/>
          <w:lang w:eastAsia="ja-JP"/>
        </w:rPr>
        <w:t>.</w:t>
      </w:r>
      <w:r w:rsidRPr="003D65A7">
        <w:rPr>
          <w:lang w:eastAsia="ja-JP"/>
        </w:rPr>
        <w:t>1: Measured magnetic field strength of fundamental and harmonic waves of “Test Equipment B” (Quasi-peak value)</w:t>
      </w:r>
    </w:p>
    <w:bookmarkEnd w:id="39"/>
    <w:p w:rsidR="005D267F" w:rsidRPr="00656D23" w:rsidRDefault="005D267F" w:rsidP="005D267F">
      <w:pPr>
        <w:rPr>
          <w:rFonts w:eastAsia="MS Mincho"/>
          <w:szCs w:val="20"/>
          <w:lang w:eastAsia="ja-JP"/>
        </w:rPr>
      </w:pPr>
    </w:p>
    <w:p w:rsidR="005D267F" w:rsidRPr="00656D23" w:rsidRDefault="005D267F" w:rsidP="005D267F">
      <w:pPr>
        <w:rPr>
          <w:lang w:eastAsia="ja-JP"/>
        </w:rPr>
      </w:pPr>
      <w:r w:rsidRPr="00656D23">
        <w:rPr>
          <w:lang w:eastAsia="ja-JP"/>
        </w:rPr>
        <w:t>(d)</w:t>
      </w:r>
      <w:r w:rsidRPr="00656D23">
        <w:rPr>
          <w:lang w:eastAsia="ja-JP"/>
        </w:rPr>
        <w:tab/>
        <w:t xml:space="preserve">Audibility test </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1701" w:hanging="708"/>
        <w:textAlignment w:val="baseline"/>
        <w:rPr>
          <w:rFonts w:eastAsia="MS Mincho"/>
          <w:szCs w:val="20"/>
          <w:lang w:eastAsia="ja-JP"/>
        </w:rPr>
      </w:pPr>
      <w:r w:rsidRPr="00656D23">
        <w:rPr>
          <w:rFonts w:eastAsia="MS Mincho"/>
          <w:szCs w:val="20"/>
          <w:lang w:eastAsia="ja-JP"/>
        </w:rPr>
        <w:t>i)</w:t>
      </w:r>
      <w:r w:rsidRPr="00656D23">
        <w:rPr>
          <w:rFonts w:eastAsia="MS Mincho"/>
          <w:szCs w:val="20"/>
          <w:lang w:eastAsia="ja-JP"/>
        </w:rPr>
        <w:tab/>
        <w:t>AM broadcasting receiver selection</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1701" w:hanging="708"/>
        <w:textAlignment w:val="baseline"/>
        <w:rPr>
          <w:rFonts w:eastAsia="MS Mincho"/>
          <w:szCs w:val="20"/>
          <w:lang w:eastAsia="ja-JP"/>
        </w:rPr>
      </w:pPr>
      <w:r w:rsidRPr="00656D23">
        <w:rPr>
          <w:rFonts w:eastAsia="MS Mincho"/>
          <w:szCs w:val="20"/>
          <w:lang w:eastAsia="ja-JP"/>
        </w:rPr>
        <w:tab/>
      </w:r>
      <w:r w:rsidRPr="00656D23">
        <w:rPr>
          <w:rFonts w:eastAsia="MS Mincho"/>
          <w:szCs w:val="20"/>
          <w:lang w:eastAsia="ja-JP"/>
        </w:rPr>
        <w:tab/>
        <w:t>Several types of AM broadcasting receivers, including high-end type and portable type were prepared for this experimental test.</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1701" w:hanging="708"/>
        <w:textAlignment w:val="baseline"/>
        <w:rPr>
          <w:rFonts w:eastAsia="MS Mincho"/>
          <w:szCs w:val="20"/>
          <w:lang w:eastAsia="ja-JP"/>
        </w:rPr>
      </w:pPr>
      <w:r w:rsidRPr="00656D23">
        <w:rPr>
          <w:rFonts w:eastAsia="MS Mincho"/>
          <w:szCs w:val="20"/>
          <w:lang w:eastAsia="ja-JP"/>
        </w:rPr>
        <w:t>ii)</w:t>
      </w:r>
      <w:r w:rsidRPr="00656D23">
        <w:rPr>
          <w:rFonts w:eastAsia="MS Mincho"/>
          <w:szCs w:val="20"/>
          <w:lang w:eastAsia="ja-JP"/>
        </w:rPr>
        <w:tab/>
        <w:t>Date and place</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1701" w:hanging="708"/>
        <w:textAlignment w:val="baseline"/>
        <w:rPr>
          <w:rFonts w:eastAsia="MS Mincho"/>
          <w:szCs w:val="20"/>
          <w:lang w:eastAsia="ja-JP"/>
        </w:rPr>
      </w:pPr>
      <w:r w:rsidRPr="00656D23">
        <w:rPr>
          <w:rFonts w:eastAsia="MS Mincho"/>
          <w:szCs w:val="20"/>
          <w:lang w:eastAsia="ja-JP"/>
        </w:rPr>
        <w:tab/>
      </w:r>
      <w:r w:rsidRPr="00656D23">
        <w:rPr>
          <w:rFonts w:eastAsia="MS Mincho"/>
          <w:szCs w:val="20"/>
          <w:lang w:eastAsia="ja-JP"/>
        </w:rPr>
        <w:tab/>
        <w:t>Date of this experimental test is from 1st July to 2nd July, 2014. Open area test site of Telecom Engineering Center (TELEC) Matsudo Laboratory was used for this experimental test. TELEC Matsudo Laboratory is located in a general residential suburb</w:t>
      </w:r>
      <w:r>
        <w:rPr>
          <w:rFonts w:eastAsia="MS Mincho"/>
          <w:szCs w:val="20"/>
          <w:lang w:eastAsia="ja-JP"/>
        </w:rPr>
        <w:t>an</w:t>
      </w:r>
      <w:r w:rsidRPr="00656D23">
        <w:rPr>
          <w:rFonts w:eastAsia="MS Mincho"/>
          <w:szCs w:val="20"/>
          <w:lang w:eastAsia="ja-JP"/>
        </w:rPr>
        <w:t xml:space="preserve"> area nearby Tokyo.</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1701" w:hanging="708"/>
        <w:textAlignment w:val="baseline"/>
        <w:rPr>
          <w:rFonts w:eastAsia="MS Mincho"/>
          <w:szCs w:val="20"/>
          <w:lang w:eastAsia="ja-JP"/>
        </w:rPr>
      </w:pPr>
      <w:r w:rsidRPr="00656D23">
        <w:rPr>
          <w:rFonts w:eastAsia="MS Mincho"/>
          <w:szCs w:val="20"/>
          <w:lang w:eastAsia="ja-JP"/>
        </w:rPr>
        <w:t>iii)</w:t>
      </w:r>
      <w:r w:rsidRPr="00656D23">
        <w:rPr>
          <w:rFonts w:eastAsia="MS Mincho"/>
          <w:szCs w:val="20"/>
          <w:lang w:eastAsia="ja-JP"/>
        </w:rPr>
        <w:tab/>
        <w:t>Broadcasting service channel and frequency</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1701" w:hanging="708"/>
        <w:textAlignment w:val="baseline"/>
        <w:rPr>
          <w:rFonts w:eastAsia="MS Mincho"/>
          <w:szCs w:val="20"/>
          <w:lang w:eastAsia="ja-JP"/>
        </w:rPr>
      </w:pPr>
      <w:r w:rsidRPr="00656D23">
        <w:rPr>
          <w:rFonts w:eastAsia="MS Mincho"/>
          <w:szCs w:val="20"/>
          <w:lang w:eastAsia="ja-JP"/>
        </w:rPr>
        <w:tab/>
      </w:r>
      <w:r w:rsidRPr="00656D23">
        <w:rPr>
          <w:rFonts w:eastAsia="MS Mincho"/>
          <w:szCs w:val="20"/>
          <w:lang w:eastAsia="ja-JP"/>
        </w:rPr>
        <w:tab/>
        <w:t>In the Tokyo area, there is an AM broadcasting channel of NHK Radio 1 at 594 kHz. The frequency difference between NHK Radio 1 and the 7th harmonic of “Test Equipment B” is about 1.7 kHz. If the 7th harmonic of “Test Equipment B” is larger than environmental noise, we can hear noise of 1.7 kHz.</w:t>
      </w:r>
    </w:p>
    <w:p w:rsidR="005D267F" w:rsidRPr="00656D23" w:rsidRDefault="005D267F" w:rsidP="005D267F">
      <w:pPr>
        <w:tabs>
          <w:tab w:val="left" w:pos="1134"/>
          <w:tab w:val="left" w:pos="1871"/>
          <w:tab w:val="left" w:pos="2608"/>
          <w:tab w:val="left" w:pos="3345"/>
        </w:tabs>
        <w:overflowPunct w:val="0"/>
        <w:autoSpaceDE w:val="0"/>
        <w:autoSpaceDN w:val="0"/>
        <w:adjustRightInd w:val="0"/>
        <w:spacing w:before="80"/>
        <w:ind w:left="1701" w:hanging="1134"/>
        <w:textAlignment w:val="baseline"/>
        <w:rPr>
          <w:rFonts w:eastAsia="MS Mincho"/>
          <w:szCs w:val="20"/>
          <w:lang w:eastAsia="ja-JP"/>
        </w:rPr>
      </w:pPr>
      <w:r w:rsidRPr="00656D23">
        <w:rPr>
          <w:rFonts w:eastAsia="MS Mincho"/>
          <w:szCs w:val="20"/>
          <w:lang w:eastAsia="ja-JP"/>
        </w:rPr>
        <w:tab/>
      </w:r>
      <w:r w:rsidRPr="00656D23">
        <w:rPr>
          <w:rFonts w:eastAsia="MS Mincho"/>
          <w:szCs w:val="20"/>
          <w:lang w:eastAsia="ja-JP"/>
        </w:rPr>
        <w:tab/>
        <w:t>Test procedure was as follows:</w:t>
      </w:r>
    </w:p>
    <w:p w:rsidR="005D267F" w:rsidRPr="00656D23" w:rsidRDefault="005D267F" w:rsidP="005D267F">
      <w:pPr>
        <w:tabs>
          <w:tab w:val="left" w:pos="1560"/>
          <w:tab w:val="left" w:pos="1871"/>
          <w:tab w:val="left" w:pos="3345"/>
        </w:tabs>
        <w:overflowPunct w:val="0"/>
        <w:autoSpaceDE w:val="0"/>
        <w:autoSpaceDN w:val="0"/>
        <w:adjustRightInd w:val="0"/>
        <w:spacing w:before="80"/>
        <w:ind w:left="1843" w:hanging="142"/>
        <w:textAlignment w:val="baseline"/>
        <w:rPr>
          <w:rFonts w:eastAsia="MS Mincho"/>
          <w:szCs w:val="20"/>
          <w:lang w:eastAsia="ja-JP"/>
        </w:rPr>
      </w:pPr>
      <w:r w:rsidRPr="00656D23">
        <w:rPr>
          <w:rFonts w:eastAsia="MS Mincho"/>
          <w:szCs w:val="20"/>
          <w:lang w:eastAsia="ja-JP"/>
        </w:rPr>
        <w:lastRenderedPageBreak/>
        <w:t>•</w:t>
      </w:r>
      <w:r w:rsidRPr="00656D23">
        <w:rPr>
          <w:rFonts w:eastAsia="MS Mincho"/>
          <w:szCs w:val="20"/>
          <w:lang w:eastAsia="ja-JP"/>
        </w:rPr>
        <w:tab/>
        <w:t>At first, received field strength of AM broadcasting, radiated emission strength of harmonics of WPT equipment and environmental noise level were measured by using a spectrum analyzer. In the measurement, the receiving antenna received vertical and horizontal directions of H-field. The WPT equipment was placed at the 90 degrees rotated direction which maximizes the received unwanted emission strength.</w:t>
      </w:r>
      <w:r w:rsidRPr="00656D23">
        <w:rPr>
          <w:rFonts w:eastAsia="MS Mincho"/>
          <w:szCs w:val="20"/>
          <w:lang w:val="en-GB" w:eastAsia="ja-JP"/>
        </w:rPr>
        <w:t xml:space="preserve"> </w:t>
      </w:r>
      <w:r w:rsidRPr="00656D23">
        <w:rPr>
          <w:rFonts w:eastAsia="MS Mincho"/>
          <w:szCs w:val="20"/>
          <w:lang w:eastAsia="ja-JP"/>
        </w:rPr>
        <w:t xml:space="preserve">From these checking operations which consider the polarization and the radiated emission directivity from the WPT equipment, the maximum unwanted emission strength can be realized. Figure </w:t>
      </w:r>
      <w:r>
        <w:rPr>
          <w:rFonts w:eastAsia="MS Mincho"/>
          <w:szCs w:val="20"/>
          <w:lang w:eastAsia="ja-JP"/>
        </w:rPr>
        <w:t>6.2</w:t>
      </w:r>
      <w:r w:rsidRPr="00656D23">
        <w:rPr>
          <w:rFonts w:eastAsia="MS Mincho"/>
          <w:szCs w:val="20"/>
          <w:lang w:eastAsia="ja-JP"/>
        </w:rPr>
        <w:t xml:space="preserve"> shows the condition of the worst case which demonstrates the maximum impact to broadcasting receivers from the WPT equipment in this experimental study. This figure illustrates the location of the AM radio broadcasting station, AM radio receivers and the WPT equipment, and also describes the relationship between the antenna pattern of radio receivers and the direction of the maximum emission from the WPT equipment.</w:t>
      </w:r>
    </w:p>
    <w:p w:rsidR="005D267F" w:rsidRPr="00656D23" w:rsidRDefault="005D267F" w:rsidP="005D267F">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rPr>
      </w:pPr>
    </w:p>
    <w:p w:rsidR="005D267F" w:rsidRDefault="00105ECB" w:rsidP="005D267F">
      <w:pPr>
        <w:tabs>
          <w:tab w:val="left" w:pos="1134"/>
          <w:tab w:val="left" w:pos="1871"/>
          <w:tab w:val="left" w:pos="3345"/>
        </w:tabs>
        <w:overflowPunct w:val="0"/>
        <w:autoSpaceDE w:val="0"/>
        <w:autoSpaceDN w:val="0"/>
        <w:adjustRightInd w:val="0"/>
        <w:spacing w:before="80"/>
        <w:ind w:left="2665" w:hanging="397"/>
        <w:textAlignment w:val="baseline"/>
        <w:rPr>
          <w:rFonts w:eastAsia="MS Mincho"/>
          <w:szCs w:val="20"/>
          <w:lang w:eastAsia="ja-JP"/>
        </w:rPr>
      </w:pPr>
      <w:r w:rsidRPr="005D267F">
        <w:rPr>
          <w:rFonts w:eastAsia="MS Mincho"/>
          <w:noProof/>
          <w:szCs w:val="20"/>
        </w:rPr>
        <w:drawing>
          <wp:inline distT="0" distB="0" distL="0" distR="0">
            <wp:extent cx="3962400" cy="2160905"/>
            <wp:effectExtent l="0" t="0" r="0" b="0"/>
            <wp:docPr id="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2160905"/>
                    </a:xfrm>
                    <a:prstGeom prst="rect">
                      <a:avLst/>
                    </a:prstGeom>
                    <a:noFill/>
                    <a:ln>
                      <a:noFill/>
                    </a:ln>
                  </pic:spPr>
                </pic:pic>
              </a:graphicData>
            </a:graphic>
          </wp:inline>
        </w:drawing>
      </w:r>
    </w:p>
    <w:p w:rsidR="005D267F" w:rsidRPr="00656D23" w:rsidRDefault="005D267F" w:rsidP="005D267F">
      <w:pPr>
        <w:jc w:val="center"/>
        <w:rPr>
          <w:rFonts w:eastAsia="MS Mincho"/>
          <w:szCs w:val="20"/>
          <w:lang w:eastAsia="ja-JP"/>
        </w:rPr>
      </w:pPr>
      <w:r w:rsidRPr="003D65A7">
        <w:rPr>
          <w:lang w:eastAsia="ja-JP"/>
        </w:rPr>
        <w:t>F</w:t>
      </w:r>
      <w:r w:rsidRPr="003D65A7">
        <w:rPr>
          <w:rFonts w:eastAsia="MS Mincho"/>
          <w:lang w:eastAsia="ja-JP"/>
        </w:rPr>
        <w:t>igure</w:t>
      </w:r>
      <w:r w:rsidRPr="003D65A7">
        <w:rPr>
          <w:lang w:eastAsia="ja-JP"/>
        </w:rPr>
        <w:t xml:space="preserve"> 6</w:t>
      </w:r>
      <w:r w:rsidRPr="003D65A7">
        <w:rPr>
          <w:rFonts w:eastAsia="MS Mincho"/>
          <w:lang w:eastAsia="ja-JP"/>
        </w:rPr>
        <w:t>.</w:t>
      </w:r>
      <w:r>
        <w:rPr>
          <w:lang w:eastAsia="ja-JP"/>
        </w:rPr>
        <w:t>2</w:t>
      </w:r>
      <w:r w:rsidRPr="003D65A7">
        <w:rPr>
          <w:lang w:eastAsia="ja-JP"/>
        </w:rPr>
        <w:t>: Measure</w:t>
      </w:r>
      <w:r>
        <w:rPr>
          <w:lang w:eastAsia="ja-JP"/>
        </w:rPr>
        <w:t>ment condition of audibility test</w:t>
      </w:r>
    </w:p>
    <w:p w:rsidR="005D267F" w:rsidRPr="00656D23" w:rsidRDefault="005D267F" w:rsidP="005D267F">
      <w:pPr>
        <w:tabs>
          <w:tab w:val="left" w:pos="1134"/>
          <w:tab w:val="left" w:pos="1871"/>
          <w:tab w:val="left" w:pos="3345"/>
        </w:tabs>
        <w:overflowPunct w:val="0"/>
        <w:autoSpaceDE w:val="0"/>
        <w:autoSpaceDN w:val="0"/>
        <w:adjustRightInd w:val="0"/>
        <w:spacing w:before="80"/>
        <w:ind w:left="2665" w:hanging="397"/>
        <w:textAlignment w:val="baseline"/>
        <w:rPr>
          <w:rFonts w:eastAsia="MS Mincho"/>
          <w:szCs w:val="20"/>
          <w:lang w:eastAsia="ja-JP"/>
        </w:rPr>
      </w:pPr>
    </w:p>
    <w:p w:rsidR="005D267F" w:rsidRPr="00656D23" w:rsidRDefault="005D267F" w:rsidP="005D267F">
      <w:pPr>
        <w:tabs>
          <w:tab w:val="left" w:pos="1871"/>
          <w:tab w:val="left" w:pos="3345"/>
        </w:tabs>
        <w:overflowPunct w:val="0"/>
        <w:autoSpaceDE w:val="0"/>
        <w:autoSpaceDN w:val="0"/>
        <w:adjustRightInd w:val="0"/>
        <w:ind w:left="1843" w:hanging="142"/>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Next, an audibility test was performed by the participants listening to the broadcasting programs at several different locations separated by different distances including 10 m and 3 m from the WPT equipment. In this audibility test, the separation distance of 10 m matches the required conditions for this impact study. The test of 3 m separation distance was done only as reference. In this test, the face direction and the rotation angle of broadcasting receivers were selected at the worst condition for broadcasting reception considering antenna directive patterns and polarizations of those receivers. At the same time, the face direction and the rotation angle of broadcasting receivers were also adjusted to maximize the interference emission from the WPT equipment.</w:t>
      </w:r>
      <w:r w:rsidRPr="00656D23" w:rsidDel="000C4553">
        <w:rPr>
          <w:rFonts w:eastAsia="MS Mincho"/>
          <w:szCs w:val="20"/>
          <w:lang w:eastAsia="ja-JP"/>
        </w:rPr>
        <w:t xml:space="preserve"> </w:t>
      </w:r>
    </w:p>
    <w:p w:rsidR="005D267F" w:rsidRPr="00656D23" w:rsidRDefault="005D267F" w:rsidP="005D267F">
      <w:pPr>
        <w:keepNext/>
        <w:tabs>
          <w:tab w:val="left" w:pos="1134"/>
          <w:tab w:val="left" w:pos="2608"/>
          <w:tab w:val="left" w:pos="3345"/>
        </w:tabs>
        <w:overflowPunct w:val="0"/>
        <w:autoSpaceDE w:val="0"/>
        <w:autoSpaceDN w:val="0"/>
        <w:adjustRightInd w:val="0"/>
        <w:spacing w:before="80"/>
        <w:ind w:left="1560" w:hanging="567"/>
        <w:textAlignment w:val="baseline"/>
        <w:rPr>
          <w:rFonts w:eastAsia="MS Mincho"/>
          <w:szCs w:val="20"/>
          <w:lang w:eastAsia="ja-JP"/>
        </w:rPr>
      </w:pPr>
      <w:r w:rsidRPr="00656D23">
        <w:rPr>
          <w:rFonts w:eastAsia="MS Mincho"/>
          <w:szCs w:val="20"/>
          <w:lang w:eastAsia="ja-JP"/>
        </w:rPr>
        <w:t>iv)</w:t>
      </w:r>
      <w:r w:rsidRPr="00656D23">
        <w:rPr>
          <w:rFonts w:eastAsia="MS Mincho"/>
          <w:szCs w:val="20"/>
          <w:lang w:eastAsia="ja-JP"/>
        </w:rPr>
        <w:tab/>
        <w:t>Test results</w:t>
      </w:r>
    </w:p>
    <w:p w:rsidR="005D267F" w:rsidRPr="00656D23" w:rsidRDefault="005D267F" w:rsidP="005D267F">
      <w:pPr>
        <w:tabs>
          <w:tab w:val="left" w:pos="1134"/>
          <w:tab w:val="left" w:pos="2608"/>
          <w:tab w:val="left" w:pos="3345"/>
        </w:tabs>
        <w:overflowPunct w:val="0"/>
        <w:autoSpaceDE w:val="0"/>
        <w:autoSpaceDN w:val="0"/>
        <w:adjustRightInd w:val="0"/>
        <w:spacing w:before="80"/>
        <w:ind w:left="1560"/>
        <w:textAlignment w:val="baseline"/>
        <w:rPr>
          <w:rFonts w:eastAsia="MS Mincho"/>
          <w:szCs w:val="20"/>
          <w:lang w:eastAsia="ja-JP"/>
        </w:rPr>
      </w:pPr>
      <w:r w:rsidRPr="00656D23">
        <w:rPr>
          <w:rFonts w:eastAsia="MS Mincho"/>
          <w:szCs w:val="20"/>
          <w:lang w:eastAsia="ja-JP"/>
        </w:rPr>
        <w:t xml:space="preserve">The measurement results of received electric field strength are shown in Figure </w:t>
      </w:r>
      <w:r>
        <w:rPr>
          <w:rFonts w:eastAsia="MS Mincho"/>
          <w:szCs w:val="20"/>
          <w:lang w:eastAsia="ja-JP"/>
        </w:rPr>
        <w:t>6.3</w:t>
      </w:r>
      <w:r w:rsidRPr="00656D23">
        <w:rPr>
          <w:rFonts w:eastAsia="MS Mincho"/>
          <w:szCs w:val="20"/>
          <w:lang w:eastAsia="ja-JP"/>
        </w:rPr>
        <w:t>. The field strength of AM broadcasting was about 100 dBμV/m and the environmental noise level was about 60 dBμV/m, which are much higher than the assumption described in (a). In this figure, electric field strengths where the WPT equipment is ON and OFF are described. The difference between the WPT equipment of ON and OFF conditions is not clearly found in this figure, because the environmental noise level is slightly higher than the 7th order harmonic from the WPT equipment.</w:t>
      </w:r>
    </w:p>
    <w:p w:rsidR="005D267F" w:rsidRPr="00656D23" w:rsidRDefault="005D267F" w:rsidP="005D267F">
      <w:pPr>
        <w:tabs>
          <w:tab w:val="left" w:pos="1134"/>
          <w:tab w:val="left" w:pos="2608"/>
          <w:tab w:val="left" w:pos="3345"/>
        </w:tabs>
        <w:overflowPunct w:val="0"/>
        <w:autoSpaceDE w:val="0"/>
        <w:autoSpaceDN w:val="0"/>
        <w:adjustRightInd w:val="0"/>
        <w:spacing w:before="80"/>
        <w:ind w:left="1560"/>
        <w:textAlignment w:val="baseline"/>
        <w:rPr>
          <w:rFonts w:eastAsia="MS Mincho"/>
          <w:szCs w:val="20"/>
          <w:lang w:eastAsia="ja-JP"/>
        </w:rPr>
      </w:pPr>
      <w:r w:rsidRPr="00656D23">
        <w:rPr>
          <w:rFonts w:eastAsia="MS Mincho"/>
          <w:szCs w:val="20"/>
          <w:lang w:eastAsia="ja-JP"/>
        </w:rPr>
        <w:t>The results of this audibility test were as follows:</w:t>
      </w:r>
    </w:p>
    <w:p w:rsidR="005D267F" w:rsidRPr="00656D23" w:rsidRDefault="005D267F" w:rsidP="005D267F">
      <w:pPr>
        <w:tabs>
          <w:tab w:val="left" w:pos="1134"/>
          <w:tab w:val="left" w:pos="1985"/>
          <w:tab w:val="left" w:pos="3345"/>
        </w:tabs>
        <w:overflowPunct w:val="0"/>
        <w:autoSpaceDE w:val="0"/>
        <w:autoSpaceDN w:val="0"/>
        <w:adjustRightInd w:val="0"/>
        <w:spacing w:before="80"/>
        <w:ind w:left="1985" w:hanging="425"/>
        <w:textAlignment w:val="baseline"/>
        <w:rPr>
          <w:rFonts w:eastAsia="MS Mincho"/>
          <w:szCs w:val="20"/>
          <w:lang w:eastAsia="ja-JP"/>
        </w:rPr>
      </w:pPr>
      <w:r w:rsidRPr="00656D23">
        <w:rPr>
          <w:rFonts w:eastAsia="MS Mincho"/>
          <w:szCs w:val="20"/>
          <w:lang w:eastAsia="ja-JP"/>
        </w:rPr>
        <w:lastRenderedPageBreak/>
        <w:t>•</w:t>
      </w:r>
      <w:r w:rsidRPr="00656D23">
        <w:rPr>
          <w:rFonts w:eastAsia="MS Mincho"/>
          <w:szCs w:val="20"/>
          <w:lang w:eastAsia="ja-JP"/>
        </w:rPr>
        <w:tab/>
        <w:t>AM broadcasting receivers located at 10 m from WPT equipment</w:t>
      </w:r>
    </w:p>
    <w:p w:rsidR="005D267F" w:rsidRPr="00656D23" w:rsidRDefault="005D267F" w:rsidP="005D267F">
      <w:pPr>
        <w:tabs>
          <w:tab w:val="left" w:pos="1134"/>
          <w:tab w:val="left" w:pos="1985"/>
          <w:tab w:val="left" w:pos="3345"/>
        </w:tabs>
        <w:overflowPunct w:val="0"/>
        <w:autoSpaceDE w:val="0"/>
        <w:autoSpaceDN w:val="0"/>
        <w:adjustRightInd w:val="0"/>
        <w:spacing w:before="80"/>
        <w:ind w:left="1985" w:hanging="425"/>
        <w:textAlignment w:val="baseline"/>
        <w:rPr>
          <w:rFonts w:eastAsia="MS Mincho"/>
          <w:szCs w:val="20"/>
          <w:lang w:eastAsia="ja-JP"/>
        </w:rPr>
      </w:pPr>
      <w:r w:rsidRPr="00656D23">
        <w:rPr>
          <w:rFonts w:eastAsia="MS Mincho"/>
          <w:szCs w:val="20"/>
          <w:lang w:eastAsia="ja-JP"/>
        </w:rPr>
        <w:tab/>
        <w:t>The tone noise could be recognized as a very small sound only in very silent broadcasting programs but never in normal audio programs. In general, the tone noise under this test condition deems not to disturb general broadcasting listeners listening radio programs.</w:t>
      </w:r>
    </w:p>
    <w:p w:rsidR="005D267F" w:rsidRPr="00656D23" w:rsidRDefault="005D267F" w:rsidP="005D267F">
      <w:pPr>
        <w:tabs>
          <w:tab w:val="left" w:pos="1134"/>
          <w:tab w:val="left" w:pos="1985"/>
          <w:tab w:val="left" w:pos="3345"/>
        </w:tabs>
        <w:overflowPunct w:val="0"/>
        <w:autoSpaceDE w:val="0"/>
        <w:autoSpaceDN w:val="0"/>
        <w:adjustRightInd w:val="0"/>
        <w:spacing w:before="80"/>
        <w:ind w:left="1985" w:hanging="425"/>
        <w:textAlignment w:val="baseline"/>
        <w:rPr>
          <w:rFonts w:eastAsia="MS Mincho"/>
          <w:szCs w:val="20"/>
          <w:lang w:eastAsia="ja-JP"/>
        </w:rPr>
      </w:pPr>
      <w:r w:rsidRPr="00656D23">
        <w:rPr>
          <w:rFonts w:eastAsia="MS Mincho"/>
          <w:szCs w:val="20"/>
          <w:lang w:eastAsia="ja-JP"/>
        </w:rPr>
        <w:t>•</w:t>
      </w:r>
      <w:r w:rsidRPr="00656D23">
        <w:rPr>
          <w:rFonts w:eastAsia="MS Mincho"/>
          <w:szCs w:val="20"/>
          <w:lang w:eastAsia="ja-JP"/>
        </w:rPr>
        <w:tab/>
        <w:t>AM broadcasting receivers located at 3 m from WPT equipment</w:t>
      </w:r>
    </w:p>
    <w:p w:rsidR="005D267F" w:rsidRDefault="005D267F" w:rsidP="005D267F">
      <w:pPr>
        <w:ind w:leftChars="710" w:left="1985" w:hangingChars="117" w:hanging="281"/>
        <w:jc w:val="both"/>
        <w:rPr>
          <w:lang w:eastAsia="ja-JP"/>
        </w:rPr>
      </w:pPr>
      <w:r w:rsidRPr="00656D23">
        <w:rPr>
          <w:rFonts w:eastAsia="MS Mincho"/>
        </w:rPr>
        <w:tab/>
        <w:t xml:space="preserve">The tone noise can be easily caught when broadcasting programs are relatively silent, such as news programs. On the other hand, when broadcasting programs are busy, such as music programs, the tone noise cannot be easily caught. </w:t>
      </w:r>
    </w:p>
    <w:p w:rsidR="005D267F" w:rsidRDefault="005D267F" w:rsidP="005D267F">
      <w:pPr>
        <w:ind w:leftChars="828" w:left="2268" w:hangingChars="117" w:hanging="281"/>
        <w:jc w:val="both"/>
        <w:rPr>
          <w:lang w:eastAsia="ja-JP"/>
        </w:rPr>
      </w:pPr>
    </w:p>
    <w:p w:rsidR="005D267F" w:rsidRPr="00B817C7" w:rsidRDefault="005D267F" w:rsidP="005D267F">
      <w:pPr>
        <w:rPr>
          <w:lang w:eastAsia="ja-JP"/>
        </w:rPr>
      </w:pPr>
      <w:r w:rsidRPr="009A1284">
        <w:rPr>
          <w:rFonts w:eastAsia="MS Mincho"/>
          <w:szCs w:val="20"/>
          <w:lang w:eastAsia="ja-JP"/>
        </w:rPr>
        <w:t>(</w:t>
      </w:r>
      <w:r w:rsidRPr="00B817C7">
        <w:rPr>
          <w:rFonts w:eastAsia="MS Mincho"/>
          <w:lang w:eastAsia="ja-JP"/>
        </w:rPr>
        <w:t>e</w:t>
      </w:r>
      <w:r w:rsidRPr="00B817C7">
        <w:rPr>
          <w:rFonts w:eastAsia="MS Mincho"/>
          <w:szCs w:val="20"/>
          <w:lang w:eastAsia="ja-JP"/>
        </w:rPr>
        <w:t>)</w:t>
      </w:r>
      <w:r>
        <w:rPr>
          <w:rFonts w:eastAsia="MS Mincho"/>
          <w:lang w:eastAsia="ja-JP"/>
        </w:rPr>
        <w:tab/>
      </w:r>
      <w:r w:rsidRPr="009A1284">
        <w:rPr>
          <w:lang w:eastAsia="ja-JP"/>
        </w:rPr>
        <w:t xml:space="preserve">Assessment </w:t>
      </w:r>
      <w:r w:rsidRPr="00B817C7">
        <w:rPr>
          <w:lang w:eastAsia="ja-JP"/>
        </w:rPr>
        <w:t>of study results</w:t>
      </w:r>
    </w:p>
    <w:p w:rsidR="005D267F" w:rsidRDefault="005D267F" w:rsidP="005D267F">
      <w:pPr>
        <w:pStyle w:val="enumlev3"/>
        <w:ind w:left="0" w:firstLine="0"/>
        <w:rPr>
          <w:lang w:eastAsia="ja-JP"/>
        </w:rPr>
      </w:pPr>
      <w:r>
        <w:rPr>
          <w:lang w:eastAsia="ja-JP"/>
        </w:rPr>
        <w:tab/>
      </w:r>
      <w:r w:rsidRPr="00DE2A50">
        <w:rPr>
          <w:lang w:eastAsia="ja-JP"/>
        </w:rPr>
        <w:t xml:space="preserve">Under agreed test conditions and use cases assumed in urban area, magnetic field emission strength derived by analytical study and also that measured by a WPT-EV test equipment in a field measurement site showed acceptable (= non-harmful) level of emission received while settling the emission limit –2.0 dBμA/m in the AM broadcasting frequency range. In audibility assessment, </w:t>
      </w:r>
      <w:r w:rsidRPr="00380869">
        <w:rPr>
          <w:lang w:eastAsia="ja-JP"/>
        </w:rPr>
        <w:t xml:space="preserve">It was confirmed that the tone generated by the WPT 7th harmonic falling in an AM broadcast channel in MF band was indistinct while listening to radio programs or obscurely audible during very quiet programs. It demonstrated little impact and no harmful interference to the AM broadcasting service. From this result, Japan's new regulations for WPT systems adopted this limit in the frequency range of AM broadcasting service. </w:t>
      </w:r>
    </w:p>
    <w:p w:rsidR="005D267F" w:rsidRPr="00380869" w:rsidRDefault="005D267F" w:rsidP="005D267F">
      <w:pPr>
        <w:pStyle w:val="enumlev3"/>
        <w:ind w:left="0" w:firstLine="0"/>
        <w:rPr>
          <w:lang w:eastAsia="ja-JP"/>
        </w:rPr>
      </w:pPr>
      <w:r>
        <w:rPr>
          <w:lang w:eastAsia="ja-JP"/>
        </w:rPr>
        <w:tab/>
      </w:r>
      <w:r w:rsidRPr="00DE2A50">
        <w:rPr>
          <w:lang w:eastAsia="ja-JP"/>
        </w:rPr>
        <w:t>This methodology for measurement and assessment must be useful for radio regulators who intend new rule making for WPT for EVs in urban area where Environment Category “City” in Rec. ITU-R P.372-13 can be applied.</w:t>
      </w:r>
    </w:p>
    <w:p w:rsidR="005D267F" w:rsidRDefault="005D267F" w:rsidP="005D267F">
      <w:pPr>
        <w:pStyle w:val="Figure"/>
      </w:pPr>
      <w:r w:rsidRPr="00022232">
        <w:object w:dxaOrig="14787" w:dyaOrig="9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205.5pt" o:ole="">
            <v:imagedata r:id="rId17" o:title=""/>
          </v:shape>
          <o:OLEObject Type="Embed" ProgID="Excel.Sheet.12" ShapeID="_x0000_i1025" DrawAspect="Content" ObjectID="_1568613354" r:id="rId18"/>
        </w:object>
      </w:r>
      <w:r w:rsidRPr="00380869">
        <w:t xml:space="preserve"> </w:t>
      </w:r>
    </w:p>
    <w:p w:rsidR="005D267F" w:rsidRDefault="005D267F" w:rsidP="005D267F">
      <w:pPr>
        <w:jc w:val="center"/>
        <w:rPr>
          <w:lang w:eastAsia="ja-JP"/>
        </w:rPr>
      </w:pPr>
      <w:r w:rsidRPr="003D65A7">
        <w:rPr>
          <w:lang w:eastAsia="ja-JP"/>
        </w:rPr>
        <w:t>F</w:t>
      </w:r>
      <w:r w:rsidRPr="003D65A7">
        <w:rPr>
          <w:rFonts w:eastAsia="MS Mincho"/>
          <w:lang w:eastAsia="ja-JP"/>
        </w:rPr>
        <w:t>igure</w:t>
      </w:r>
      <w:r w:rsidRPr="003D65A7">
        <w:rPr>
          <w:lang w:eastAsia="ja-JP"/>
        </w:rPr>
        <w:t xml:space="preserve"> 6</w:t>
      </w:r>
      <w:r w:rsidRPr="003D65A7">
        <w:rPr>
          <w:rFonts w:eastAsia="MS Mincho"/>
          <w:lang w:eastAsia="ja-JP"/>
        </w:rPr>
        <w:t>.</w:t>
      </w:r>
      <w:r>
        <w:rPr>
          <w:lang w:eastAsia="ja-JP"/>
        </w:rPr>
        <w:t>3</w:t>
      </w:r>
      <w:r w:rsidRPr="003D65A7">
        <w:rPr>
          <w:lang w:eastAsia="ja-JP"/>
        </w:rPr>
        <w:t xml:space="preserve">: </w:t>
      </w:r>
      <w:r w:rsidRPr="00656D23">
        <w:rPr>
          <w:lang w:eastAsia="ja-JP"/>
        </w:rPr>
        <w:t xml:space="preserve">Measured electric field strength of an AM broadcasting channel when WPT is ON and OFF </w:t>
      </w:r>
    </w:p>
    <w:p w:rsidR="005D267F" w:rsidRPr="003D65A7" w:rsidRDefault="005D267F" w:rsidP="005D267F">
      <w:pPr>
        <w:ind w:leftChars="178" w:left="708" w:hangingChars="117" w:hanging="281"/>
        <w:jc w:val="both"/>
        <w:rPr>
          <w:rFonts w:eastAsia="MS Mincho"/>
          <w:lang w:eastAsia="ja-JP"/>
        </w:rPr>
      </w:pPr>
    </w:p>
    <w:p w:rsidR="005D267F" w:rsidRPr="00E734B8" w:rsidRDefault="005D267F" w:rsidP="005D267F">
      <w:pPr>
        <w:pStyle w:val="Heading2"/>
        <w:rPr>
          <w:rFonts w:ascii="Times New Roman" w:hAnsi="Times New Roman" w:cs="Times New Roman"/>
        </w:rPr>
      </w:pPr>
      <w:bookmarkStart w:id="40" w:name="_Toc494297310"/>
      <w:r w:rsidRPr="00E734B8">
        <w:rPr>
          <w:rFonts w:ascii="Times New Roman" w:hAnsi="Times New Roman" w:cs="Times New Roman"/>
        </w:rPr>
        <w:t>6.</w:t>
      </w:r>
      <w:r>
        <w:rPr>
          <w:rFonts w:ascii="Times New Roman" w:hAnsi="Times New Roman" w:cs="Times New Roman"/>
        </w:rPr>
        <w:t>2</w:t>
      </w:r>
      <w:r w:rsidRPr="00E734B8">
        <w:rPr>
          <w:rFonts w:ascii="Times New Roman" w:hAnsi="Times New Roman" w:cs="Times New Roman"/>
        </w:rPr>
        <w:t>.</w:t>
      </w:r>
      <w:r w:rsidRPr="00E734B8">
        <w:rPr>
          <w:rFonts w:ascii="Times New Roman" w:eastAsia="MS Mincho" w:hAnsi="Times New Roman" w:cs="Times New Roman"/>
          <w:lang w:eastAsia="ja-JP"/>
        </w:rPr>
        <w:t>7</w:t>
      </w:r>
      <w:r w:rsidRPr="00E734B8">
        <w:rPr>
          <w:rFonts w:ascii="Times New Roman" w:hAnsi="Times New Roman" w:cs="Times New Roman"/>
        </w:rPr>
        <w:t xml:space="preserve"> </w:t>
      </w:r>
      <w:r>
        <w:rPr>
          <w:rFonts w:ascii="Times New Roman" w:hAnsi="Times New Roman" w:cs="Times New Roman"/>
        </w:rPr>
        <w:tab/>
      </w:r>
      <w:r w:rsidRPr="00E734B8">
        <w:rPr>
          <w:rFonts w:ascii="Times New Roman" w:hAnsi="Times New Roman" w:cs="Times New Roman"/>
        </w:rPr>
        <w:t>Standard frequency and time signal</w:t>
      </w:r>
      <w:bookmarkEnd w:id="40"/>
    </w:p>
    <w:p w:rsidR="005D267F" w:rsidRPr="00606BC8" w:rsidRDefault="005D267F" w:rsidP="005D267F">
      <w:pPr>
        <w:ind w:firstLineChars="295" w:firstLine="708"/>
        <w:jc w:val="both"/>
        <w:rPr>
          <w:rFonts w:eastAsia="MS Mincho"/>
          <w:lang w:eastAsia="ja-JP"/>
        </w:rPr>
      </w:pPr>
      <w:r w:rsidRPr="003D65A7" w:rsidDel="00CE74A2">
        <w:rPr>
          <w:lang w:eastAsia="ja-JP"/>
        </w:rPr>
        <w:t xml:space="preserve"> </w:t>
      </w:r>
      <w:r w:rsidRPr="003D65A7">
        <w:rPr>
          <w:lang w:eastAsia="ja-JP"/>
        </w:rPr>
        <w:t>WPT devices whose radiated emission are lower than the emission limits (See Section 6.1.</w:t>
      </w:r>
      <w:r w:rsidRPr="003D65A7">
        <w:rPr>
          <w:rFonts w:eastAsia="MS Mincho"/>
          <w:lang w:eastAsia="ja-JP"/>
        </w:rPr>
        <w:t>5</w:t>
      </w:r>
      <w:r w:rsidRPr="003D65A7">
        <w:rPr>
          <w:lang w:eastAsia="ja-JP"/>
        </w:rPr>
        <w:t>(</w:t>
      </w:r>
      <w:r w:rsidRPr="003D65A7">
        <w:rPr>
          <w:rFonts w:eastAsia="MS Mincho"/>
          <w:lang w:eastAsia="ja-JP"/>
        </w:rPr>
        <w:t>2</w:t>
      </w:r>
      <w:r w:rsidRPr="003D65A7">
        <w:rPr>
          <w:lang w:eastAsia="ja-JP"/>
        </w:rPr>
        <w:t xml:space="preserve">)) will not cause harmful interference, which is defined by C/I ratio derived from the minimum receiver sensitivity of the radio-controlled clocks/watches in agreed use cases. Separation distance of 10 m was used to assess the impact to those devices. Additional features of those devices, such as operation time not overlapping with WPT operation, variation of propagation direction of standard frequency and time signal services, and possible performance </w:t>
      </w:r>
      <w:r w:rsidRPr="003D65A7">
        <w:rPr>
          <w:lang w:eastAsia="ja-JP"/>
        </w:rPr>
        <w:lastRenderedPageBreak/>
        <w:t>improvement of those devices were taken into consideration. By these discussions, the impact of WPT systems to radio-controlled clocks/watches has been confirmed to be small enough.</w:t>
      </w:r>
    </w:p>
    <w:p w:rsidR="005D267F" w:rsidRPr="00606BC8" w:rsidRDefault="005D267F" w:rsidP="005D267F">
      <w:pPr>
        <w:rPr>
          <w:rFonts w:eastAsia="MS Mincho"/>
          <w:lang w:eastAsia="ja-JP"/>
        </w:rPr>
      </w:pPr>
    </w:p>
    <w:p w:rsidR="005D267F" w:rsidRPr="00E734B8" w:rsidRDefault="005D267F" w:rsidP="005D267F">
      <w:pPr>
        <w:pStyle w:val="Heading2"/>
        <w:rPr>
          <w:rFonts w:ascii="Times New Roman" w:hAnsi="Times New Roman" w:cs="Times New Roman"/>
        </w:rPr>
      </w:pPr>
      <w:bookmarkStart w:id="41" w:name="_Toc494297311"/>
      <w:r w:rsidRPr="00E734B8">
        <w:rPr>
          <w:rFonts w:ascii="Times New Roman" w:hAnsi="Times New Roman" w:cs="Times New Roman"/>
        </w:rPr>
        <w:t>6.</w:t>
      </w:r>
      <w:r>
        <w:rPr>
          <w:rFonts w:ascii="Times New Roman" w:hAnsi="Times New Roman" w:cs="Times New Roman"/>
        </w:rPr>
        <w:t>2</w:t>
      </w:r>
      <w:r w:rsidRPr="00E734B8">
        <w:rPr>
          <w:rFonts w:ascii="Times New Roman" w:hAnsi="Times New Roman" w:cs="Times New Roman"/>
        </w:rPr>
        <w:t>.</w:t>
      </w:r>
      <w:r w:rsidRPr="00E734B8">
        <w:rPr>
          <w:rFonts w:ascii="Times New Roman" w:eastAsia="MS Mincho" w:hAnsi="Times New Roman" w:cs="Times New Roman"/>
          <w:lang w:eastAsia="ja-JP"/>
        </w:rPr>
        <w:t>8</w:t>
      </w:r>
      <w:r w:rsidRPr="00E734B8">
        <w:rPr>
          <w:rFonts w:ascii="Times New Roman" w:hAnsi="Times New Roman" w:cs="Times New Roman"/>
        </w:rPr>
        <w:t xml:space="preserve"> </w:t>
      </w:r>
      <w:r>
        <w:rPr>
          <w:rFonts w:ascii="Times New Roman" w:hAnsi="Times New Roman" w:cs="Times New Roman"/>
        </w:rPr>
        <w:tab/>
      </w:r>
      <w:r w:rsidRPr="00E734B8">
        <w:rPr>
          <w:rFonts w:ascii="Times New Roman" w:hAnsi="Times New Roman" w:cs="Times New Roman"/>
        </w:rPr>
        <w:t>Amateur radio</w:t>
      </w:r>
      <w:bookmarkEnd w:id="41"/>
    </w:p>
    <w:p w:rsidR="005D267F" w:rsidRPr="003D65A7" w:rsidRDefault="005D267F" w:rsidP="005D267F">
      <w:pPr>
        <w:ind w:firstLineChars="295" w:firstLine="708"/>
        <w:jc w:val="both"/>
        <w:rPr>
          <w:rFonts w:eastAsia="MS Mincho"/>
          <w:lang w:eastAsia="ja-JP"/>
        </w:rPr>
      </w:pPr>
      <w:r w:rsidRPr="00606BC8" w:rsidDel="00CE74A2">
        <w:rPr>
          <w:b/>
        </w:rPr>
        <w:t xml:space="preserve"> </w:t>
      </w:r>
      <w:r w:rsidRPr="00606BC8">
        <w:rPr>
          <w:lang w:eastAsia="ja-JP"/>
        </w:rPr>
        <w:t>The candidate frequency range for WPT for EVs, 79-90 kHz, does not overlap w</w:t>
      </w:r>
      <w:r w:rsidRPr="003D65A7">
        <w:rPr>
          <w:lang w:eastAsia="ja-JP"/>
        </w:rPr>
        <w:t>ith and has enough separation from frequency bands for amateur radio services. Therefore, receiver sensitivity suppression (out-of-band) by interference is not taken into consideration. Radiated emission levels of harmonics (spurious emission) from WPT might need to be counted in case they fall into the amateur radio services bands. Considering the target emission level described above, candidate frequency range for WPT systems for EVs show acceptable system parameters to demonstrate possible non-harmful interference to amateur radio.</w:t>
      </w:r>
    </w:p>
    <w:p w:rsidR="005D267F" w:rsidRPr="003D65A7" w:rsidRDefault="005D267F" w:rsidP="005D267F">
      <w:pPr>
        <w:ind w:firstLine="720"/>
        <w:rPr>
          <w:b/>
        </w:rPr>
      </w:pPr>
    </w:p>
    <w:p w:rsidR="005D267F" w:rsidRPr="00E734B8" w:rsidRDefault="005D267F" w:rsidP="005D267F">
      <w:pPr>
        <w:pStyle w:val="Heading2"/>
        <w:rPr>
          <w:rFonts w:ascii="Times New Roman" w:hAnsi="Times New Roman" w:cs="Times New Roman"/>
        </w:rPr>
      </w:pPr>
      <w:bookmarkStart w:id="42" w:name="_Toc494297312"/>
      <w:r w:rsidRPr="00E734B8">
        <w:rPr>
          <w:rFonts w:ascii="Times New Roman" w:hAnsi="Times New Roman" w:cs="Times New Roman"/>
        </w:rPr>
        <w:t>6.</w:t>
      </w:r>
      <w:r>
        <w:rPr>
          <w:rFonts w:ascii="Times New Roman" w:hAnsi="Times New Roman" w:cs="Times New Roman"/>
        </w:rPr>
        <w:t>2</w:t>
      </w:r>
      <w:r w:rsidRPr="00E734B8">
        <w:rPr>
          <w:rFonts w:ascii="Times New Roman" w:hAnsi="Times New Roman" w:cs="Times New Roman"/>
        </w:rPr>
        <w:t>.</w:t>
      </w:r>
      <w:r w:rsidRPr="00E734B8">
        <w:rPr>
          <w:rFonts w:ascii="Times New Roman" w:eastAsia="MS Mincho" w:hAnsi="Times New Roman" w:cs="Times New Roman"/>
          <w:lang w:eastAsia="ja-JP"/>
        </w:rPr>
        <w:t>9</w:t>
      </w:r>
      <w:r w:rsidRPr="00E734B8">
        <w:rPr>
          <w:rFonts w:ascii="Times New Roman" w:hAnsi="Times New Roman" w:cs="Times New Roman"/>
        </w:rPr>
        <w:t xml:space="preserve"> </w:t>
      </w:r>
      <w:r>
        <w:rPr>
          <w:rFonts w:ascii="Times New Roman" w:hAnsi="Times New Roman" w:cs="Times New Roman"/>
        </w:rPr>
        <w:tab/>
      </w:r>
      <w:r w:rsidRPr="00E734B8">
        <w:rPr>
          <w:rFonts w:ascii="Times New Roman" w:hAnsi="Times New Roman" w:cs="Times New Roman"/>
        </w:rPr>
        <w:t>Railways control radios</w:t>
      </w:r>
      <w:bookmarkEnd w:id="42"/>
    </w:p>
    <w:p w:rsidR="005D267F" w:rsidRPr="003D65A7" w:rsidRDefault="005D267F" w:rsidP="005D267F">
      <w:pPr>
        <w:ind w:firstLineChars="295" w:firstLine="708"/>
        <w:jc w:val="both"/>
        <w:rPr>
          <w:lang w:eastAsia="ja-JP"/>
        </w:rPr>
      </w:pPr>
      <w:r w:rsidRPr="003D65A7" w:rsidDel="00CE74A2">
        <w:rPr>
          <w:lang w:eastAsia="ja-JP"/>
        </w:rPr>
        <w:t xml:space="preserve"> </w:t>
      </w:r>
      <w:r w:rsidRPr="003D65A7">
        <w:rPr>
          <w:lang w:eastAsia="ja-JP"/>
        </w:rPr>
        <w:t xml:space="preserve">In the studies on the impact to train radio systems, harmful interference in the actual use cases in </w:t>
      </w:r>
      <w:r w:rsidRPr="003D65A7">
        <w:t>operation</w:t>
      </w:r>
      <w:r w:rsidRPr="003D65A7">
        <w:rPr>
          <w:lang w:eastAsia="ja-JP"/>
        </w:rPr>
        <w:t xml:space="preserve"> was considered and discussed by simulation and measurements. The conditions for discussion were as follows:</w:t>
      </w:r>
    </w:p>
    <w:p w:rsidR="005D267F" w:rsidRPr="003D65A7" w:rsidRDefault="005D267F" w:rsidP="005D267F">
      <w:pPr>
        <w:numPr>
          <w:ilvl w:val="0"/>
          <w:numId w:val="43"/>
        </w:numPr>
        <w:ind w:left="1643" w:hanging="234"/>
        <w:jc w:val="both"/>
        <w:rPr>
          <w:lang w:eastAsia="ja-JP"/>
        </w:rPr>
      </w:pPr>
      <w:r w:rsidRPr="003D65A7">
        <w:rPr>
          <w:lang w:eastAsia="ja-JP"/>
        </w:rPr>
        <w:t>Frequency range for WPT should not overlap with those used for the train radio systems including Automatic Train Stop Systems (ATS) Systems and Inductive Train Radio Systems (ITRS).</w:t>
      </w:r>
    </w:p>
    <w:p w:rsidR="005D267F" w:rsidRPr="003D65A7" w:rsidRDefault="005D267F" w:rsidP="005D267F">
      <w:pPr>
        <w:numPr>
          <w:ilvl w:val="0"/>
          <w:numId w:val="43"/>
        </w:numPr>
        <w:ind w:left="1643" w:hanging="234"/>
        <w:jc w:val="both"/>
        <w:rPr>
          <w:lang w:eastAsia="ja-JP"/>
        </w:rPr>
      </w:pPr>
      <w:r w:rsidRPr="003D65A7">
        <w:rPr>
          <w:lang w:eastAsia="ja-JP"/>
        </w:rPr>
        <w:t>The separation distance to the ATS/ITRS devices, in which a WPT system does not cause harmful interference, should be less than the most critical threshold (approx.1.5 m) specified in the train systems building standards.</w:t>
      </w:r>
    </w:p>
    <w:p w:rsidR="005D267F" w:rsidRPr="003D65A7" w:rsidRDefault="005D267F" w:rsidP="005D267F">
      <w:pPr>
        <w:ind w:firstLineChars="295" w:firstLine="708"/>
        <w:jc w:val="both"/>
        <w:rPr>
          <w:rFonts w:eastAsia="MS Mincho"/>
          <w:lang w:eastAsia="ja-JP"/>
        </w:rPr>
      </w:pPr>
      <w:r w:rsidRPr="003D65A7">
        <w:rPr>
          <w:lang w:eastAsia="ja-JP"/>
        </w:rPr>
        <w:t>As the results of this impact study, the separation distance required to meet the condition was more than 5 m for ATS, and more than 45 m for ITRS, respectively. However, ITRS which uses the same frequency band as WPT for EVs is in operation in the very specific and locally limited areas. The impact to ITRS can be mitigated by cooperation between WPT industries and a railway operator. Therefore, the WG has decided that the above –mentioned separation distance should not be applied to Japan’s new regulations concerning WPT. As a result of discussions, a condition, that WPT systems for EVs should be located more than 5 m apart from train tracks, has been clearly described in the Japan’s regulations concerning WPT.</w:t>
      </w:r>
    </w:p>
    <w:p w:rsidR="005D267F" w:rsidRPr="003D65A7" w:rsidRDefault="005D267F" w:rsidP="005D267F">
      <w:pPr>
        <w:ind w:firstLine="720"/>
        <w:rPr>
          <w:b/>
        </w:rPr>
      </w:pPr>
    </w:p>
    <w:p w:rsidR="005D267F" w:rsidRPr="00E734B8" w:rsidRDefault="005D267F" w:rsidP="005D267F">
      <w:pPr>
        <w:pStyle w:val="Heading2"/>
        <w:rPr>
          <w:rFonts w:ascii="Times New Roman" w:hAnsi="Times New Roman" w:cs="Times New Roman"/>
        </w:rPr>
      </w:pPr>
      <w:bookmarkStart w:id="43" w:name="_Toc494297313"/>
      <w:r w:rsidRPr="00E734B8">
        <w:rPr>
          <w:rFonts w:ascii="Times New Roman" w:hAnsi="Times New Roman" w:cs="Times New Roman"/>
        </w:rPr>
        <w:t>6.</w:t>
      </w:r>
      <w:r>
        <w:rPr>
          <w:rFonts w:ascii="Times New Roman" w:hAnsi="Times New Roman" w:cs="Times New Roman"/>
        </w:rPr>
        <w:t>2</w:t>
      </w:r>
      <w:r w:rsidRPr="00E734B8">
        <w:rPr>
          <w:rFonts w:ascii="Times New Roman" w:hAnsi="Times New Roman" w:cs="Times New Roman"/>
        </w:rPr>
        <w:t xml:space="preserve">.10 </w:t>
      </w:r>
      <w:r>
        <w:rPr>
          <w:rFonts w:ascii="Times New Roman" w:hAnsi="Times New Roman" w:cs="Times New Roman"/>
        </w:rPr>
        <w:tab/>
        <w:t>Summary of the studies</w:t>
      </w:r>
      <w:bookmarkEnd w:id="43"/>
    </w:p>
    <w:p w:rsidR="005D267F" w:rsidRDefault="005D267F" w:rsidP="005D267F">
      <w:pPr>
        <w:ind w:firstLineChars="295" w:firstLine="708"/>
        <w:jc w:val="both"/>
        <w:rPr>
          <w:lang w:eastAsia="ja-JP"/>
        </w:rPr>
      </w:pPr>
      <w:r w:rsidRPr="003D65A7">
        <w:rPr>
          <w:lang w:eastAsia="ja-JP"/>
        </w:rPr>
        <w:t>The WG concluded that WPT systems can be used without causing any operational errors on the selected incumbent radiocommunication services except for train radio systems. For train radio systems, malfunction occurrence caused by unwanted emission from WPT systems becomes negligible if the separation distance between WPT systems and train radio systems is larger than 5 m. This condition is clearly described in the Japan’s regulations concerning WPT. The emission limits for WPT for EVs described in Section 6.1.</w:t>
      </w:r>
      <w:r w:rsidRPr="00606BC8">
        <w:rPr>
          <w:lang w:eastAsia="ja-JP"/>
        </w:rPr>
        <w:t>5</w:t>
      </w:r>
      <w:r w:rsidRPr="003D65A7">
        <w:rPr>
          <w:lang w:eastAsia="ja-JP"/>
        </w:rPr>
        <w:t xml:space="preserve"> (</w:t>
      </w:r>
      <w:r w:rsidRPr="00606BC8">
        <w:rPr>
          <w:lang w:eastAsia="ja-JP"/>
        </w:rPr>
        <w:t>2</w:t>
      </w:r>
      <w:r w:rsidRPr="003D65A7">
        <w:rPr>
          <w:lang w:eastAsia="ja-JP"/>
        </w:rPr>
        <w:t xml:space="preserve">) were agreed at the WG, approved by </w:t>
      </w:r>
      <w:r>
        <w:rPr>
          <w:lang w:eastAsia="ja-JP"/>
        </w:rPr>
        <w:t xml:space="preserve">the </w:t>
      </w:r>
      <w:r w:rsidRPr="003D65A7">
        <w:rPr>
          <w:lang w:eastAsia="ja-JP"/>
        </w:rPr>
        <w:t>Information and Communication Council. A draft amendment of Japan’s radio regulations was approved by the Radio Regulatory Council, then published and put into force in March, 2016. In the Japan’s regulations concerning WPT, the radiated emission limit in the range of WPT operating frequency is 68.4 dBμA/m@10m regardless the WPT output power class, 3 kW or 7.7 kW.</w:t>
      </w:r>
    </w:p>
    <w:p w:rsidR="005D267F" w:rsidRPr="00606BC8" w:rsidRDefault="005D267F" w:rsidP="005D267F">
      <w:pPr>
        <w:ind w:firstLineChars="295" w:firstLine="708"/>
        <w:jc w:val="both"/>
        <w:rPr>
          <w:lang w:eastAsia="ja-JP"/>
        </w:rPr>
      </w:pPr>
    </w:p>
    <w:p w:rsidR="005D267F" w:rsidRPr="00E734B8" w:rsidRDefault="005D267F" w:rsidP="005D267F">
      <w:pPr>
        <w:pStyle w:val="Heading2"/>
        <w:rPr>
          <w:rFonts w:ascii="Times New Roman" w:hAnsi="Times New Roman" w:cs="Times New Roman"/>
        </w:rPr>
      </w:pPr>
      <w:bookmarkStart w:id="44" w:name="_Toc494297314"/>
      <w:bookmarkStart w:id="45" w:name="_Hlk493861756"/>
      <w:r w:rsidRPr="00E734B8">
        <w:rPr>
          <w:rFonts w:ascii="Times New Roman" w:hAnsi="Times New Roman" w:cs="Times New Roman"/>
        </w:rPr>
        <w:t>6.</w:t>
      </w:r>
      <w:r>
        <w:rPr>
          <w:rFonts w:ascii="Times New Roman" w:hAnsi="Times New Roman" w:cs="Times New Roman"/>
        </w:rPr>
        <w:t>3</w:t>
      </w:r>
      <w:r w:rsidRPr="00E734B8">
        <w:rPr>
          <w:rFonts w:ascii="Times New Roman" w:hAnsi="Times New Roman" w:cs="Times New Roman"/>
        </w:rPr>
        <w:t xml:space="preserve"> </w:t>
      </w:r>
      <w:r>
        <w:rPr>
          <w:rFonts w:ascii="Times New Roman" w:hAnsi="Times New Roman" w:cs="Times New Roman"/>
        </w:rPr>
        <w:tab/>
      </w:r>
      <w:r w:rsidRPr="00E734B8">
        <w:rPr>
          <w:rFonts w:ascii="Times New Roman" w:hAnsi="Times New Roman" w:cs="Times New Roman"/>
        </w:rPr>
        <w:t>Impact studies in Korea</w:t>
      </w:r>
      <w:bookmarkEnd w:id="44"/>
    </w:p>
    <w:bookmarkEnd w:id="45"/>
    <w:p w:rsidR="005D267F" w:rsidRDefault="005D267F" w:rsidP="005D267F">
      <w:pPr>
        <w:pStyle w:val="enumlev1"/>
        <w:widowControl w:val="0"/>
        <w:pBdr>
          <w:top w:val="none" w:sz="2" w:space="0" w:color="000000"/>
          <w:left w:val="none" w:sz="2" w:space="4" w:color="000000"/>
          <w:bottom w:val="none" w:sz="2" w:space="1" w:color="000000"/>
          <w:right w:val="none" w:sz="2" w:space="4" w:color="000000"/>
        </w:pBdr>
        <w:overflowPunct/>
        <w:adjustRightInd/>
        <w:ind w:left="0" w:firstLineChars="295" w:firstLine="708"/>
        <w:rPr>
          <w:rFonts w:eastAsia="MS Mincho"/>
          <w:lang w:eastAsia="ja-JP"/>
        </w:rPr>
      </w:pPr>
      <w:r>
        <w:rPr>
          <w:rFonts w:eastAsia="MS Mincho"/>
          <w:lang w:eastAsia="ja-JP"/>
        </w:rPr>
        <w:t>Measurement</w:t>
      </w:r>
      <w:r>
        <w:rPr>
          <w:rFonts w:eastAsia="MS Mincho" w:hint="eastAsia"/>
          <w:lang w:eastAsia="ja-JP"/>
        </w:rPr>
        <w:t xml:space="preserve"> methodologies </w:t>
      </w:r>
      <w:r>
        <w:rPr>
          <w:rFonts w:eastAsia="MS Mincho"/>
          <w:lang w:eastAsia="ja-JP"/>
        </w:rPr>
        <w:t xml:space="preserve">used for the studies described in this section, measured data and technical information are introduced in detail in the new Revision of Report ITU-R SM.2303-1 (to be published SM.2303-2). </w:t>
      </w:r>
    </w:p>
    <w:p w:rsidR="005D267F" w:rsidRDefault="005D267F" w:rsidP="005D267F">
      <w:pPr>
        <w:pStyle w:val="enumlev1"/>
        <w:widowControl w:val="0"/>
        <w:pBdr>
          <w:top w:val="none" w:sz="2" w:space="0" w:color="000000"/>
          <w:left w:val="none" w:sz="2" w:space="4" w:color="000000"/>
          <w:bottom w:val="none" w:sz="2" w:space="1" w:color="000000"/>
          <w:right w:val="none" w:sz="2" w:space="4" w:color="000000"/>
        </w:pBdr>
        <w:overflowPunct/>
        <w:adjustRightInd/>
        <w:ind w:left="0" w:firstLineChars="295" w:firstLine="708"/>
        <w:rPr>
          <w:rFonts w:eastAsia="MS Mincho"/>
          <w:lang w:eastAsia="ja-JP"/>
        </w:rPr>
      </w:pPr>
    </w:p>
    <w:p w:rsidR="005D267F" w:rsidRPr="00A13678" w:rsidRDefault="005D267F" w:rsidP="005D267F">
      <w:pPr>
        <w:pStyle w:val="Heading2"/>
        <w:overflowPunct w:val="0"/>
        <w:adjustRightInd w:val="0"/>
        <w:ind w:left="1134" w:hanging="1134"/>
        <w:rPr>
          <w:rFonts w:eastAsia="MS Mincho"/>
          <w:lang w:eastAsia="ja-JP"/>
        </w:rPr>
      </w:pPr>
      <w:bookmarkStart w:id="46" w:name="_Toc494297315"/>
      <w:r>
        <w:rPr>
          <w:rFonts w:ascii="Times New Roman" w:eastAsia="MS Mincho" w:hAnsi="Times New Roman" w:cs="Times New Roman"/>
          <w:lang w:eastAsia="ja-JP"/>
        </w:rPr>
        <w:lastRenderedPageBreak/>
        <w:t>6.3.</w:t>
      </w:r>
      <w:r w:rsidRPr="00A13678">
        <w:rPr>
          <w:rFonts w:ascii="Times New Roman" w:eastAsia="MS Mincho" w:hAnsi="Times New Roman" w:cs="Times New Roman"/>
          <w:lang w:eastAsia="ja-JP"/>
        </w:rPr>
        <w:t>1</w:t>
      </w:r>
      <w:r w:rsidRPr="00F36548">
        <w:rPr>
          <w:rFonts w:ascii="Times New Roman" w:eastAsia="MS Mincho" w:hAnsi="Times New Roman" w:cs="Times New Roman"/>
          <w:lang w:eastAsia="ja-JP"/>
        </w:rPr>
        <w:tab/>
      </w:r>
      <w:r w:rsidRPr="00A13678">
        <w:rPr>
          <w:rFonts w:ascii="Times New Roman" w:eastAsia="MS Mincho" w:hAnsi="Times New Roman" w:cs="Times New Roman"/>
          <w:lang w:eastAsia="ja-JP"/>
        </w:rPr>
        <w:t>Introduction</w:t>
      </w:r>
      <w:bookmarkEnd w:id="46"/>
    </w:p>
    <w:p w:rsidR="005D267F" w:rsidRPr="00A13678" w:rsidRDefault="005D267F" w:rsidP="005D267F">
      <w:pPr>
        <w:tabs>
          <w:tab w:val="left" w:pos="1134"/>
          <w:tab w:val="left" w:pos="1871"/>
          <w:tab w:val="left" w:pos="2268"/>
        </w:tabs>
        <w:overflowPunct w:val="0"/>
        <w:adjustRightInd w:val="0"/>
        <w:spacing w:before="120"/>
        <w:textAlignment w:val="baseline"/>
        <w:rPr>
          <w:rFonts w:eastAsia="MS Mincho"/>
          <w:lang w:eastAsia="ja-JP"/>
        </w:rPr>
      </w:pPr>
      <w:r>
        <w:rPr>
          <w:rFonts w:eastAsia="MS Mincho"/>
          <w:lang w:eastAsia="ja-JP"/>
        </w:rPr>
        <w:tab/>
      </w:r>
      <w:r w:rsidRPr="00A13678">
        <w:rPr>
          <w:rFonts w:eastAsia="MS Mincho"/>
          <w:lang w:eastAsia="ja-JP"/>
        </w:rPr>
        <w:t>Since Japan suggested an impact study for an interference between WPT EV frequencies and Japan</w:t>
      </w:r>
      <w:r>
        <w:rPr>
          <w:rFonts w:eastAsia="MS Mincho"/>
          <w:lang w:eastAsia="ja-JP"/>
        </w:rPr>
        <w:t>ese</w:t>
      </w:r>
      <w:r w:rsidRPr="00A13678">
        <w:rPr>
          <w:rFonts w:eastAsia="MS Mincho"/>
          <w:lang w:eastAsia="ja-JP"/>
        </w:rPr>
        <w:t xml:space="preserve"> </w:t>
      </w:r>
      <w:r>
        <w:rPr>
          <w:rFonts w:eastAsia="MS Mincho"/>
          <w:lang w:eastAsia="ja-JP"/>
        </w:rPr>
        <w:t>S</w:t>
      </w:r>
      <w:r w:rsidRPr="00A13678">
        <w:rPr>
          <w:rFonts w:eastAsia="MS Mincho"/>
          <w:lang w:eastAsia="ja-JP"/>
        </w:rPr>
        <w:t xml:space="preserve">tandard </w:t>
      </w:r>
      <w:r>
        <w:rPr>
          <w:rFonts w:eastAsia="MS Mincho"/>
          <w:lang w:eastAsia="ja-JP"/>
        </w:rPr>
        <w:t xml:space="preserve">frequency and </w:t>
      </w:r>
      <w:r w:rsidRPr="00A13678">
        <w:rPr>
          <w:rFonts w:eastAsia="MS Mincho"/>
          <w:lang w:eastAsia="ja-JP"/>
        </w:rPr>
        <w:t>time signal (60 kHz) in 2015, Korea has tried various impact case studies for many times.</w:t>
      </w:r>
    </w:p>
    <w:p w:rsidR="005D267F" w:rsidRPr="00F36548" w:rsidRDefault="005D267F" w:rsidP="005D267F">
      <w:pPr>
        <w:pStyle w:val="enumlev1"/>
      </w:pPr>
      <w:r w:rsidRPr="00F36548">
        <w:t>The study items are as follows;</w:t>
      </w:r>
    </w:p>
    <w:p w:rsidR="005D267F" w:rsidRDefault="005D267F" w:rsidP="005D267F">
      <w:pPr>
        <w:pStyle w:val="enumlev1"/>
        <w:widowControl w:val="0"/>
        <w:numPr>
          <w:ilvl w:val="0"/>
          <w:numId w:val="86"/>
        </w:numPr>
        <w:pBdr>
          <w:top w:val="none" w:sz="2" w:space="1" w:color="000000"/>
          <w:left w:val="none" w:sz="2" w:space="4" w:color="000000"/>
          <w:bottom w:val="none" w:sz="2" w:space="1" w:color="000000"/>
          <w:right w:val="none" w:sz="2" w:space="4" w:color="000000"/>
        </w:pBdr>
        <w:tabs>
          <w:tab w:val="clear" w:pos="794"/>
          <w:tab w:val="clear" w:pos="1191"/>
          <w:tab w:val="clear" w:pos="1588"/>
          <w:tab w:val="clear" w:pos="1985"/>
          <w:tab w:val="left" w:pos="2608"/>
          <w:tab w:val="left" w:pos="3345"/>
        </w:tabs>
        <w:overflowPunct/>
        <w:adjustRightInd/>
        <w:ind w:left="1134" w:hanging="1134"/>
      </w:pPr>
      <w:r>
        <w:t>60 kHz interference to Japanese standard frequency and time signal service</w:t>
      </w:r>
    </w:p>
    <w:p w:rsidR="005D267F" w:rsidRDefault="005D267F" w:rsidP="005D267F">
      <w:pPr>
        <w:pStyle w:val="enumlev1"/>
        <w:widowControl w:val="0"/>
        <w:numPr>
          <w:ilvl w:val="0"/>
          <w:numId w:val="86"/>
        </w:numPr>
        <w:pBdr>
          <w:top w:val="none" w:sz="2" w:space="1" w:color="000000"/>
          <w:left w:val="none" w:sz="2" w:space="4" w:color="000000"/>
          <w:bottom w:val="none" w:sz="2" w:space="1" w:color="000000"/>
          <w:right w:val="none" w:sz="2" w:space="4" w:color="000000"/>
        </w:pBdr>
        <w:tabs>
          <w:tab w:val="clear" w:pos="794"/>
          <w:tab w:val="clear" w:pos="1191"/>
          <w:tab w:val="clear" w:pos="1588"/>
          <w:tab w:val="clear" w:pos="1985"/>
          <w:tab w:val="left" w:pos="2608"/>
          <w:tab w:val="left" w:pos="3345"/>
        </w:tabs>
        <w:overflowPunct/>
        <w:adjustRightInd/>
        <w:ind w:left="1134" w:hanging="1134"/>
      </w:pPr>
      <w:r>
        <w:rPr>
          <w:rFonts w:hint="eastAsia"/>
          <w:lang w:eastAsia="ko-KR"/>
        </w:rPr>
        <w:t>Using 19.98 kHz in Heavy-duty WPT EV</w:t>
      </w:r>
      <w:r>
        <w:rPr>
          <w:lang w:eastAsia="ko-KR"/>
        </w:rPr>
        <w:t xml:space="preserve"> </w:t>
      </w:r>
      <w:r>
        <w:rPr>
          <w:rFonts w:hint="eastAsia"/>
          <w:lang w:eastAsia="ko-KR"/>
        </w:rPr>
        <w:t>(EV bus located in Gumi city)</w:t>
      </w:r>
    </w:p>
    <w:p w:rsidR="005D267F" w:rsidRDefault="005D267F" w:rsidP="005D267F">
      <w:pPr>
        <w:pStyle w:val="enumlev1"/>
        <w:widowControl w:val="0"/>
        <w:numPr>
          <w:ilvl w:val="0"/>
          <w:numId w:val="86"/>
        </w:numPr>
        <w:pBdr>
          <w:top w:val="none" w:sz="2" w:space="1" w:color="000000"/>
          <w:left w:val="none" w:sz="2" w:space="4" w:color="000000"/>
          <w:bottom w:val="none" w:sz="2" w:space="1" w:color="000000"/>
          <w:right w:val="none" w:sz="2" w:space="4" w:color="000000"/>
        </w:pBdr>
        <w:tabs>
          <w:tab w:val="clear" w:pos="794"/>
          <w:tab w:val="clear" w:pos="1191"/>
          <w:tab w:val="clear" w:pos="1588"/>
          <w:tab w:val="clear" w:pos="1985"/>
          <w:tab w:val="left" w:pos="2608"/>
          <w:tab w:val="left" w:pos="3345"/>
        </w:tabs>
        <w:overflowPunct/>
        <w:adjustRightInd/>
        <w:ind w:left="1134" w:hanging="1134"/>
      </w:pPr>
      <w:r>
        <w:rPr>
          <w:lang w:eastAsia="ko-KR"/>
        </w:rPr>
        <w:t>Using the power level as 99.98 kW</w:t>
      </w:r>
    </w:p>
    <w:p w:rsidR="005D267F" w:rsidRPr="00F36548" w:rsidRDefault="005D267F" w:rsidP="005D267F">
      <w:pPr>
        <w:pStyle w:val="enumlev1"/>
        <w:widowControl w:val="0"/>
        <w:numPr>
          <w:ilvl w:val="0"/>
          <w:numId w:val="86"/>
        </w:numPr>
        <w:pBdr>
          <w:top w:val="none" w:sz="2" w:space="1" w:color="000000"/>
          <w:left w:val="none" w:sz="2" w:space="4" w:color="000000"/>
          <w:bottom w:val="none" w:sz="2" w:space="1" w:color="000000"/>
          <w:right w:val="none" w:sz="2" w:space="4" w:color="000000"/>
        </w:pBdr>
        <w:tabs>
          <w:tab w:val="clear" w:pos="794"/>
          <w:tab w:val="clear" w:pos="1191"/>
          <w:tab w:val="clear" w:pos="1588"/>
          <w:tab w:val="clear" w:pos="1985"/>
          <w:tab w:val="left" w:pos="2608"/>
          <w:tab w:val="left" w:pos="3345"/>
        </w:tabs>
        <w:overflowPunct/>
        <w:adjustRightInd/>
        <w:ind w:left="1134" w:hanging="1134"/>
      </w:pPr>
      <w:r>
        <w:rPr>
          <w:lang w:eastAsia="ko-KR"/>
        </w:rPr>
        <w:t>Harmonic frequencies interference to EBU’s broadcasting service</w:t>
      </w:r>
    </w:p>
    <w:p w:rsidR="005D267F" w:rsidRPr="00A13678" w:rsidRDefault="005D267F" w:rsidP="005D267F">
      <w:pPr>
        <w:pStyle w:val="enumlev1"/>
        <w:widowControl w:val="0"/>
        <w:pBdr>
          <w:top w:val="none" w:sz="2" w:space="0" w:color="000000"/>
          <w:left w:val="none" w:sz="2" w:space="4" w:color="000000"/>
          <w:bottom w:val="none" w:sz="2" w:space="1" w:color="000000"/>
          <w:right w:val="none" w:sz="2" w:space="4" w:color="000000"/>
        </w:pBdr>
        <w:overflowPunct/>
        <w:adjustRightInd/>
        <w:ind w:firstLine="0"/>
        <w:rPr>
          <w:rFonts w:eastAsia="MS Mincho"/>
          <w:lang w:eastAsia="ja-JP"/>
        </w:rPr>
      </w:pPr>
    </w:p>
    <w:p w:rsidR="005D267F" w:rsidRPr="00A13678" w:rsidRDefault="005D267F" w:rsidP="005D267F">
      <w:pPr>
        <w:pStyle w:val="Heading2"/>
        <w:overflowPunct w:val="0"/>
        <w:adjustRightInd w:val="0"/>
        <w:ind w:left="1134" w:hanging="1134"/>
        <w:rPr>
          <w:rFonts w:eastAsia="MS Mincho"/>
          <w:lang w:eastAsia="ja-JP"/>
        </w:rPr>
      </w:pPr>
      <w:bookmarkStart w:id="47" w:name="_Toc494297316"/>
      <w:r>
        <w:rPr>
          <w:rFonts w:ascii="Times New Roman" w:eastAsia="MS Mincho" w:hAnsi="Times New Roman" w:cs="Times New Roman"/>
          <w:lang w:eastAsia="ja-JP"/>
        </w:rPr>
        <w:t>6.3.</w:t>
      </w:r>
      <w:r w:rsidRPr="00F36548">
        <w:rPr>
          <w:rFonts w:ascii="Times New Roman" w:eastAsia="MS Mincho" w:hAnsi="Times New Roman" w:cs="Times New Roman"/>
          <w:lang w:eastAsia="ja-JP"/>
        </w:rPr>
        <w:t>2</w:t>
      </w:r>
      <w:r w:rsidRPr="00F36548">
        <w:rPr>
          <w:rFonts w:ascii="Times New Roman" w:eastAsia="MS Mincho" w:hAnsi="Times New Roman" w:cs="Times New Roman"/>
          <w:lang w:eastAsia="ja-JP"/>
        </w:rPr>
        <w:tab/>
      </w:r>
      <w:r w:rsidRPr="00A13678">
        <w:rPr>
          <w:rFonts w:ascii="Times New Roman" w:eastAsia="MS Mincho" w:hAnsi="Times New Roman" w:cs="Times New Roman"/>
          <w:lang w:eastAsia="ja-JP"/>
        </w:rPr>
        <w:t xml:space="preserve">The impact study for 60 kHz standard time signal </w:t>
      </w:r>
      <w:r w:rsidRPr="00D07FB9">
        <w:rPr>
          <w:rFonts w:ascii="Times New Roman" w:eastAsia="MS Mincho" w:hAnsi="Times New Roman" w:cs="Times New Roman"/>
          <w:lang w:eastAsia="ja-JP"/>
        </w:rPr>
        <w:t>to Japanese standard frequency and time signal service</w:t>
      </w:r>
      <w:bookmarkEnd w:id="47"/>
    </w:p>
    <w:p w:rsidR="005D267F" w:rsidRPr="00A13678" w:rsidRDefault="005D267F" w:rsidP="005D267F">
      <w:pPr>
        <w:tabs>
          <w:tab w:val="left" w:pos="1134"/>
          <w:tab w:val="left" w:pos="1871"/>
          <w:tab w:val="left" w:pos="2268"/>
        </w:tabs>
        <w:overflowPunct w:val="0"/>
        <w:adjustRightInd w:val="0"/>
        <w:spacing w:before="120"/>
        <w:textAlignment w:val="baseline"/>
        <w:rPr>
          <w:rFonts w:eastAsia="MS Mincho"/>
          <w:lang w:eastAsia="ja-JP"/>
        </w:rPr>
      </w:pPr>
      <w:r>
        <w:rPr>
          <w:rFonts w:eastAsia="MS Mincho"/>
          <w:lang w:eastAsia="ja-JP"/>
        </w:rPr>
        <w:tab/>
      </w:r>
      <w:r w:rsidRPr="00A13678">
        <w:rPr>
          <w:rFonts w:eastAsia="MS Mincho"/>
          <w:lang w:eastAsia="ja-JP"/>
        </w:rPr>
        <w:t>Japan reported to ITU-R SG1 WP1A the co-existence study internally between WPT EV and other electronic devices in Nov 2014 written by Japanese language. It included also EMI and EMF issues.</w:t>
      </w:r>
    </w:p>
    <w:p w:rsidR="005D267F" w:rsidRPr="00A13678" w:rsidRDefault="005D267F" w:rsidP="005D267F">
      <w:pPr>
        <w:tabs>
          <w:tab w:val="left" w:pos="1134"/>
          <w:tab w:val="left" w:pos="1871"/>
          <w:tab w:val="left" w:pos="2268"/>
        </w:tabs>
        <w:overflowPunct w:val="0"/>
        <w:adjustRightInd w:val="0"/>
        <w:spacing w:before="120"/>
        <w:textAlignment w:val="baseline"/>
        <w:rPr>
          <w:rFonts w:eastAsia="MS Mincho"/>
          <w:lang w:eastAsia="ja-JP"/>
        </w:rPr>
      </w:pPr>
      <w:r>
        <w:rPr>
          <w:rFonts w:eastAsia="MS Mincho"/>
          <w:lang w:eastAsia="ja-JP"/>
        </w:rPr>
        <w:tab/>
      </w:r>
      <w:r w:rsidRPr="00A13678">
        <w:rPr>
          <w:rFonts w:eastAsia="MS Mincho"/>
          <w:lang w:eastAsia="ja-JP"/>
        </w:rPr>
        <w:t xml:space="preserve">Since ITU-R SG1 WP1A meeting in June 2015, Japan delegation of ITU-R SG1 insisted that NICT(Japan) uses 60 kHz as standard </w:t>
      </w:r>
      <w:r>
        <w:rPr>
          <w:rFonts w:eastAsia="MS Mincho"/>
          <w:lang w:eastAsia="ja-JP"/>
        </w:rPr>
        <w:t xml:space="preserve">frequency and </w:t>
      </w:r>
      <w:r w:rsidRPr="00A13678">
        <w:rPr>
          <w:rFonts w:eastAsia="MS Mincho"/>
          <w:lang w:eastAsia="ja-JP"/>
        </w:rPr>
        <w:t xml:space="preserve">time signal from the Hagane-transmitting station located in Kitakyushu. Japan requested the interface and/or impact study between Korean heavy-duty WPT EV and Japanese standard </w:t>
      </w:r>
      <w:r>
        <w:rPr>
          <w:rFonts w:eastAsia="MS Mincho"/>
          <w:lang w:eastAsia="ja-JP"/>
        </w:rPr>
        <w:t xml:space="preserve">frequency and </w:t>
      </w:r>
      <w:r w:rsidRPr="00A13678">
        <w:rPr>
          <w:rFonts w:eastAsia="MS Mincho"/>
          <w:lang w:eastAsia="ja-JP"/>
        </w:rPr>
        <w:t>time signal.</w:t>
      </w:r>
    </w:p>
    <w:p w:rsidR="005D267F" w:rsidRPr="00F36548" w:rsidRDefault="005D267F" w:rsidP="005D267F">
      <w:pPr>
        <w:pStyle w:val="enumlev1"/>
        <w:jc w:val="center"/>
      </w:pPr>
      <w:r w:rsidRPr="00F36548">
        <w:t xml:space="preserve">FIGURE </w:t>
      </w:r>
      <w:r>
        <w:t>6.4</w:t>
      </w:r>
    </w:p>
    <w:p w:rsidR="005D267F" w:rsidRPr="00F36548" w:rsidRDefault="005D267F" w:rsidP="005D267F">
      <w:pPr>
        <w:pStyle w:val="enumlev1"/>
        <w:jc w:val="center"/>
      </w:pPr>
      <w:r w:rsidRPr="00F36548">
        <w:t xml:space="preserve">Electric field strength of 60 kHz standard </w:t>
      </w:r>
      <w:r>
        <w:t xml:space="preserve">frequency and </w:t>
      </w:r>
      <w:r w:rsidRPr="00F36548">
        <w:t>time signal (source: NICT Homepage)</w:t>
      </w:r>
    </w:p>
    <w:p w:rsidR="005D267F" w:rsidRPr="00F36548" w:rsidRDefault="00105ECB" w:rsidP="005D267F">
      <w:pPr>
        <w:pStyle w:val="enumlev1"/>
        <w:jc w:val="center"/>
      </w:pPr>
      <w:r w:rsidRPr="00D573DB">
        <w:rPr>
          <w:noProof/>
        </w:rPr>
        <w:drawing>
          <wp:inline distT="0" distB="0" distL="0" distR="0">
            <wp:extent cx="3363595" cy="2618105"/>
            <wp:effectExtent l="0" t="0" r="0" b="0"/>
            <wp:docPr id="63" name="그림 %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3595" cy="2618105"/>
                    </a:xfrm>
                    <a:prstGeom prst="rect">
                      <a:avLst/>
                    </a:prstGeom>
                    <a:noFill/>
                    <a:ln>
                      <a:noFill/>
                    </a:ln>
                  </pic:spPr>
                </pic:pic>
              </a:graphicData>
            </a:graphic>
          </wp:inline>
        </w:drawing>
      </w:r>
    </w:p>
    <w:p w:rsidR="005D267F" w:rsidRPr="00F36548" w:rsidRDefault="005D267F" w:rsidP="005D267F">
      <w:pPr>
        <w:pStyle w:val="enumlev1"/>
      </w:pPr>
    </w:p>
    <w:p w:rsidR="005D267F" w:rsidRPr="00A13678" w:rsidRDefault="005D267F" w:rsidP="005D267F">
      <w:pPr>
        <w:tabs>
          <w:tab w:val="left" w:pos="1134"/>
          <w:tab w:val="left" w:pos="1871"/>
          <w:tab w:val="left" w:pos="2268"/>
        </w:tabs>
        <w:overflowPunct w:val="0"/>
        <w:adjustRightInd w:val="0"/>
        <w:spacing w:before="120"/>
        <w:textAlignment w:val="baseline"/>
        <w:rPr>
          <w:rFonts w:eastAsia="MS Mincho"/>
          <w:lang w:eastAsia="ja-JP"/>
        </w:rPr>
      </w:pPr>
      <w:r>
        <w:rPr>
          <w:rFonts w:eastAsia="MS Mincho"/>
          <w:lang w:eastAsia="ja-JP"/>
        </w:rPr>
        <w:tab/>
      </w:r>
      <w:r w:rsidRPr="00A13678">
        <w:rPr>
          <w:rFonts w:eastAsia="MS Mincho"/>
          <w:lang w:eastAsia="ja-JP"/>
        </w:rPr>
        <w:t>According to Electric field strength table of the 60 kHz (source: NICT homepage), the lowest level is 50 dB</w:t>
      </w:r>
      <w:r w:rsidRPr="00A13678">
        <w:rPr>
          <w:rFonts w:eastAsia="MS Mincho" w:hint="eastAsia"/>
          <w:lang w:eastAsia="ja-JP"/>
        </w:rPr>
        <w:t>㎶</w:t>
      </w:r>
      <w:r w:rsidRPr="00A13678">
        <w:rPr>
          <w:rFonts w:eastAsia="MS Mincho"/>
          <w:lang w:eastAsia="ja-JP"/>
        </w:rPr>
        <w:t xml:space="preserve">/m. In this reason, the limitation of 60 kHz standard </w:t>
      </w:r>
      <w:r>
        <w:rPr>
          <w:rFonts w:eastAsia="MS Mincho"/>
          <w:lang w:eastAsia="ja-JP"/>
        </w:rPr>
        <w:t xml:space="preserve">frequency and </w:t>
      </w:r>
      <w:r w:rsidRPr="00A13678">
        <w:rPr>
          <w:rFonts w:eastAsia="MS Mincho"/>
          <w:lang w:eastAsia="ja-JP"/>
        </w:rPr>
        <w:t>time signal is 50 dB</w:t>
      </w:r>
      <w:r w:rsidRPr="00A13678">
        <w:rPr>
          <w:rFonts w:eastAsia="MS Mincho" w:hint="eastAsia"/>
          <w:lang w:eastAsia="ja-JP"/>
        </w:rPr>
        <w:t>㎶</w:t>
      </w:r>
      <w:r w:rsidRPr="00A13678">
        <w:rPr>
          <w:rFonts w:eastAsia="MS Mincho"/>
          <w:lang w:eastAsia="ja-JP"/>
        </w:rPr>
        <w:t xml:space="preserve">/m. </w:t>
      </w:r>
    </w:p>
    <w:p w:rsidR="005D267F" w:rsidRDefault="005D267F" w:rsidP="005D267F">
      <w:pPr>
        <w:tabs>
          <w:tab w:val="left" w:pos="1134"/>
          <w:tab w:val="left" w:pos="1871"/>
          <w:tab w:val="left" w:pos="2268"/>
        </w:tabs>
        <w:overflowPunct w:val="0"/>
        <w:adjustRightInd w:val="0"/>
        <w:spacing w:before="120"/>
        <w:textAlignment w:val="baseline"/>
        <w:rPr>
          <w:rFonts w:eastAsia="MS Mincho"/>
          <w:lang w:eastAsia="ja-JP"/>
        </w:rPr>
      </w:pPr>
      <w:r>
        <w:rPr>
          <w:rFonts w:eastAsia="MS Mincho"/>
          <w:lang w:eastAsia="ja-JP"/>
        </w:rPr>
        <w:tab/>
      </w:r>
      <w:r w:rsidRPr="00A13678">
        <w:rPr>
          <w:rFonts w:eastAsia="MS Mincho"/>
          <w:lang w:eastAsia="ja-JP"/>
        </w:rPr>
        <w:t xml:space="preserve">The real clocks used 60 kHz </w:t>
      </w:r>
      <w:r>
        <w:rPr>
          <w:rFonts w:eastAsia="MS Mincho"/>
          <w:lang w:eastAsia="ja-JP"/>
        </w:rPr>
        <w:t xml:space="preserve">standard frequency and </w:t>
      </w:r>
      <w:r w:rsidRPr="00A13678">
        <w:rPr>
          <w:rFonts w:eastAsia="MS Mincho"/>
          <w:lang w:eastAsia="ja-JP"/>
        </w:rPr>
        <w:t xml:space="preserve">time signal is shown in Figure </w:t>
      </w:r>
      <w:r>
        <w:rPr>
          <w:rFonts w:eastAsia="MS Mincho"/>
          <w:lang w:eastAsia="ja-JP"/>
        </w:rPr>
        <w:t>6.</w:t>
      </w:r>
      <w:r w:rsidRPr="00A13678">
        <w:rPr>
          <w:rFonts w:eastAsia="MS Mincho"/>
          <w:lang w:eastAsia="ja-JP"/>
        </w:rPr>
        <w:t>5 and the test result is shown in Figure</w:t>
      </w:r>
      <w:r>
        <w:rPr>
          <w:rFonts w:eastAsia="MS Mincho"/>
          <w:lang w:eastAsia="ja-JP"/>
        </w:rPr>
        <w:t xml:space="preserve"> 6.</w:t>
      </w:r>
      <w:r w:rsidRPr="00A13678">
        <w:rPr>
          <w:rFonts w:eastAsia="MS Mincho"/>
          <w:lang w:eastAsia="ja-JP"/>
        </w:rPr>
        <w:t>6.</w:t>
      </w:r>
    </w:p>
    <w:p w:rsidR="005D267F" w:rsidRDefault="005D267F" w:rsidP="005D267F">
      <w:pPr>
        <w:tabs>
          <w:tab w:val="left" w:pos="1134"/>
          <w:tab w:val="left" w:pos="1871"/>
          <w:tab w:val="left" w:pos="2268"/>
        </w:tabs>
        <w:overflowPunct w:val="0"/>
        <w:adjustRightInd w:val="0"/>
        <w:spacing w:before="120"/>
        <w:textAlignment w:val="baseline"/>
        <w:rPr>
          <w:rFonts w:eastAsia="MS Mincho"/>
          <w:lang w:eastAsia="ja-JP"/>
        </w:rPr>
      </w:pPr>
    </w:p>
    <w:p w:rsidR="005D267F" w:rsidRPr="00F36548" w:rsidRDefault="005D267F" w:rsidP="005D267F">
      <w:pPr>
        <w:tabs>
          <w:tab w:val="left" w:pos="1134"/>
          <w:tab w:val="left" w:pos="1871"/>
          <w:tab w:val="left" w:pos="2268"/>
        </w:tabs>
        <w:overflowPunct w:val="0"/>
        <w:adjustRightInd w:val="0"/>
        <w:spacing w:before="120"/>
        <w:jc w:val="center"/>
        <w:textAlignment w:val="baseline"/>
      </w:pPr>
      <w:r>
        <w:rPr>
          <w:rFonts w:eastAsia="MS Mincho"/>
          <w:lang w:eastAsia="ja-JP"/>
        </w:rPr>
        <w:t>FI</w:t>
      </w:r>
      <w:r w:rsidRPr="00F36548">
        <w:t xml:space="preserve">GURE </w:t>
      </w:r>
      <w:r>
        <w:t>6.</w:t>
      </w:r>
      <w:r w:rsidRPr="00F36548">
        <w:t>5</w:t>
      </w:r>
    </w:p>
    <w:p w:rsidR="005D267F" w:rsidRPr="00F36548" w:rsidRDefault="005D267F" w:rsidP="005D267F">
      <w:pPr>
        <w:pStyle w:val="enumlev1"/>
        <w:jc w:val="center"/>
      </w:pPr>
      <w:r w:rsidRPr="00F36548">
        <w:t xml:space="preserve">Real clocks used 60 kHz standard </w:t>
      </w:r>
      <w:r>
        <w:t xml:space="preserve">frequency and </w:t>
      </w:r>
      <w:r w:rsidRPr="00F36548">
        <w:t>time signal</w:t>
      </w:r>
    </w:p>
    <w:tbl>
      <w:tblPr>
        <w:tblOverlap w:val="never"/>
        <w:tblW w:w="8870" w:type="dxa"/>
        <w:tblInd w:w="102"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4476"/>
        <w:gridCol w:w="4394"/>
      </w:tblGrid>
      <w:tr w:rsidR="005D267F" w:rsidRPr="00F36548" w:rsidTr="00AE25FA">
        <w:trPr>
          <w:trHeight w:val="56"/>
        </w:trPr>
        <w:tc>
          <w:tcPr>
            <w:tcW w:w="4476" w:type="dxa"/>
            <w:tcBorders>
              <w:top w:val="single" w:sz="3" w:space="0" w:color="0A0000"/>
              <w:left w:val="single" w:sz="3" w:space="0" w:color="0A0000"/>
              <w:bottom w:val="single" w:sz="3" w:space="0" w:color="0A0000"/>
              <w:right w:val="single" w:sz="3" w:space="0" w:color="0A0000"/>
            </w:tcBorders>
            <w:shd w:val="clear" w:color="auto" w:fill="FFFFFF"/>
          </w:tcPr>
          <w:p w:rsidR="005D267F" w:rsidRPr="00F36548" w:rsidRDefault="00105ECB" w:rsidP="00AE25FA">
            <w:pPr>
              <w:pStyle w:val="enumlev1"/>
              <w:jc w:val="center"/>
            </w:pPr>
            <w:r w:rsidRPr="00D573DB">
              <w:rPr>
                <w:noProof/>
              </w:rPr>
              <w:lastRenderedPageBreak/>
              <w:drawing>
                <wp:inline distT="0" distB="0" distL="0" distR="0">
                  <wp:extent cx="2710815" cy="1692910"/>
                  <wp:effectExtent l="0" t="0" r="0" b="0"/>
                  <wp:docPr id="62" name="그림 %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0815" cy="1692910"/>
                          </a:xfrm>
                          <a:prstGeom prst="rect">
                            <a:avLst/>
                          </a:prstGeom>
                          <a:noFill/>
                          <a:ln>
                            <a:noFill/>
                          </a:ln>
                        </pic:spPr>
                      </pic:pic>
                    </a:graphicData>
                  </a:graphic>
                </wp:inline>
              </w:drawing>
            </w:r>
          </w:p>
        </w:tc>
        <w:tc>
          <w:tcPr>
            <w:tcW w:w="4394" w:type="dxa"/>
            <w:tcBorders>
              <w:top w:val="single" w:sz="3" w:space="0" w:color="0A0000"/>
              <w:left w:val="single" w:sz="3" w:space="0" w:color="0A0000"/>
              <w:bottom w:val="single" w:sz="3" w:space="0" w:color="0A0000"/>
              <w:right w:val="single" w:sz="3" w:space="0" w:color="0A0000"/>
            </w:tcBorders>
            <w:shd w:val="clear" w:color="auto" w:fill="FFFFFF"/>
          </w:tcPr>
          <w:p w:rsidR="005D267F" w:rsidRPr="00F36548" w:rsidRDefault="00105ECB" w:rsidP="00AE25FA">
            <w:pPr>
              <w:pStyle w:val="enumlev1"/>
              <w:jc w:val="center"/>
            </w:pPr>
            <w:r w:rsidRPr="00D573DB">
              <w:rPr>
                <w:noProof/>
              </w:rPr>
              <w:drawing>
                <wp:inline distT="0" distB="0" distL="0" distR="0">
                  <wp:extent cx="2667000" cy="1725295"/>
                  <wp:effectExtent l="0" t="0" r="0" b="0"/>
                  <wp:docPr id="61" name="그림 %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1725295"/>
                          </a:xfrm>
                          <a:prstGeom prst="rect">
                            <a:avLst/>
                          </a:prstGeom>
                          <a:noFill/>
                          <a:ln>
                            <a:noFill/>
                          </a:ln>
                        </pic:spPr>
                      </pic:pic>
                    </a:graphicData>
                  </a:graphic>
                </wp:inline>
              </w:drawing>
            </w:r>
          </w:p>
        </w:tc>
      </w:tr>
    </w:tbl>
    <w:p w:rsidR="005D267F" w:rsidRDefault="005D267F" w:rsidP="005D267F">
      <w:pPr>
        <w:pStyle w:val="enumlev1"/>
        <w:jc w:val="center"/>
      </w:pPr>
    </w:p>
    <w:p w:rsidR="005D267F" w:rsidRDefault="005D267F" w:rsidP="005D267F">
      <w:pPr>
        <w:rPr>
          <w:rFonts w:eastAsia="Batang"/>
          <w:lang w:val="en-GB"/>
        </w:rPr>
      </w:pPr>
      <w:r>
        <w:br w:type="page"/>
      </w:r>
    </w:p>
    <w:p w:rsidR="005D267F" w:rsidRPr="00F36548" w:rsidRDefault="005D267F" w:rsidP="005D267F">
      <w:pPr>
        <w:pStyle w:val="enumlev1"/>
        <w:jc w:val="center"/>
      </w:pPr>
    </w:p>
    <w:p w:rsidR="005D267F" w:rsidRPr="00F36548" w:rsidRDefault="005D267F" w:rsidP="005D267F">
      <w:pPr>
        <w:pStyle w:val="enumlev1"/>
        <w:jc w:val="center"/>
      </w:pPr>
      <w:r w:rsidRPr="00F36548">
        <w:t xml:space="preserve">FIGURE </w:t>
      </w:r>
      <w:r>
        <w:t>6.</w:t>
      </w:r>
      <w:r w:rsidRPr="00F36548">
        <w:t>6</w:t>
      </w:r>
    </w:p>
    <w:p w:rsidR="005D267F" w:rsidRPr="00F36548" w:rsidRDefault="005D267F" w:rsidP="005D267F">
      <w:pPr>
        <w:pStyle w:val="enumlev1"/>
        <w:jc w:val="center"/>
      </w:pPr>
      <w:r w:rsidRPr="00F36548">
        <w:t xml:space="preserve">Test result of 10 m and 100 m based on 60 kHz standard </w:t>
      </w:r>
      <w:r>
        <w:t xml:space="preserve">frequency and </w:t>
      </w:r>
      <w:r w:rsidRPr="00F36548">
        <w:t>time signal</w:t>
      </w:r>
    </w:p>
    <w:tbl>
      <w:tblPr>
        <w:tblOverlap w:val="never"/>
        <w:tblW w:w="9379" w:type="dxa"/>
        <w:jc w:val="center"/>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4746"/>
        <w:gridCol w:w="4633"/>
      </w:tblGrid>
      <w:tr w:rsidR="005D267F" w:rsidRPr="00F36548" w:rsidTr="00AE25FA">
        <w:trPr>
          <w:trHeight w:val="56"/>
          <w:jc w:val="center"/>
        </w:trPr>
        <w:tc>
          <w:tcPr>
            <w:tcW w:w="4746" w:type="dxa"/>
            <w:tcBorders>
              <w:top w:val="single" w:sz="3" w:space="0" w:color="0A0000"/>
              <w:left w:val="single" w:sz="3" w:space="0" w:color="0A0000"/>
              <w:bottom w:val="single" w:sz="3" w:space="0" w:color="0A0000"/>
              <w:right w:val="single" w:sz="3" w:space="0" w:color="0A0000"/>
            </w:tcBorders>
            <w:shd w:val="clear" w:color="auto" w:fill="FFFFFF"/>
          </w:tcPr>
          <w:p w:rsidR="005D267F" w:rsidRPr="00F36548" w:rsidRDefault="005D267F" w:rsidP="00AE25FA">
            <w:pPr>
              <w:pStyle w:val="enumlev1"/>
              <w:jc w:val="center"/>
            </w:pPr>
            <w:r w:rsidRPr="00F36548">
              <w:t>10 m (charging)</w:t>
            </w:r>
          </w:p>
        </w:tc>
        <w:tc>
          <w:tcPr>
            <w:tcW w:w="4633" w:type="dxa"/>
            <w:tcBorders>
              <w:top w:val="single" w:sz="3" w:space="0" w:color="0A0000"/>
              <w:left w:val="single" w:sz="3" w:space="0" w:color="0A0000"/>
              <w:bottom w:val="single" w:sz="3" w:space="0" w:color="0A0000"/>
              <w:right w:val="single" w:sz="3" w:space="0" w:color="0A0000"/>
            </w:tcBorders>
            <w:shd w:val="clear" w:color="auto" w:fill="FFFFFF"/>
          </w:tcPr>
          <w:p w:rsidR="005D267F" w:rsidRPr="00F36548" w:rsidRDefault="005D267F" w:rsidP="00AE25FA">
            <w:pPr>
              <w:pStyle w:val="enumlev1"/>
              <w:jc w:val="center"/>
            </w:pPr>
            <w:r w:rsidRPr="00F36548">
              <w:t>100 m (charging)</w:t>
            </w:r>
          </w:p>
        </w:tc>
      </w:tr>
      <w:tr w:rsidR="005D267F" w:rsidRPr="00F36548" w:rsidTr="00AE25FA">
        <w:trPr>
          <w:trHeight w:val="56"/>
          <w:jc w:val="center"/>
        </w:trPr>
        <w:tc>
          <w:tcPr>
            <w:tcW w:w="4746" w:type="dxa"/>
            <w:tcBorders>
              <w:top w:val="single" w:sz="3" w:space="0" w:color="0A0000"/>
              <w:left w:val="single" w:sz="3" w:space="0" w:color="0A0000"/>
              <w:bottom w:val="single" w:sz="3" w:space="0" w:color="0A0000"/>
              <w:right w:val="single" w:sz="3" w:space="0" w:color="0A0000"/>
            </w:tcBorders>
            <w:shd w:val="clear" w:color="auto" w:fill="FFFFFF"/>
            <w:vAlign w:val="center"/>
          </w:tcPr>
          <w:p w:rsidR="005D267F" w:rsidRPr="00F36548" w:rsidRDefault="00105ECB" w:rsidP="00AE25FA">
            <w:pPr>
              <w:pStyle w:val="enumlev1"/>
              <w:jc w:val="center"/>
            </w:pPr>
            <w:r w:rsidRPr="00D573DB">
              <w:rPr>
                <w:noProof/>
              </w:rPr>
              <w:drawing>
                <wp:inline distT="0" distB="0" distL="0" distR="0">
                  <wp:extent cx="2895600" cy="2286000"/>
                  <wp:effectExtent l="0" t="0" r="0" b="0"/>
                  <wp:docPr id="60" name="그림 %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2286000"/>
                          </a:xfrm>
                          <a:prstGeom prst="rect">
                            <a:avLst/>
                          </a:prstGeom>
                          <a:noFill/>
                          <a:ln>
                            <a:noFill/>
                          </a:ln>
                        </pic:spPr>
                      </pic:pic>
                    </a:graphicData>
                  </a:graphic>
                </wp:inline>
              </w:drawing>
            </w:r>
          </w:p>
        </w:tc>
        <w:tc>
          <w:tcPr>
            <w:tcW w:w="4633" w:type="dxa"/>
            <w:tcBorders>
              <w:top w:val="single" w:sz="3" w:space="0" w:color="0A0000"/>
              <w:left w:val="single" w:sz="3" w:space="0" w:color="0A0000"/>
              <w:bottom w:val="single" w:sz="3" w:space="0" w:color="0A0000"/>
              <w:right w:val="single" w:sz="3" w:space="0" w:color="0A0000"/>
            </w:tcBorders>
            <w:shd w:val="clear" w:color="auto" w:fill="FFFFFF"/>
          </w:tcPr>
          <w:p w:rsidR="005D267F" w:rsidRPr="00F36548" w:rsidRDefault="00105ECB" w:rsidP="00AE25FA">
            <w:pPr>
              <w:pStyle w:val="enumlev1"/>
              <w:jc w:val="center"/>
            </w:pPr>
            <w:r w:rsidRPr="00D573DB">
              <w:rPr>
                <w:noProof/>
              </w:rPr>
              <w:drawing>
                <wp:inline distT="0" distB="0" distL="0" distR="0">
                  <wp:extent cx="2835910" cy="2307590"/>
                  <wp:effectExtent l="0" t="0" r="0" b="0"/>
                  <wp:docPr id="59" name="그림 %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5910" cy="2307590"/>
                          </a:xfrm>
                          <a:prstGeom prst="rect">
                            <a:avLst/>
                          </a:prstGeom>
                          <a:noFill/>
                          <a:ln>
                            <a:noFill/>
                          </a:ln>
                        </pic:spPr>
                      </pic:pic>
                    </a:graphicData>
                  </a:graphic>
                </wp:inline>
              </w:drawing>
            </w:r>
          </w:p>
        </w:tc>
      </w:tr>
    </w:tbl>
    <w:p w:rsidR="005D267F" w:rsidRPr="00F36548" w:rsidRDefault="005D267F" w:rsidP="005D267F">
      <w:pPr>
        <w:pStyle w:val="enumlev1"/>
      </w:pPr>
    </w:p>
    <w:p w:rsidR="005D267F" w:rsidRPr="005D267F" w:rsidRDefault="005D267F" w:rsidP="005D267F">
      <w:pPr>
        <w:tabs>
          <w:tab w:val="left" w:pos="1134"/>
          <w:tab w:val="left" w:pos="1871"/>
          <w:tab w:val="left" w:pos="2268"/>
        </w:tabs>
        <w:overflowPunct w:val="0"/>
        <w:adjustRightInd w:val="0"/>
        <w:spacing w:before="120"/>
        <w:textAlignment w:val="baseline"/>
        <w:rPr>
          <w:rFonts w:eastAsia="SimSun"/>
          <w:lang w:eastAsia="ja-JP"/>
        </w:rPr>
      </w:pPr>
      <w:r w:rsidRPr="005D267F">
        <w:rPr>
          <w:rFonts w:eastAsia="SimSun"/>
          <w:lang w:eastAsia="ja-JP"/>
        </w:rPr>
        <w:tab/>
        <w:t>At 10 m, the amplitude of 60 kHz is 55.85 dBuV/m and the value is greater than the limitation with 5.85 dB. At 100 m, the amplitude of 60 kHz is 15.37 dBuV/m and the limitation had a margin of 34.63 dB.</w:t>
      </w:r>
    </w:p>
    <w:p w:rsidR="005D267F" w:rsidRPr="005D267F" w:rsidRDefault="005D267F" w:rsidP="005D267F">
      <w:pPr>
        <w:tabs>
          <w:tab w:val="left" w:pos="1134"/>
          <w:tab w:val="left" w:pos="1871"/>
          <w:tab w:val="left" w:pos="2268"/>
        </w:tabs>
        <w:overflowPunct w:val="0"/>
        <w:adjustRightInd w:val="0"/>
        <w:spacing w:before="120"/>
        <w:textAlignment w:val="baseline"/>
        <w:rPr>
          <w:rFonts w:eastAsia="SimSun"/>
          <w:lang w:eastAsia="ja-JP"/>
        </w:rPr>
      </w:pPr>
      <w:r w:rsidRPr="005D267F">
        <w:rPr>
          <w:rFonts w:eastAsia="SimSun"/>
          <w:lang w:eastAsia="ja-JP"/>
        </w:rPr>
        <w:tab/>
        <w:t>In a result, 100 m of separation distance is enough to protect the 60 kHz standard frequency and time signal clock from a heavy-duty WPT EV charging station. In practice, 50 m distance is acceptable to meet the 40 dBuV/m limitation.</w:t>
      </w:r>
    </w:p>
    <w:p w:rsidR="005D267F" w:rsidRPr="005D267F" w:rsidRDefault="005D267F" w:rsidP="005D267F">
      <w:pPr>
        <w:rPr>
          <w:rFonts w:eastAsia="SimSun"/>
          <w:lang w:eastAsia="ja-JP"/>
        </w:rPr>
      </w:pPr>
      <w:r w:rsidRPr="005D267F">
        <w:rPr>
          <w:rFonts w:eastAsia="SimSun"/>
          <w:lang w:eastAsia="ja-JP"/>
        </w:rPr>
        <w:br w:type="page"/>
      </w:r>
    </w:p>
    <w:p w:rsidR="005D267F" w:rsidRPr="00A13678" w:rsidRDefault="005D267F" w:rsidP="005D267F">
      <w:pPr>
        <w:pStyle w:val="Heading2"/>
        <w:overflowPunct w:val="0"/>
        <w:adjustRightInd w:val="0"/>
        <w:ind w:left="1134" w:hanging="1134"/>
        <w:rPr>
          <w:rFonts w:ascii="Times New Roman" w:eastAsia="MS Mincho" w:hAnsi="Times New Roman" w:cs="Times New Roman"/>
          <w:lang w:eastAsia="ja-JP"/>
        </w:rPr>
      </w:pPr>
      <w:bookmarkStart w:id="48" w:name="_Toc494297317"/>
      <w:r>
        <w:rPr>
          <w:rFonts w:ascii="Times New Roman" w:eastAsia="MS Mincho" w:hAnsi="Times New Roman" w:cs="Times New Roman"/>
          <w:lang w:eastAsia="ja-JP"/>
        </w:rPr>
        <w:lastRenderedPageBreak/>
        <w:t>6.3.</w:t>
      </w:r>
      <w:r w:rsidRPr="00F36548">
        <w:rPr>
          <w:rFonts w:ascii="Times New Roman" w:eastAsia="MS Mincho" w:hAnsi="Times New Roman" w:cs="Times New Roman"/>
          <w:lang w:eastAsia="ja-JP"/>
        </w:rPr>
        <w:t>3</w:t>
      </w:r>
      <w:r>
        <w:rPr>
          <w:rFonts w:ascii="Times New Roman" w:eastAsia="MS Mincho" w:hAnsi="Times New Roman" w:cs="Times New Roman"/>
          <w:lang w:eastAsia="ja-JP"/>
        </w:rPr>
        <w:t xml:space="preserve"> </w:t>
      </w:r>
      <w:r w:rsidRPr="00A13678">
        <w:rPr>
          <w:rFonts w:ascii="Times New Roman" w:eastAsia="MS Mincho" w:hAnsi="Times New Roman" w:cs="Times New Roman"/>
          <w:lang w:eastAsia="ja-JP"/>
        </w:rPr>
        <w:t>Impact study for EBU Signal (148.5 ~ 283.5 kHz)</w:t>
      </w:r>
      <w:bookmarkEnd w:id="48"/>
    </w:p>
    <w:p w:rsidR="005D267F" w:rsidRPr="005D267F" w:rsidRDefault="005D267F" w:rsidP="005D267F">
      <w:pPr>
        <w:tabs>
          <w:tab w:val="left" w:pos="1134"/>
          <w:tab w:val="left" w:pos="1871"/>
          <w:tab w:val="left" w:pos="2268"/>
        </w:tabs>
        <w:overflowPunct w:val="0"/>
        <w:adjustRightInd w:val="0"/>
        <w:spacing w:before="120"/>
        <w:textAlignment w:val="baseline"/>
        <w:rPr>
          <w:rFonts w:eastAsia="SimSun"/>
          <w:lang w:eastAsia="ja-JP"/>
        </w:rPr>
      </w:pPr>
      <w:r w:rsidRPr="005D267F">
        <w:rPr>
          <w:rFonts w:eastAsia="SimSun"/>
          <w:lang w:eastAsia="ja-JP"/>
        </w:rPr>
        <w:tab/>
        <w:t>Since ITU-R SG1 WP1A meeting (WG1A-2, Document 1A/53-EBU) in 2015, European Broadcasting Union (EBU) insisted that European countries are using the broadcasting radio signal for special emergency. The LF frequency range is 148.5 kHz ~ 283.5 kHz.</w:t>
      </w:r>
    </w:p>
    <w:p w:rsidR="005D267F" w:rsidRPr="005D267F" w:rsidRDefault="005D267F" w:rsidP="005D267F">
      <w:pPr>
        <w:tabs>
          <w:tab w:val="left" w:pos="1134"/>
          <w:tab w:val="left" w:pos="1871"/>
          <w:tab w:val="left" w:pos="2268"/>
        </w:tabs>
        <w:overflowPunct w:val="0"/>
        <w:adjustRightInd w:val="0"/>
        <w:spacing w:before="120"/>
        <w:textAlignment w:val="baseline"/>
        <w:rPr>
          <w:rFonts w:eastAsia="SimSun"/>
          <w:lang w:eastAsia="ja-JP"/>
        </w:rPr>
      </w:pPr>
      <w:r w:rsidRPr="005D267F">
        <w:rPr>
          <w:rFonts w:eastAsia="SimSun"/>
          <w:lang w:eastAsia="ja-JP"/>
        </w:rPr>
        <w:tab/>
        <w:t>Therefore, EBU proposed that it needs to take an impact study or harmonizing interference study for WPT EV frequency band not only 20/60 kHz but also 85 kHz.</w:t>
      </w:r>
    </w:p>
    <w:p w:rsidR="005D267F" w:rsidRPr="005D267F" w:rsidRDefault="005D267F" w:rsidP="005D267F">
      <w:pPr>
        <w:tabs>
          <w:tab w:val="left" w:pos="1134"/>
          <w:tab w:val="left" w:pos="1871"/>
          <w:tab w:val="left" w:pos="2268"/>
        </w:tabs>
        <w:overflowPunct w:val="0"/>
        <w:adjustRightInd w:val="0"/>
        <w:spacing w:before="120"/>
        <w:textAlignment w:val="baseline"/>
        <w:rPr>
          <w:rFonts w:eastAsia="SimSun"/>
          <w:lang w:eastAsia="ja-JP"/>
        </w:rPr>
      </w:pPr>
      <w:r w:rsidRPr="005D267F">
        <w:rPr>
          <w:rFonts w:eastAsia="SimSun"/>
          <w:lang w:eastAsia="ja-JP"/>
        </w:rPr>
        <w:tab/>
        <w:t>Particularly, EBU recalled the concerns of Working Party 6A on the use of the LF bands for WPT in Region 1. Also, EBU noted the concerns expressed on frequency use for WPT in the LF bands by Working Party 7A. For detail, see Revision of Report ITU-R SM.2303-1, to be published as SM.2303-2.</w:t>
      </w:r>
    </w:p>
    <w:p w:rsidR="005D267F" w:rsidRPr="00F36548" w:rsidRDefault="005D267F" w:rsidP="005D267F">
      <w:pPr>
        <w:tabs>
          <w:tab w:val="left" w:pos="1134"/>
          <w:tab w:val="left" w:pos="1871"/>
          <w:tab w:val="left" w:pos="2268"/>
        </w:tabs>
        <w:overflowPunct w:val="0"/>
        <w:adjustRightInd w:val="0"/>
        <w:spacing w:before="120"/>
        <w:textAlignment w:val="baseline"/>
        <w:rPr>
          <w:rFonts w:eastAsia="MS Mincho"/>
          <w:lang w:eastAsia="ja-JP"/>
        </w:rPr>
      </w:pPr>
      <w:r>
        <w:rPr>
          <w:rFonts w:eastAsia="MS Mincho"/>
          <w:lang w:eastAsia="ja-JP"/>
        </w:rPr>
        <w:tab/>
      </w:r>
      <w:r w:rsidRPr="00F36548">
        <w:rPr>
          <w:rFonts w:eastAsia="MS Mincho"/>
          <w:lang w:eastAsia="ja-JP"/>
        </w:rPr>
        <w:t xml:space="preserve">According to the liaison letter of ITU-R WP6A in 4th August 2015, the maximum acceptable interference level from receiver is summarized in Table </w:t>
      </w:r>
      <w:r>
        <w:rPr>
          <w:rFonts w:eastAsia="MS Mincho"/>
          <w:lang w:eastAsia="ja-JP"/>
        </w:rPr>
        <w:t>6.2</w:t>
      </w:r>
      <w:r w:rsidRPr="00F36548">
        <w:rPr>
          <w:rFonts w:eastAsia="MS Mincho"/>
          <w:lang w:eastAsia="ja-JP"/>
        </w:rPr>
        <w:t>.</w:t>
      </w:r>
    </w:p>
    <w:p w:rsidR="005D267F" w:rsidRPr="00F36548" w:rsidRDefault="005D267F" w:rsidP="005D267F">
      <w:pPr>
        <w:pStyle w:val="enumlev1"/>
      </w:pPr>
    </w:p>
    <w:p w:rsidR="005D267F" w:rsidRPr="00F36548" w:rsidRDefault="005D267F" w:rsidP="005D267F">
      <w:pPr>
        <w:pStyle w:val="enumlev1"/>
        <w:jc w:val="center"/>
      </w:pPr>
      <w:r w:rsidRPr="00F36548">
        <w:t xml:space="preserve">TABLE </w:t>
      </w:r>
      <w:r>
        <w:t>6.2</w:t>
      </w:r>
    </w:p>
    <w:p w:rsidR="005D267F" w:rsidRPr="00F36548" w:rsidRDefault="005D267F" w:rsidP="005D267F">
      <w:pPr>
        <w:pStyle w:val="enumlev1"/>
        <w:jc w:val="center"/>
      </w:pPr>
      <w:r w:rsidRPr="00F36548">
        <w:t>The limitation level of Receiver at LF and MF</w:t>
      </w:r>
    </w:p>
    <w:p w:rsidR="005D267F" w:rsidRPr="00F36548" w:rsidRDefault="00105ECB" w:rsidP="005D267F">
      <w:pPr>
        <w:pStyle w:val="enumlev1"/>
        <w:jc w:val="center"/>
      </w:pPr>
      <w:r w:rsidRPr="00D573DB">
        <w:rPr>
          <w:noProof/>
        </w:rPr>
        <w:drawing>
          <wp:inline distT="0" distB="0" distL="0" distR="0">
            <wp:extent cx="4740910" cy="2025015"/>
            <wp:effectExtent l="0" t="0" r="0" b="0"/>
            <wp:docPr id="58" name="그림 %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0910" cy="2025015"/>
                    </a:xfrm>
                    <a:prstGeom prst="rect">
                      <a:avLst/>
                    </a:prstGeom>
                    <a:noFill/>
                    <a:ln>
                      <a:noFill/>
                    </a:ln>
                  </pic:spPr>
                </pic:pic>
              </a:graphicData>
            </a:graphic>
          </wp:inline>
        </w:drawing>
      </w:r>
    </w:p>
    <w:p w:rsidR="005D267F" w:rsidRPr="00F36548" w:rsidRDefault="005D267F" w:rsidP="005D267F">
      <w:pPr>
        <w:pStyle w:val="enumlev1"/>
      </w:pPr>
    </w:p>
    <w:p w:rsidR="005D267F" w:rsidRPr="00F36548" w:rsidRDefault="005D267F" w:rsidP="005D267F">
      <w:pPr>
        <w:pStyle w:val="enumlev1"/>
      </w:pPr>
      <w:r>
        <w:tab/>
      </w:r>
      <w:r w:rsidRPr="00F36548">
        <w:t xml:space="preserve">Test results are summarized in Figure </w:t>
      </w:r>
      <w:r>
        <w:t>6.</w:t>
      </w:r>
      <w:r w:rsidRPr="00F36548">
        <w:t>7.</w:t>
      </w:r>
    </w:p>
    <w:p w:rsidR="005D267F" w:rsidRDefault="005D267F" w:rsidP="005D267F">
      <w:pPr>
        <w:rPr>
          <w:rFonts w:eastAsia="Batang"/>
          <w:lang w:val="en-GB"/>
        </w:rPr>
      </w:pPr>
      <w:r>
        <w:br w:type="page"/>
      </w:r>
    </w:p>
    <w:p w:rsidR="005D267F" w:rsidRPr="00F36548" w:rsidRDefault="005D267F" w:rsidP="005D267F">
      <w:pPr>
        <w:pStyle w:val="enumlev1"/>
        <w:jc w:val="center"/>
      </w:pPr>
      <w:r w:rsidRPr="00F36548">
        <w:lastRenderedPageBreak/>
        <w:t xml:space="preserve">FIGURE </w:t>
      </w:r>
      <w:r>
        <w:t>6.</w:t>
      </w:r>
      <w:r w:rsidRPr="00F36548">
        <w:t>7</w:t>
      </w:r>
      <w:r>
        <w:t xml:space="preserve"> </w:t>
      </w:r>
      <w:r w:rsidRPr="00F36548">
        <w:t>Test results</w:t>
      </w:r>
    </w:p>
    <w:p w:rsidR="005D267F" w:rsidRPr="00F36548" w:rsidRDefault="005D267F" w:rsidP="005D267F">
      <w:pPr>
        <w:pStyle w:val="enumlev1"/>
        <w:widowControl w:val="0"/>
        <w:numPr>
          <w:ilvl w:val="0"/>
          <w:numId w:val="86"/>
        </w:numPr>
        <w:pBdr>
          <w:top w:val="none" w:sz="2" w:space="1" w:color="000000"/>
          <w:left w:val="none" w:sz="2" w:space="4" w:color="000000"/>
          <w:bottom w:val="none" w:sz="2" w:space="1" w:color="000000"/>
          <w:right w:val="none" w:sz="2" w:space="4" w:color="000000"/>
        </w:pBdr>
        <w:tabs>
          <w:tab w:val="clear" w:pos="794"/>
          <w:tab w:val="clear" w:pos="1191"/>
          <w:tab w:val="clear" w:pos="1588"/>
          <w:tab w:val="clear" w:pos="1985"/>
          <w:tab w:val="left" w:pos="2608"/>
          <w:tab w:val="left" w:pos="3345"/>
        </w:tabs>
        <w:overflowPunct/>
        <w:adjustRightInd/>
        <w:ind w:left="1134" w:hanging="1134"/>
      </w:pPr>
      <w:r w:rsidRPr="00F36548">
        <w:t>Under ambient condition</w:t>
      </w:r>
    </w:p>
    <w:tbl>
      <w:tblPr>
        <w:tblOverlap w:val="never"/>
        <w:tblW w:w="9417" w:type="dxa"/>
        <w:tblInd w:w="102"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4948"/>
        <w:gridCol w:w="4469"/>
      </w:tblGrid>
      <w:tr w:rsidR="005D267F" w:rsidRPr="00F36548" w:rsidTr="00AE25FA">
        <w:trPr>
          <w:trHeight w:val="56"/>
        </w:trPr>
        <w:tc>
          <w:tcPr>
            <w:tcW w:w="4948"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jc w:val="center"/>
            </w:pPr>
            <w:r w:rsidRPr="00F36548">
              <w:t>130 kHz to 300 kHz @ 10 m (Ambient)</w:t>
            </w:r>
          </w:p>
        </w:tc>
        <w:tc>
          <w:tcPr>
            <w:tcW w:w="4469"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jc w:val="center"/>
            </w:pPr>
            <w:r w:rsidRPr="00F36548">
              <w:t>130 kHz to 300 kHz @ 30 m (Ambient)</w:t>
            </w:r>
          </w:p>
        </w:tc>
      </w:tr>
      <w:tr w:rsidR="005D267F" w:rsidRPr="00F36548" w:rsidTr="00AE25FA">
        <w:trPr>
          <w:trHeight w:val="56"/>
        </w:trPr>
        <w:tc>
          <w:tcPr>
            <w:tcW w:w="4948"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jc w:val="center"/>
            </w:pPr>
            <w:r w:rsidRPr="00D573DB">
              <w:rPr>
                <w:noProof/>
              </w:rPr>
              <w:drawing>
                <wp:inline distT="0" distB="0" distL="0" distR="0">
                  <wp:extent cx="3086100" cy="2068195"/>
                  <wp:effectExtent l="0" t="0" r="0" b="0"/>
                  <wp:docPr id="57" name="그림 %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2068195"/>
                          </a:xfrm>
                          <a:prstGeom prst="rect">
                            <a:avLst/>
                          </a:prstGeom>
                          <a:noFill/>
                          <a:ln>
                            <a:noFill/>
                          </a:ln>
                        </pic:spPr>
                      </pic:pic>
                    </a:graphicData>
                  </a:graphic>
                </wp:inline>
              </w:drawing>
            </w:r>
          </w:p>
          <w:p w:rsidR="005D267F" w:rsidRPr="00F36548" w:rsidRDefault="005D267F" w:rsidP="00AE25FA">
            <w:pPr>
              <w:pStyle w:val="enumlev1"/>
              <w:jc w:val="center"/>
            </w:pPr>
            <w:r w:rsidRPr="00F36548">
              <w:t xml:space="preserve">Peak: -9.58 </w:t>
            </w:r>
            <w:hyperlink r:id="rId26" w:history="1">
              <w:r w:rsidRPr="00F36548">
                <w:rPr>
                  <w:rStyle w:val="Hyperlink"/>
                </w:rPr>
                <w:t>dB</w:t>
              </w:r>
              <w:r w:rsidRPr="00F36548">
                <w:rPr>
                  <w:rStyle w:val="Hyperlink"/>
                </w:rPr>
                <w:t>㎂</w:t>
              </w:r>
              <w:r w:rsidRPr="00F36548">
                <w:rPr>
                  <w:rStyle w:val="Hyperlink"/>
                </w:rPr>
                <w:t>/m @ 184.4</w:t>
              </w:r>
            </w:hyperlink>
            <w:r w:rsidRPr="00F36548">
              <w:t xml:space="preserve"> kHz</w:t>
            </w:r>
          </w:p>
        </w:tc>
        <w:tc>
          <w:tcPr>
            <w:tcW w:w="4469"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jc w:val="center"/>
            </w:pPr>
            <w:r w:rsidRPr="00D573DB">
              <w:rPr>
                <w:noProof/>
              </w:rPr>
              <w:drawing>
                <wp:inline distT="0" distB="0" distL="0" distR="0">
                  <wp:extent cx="2775585" cy="2025015"/>
                  <wp:effectExtent l="0" t="0" r="0" b="0"/>
                  <wp:docPr id="56" name="그림 %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5585" cy="2025015"/>
                          </a:xfrm>
                          <a:prstGeom prst="rect">
                            <a:avLst/>
                          </a:prstGeom>
                          <a:noFill/>
                          <a:ln>
                            <a:noFill/>
                          </a:ln>
                        </pic:spPr>
                      </pic:pic>
                    </a:graphicData>
                  </a:graphic>
                </wp:inline>
              </w:drawing>
            </w:r>
          </w:p>
          <w:p w:rsidR="005D267F" w:rsidRPr="00F36548" w:rsidRDefault="005D267F" w:rsidP="00AE25FA">
            <w:pPr>
              <w:pStyle w:val="enumlev1"/>
              <w:jc w:val="center"/>
            </w:pPr>
            <w:r w:rsidRPr="00F36548">
              <w:t xml:space="preserve">Peak: -15.23 </w:t>
            </w:r>
            <w:hyperlink r:id="rId28" w:history="1">
              <w:r w:rsidRPr="00F36548">
                <w:rPr>
                  <w:rStyle w:val="Hyperlink"/>
                </w:rPr>
                <w:t>dB</w:t>
              </w:r>
              <w:r w:rsidRPr="00F36548">
                <w:rPr>
                  <w:rStyle w:val="Hyperlink"/>
                </w:rPr>
                <w:t>㎂</w:t>
              </w:r>
              <w:r w:rsidRPr="00F36548">
                <w:rPr>
                  <w:rStyle w:val="Hyperlink"/>
                </w:rPr>
                <w:t>/m @ 151.5</w:t>
              </w:r>
            </w:hyperlink>
            <w:r w:rsidRPr="00F36548">
              <w:t xml:space="preserve"> kHz</w:t>
            </w:r>
          </w:p>
        </w:tc>
      </w:tr>
      <w:tr w:rsidR="005D267F" w:rsidRPr="00F36548" w:rsidTr="00AE25FA">
        <w:trPr>
          <w:trHeight w:val="56"/>
        </w:trPr>
        <w:tc>
          <w:tcPr>
            <w:tcW w:w="4948"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jc w:val="center"/>
            </w:pPr>
            <w:r w:rsidRPr="00F36548">
              <w:t>130 kHz to 300 kHz @ 50 m (Ambient)</w:t>
            </w:r>
          </w:p>
        </w:tc>
        <w:tc>
          <w:tcPr>
            <w:tcW w:w="4469"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jc w:val="center"/>
            </w:pPr>
            <w:r w:rsidRPr="00F36548">
              <w:t>130 kHz to 300 kHz @ 100 m (Ambient)</w:t>
            </w:r>
          </w:p>
        </w:tc>
      </w:tr>
      <w:tr w:rsidR="005D267F" w:rsidRPr="00F36548" w:rsidTr="00AE25FA">
        <w:trPr>
          <w:trHeight w:val="56"/>
        </w:trPr>
        <w:tc>
          <w:tcPr>
            <w:tcW w:w="4948"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jc w:val="center"/>
            </w:pPr>
            <w:r w:rsidRPr="00D573DB">
              <w:rPr>
                <w:noProof/>
              </w:rPr>
              <w:drawing>
                <wp:inline distT="0" distB="0" distL="0" distR="0">
                  <wp:extent cx="3080385" cy="2025015"/>
                  <wp:effectExtent l="0" t="0" r="0" b="0"/>
                  <wp:docPr id="55" name="그림 %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0385" cy="2025015"/>
                          </a:xfrm>
                          <a:prstGeom prst="rect">
                            <a:avLst/>
                          </a:prstGeom>
                          <a:noFill/>
                          <a:ln>
                            <a:noFill/>
                          </a:ln>
                        </pic:spPr>
                      </pic:pic>
                    </a:graphicData>
                  </a:graphic>
                </wp:inline>
              </w:drawing>
            </w:r>
          </w:p>
          <w:p w:rsidR="005D267F" w:rsidRPr="00F36548" w:rsidRDefault="005D267F" w:rsidP="00AE25FA">
            <w:pPr>
              <w:pStyle w:val="enumlev1"/>
              <w:jc w:val="center"/>
            </w:pPr>
            <w:r w:rsidRPr="00F36548">
              <w:t xml:space="preserve">Peak: 3.1 </w:t>
            </w:r>
            <w:hyperlink r:id="rId30" w:history="1">
              <w:r w:rsidRPr="00F36548">
                <w:rPr>
                  <w:rStyle w:val="Hyperlink"/>
                </w:rPr>
                <w:t>dB</w:t>
              </w:r>
              <w:r w:rsidRPr="00F36548">
                <w:rPr>
                  <w:rStyle w:val="Hyperlink"/>
                </w:rPr>
                <w:t>㎂</w:t>
              </w:r>
              <w:r w:rsidRPr="00F36548">
                <w:rPr>
                  <w:rStyle w:val="Hyperlink"/>
                </w:rPr>
                <w:t>/m @ 254.7</w:t>
              </w:r>
            </w:hyperlink>
            <w:r w:rsidRPr="00F36548">
              <w:t xml:space="preserve"> kHz</w:t>
            </w:r>
          </w:p>
        </w:tc>
        <w:tc>
          <w:tcPr>
            <w:tcW w:w="4469"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jc w:val="center"/>
            </w:pPr>
            <w:r w:rsidRPr="00D573DB">
              <w:rPr>
                <w:noProof/>
              </w:rPr>
              <w:drawing>
                <wp:inline distT="0" distB="0" distL="0" distR="0">
                  <wp:extent cx="2775585" cy="2025015"/>
                  <wp:effectExtent l="0" t="0" r="0" b="0"/>
                  <wp:docPr id="54" name="그림 %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5585" cy="2025015"/>
                          </a:xfrm>
                          <a:prstGeom prst="rect">
                            <a:avLst/>
                          </a:prstGeom>
                          <a:noFill/>
                          <a:ln>
                            <a:noFill/>
                          </a:ln>
                        </pic:spPr>
                      </pic:pic>
                    </a:graphicData>
                  </a:graphic>
                </wp:inline>
              </w:drawing>
            </w:r>
          </w:p>
          <w:p w:rsidR="005D267F" w:rsidRPr="00F36548" w:rsidRDefault="005D267F" w:rsidP="00AE25FA">
            <w:pPr>
              <w:pStyle w:val="enumlev1"/>
              <w:jc w:val="center"/>
            </w:pPr>
            <w:r w:rsidRPr="00F36548">
              <w:t xml:space="preserve">Peak: -12.48 </w:t>
            </w:r>
            <w:hyperlink r:id="rId32" w:history="1">
              <w:r w:rsidRPr="00F36548">
                <w:rPr>
                  <w:rStyle w:val="Hyperlink"/>
                </w:rPr>
                <w:t>dB</w:t>
              </w:r>
              <w:r w:rsidRPr="00F36548">
                <w:rPr>
                  <w:rStyle w:val="Hyperlink"/>
                </w:rPr>
                <w:t>㎂</w:t>
              </w:r>
              <w:r w:rsidRPr="00F36548">
                <w:rPr>
                  <w:rStyle w:val="Hyperlink"/>
                </w:rPr>
                <w:t>/m @ 156.</w:t>
              </w:r>
            </w:hyperlink>
            <w:r w:rsidRPr="00F36548">
              <w:t>6 kHz</w:t>
            </w:r>
          </w:p>
        </w:tc>
      </w:tr>
    </w:tbl>
    <w:p w:rsidR="005D267F" w:rsidRDefault="005D267F" w:rsidP="005D267F">
      <w:pPr>
        <w:pStyle w:val="enumlev1"/>
        <w:ind w:left="0" w:firstLine="0"/>
      </w:pPr>
    </w:p>
    <w:p w:rsidR="005D267F" w:rsidRDefault="005D267F" w:rsidP="005D267F">
      <w:pPr>
        <w:rPr>
          <w:rFonts w:eastAsia="Batang"/>
          <w:lang w:val="en-GB"/>
        </w:rPr>
      </w:pPr>
      <w:r>
        <w:br w:type="page"/>
      </w:r>
    </w:p>
    <w:p w:rsidR="005D267F" w:rsidRPr="00F36548" w:rsidRDefault="005D267F" w:rsidP="005D267F">
      <w:pPr>
        <w:pStyle w:val="enumlev1"/>
        <w:widowControl w:val="0"/>
        <w:numPr>
          <w:ilvl w:val="0"/>
          <w:numId w:val="86"/>
        </w:numPr>
        <w:pBdr>
          <w:top w:val="none" w:sz="2" w:space="1" w:color="000000"/>
          <w:left w:val="none" w:sz="2" w:space="4" w:color="000000"/>
          <w:bottom w:val="none" w:sz="2" w:space="1" w:color="000000"/>
          <w:right w:val="none" w:sz="2" w:space="4" w:color="000000"/>
        </w:pBdr>
        <w:tabs>
          <w:tab w:val="clear" w:pos="794"/>
          <w:tab w:val="clear" w:pos="1191"/>
          <w:tab w:val="clear" w:pos="1588"/>
          <w:tab w:val="clear" w:pos="1985"/>
          <w:tab w:val="left" w:pos="2608"/>
          <w:tab w:val="left" w:pos="3345"/>
        </w:tabs>
        <w:overflowPunct/>
        <w:adjustRightInd/>
        <w:ind w:left="1134" w:hanging="1134"/>
      </w:pPr>
      <w:r w:rsidRPr="00F36548">
        <w:lastRenderedPageBreak/>
        <w:t>Under charging condition</w:t>
      </w:r>
    </w:p>
    <w:tbl>
      <w:tblPr>
        <w:tblOverlap w:val="never"/>
        <w:tblW w:w="9521" w:type="dxa"/>
        <w:tblInd w:w="102"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4894"/>
        <w:gridCol w:w="4627"/>
      </w:tblGrid>
      <w:tr w:rsidR="005D267F" w:rsidRPr="00F36548" w:rsidTr="00AE25FA">
        <w:trPr>
          <w:trHeight w:val="56"/>
        </w:trPr>
        <w:tc>
          <w:tcPr>
            <w:tcW w:w="4894"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pPr>
            <w:r w:rsidRPr="00F36548">
              <w:t>130 kHz to 300 kHz @ 10 m (Charging)</w:t>
            </w:r>
          </w:p>
        </w:tc>
        <w:tc>
          <w:tcPr>
            <w:tcW w:w="4627"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pPr>
            <w:r w:rsidRPr="00F36548">
              <w:t>130 kHz to 300 kHz @ 30 m (Charging)</w:t>
            </w:r>
          </w:p>
        </w:tc>
      </w:tr>
      <w:tr w:rsidR="005D267F" w:rsidRPr="00F36548" w:rsidTr="00AE25FA">
        <w:trPr>
          <w:trHeight w:val="56"/>
        </w:trPr>
        <w:tc>
          <w:tcPr>
            <w:tcW w:w="4894"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pPr>
            <w:r w:rsidRPr="00D573DB">
              <w:rPr>
                <w:noProof/>
              </w:rPr>
              <w:drawing>
                <wp:inline distT="0" distB="0" distL="0" distR="0">
                  <wp:extent cx="3113405" cy="2073910"/>
                  <wp:effectExtent l="0" t="0" r="0" b="0"/>
                  <wp:docPr id="53" name="그림 %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3405" cy="2073910"/>
                          </a:xfrm>
                          <a:prstGeom prst="rect">
                            <a:avLst/>
                          </a:prstGeom>
                          <a:noFill/>
                          <a:ln>
                            <a:noFill/>
                          </a:ln>
                        </pic:spPr>
                      </pic:pic>
                    </a:graphicData>
                  </a:graphic>
                </wp:inline>
              </w:drawing>
            </w:r>
          </w:p>
          <w:p w:rsidR="005D267F" w:rsidRPr="00F36548" w:rsidRDefault="005D267F" w:rsidP="00AE25FA">
            <w:pPr>
              <w:pStyle w:val="enumlev1"/>
            </w:pPr>
            <w:r w:rsidRPr="00F36548">
              <w:t xml:space="preserve">Peak: 41.78 </w:t>
            </w:r>
            <w:hyperlink r:id="rId34" w:history="1">
              <w:r w:rsidRPr="00F36548">
                <w:rPr>
                  <w:rStyle w:val="Hyperlink"/>
                </w:rPr>
                <w:t>dB</w:t>
              </w:r>
              <w:r w:rsidRPr="00F36548">
                <w:rPr>
                  <w:rStyle w:val="Hyperlink"/>
                </w:rPr>
                <w:t>㎂</w:t>
              </w:r>
              <w:r w:rsidRPr="00F36548">
                <w:rPr>
                  <w:rStyle w:val="Hyperlink"/>
                </w:rPr>
                <w:t xml:space="preserve">/m @ </w:t>
              </w:r>
            </w:hyperlink>
            <w:r w:rsidRPr="00F36548">
              <w:t>179.9 kHz</w:t>
            </w:r>
          </w:p>
        </w:tc>
        <w:tc>
          <w:tcPr>
            <w:tcW w:w="4627"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pPr>
            <w:r w:rsidRPr="00D573DB">
              <w:rPr>
                <w:noProof/>
              </w:rPr>
              <w:drawing>
                <wp:inline distT="0" distB="0" distL="0" distR="0">
                  <wp:extent cx="2912110" cy="2101215"/>
                  <wp:effectExtent l="0" t="0" r="0" b="0"/>
                  <wp:docPr id="52" name="그림 %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2110" cy="2101215"/>
                          </a:xfrm>
                          <a:prstGeom prst="rect">
                            <a:avLst/>
                          </a:prstGeom>
                          <a:noFill/>
                          <a:ln>
                            <a:noFill/>
                          </a:ln>
                        </pic:spPr>
                      </pic:pic>
                    </a:graphicData>
                  </a:graphic>
                </wp:inline>
              </w:drawing>
            </w:r>
          </w:p>
          <w:p w:rsidR="005D267F" w:rsidRPr="00F36548" w:rsidRDefault="005D267F" w:rsidP="00AE25FA">
            <w:pPr>
              <w:pStyle w:val="enumlev1"/>
            </w:pPr>
            <w:r w:rsidRPr="00F36548">
              <w:t xml:space="preserve">Peak: 24.77 </w:t>
            </w:r>
            <w:hyperlink r:id="rId36" w:history="1">
              <w:r w:rsidRPr="00F36548">
                <w:rPr>
                  <w:rStyle w:val="Hyperlink"/>
                </w:rPr>
                <w:t>dB</w:t>
              </w:r>
              <w:r w:rsidRPr="00F36548">
                <w:rPr>
                  <w:rStyle w:val="Hyperlink"/>
                </w:rPr>
                <w:t>㎂</w:t>
              </w:r>
              <w:r w:rsidRPr="00F36548">
                <w:rPr>
                  <w:rStyle w:val="Hyperlink"/>
                </w:rPr>
                <w:t xml:space="preserve">/m @ </w:t>
              </w:r>
            </w:hyperlink>
            <w:r w:rsidRPr="00F36548">
              <w:t>260.1 kHz</w:t>
            </w:r>
          </w:p>
        </w:tc>
      </w:tr>
      <w:tr w:rsidR="005D267F" w:rsidRPr="00F36548" w:rsidTr="00AE25FA">
        <w:trPr>
          <w:trHeight w:val="56"/>
        </w:trPr>
        <w:tc>
          <w:tcPr>
            <w:tcW w:w="4894"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pPr>
            <w:r w:rsidRPr="00F36548">
              <w:t>130 kHz to 300 kHz @ 50 m (Charging)</w:t>
            </w:r>
          </w:p>
        </w:tc>
        <w:tc>
          <w:tcPr>
            <w:tcW w:w="4627"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pPr>
            <w:r w:rsidRPr="00F36548">
              <w:t>130 kHz to 300 kHz @ 100 m (Charging)</w:t>
            </w:r>
          </w:p>
        </w:tc>
      </w:tr>
      <w:tr w:rsidR="005D267F" w:rsidRPr="00F36548" w:rsidTr="00AE25FA">
        <w:trPr>
          <w:trHeight w:val="56"/>
        </w:trPr>
        <w:tc>
          <w:tcPr>
            <w:tcW w:w="4894"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pPr>
            <w:r w:rsidRPr="00D573DB">
              <w:rPr>
                <w:noProof/>
              </w:rPr>
              <w:drawing>
                <wp:inline distT="0" distB="0" distL="0" distR="0">
                  <wp:extent cx="3102610" cy="2324100"/>
                  <wp:effectExtent l="0" t="0" r="0" b="0"/>
                  <wp:docPr id="51" name="그림 %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2610" cy="2324100"/>
                          </a:xfrm>
                          <a:prstGeom prst="rect">
                            <a:avLst/>
                          </a:prstGeom>
                          <a:noFill/>
                          <a:ln>
                            <a:noFill/>
                          </a:ln>
                        </pic:spPr>
                      </pic:pic>
                    </a:graphicData>
                  </a:graphic>
                </wp:inline>
              </w:drawing>
            </w:r>
          </w:p>
          <w:p w:rsidR="005D267F" w:rsidRPr="00F36548" w:rsidRDefault="005D267F" w:rsidP="00AE25FA">
            <w:pPr>
              <w:pStyle w:val="enumlev1"/>
            </w:pPr>
            <w:r w:rsidRPr="00F36548">
              <w:t xml:space="preserve">Peak: 9.63 </w:t>
            </w:r>
            <w:hyperlink r:id="rId38" w:history="1">
              <w:r w:rsidRPr="00F36548">
                <w:rPr>
                  <w:rStyle w:val="Hyperlink"/>
                </w:rPr>
                <w:t>dB</w:t>
              </w:r>
              <w:r w:rsidRPr="00F36548">
                <w:rPr>
                  <w:rStyle w:val="Hyperlink"/>
                </w:rPr>
                <w:t>㎂</w:t>
              </w:r>
              <w:r w:rsidRPr="00F36548">
                <w:rPr>
                  <w:rStyle w:val="Hyperlink"/>
                </w:rPr>
                <w:t xml:space="preserve">/m @ </w:t>
              </w:r>
            </w:hyperlink>
            <w:r w:rsidRPr="00F36548">
              <w:t>179.9 kHz</w:t>
            </w:r>
          </w:p>
        </w:tc>
        <w:tc>
          <w:tcPr>
            <w:tcW w:w="4627"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pPr>
            <w:r w:rsidRPr="00D573DB">
              <w:rPr>
                <w:noProof/>
              </w:rPr>
              <w:drawing>
                <wp:inline distT="0" distB="0" distL="0" distR="0">
                  <wp:extent cx="2944495" cy="2345690"/>
                  <wp:effectExtent l="0" t="0" r="0" b="0"/>
                  <wp:docPr id="50" name="그림 %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44495" cy="2345690"/>
                          </a:xfrm>
                          <a:prstGeom prst="rect">
                            <a:avLst/>
                          </a:prstGeom>
                          <a:noFill/>
                          <a:ln>
                            <a:noFill/>
                          </a:ln>
                        </pic:spPr>
                      </pic:pic>
                    </a:graphicData>
                  </a:graphic>
                </wp:inline>
              </w:drawing>
            </w:r>
          </w:p>
          <w:p w:rsidR="005D267F" w:rsidRPr="00F36548" w:rsidRDefault="005D267F" w:rsidP="00AE25FA">
            <w:pPr>
              <w:pStyle w:val="enumlev1"/>
            </w:pPr>
            <w:r w:rsidRPr="00F36548">
              <w:t xml:space="preserve">Peak: 12.51 </w:t>
            </w:r>
            <w:hyperlink r:id="rId40" w:history="1">
              <w:r w:rsidRPr="00F36548">
                <w:rPr>
                  <w:rStyle w:val="Hyperlink"/>
                </w:rPr>
                <w:t>dB</w:t>
              </w:r>
              <w:r w:rsidRPr="00F36548">
                <w:rPr>
                  <w:rStyle w:val="Hyperlink"/>
                </w:rPr>
                <w:t>㎂</w:t>
              </w:r>
              <w:r w:rsidRPr="00F36548">
                <w:rPr>
                  <w:rStyle w:val="Hyperlink"/>
                </w:rPr>
                <w:t xml:space="preserve">/m @ </w:t>
              </w:r>
            </w:hyperlink>
            <w:r w:rsidRPr="00F36548">
              <w:t>160.0 kHz</w:t>
            </w:r>
          </w:p>
        </w:tc>
      </w:tr>
    </w:tbl>
    <w:p w:rsidR="005D267F" w:rsidRDefault="005D267F" w:rsidP="005D267F">
      <w:pPr>
        <w:pStyle w:val="enumlev1"/>
      </w:pPr>
    </w:p>
    <w:p w:rsidR="005D267F" w:rsidRDefault="005D267F" w:rsidP="005D267F">
      <w:pPr>
        <w:rPr>
          <w:rFonts w:eastAsia="Batang"/>
          <w:lang w:val="en-GB"/>
        </w:rPr>
      </w:pPr>
      <w:r>
        <w:br w:type="page"/>
      </w:r>
    </w:p>
    <w:p w:rsidR="005D267F" w:rsidRPr="00F36548" w:rsidRDefault="005D267F" w:rsidP="005D267F">
      <w:pPr>
        <w:pStyle w:val="enumlev1"/>
        <w:widowControl w:val="0"/>
        <w:numPr>
          <w:ilvl w:val="0"/>
          <w:numId w:val="86"/>
        </w:numPr>
        <w:pBdr>
          <w:top w:val="none" w:sz="2" w:space="1" w:color="000000"/>
          <w:left w:val="none" w:sz="2" w:space="4" w:color="000000"/>
          <w:bottom w:val="none" w:sz="2" w:space="1" w:color="000000"/>
          <w:right w:val="none" w:sz="2" w:space="4" w:color="000000"/>
        </w:pBdr>
        <w:tabs>
          <w:tab w:val="clear" w:pos="794"/>
          <w:tab w:val="clear" w:pos="1191"/>
          <w:tab w:val="clear" w:pos="1588"/>
          <w:tab w:val="clear" w:pos="1985"/>
          <w:tab w:val="left" w:pos="2608"/>
          <w:tab w:val="left" w:pos="3345"/>
        </w:tabs>
        <w:overflowPunct/>
        <w:adjustRightInd/>
        <w:ind w:left="1134" w:hanging="1134"/>
      </w:pPr>
      <w:r w:rsidRPr="00F36548">
        <w:lastRenderedPageBreak/>
        <w:t>Without any antenna cable</w:t>
      </w:r>
    </w:p>
    <w:tbl>
      <w:tblPr>
        <w:tblOverlap w:val="never"/>
        <w:tblW w:w="9521" w:type="dxa"/>
        <w:tblInd w:w="102" w:type="dxa"/>
        <w:tblBorders>
          <w:top w:val="single" w:sz="3" w:space="0" w:color="0A0000"/>
          <w:left w:val="single" w:sz="3" w:space="0" w:color="0A0000"/>
          <w:bottom w:val="single" w:sz="3" w:space="0" w:color="0A0000"/>
          <w:right w:val="single" w:sz="3" w:space="0" w:color="0A0000"/>
        </w:tblBorders>
        <w:shd w:val="clear" w:color="000000" w:fill="FFFFFF"/>
        <w:tblLayout w:type="fixed"/>
        <w:tblCellMar>
          <w:top w:w="28" w:type="dxa"/>
          <w:left w:w="102" w:type="dxa"/>
          <w:bottom w:w="28" w:type="dxa"/>
          <w:right w:w="102" w:type="dxa"/>
        </w:tblCellMar>
        <w:tblLook w:val="0000" w:firstRow="0" w:lastRow="0" w:firstColumn="0" w:lastColumn="0" w:noHBand="0" w:noVBand="0"/>
      </w:tblPr>
      <w:tblGrid>
        <w:gridCol w:w="4947"/>
        <w:gridCol w:w="4574"/>
      </w:tblGrid>
      <w:tr w:rsidR="005D267F" w:rsidRPr="00F36548" w:rsidTr="00AE25FA">
        <w:trPr>
          <w:trHeight w:val="56"/>
        </w:trPr>
        <w:tc>
          <w:tcPr>
            <w:tcW w:w="4947"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pPr>
            <w:r w:rsidRPr="00F36548">
              <w:t>150 kHz to 300 kHz @ 10 m (without Ant’)</w:t>
            </w:r>
          </w:p>
        </w:tc>
        <w:tc>
          <w:tcPr>
            <w:tcW w:w="4574" w:type="dxa"/>
            <w:tcBorders>
              <w:top w:val="single" w:sz="3" w:space="0" w:color="0A0000"/>
              <w:left w:val="single" w:sz="3" w:space="0" w:color="0A0000"/>
              <w:bottom w:val="single" w:sz="3" w:space="0" w:color="0A0000"/>
              <w:right w:val="single" w:sz="3" w:space="0" w:color="0A0000"/>
            </w:tcBorders>
          </w:tcPr>
          <w:p w:rsidR="005D267F" w:rsidRPr="00F36548" w:rsidRDefault="005D267F" w:rsidP="00AE25FA">
            <w:pPr>
              <w:pStyle w:val="enumlev1"/>
            </w:pPr>
            <w:r w:rsidRPr="00F36548">
              <w:t>130 kHz to 300 kHz @ 100 m (without Ant’)</w:t>
            </w:r>
          </w:p>
        </w:tc>
      </w:tr>
      <w:tr w:rsidR="005D267F" w:rsidRPr="00F36548" w:rsidTr="00AE25FA">
        <w:trPr>
          <w:trHeight w:val="56"/>
        </w:trPr>
        <w:tc>
          <w:tcPr>
            <w:tcW w:w="4947"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pPr>
            <w:r w:rsidRPr="00D573DB">
              <w:rPr>
                <w:noProof/>
              </w:rPr>
              <w:drawing>
                <wp:inline distT="0" distB="0" distL="0" distR="0">
                  <wp:extent cx="3102610" cy="2078990"/>
                  <wp:effectExtent l="0" t="0" r="0" b="0"/>
                  <wp:docPr id="49" name="그림 %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2610" cy="2078990"/>
                          </a:xfrm>
                          <a:prstGeom prst="rect">
                            <a:avLst/>
                          </a:prstGeom>
                          <a:noFill/>
                          <a:ln>
                            <a:noFill/>
                          </a:ln>
                        </pic:spPr>
                      </pic:pic>
                    </a:graphicData>
                  </a:graphic>
                </wp:inline>
              </w:drawing>
            </w:r>
          </w:p>
          <w:p w:rsidR="005D267F" w:rsidRPr="00F36548" w:rsidRDefault="005D267F" w:rsidP="00AE25FA">
            <w:pPr>
              <w:pStyle w:val="enumlev1"/>
            </w:pPr>
            <w:r w:rsidRPr="00F36548">
              <w:t xml:space="preserve">Peak: -40.99 </w:t>
            </w:r>
            <w:hyperlink r:id="rId42" w:history="1">
              <w:r w:rsidRPr="00F36548">
                <w:rPr>
                  <w:rStyle w:val="Hyperlink"/>
                </w:rPr>
                <w:t>dB</w:t>
              </w:r>
              <w:r w:rsidRPr="00F36548">
                <w:rPr>
                  <w:rStyle w:val="Hyperlink"/>
                </w:rPr>
                <w:t>㎂</w:t>
              </w:r>
              <w:r w:rsidRPr="00F36548">
                <w:rPr>
                  <w:rStyle w:val="Hyperlink"/>
                </w:rPr>
                <w:t xml:space="preserve">/m @ </w:t>
              </w:r>
            </w:hyperlink>
            <w:r w:rsidRPr="00F36548">
              <w:t>170.8 kHz</w:t>
            </w:r>
          </w:p>
        </w:tc>
        <w:tc>
          <w:tcPr>
            <w:tcW w:w="4574" w:type="dxa"/>
            <w:tcBorders>
              <w:top w:val="single" w:sz="3" w:space="0" w:color="0A0000"/>
              <w:left w:val="single" w:sz="3" w:space="0" w:color="0A0000"/>
              <w:bottom w:val="single" w:sz="3" w:space="0" w:color="0A0000"/>
              <w:right w:val="single" w:sz="3" w:space="0" w:color="0A0000"/>
            </w:tcBorders>
          </w:tcPr>
          <w:p w:rsidR="005D267F" w:rsidRPr="00F36548" w:rsidRDefault="00105ECB" w:rsidP="00AE25FA">
            <w:pPr>
              <w:pStyle w:val="enumlev1"/>
            </w:pPr>
            <w:r w:rsidRPr="00D573DB">
              <w:rPr>
                <w:noProof/>
              </w:rPr>
              <w:drawing>
                <wp:inline distT="0" distB="0" distL="0" distR="0">
                  <wp:extent cx="2961005" cy="2150110"/>
                  <wp:effectExtent l="0" t="0" r="0" b="0"/>
                  <wp:docPr id="48" name="그림 %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d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1005" cy="2150110"/>
                          </a:xfrm>
                          <a:prstGeom prst="rect">
                            <a:avLst/>
                          </a:prstGeom>
                          <a:noFill/>
                          <a:ln>
                            <a:noFill/>
                          </a:ln>
                        </pic:spPr>
                      </pic:pic>
                    </a:graphicData>
                  </a:graphic>
                </wp:inline>
              </w:drawing>
            </w:r>
          </w:p>
          <w:p w:rsidR="005D267F" w:rsidRPr="00F36548" w:rsidRDefault="005D267F" w:rsidP="00AE25FA">
            <w:pPr>
              <w:pStyle w:val="enumlev1"/>
            </w:pPr>
            <w:r w:rsidRPr="00F36548">
              <w:t xml:space="preserve">Peak: -40.66 </w:t>
            </w:r>
            <w:hyperlink r:id="rId44" w:history="1">
              <w:r w:rsidRPr="00F36548">
                <w:rPr>
                  <w:rStyle w:val="Hyperlink"/>
                </w:rPr>
                <w:t>dB</w:t>
              </w:r>
              <w:r w:rsidRPr="00F36548">
                <w:rPr>
                  <w:rStyle w:val="Hyperlink"/>
                </w:rPr>
                <w:t>㎂</w:t>
              </w:r>
              <w:r w:rsidRPr="00F36548">
                <w:rPr>
                  <w:rStyle w:val="Hyperlink"/>
                </w:rPr>
                <w:t xml:space="preserve">/m @ </w:t>
              </w:r>
            </w:hyperlink>
            <w:r w:rsidRPr="00F36548">
              <w:t>154.93 kHz</w:t>
            </w:r>
          </w:p>
        </w:tc>
      </w:tr>
    </w:tbl>
    <w:p w:rsidR="005D267F" w:rsidRPr="00F36548" w:rsidRDefault="005D267F" w:rsidP="005D267F">
      <w:pPr>
        <w:pStyle w:val="enumlev1"/>
      </w:pPr>
    </w:p>
    <w:p w:rsidR="005D267F" w:rsidRDefault="005D267F" w:rsidP="005D267F">
      <w:pPr>
        <w:tabs>
          <w:tab w:val="left" w:pos="1134"/>
          <w:tab w:val="left" w:pos="1871"/>
          <w:tab w:val="left" w:pos="2268"/>
        </w:tabs>
        <w:overflowPunct w:val="0"/>
        <w:adjustRightInd w:val="0"/>
        <w:spacing w:beforeLines="50" w:before="120"/>
        <w:ind w:firstLineChars="295" w:firstLine="708"/>
        <w:textAlignment w:val="baseline"/>
        <w:rPr>
          <w:rFonts w:eastAsia="MS Mincho"/>
          <w:lang w:eastAsia="ja-JP"/>
        </w:rPr>
      </w:pPr>
      <w:r w:rsidRPr="00A13678">
        <w:rPr>
          <w:rFonts w:eastAsia="MS Mincho"/>
          <w:lang w:eastAsia="ja-JP"/>
        </w:rPr>
        <w:t xml:space="preserve">Under the ambient condition, there is no charging on the heavy-duty WPT EV because the maximum value is already more than 3.1 </w:t>
      </w:r>
      <w:hyperlink r:id="rId45" w:history="1">
        <w:r w:rsidRPr="00A13678">
          <w:rPr>
            <w:rFonts w:eastAsia="MS Mincho"/>
            <w:lang w:eastAsia="ja-JP"/>
          </w:rPr>
          <w:t>dBuA/m @ 254.7</w:t>
        </w:r>
      </w:hyperlink>
      <w:r w:rsidRPr="00A13678">
        <w:rPr>
          <w:rFonts w:eastAsia="MS Mincho"/>
          <w:lang w:eastAsia="ja-JP"/>
        </w:rPr>
        <w:t xml:space="preserve"> kHz at 50 m and the minimum value is -15.23 </w:t>
      </w:r>
      <w:hyperlink r:id="rId46" w:history="1">
        <w:r w:rsidRPr="00A13678">
          <w:rPr>
            <w:rFonts w:eastAsia="MS Mincho"/>
            <w:lang w:eastAsia="ja-JP"/>
          </w:rPr>
          <w:t>dBuA/m @ 151.5</w:t>
        </w:r>
      </w:hyperlink>
      <w:r w:rsidRPr="00A13678">
        <w:rPr>
          <w:rFonts w:eastAsia="MS Mincho"/>
          <w:lang w:eastAsia="ja-JP"/>
        </w:rPr>
        <w:t xml:space="preserve"> kHz at 30 m. It means that any value never meets the given limitation from EBU.</w:t>
      </w:r>
    </w:p>
    <w:p w:rsidR="005D267F" w:rsidRPr="00A13678" w:rsidRDefault="005D267F" w:rsidP="005D267F">
      <w:pPr>
        <w:tabs>
          <w:tab w:val="left" w:pos="1134"/>
          <w:tab w:val="left" w:pos="1871"/>
          <w:tab w:val="left" w:pos="2268"/>
        </w:tabs>
        <w:overflowPunct w:val="0"/>
        <w:adjustRightInd w:val="0"/>
        <w:spacing w:beforeLines="50" w:before="120"/>
        <w:ind w:firstLineChars="295" w:firstLine="708"/>
        <w:textAlignment w:val="baseline"/>
        <w:rPr>
          <w:rFonts w:eastAsia="MS Mincho"/>
          <w:lang w:eastAsia="ja-JP"/>
        </w:rPr>
      </w:pPr>
      <w:r w:rsidRPr="00A13678">
        <w:rPr>
          <w:rFonts w:eastAsia="MS Mincho"/>
          <w:lang w:eastAsia="ja-JP"/>
        </w:rPr>
        <w:t xml:space="preserve">As it on charging mode, the maximum value is 41.78 </w:t>
      </w:r>
      <w:hyperlink r:id="rId47" w:history="1">
        <w:r w:rsidRPr="00A13678">
          <w:rPr>
            <w:rFonts w:eastAsia="MS Mincho"/>
            <w:lang w:eastAsia="ja-JP"/>
          </w:rPr>
          <w:t xml:space="preserve">dBuA/m @ </w:t>
        </w:r>
      </w:hyperlink>
      <w:r w:rsidRPr="00A13678">
        <w:rPr>
          <w:rFonts w:eastAsia="MS Mincho"/>
          <w:lang w:eastAsia="ja-JP"/>
        </w:rPr>
        <w:t xml:space="preserve">179.9 kHz at 10 m and the minimum value is 9.63 </w:t>
      </w:r>
      <w:hyperlink r:id="rId48" w:history="1">
        <w:r w:rsidRPr="00A13678">
          <w:rPr>
            <w:rFonts w:eastAsia="MS Mincho"/>
            <w:lang w:eastAsia="ja-JP"/>
          </w:rPr>
          <w:t xml:space="preserve">dBuA/m @ </w:t>
        </w:r>
      </w:hyperlink>
      <w:r w:rsidRPr="00A13678">
        <w:rPr>
          <w:rFonts w:eastAsia="MS Mincho"/>
          <w:lang w:eastAsia="ja-JP"/>
        </w:rPr>
        <w:t>179.9 kHz at 50 m. Needless to say, it exceeds significantly the limitation more than 80 dB.</w:t>
      </w:r>
    </w:p>
    <w:p w:rsidR="005D267F" w:rsidRDefault="005D267F" w:rsidP="005D267F">
      <w:pPr>
        <w:spacing w:beforeLines="50" w:before="120"/>
        <w:ind w:firstLineChars="295" w:firstLine="708"/>
        <w:rPr>
          <w:rFonts w:eastAsia="MS Mincho"/>
          <w:lang w:eastAsia="ja-JP"/>
        </w:rPr>
      </w:pPr>
      <w:r>
        <w:rPr>
          <w:rFonts w:eastAsia="MS Mincho"/>
          <w:lang w:eastAsia="ja-JP"/>
        </w:rPr>
        <w:tab/>
      </w:r>
      <w:r w:rsidRPr="00A13678">
        <w:rPr>
          <w:rFonts w:eastAsia="MS Mincho"/>
          <w:lang w:eastAsia="ja-JP"/>
        </w:rPr>
        <w:t>Even without any antenna connection, the noise level from the test equipment (Agilent E4440A, High Accuracy Spectrum Analyzer) is higher than the given limitation.</w:t>
      </w:r>
    </w:p>
    <w:p w:rsidR="005D267F" w:rsidRDefault="005D267F" w:rsidP="005D267F">
      <w:pPr>
        <w:spacing w:beforeLines="50" w:before="120"/>
        <w:ind w:firstLine="295"/>
      </w:pPr>
      <w:r>
        <w:rPr>
          <w:lang w:eastAsia="ja-JP"/>
        </w:rPr>
        <w:t xml:space="preserve">Test results did not </w:t>
      </w:r>
      <w:r w:rsidRPr="00A13678">
        <w:rPr>
          <w:lang w:eastAsia="ja-JP"/>
        </w:rPr>
        <w:t xml:space="preserve">meet the given EBU limitation under any circumstance regardless of </w:t>
      </w:r>
      <w:r>
        <w:rPr>
          <w:lang w:eastAsia="ja-JP"/>
        </w:rPr>
        <w:t xml:space="preserve">the given </w:t>
      </w:r>
      <w:r w:rsidRPr="00A13678">
        <w:rPr>
          <w:lang w:eastAsia="ja-JP"/>
        </w:rPr>
        <w:t>WPT charging condition</w:t>
      </w:r>
      <w:r>
        <w:rPr>
          <w:lang w:eastAsia="ja-JP"/>
        </w:rPr>
        <w:t>s and environments</w:t>
      </w:r>
      <w:r w:rsidRPr="00A13678">
        <w:rPr>
          <w:lang w:eastAsia="ja-JP"/>
        </w:rPr>
        <w:t>.</w:t>
      </w:r>
      <w:r>
        <w:rPr>
          <w:lang w:eastAsia="ja-JP"/>
        </w:rPr>
        <w:t xml:space="preserve"> </w:t>
      </w:r>
    </w:p>
    <w:p w:rsidR="005D267F" w:rsidRPr="003D65A7" w:rsidRDefault="005D267F" w:rsidP="005D267F">
      <w:pPr>
        <w:rPr>
          <w:b/>
        </w:rPr>
      </w:pPr>
    </w:p>
    <w:p w:rsidR="005D267F" w:rsidRPr="00E734B8" w:rsidRDefault="005D267F" w:rsidP="005D267F">
      <w:pPr>
        <w:pStyle w:val="Heading1"/>
        <w:jc w:val="left"/>
      </w:pPr>
      <w:bookmarkStart w:id="49" w:name="_Toc494297318"/>
      <w:r w:rsidRPr="00E734B8">
        <w:t>7. Summary</w:t>
      </w:r>
      <w:bookmarkEnd w:id="49"/>
    </w:p>
    <w:p w:rsidR="005D267F" w:rsidRPr="003D65A7" w:rsidRDefault="005D267F" w:rsidP="005D267F">
      <w:pPr>
        <w:spacing w:beforeLines="50" w:before="120" w:afterLines="50" w:after="120"/>
        <w:ind w:firstLine="720"/>
        <w:jc w:val="both"/>
      </w:pPr>
      <w:r w:rsidRPr="00010E0B">
        <w:t xml:space="preserve">In China, </w:t>
      </w:r>
      <w:r>
        <w:t xml:space="preserve">studies and </w:t>
      </w:r>
      <w:r w:rsidRPr="00010E0B">
        <w:t xml:space="preserve">regulatory standards </w:t>
      </w:r>
      <w:r>
        <w:t xml:space="preserve">developments for WPT for EVs </w:t>
      </w:r>
      <w:r w:rsidRPr="00010E0B">
        <w:t xml:space="preserve">are </w:t>
      </w:r>
      <w:r>
        <w:t xml:space="preserve">in progress </w:t>
      </w:r>
      <w:r w:rsidRPr="00010E0B">
        <w:t>in local municipal bureaus, industrial groups, and WPT-related national committees.</w:t>
      </w:r>
      <w:r>
        <w:t xml:space="preserve"> China Communications Standards Association (CCSA) initiated a study item on WRC-19 Agenda Item 9.1, Issue 9.1.6. CCSA is exchanging information regularly with China Electricity Council (CEC) and National Technical Committee of Auto Standardization for survey of EV WPT system working frequency. CEC agreed on frequency ranges selection 79/81.38-90 kHz. CCSA is carrying out sharing and compatibility studies of WPT systems operating in 79-90kHz band with incumbent radiocommunication systems.</w:t>
      </w:r>
    </w:p>
    <w:p w:rsidR="005D267F" w:rsidRPr="003D65A7" w:rsidRDefault="005D267F" w:rsidP="005D267F">
      <w:pPr>
        <w:spacing w:beforeLines="50" w:before="120" w:afterLines="50" w:after="120"/>
        <w:ind w:firstLine="720"/>
        <w:jc w:val="both"/>
      </w:pPr>
      <w:r w:rsidRPr="003D65A7">
        <w:t xml:space="preserve">Japan issued new rules (technical conditions) on WPT for passenger electric vehicles which specifies regulatory requirements regarding frequency range, emission limits, and related requirements such as specifications for type-approvals for WPT system operation in March 2016. 79-90 kHz has been </w:t>
      </w:r>
      <w:r>
        <w:t>designat</w:t>
      </w:r>
      <w:r w:rsidRPr="003D65A7">
        <w:t xml:space="preserve">ed for WPT for EVs with other necessary requirements. In order to make acceptable rules not to cause harmful interference to incumbent radiocommunication services, Japan performed </w:t>
      </w:r>
      <w:r w:rsidRPr="003D65A7">
        <w:rPr>
          <w:rFonts w:eastAsia="MS Mincho"/>
          <w:lang w:eastAsia="ja-JP"/>
        </w:rPr>
        <w:t xml:space="preserve">a </w:t>
      </w:r>
      <w:r w:rsidRPr="003D65A7">
        <w:t>broad range of studies on WPT frequency selection and the impact of WPT to the incumbent radiocommunication services. Those study results are introduced in this APT Report and also have been shared with external organizations including ITU-R SG1 WP 1A, WP 1B, and CISPR/B AHG4. Japan is a country advocating global harmonization of WPT specifications for EVs.</w:t>
      </w:r>
    </w:p>
    <w:p w:rsidR="005D267F" w:rsidRDefault="005D267F" w:rsidP="005D267F">
      <w:pPr>
        <w:spacing w:beforeLines="50" w:before="120" w:afterLines="50" w:after="120"/>
        <w:jc w:val="both"/>
      </w:pPr>
      <w:r>
        <w:lastRenderedPageBreak/>
        <w:tab/>
      </w:r>
      <w:r w:rsidRPr="003D65A7">
        <w:t xml:space="preserve">Korea </w:t>
      </w:r>
      <w:r>
        <w:t xml:space="preserve">provided Heavy Duty EVs (OLEV) technology and its requirements. 19-21 kHz and 59-61 kHz have already been designated for this technology in Korea. Impact study results to standard frequency and time signal are introduced. The results and measurement methodologies have also been introduced </w:t>
      </w:r>
      <w:r w:rsidRPr="002D14D0">
        <w:t>in IEC TC69, CISPR/B/AHG4, ETSI 330 300, and ITU-R SG1</w:t>
      </w:r>
      <w:r>
        <w:t xml:space="preserve"> </w:t>
      </w:r>
      <w:r w:rsidRPr="003D65A7">
        <w:t>WP 1A, WP 1B</w:t>
      </w:r>
      <w:r w:rsidRPr="002D14D0">
        <w:t>.</w:t>
      </w:r>
    </w:p>
    <w:p w:rsidR="005D267F" w:rsidRDefault="005D267F" w:rsidP="005D267F">
      <w:pPr>
        <w:spacing w:beforeLines="50" w:before="120" w:afterLines="50" w:after="120"/>
        <w:jc w:val="both"/>
      </w:pPr>
      <w:r>
        <w:tab/>
      </w:r>
      <w:r w:rsidRPr="00A13678">
        <w:t xml:space="preserve">Finally, the Task Group points out the fact only </w:t>
      </w:r>
      <w:r>
        <w:t>three</w:t>
      </w:r>
      <w:r w:rsidRPr="00A13678">
        <w:t xml:space="preserve"> countries could provide specific information. That means that the WPT technology </w:t>
      </w:r>
      <w:r>
        <w:t xml:space="preserve">for EVs </w:t>
      </w:r>
      <w:r w:rsidRPr="00A13678">
        <w:t xml:space="preserve">is in the early stage of </w:t>
      </w:r>
      <w:r>
        <w:t xml:space="preserve">study for many radio administrators </w:t>
      </w:r>
      <w:r w:rsidRPr="00A13678">
        <w:t xml:space="preserve">in the APT countries. </w:t>
      </w:r>
      <w:r>
        <w:t>T</w:t>
      </w:r>
      <w:r w:rsidRPr="00A13678">
        <w:t xml:space="preserve">hey may refer to this Report </w:t>
      </w:r>
      <w:r>
        <w:t>to leverage studies. WPT technology is a developing technology. This Report is going to be updated with the latest information to be provided by more number of APT countries.</w:t>
      </w:r>
    </w:p>
    <w:p w:rsidR="005D267F" w:rsidRPr="003D65A7" w:rsidRDefault="005D267F" w:rsidP="005D267F">
      <w:pPr>
        <w:jc w:val="both"/>
      </w:pPr>
      <w:r w:rsidRPr="00A13678" w:rsidDel="009E0D00">
        <w:t xml:space="preserve"> </w:t>
      </w:r>
    </w:p>
    <w:p w:rsidR="005D267F" w:rsidRPr="003D65A7" w:rsidRDefault="005D267F" w:rsidP="005D267F">
      <w:pPr>
        <w:jc w:val="center"/>
        <w:rPr>
          <w:snapToGrid w:val="0"/>
        </w:rPr>
      </w:pPr>
      <w:r w:rsidRPr="003D65A7">
        <w:t>____________</w:t>
      </w:r>
    </w:p>
    <w:p w:rsidR="005D267F" w:rsidRPr="003D65A7" w:rsidRDefault="005D267F" w:rsidP="005D267F">
      <w:pPr>
        <w:rPr>
          <w:rFonts w:eastAsia="MS Mincho"/>
          <w:lang w:eastAsia="ja-JP"/>
        </w:rPr>
      </w:pPr>
    </w:p>
    <w:p w:rsidR="005D267F" w:rsidRDefault="005D267F" w:rsidP="00077288">
      <w:pPr>
        <w:tabs>
          <w:tab w:val="center" w:pos="4658"/>
        </w:tabs>
        <w:jc w:val="both"/>
        <w:rPr>
          <w:b/>
          <w:lang w:eastAsia="ko-KR"/>
        </w:rPr>
      </w:pPr>
    </w:p>
    <w:sectPr w:rsidR="005D267F" w:rsidSect="00077288">
      <w:headerReference w:type="default" r:id="rId49"/>
      <w:footerReference w:type="even" r:id="rId50"/>
      <w:footerReference w:type="default" r:id="rId51"/>
      <w:pgSz w:w="11909" w:h="16834"/>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B40" w:rsidRDefault="00036B40">
      <w:r>
        <w:separator/>
      </w:r>
    </w:p>
  </w:endnote>
  <w:endnote w:type="continuationSeparator" w:id="0">
    <w:p w:rsidR="00036B40" w:rsidRDefault="00036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Che">
    <w:altName w:val="Arial Unicode MS"/>
    <w:panose1 w:val="02030609000101010101"/>
    <w:charset w:val="81"/>
    <w:family w:val="roman"/>
    <w:pitch w:val="fixed"/>
    <w:sig w:usb0="B00002AF" w:usb1="69D77CFB" w:usb2="00000030" w:usb3="00000000" w:csb0="0008009F" w:csb1="00000000"/>
  </w:font>
  <w:font w:name="Batang">
    <w:altName w:val="Arial Unicode MS"/>
    <w:panose1 w:val="02030600000101010101"/>
    <w:charset w:val="81"/>
    <w:family w:val="auto"/>
    <w:notTrueType/>
    <w:pitch w:val="fixed"/>
    <w:sig w:usb0="00000000" w:usb1="09060000" w:usb2="00000010" w:usb3="00000000" w:csb0="00080000" w:csb1="00000000"/>
  </w:font>
  <w:font w:name="한컴바탕">
    <w:altName w:val="Arial Unicode MS"/>
    <w:charset w:val="81"/>
    <w:family w:val="roman"/>
    <w:pitch w:val="variable"/>
    <w:sig w:usb0="F7FFAFFF" w:usb1="FBDFFFFF" w:usb2="00FFFFFF" w:usb3="00000000" w:csb0="803F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9060101010101"/>
    <w:charset w:val="86"/>
    <w:family w:val="modern"/>
    <w:notTrueType/>
    <w:pitch w:val="fixed"/>
    <w:sig w:usb0="00000000" w:usb1="080E0000" w:usb2="00000010" w:usb3="00000000" w:csb0="0004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GulimChe">
    <w:altName w:val="굴림체"/>
    <w:panose1 w:val="020B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C8" w:rsidRDefault="009662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4EC8" w:rsidRDefault="00004EC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C8" w:rsidRDefault="009662EC">
    <w:pPr>
      <w:pStyle w:val="Footer"/>
      <w:ind w:right="360"/>
    </w:pPr>
    <w:r>
      <w:rPr>
        <w:rStyle w:val="PageNumber"/>
      </w:rPr>
      <w:tab/>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sidR="003D3A77">
      <w:rPr>
        <w:rStyle w:val="PageNumber"/>
        <w:noProof/>
      </w:rPr>
      <w:t>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D3A77">
      <w:rPr>
        <w:rStyle w:val="PageNumber"/>
        <w:noProof/>
      </w:rPr>
      <w:t>34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B40" w:rsidRDefault="00036B40">
      <w:r>
        <w:separator/>
      </w:r>
    </w:p>
  </w:footnote>
  <w:footnote w:type="continuationSeparator" w:id="0">
    <w:p w:rsidR="00036B40" w:rsidRDefault="00036B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C8" w:rsidRDefault="00AB6EBE">
    <w:pPr>
      <w:pStyle w:val="Header"/>
      <w:tabs>
        <w:tab w:val="center" w:pos="4763"/>
        <w:tab w:val="left" w:pos="5820"/>
      </w:tabs>
      <w:jc w:val="center"/>
      <w:rPr>
        <w:rFonts w:eastAsia="MS Mincho"/>
        <w:lang w:eastAsia="ja-JP"/>
      </w:rPr>
    </w:pPr>
    <w:r>
      <w:rPr>
        <w:lang w:eastAsia="ko-KR"/>
      </w:rPr>
      <w:t>APT/AWG/</w:t>
    </w:r>
    <w:r>
      <w:rPr>
        <w:rFonts w:hint="eastAsia"/>
        <w:lang w:eastAsia="ko-KR"/>
      </w:rPr>
      <w:t>REP</w:t>
    </w:r>
    <w:r w:rsidR="003D3A77">
      <w:rPr>
        <w:lang w:eastAsia="ko-KR"/>
      </w:rPr>
      <w:t>-76</w:t>
    </w:r>
  </w:p>
  <w:p w:rsidR="00004EC8" w:rsidRDefault="00004EC8">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151C"/>
    <w:multiLevelType w:val="hybridMultilevel"/>
    <w:tmpl w:val="502AC954"/>
    <w:lvl w:ilvl="0" w:tplc="8828CB30">
      <w:start w:val="1"/>
      <w:numFmt w:val="bullet"/>
      <w:lvlText w:val="•"/>
      <w:lvlJc w:val="left"/>
      <w:pPr>
        <w:ind w:left="840" w:hanging="420"/>
      </w:pPr>
      <w:rPr>
        <w:rFonts w:ascii="Arial" w:hAnsi="Arial"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26C2039"/>
    <w:multiLevelType w:val="hybridMultilevel"/>
    <w:tmpl w:val="4C024910"/>
    <w:lvl w:ilvl="0" w:tplc="03D42280">
      <w:start w:val="1"/>
      <w:numFmt w:val="decimal"/>
      <w:lvlText w:val="(%1)"/>
      <w:lvlJc w:val="left"/>
      <w:pPr>
        <w:ind w:left="1080" w:hanging="420"/>
      </w:pPr>
      <w:rPr>
        <w:rFonts w:hint="eastAsia"/>
      </w:rPr>
    </w:lvl>
    <w:lvl w:ilvl="1" w:tplc="04090017">
      <w:start w:val="1"/>
      <w:numFmt w:val="aiueoFullWidth"/>
      <w:lvlText w:val="(%2)"/>
      <w:lvlJc w:val="left"/>
      <w:pPr>
        <w:ind w:left="1500" w:hanging="420"/>
      </w:pPr>
    </w:lvl>
    <w:lvl w:ilvl="2" w:tplc="7A1AB07E">
      <w:start w:val="1"/>
      <w:numFmt w:val="lowerLetter"/>
      <w:lvlText w:val="(%3)"/>
      <w:lvlJc w:val="left"/>
      <w:pPr>
        <w:ind w:left="1920" w:hanging="420"/>
      </w:pPr>
      <w:rPr>
        <w:rFonts w:hint="eastAsia"/>
      </w:rPr>
    </w:lvl>
    <w:lvl w:ilvl="3" w:tplc="CDCED420">
      <w:start w:val="1"/>
      <w:numFmt w:val="upperLetter"/>
      <w:lvlText w:val="(%4)"/>
      <w:lvlJc w:val="left"/>
      <w:pPr>
        <w:ind w:left="2280" w:hanging="360"/>
      </w:pPr>
      <w:rPr>
        <w:rFonts w:hint="default"/>
      </w:rPr>
    </w:lvl>
    <w:lvl w:ilvl="4" w:tplc="E87A3232">
      <w:start w:val="1"/>
      <w:numFmt w:val="upperLetter"/>
      <w:lvlText w:val="%5)"/>
      <w:lvlJc w:val="left"/>
      <w:pPr>
        <w:ind w:left="2700" w:hanging="360"/>
      </w:pPr>
      <w:rPr>
        <w:rFonts w:hint="default"/>
      </w:rPr>
    </w:lvl>
    <w:lvl w:ilvl="5" w:tplc="F73A3602">
      <w:start w:val="1"/>
      <w:numFmt w:val="lowerLetter"/>
      <w:lvlText w:val="%6)"/>
      <w:lvlJc w:val="left"/>
      <w:pPr>
        <w:ind w:left="3120" w:hanging="360"/>
      </w:pPr>
      <w:rPr>
        <w:rFonts w:hint="default"/>
      </w:rPr>
    </w:lvl>
    <w:lvl w:ilvl="6" w:tplc="6512C796">
      <w:start w:val="1"/>
      <w:numFmt w:val="upperLetter"/>
      <w:lvlText w:val="%7."/>
      <w:lvlJc w:val="left"/>
      <w:pPr>
        <w:ind w:left="3540" w:hanging="360"/>
      </w:pPr>
      <w:rPr>
        <w:rFonts w:hint="default"/>
      </w:r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 w15:restartNumberingAfterBreak="0">
    <w:nsid w:val="02D27390"/>
    <w:multiLevelType w:val="hybridMultilevel"/>
    <w:tmpl w:val="65F28C94"/>
    <w:lvl w:ilvl="0" w:tplc="8828CB30">
      <w:start w:val="1"/>
      <w:numFmt w:val="bullet"/>
      <w:lvlText w:val="•"/>
      <w:lvlJc w:val="left"/>
      <w:pPr>
        <w:ind w:left="1080" w:hanging="420"/>
      </w:pPr>
      <w:rPr>
        <w:rFonts w:ascii="Arial" w:hAnsi="Arial" w:hint="default"/>
      </w:rPr>
    </w:lvl>
    <w:lvl w:ilvl="1" w:tplc="04090017">
      <w:start w:val="1"/>
      <w:numFmt w:val="aiueoFullWidth"/>
      <w:lvlText w:val="(%2)"/>
      <w:lvlJc w:val="left"/>
      <w:pPr>
        <w:ind w:left="1500" w:hanging="420"/>
      </w:pPr>
    </w:lvl>
    <w:lvl w:ilvl="2" w:tplc="7A1AB07E">
      <w:start w:val="1"/>
      <w:numFmt w:val="lowerLetter"/>
      <w:lvlText w:val="(%3)"/>
      <w:lvlJc w:val="left"/>
      <w:pPr>
        <w:ind w:left="1920" w:hanging="420"/>
      </w:pPr>
      <w:rPr>
        <w:rFonts w:hint="eastAsia"/>
      </w:rPr>
    </w:lvl>
    <w:lvl w:ilvl="3" w:tplc="CDCED420">
      <w:start w:val="1"/>
      <w:numFmt w:val="upperLetter"/>
      <w:lvlText w:val="(%4)"/>
      <w:lvlJc w:val="left"/>
      <w:pPr>
        <w:ind w:left="2280" w:hanging="360"/>
      </w:pPr>
      <w:rPr>
        <w:rFonts w:hint="default"/>
      </w:rPr>
    </w:lvl>
    <w:lvl w:ilvl="4" w:tplc="E87A3232">
      <w:start w:val="1"/>
      <w:numFmt w:val="upperLetter"/>
      <w:lvlText w:val="%5)"/>
      <w:lvlJc w:val="left"/>
      <w:pPr>
        <w:ind w:left="2700" w:hanging="360"/>
      </w:pPr>
      <w:rPr>
        <w:rFonts w:hint="default"/>
      </w:rPr>
    </w:lvl>
    <w:lvl w:ilvl="5" w:tplc="F73A3602">
      <w:start w:val="1"/>
      <w:numFmt w:val="lowerLetter"/>
      <w:lvlText w:val="%6)"/>
      <w:lvlJc w:val="left"/>
      <w:pPr>
        <w:ind w:left="3120" w:hanging="360"/>
      </w:pPr>
      <w:rPr>
        <w:rFonts w:hint="default"/>
      </w:rPr>
    </w:lvl>
    <w:lvl w:ilvl="6" w:tplc="6512C796">
      <w:start w:val="1"/>
      <w:numFmt w:val="upperLetter"/>
      <w:lvlText w:val="%7."/>
      <w:lvlJc w:val="left"/>
      <w:pPr>
        <w:ind w:left="3540" w:hanging="360"/>
      </w:pPr>
      <w:rPr>
        <w:rFonts w:hint="default"/>
      </w:r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 w15:restartNumberingAfterBreak="0">
    <w:nsid w:val="04D919FB"/>
    <w:multiLevelType w:val="multilevel"/>
    <w:tmpl w:val="04D919FB"/>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7655C6D"/>
    <w:multiLevelType w:val="multilevel"/>
    <w:tmpl w:val="07655C6D"/>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099E114E"/>
    <w:multiLevelType w:val="hybridMultilevel"/>
    <w:tmpl w:val="051EB3DC"/>
    <w:lvl w:ilvl="0" w:tplc="F8DA8418">
      <w:start w:val="2"/>
      <w:numFmt w:val="bullet"/>
      <w:lvlText w:val="-"/>
      <w:lvlJc w:val="left"/>
      <w:pPr>
        <w:ind w:left="1140" w:hanging="420"/>
      </w:pPr>
      <w:rPr>
        <w:rFonts w:ascii="Times New Roman" w:eastAsia="MS Mincho"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6" w15:restartNumberingAfterBreak="0">
    <w:nsid w:val="0A273D54"/>
    <w:multiLevelType w:val="hybridMultilevel"/>
    <w:tmpl w:val="1F44DFEA"/>
    <w:lvl w:ilvl="0" w:tplc="F8DA8418">
      <w:start w:val="2"/>
      <w:numFmt w:val="bullet"/>
      <w:lvlText w:val="-"/>
      <w:lvlJc w:val="left"/>
      <w:pPr>
        <w:ind w:left="840" w:hanging="42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A313504"/>
    <w:multiLevelType w:val="hybridMultilevel"/>
    <w:tmpl w:val="2BB64652"/>
    <w:lvl w:ilvl="0" w:tplc="F8DA8418">
      <w:start w:val="2"/>
      <w:numFmt w:val="bullet"/>
      <w:lvlText w:val="-"/>
      <w:lvlJc w:val="left"/>
      <w:pPr>
        <w:ind w:left="1140" w:hanging="420"/>
      </w:pPr>
      <w:rPr>
        <w:rFonts w:ascii="Times New Roman" w:eastAsia="MS Mincho"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 w15:restartNumberingAfterBreak="0">
    <w:nsid w:val="0AB91D59"/>
    <w:multiLevelType w:val="multilevel"/>
    <w:tmpl w:val="0AB91D59"/>
    <w:lvl w:ilvl="0" w:tentative="1">
      <w:start w:val="27"/>
      <w:numFmt w:val="bullet"/>
      <w:lvlText w:val="-"/>
      <w:lvlJc w:val="left"/>
      <w:pPr>
        <w:tabs>
          <w:tab w:val="left" w:pos="760"/>
        </w:tabs>
        <w:ind w:left="760" w:hanging="360"/>
      </w:pPr>
      <w:rPr>
        <w:rFonts w:ascii="Times New Roman" w:eastAsia="BatangChe" w:hAnsi="Times New Roman" w:cs="Times New Roman" w:hint="default"/>
      </w:rPr>
    </w:lvl>
    <w:lvl w:ilvl="1" w:tentative="1">
      <w:start w:val="1"/>
      <w:numFmt w:val="bullet"/>
      <w:pStyle w:val="text-6"/>
      <w:lvlText w:val="−"/>
      <w:lvlJc w:val="left"/>
      <w:pPr>
        <w:tabs>
          <w:tab w:val="left" w:pos="1280"/>
        </w:tabs>
        <w:ind w:left="1280" w:hanging="480"/>
      </w:pPr>
      <w:rPr>
        <w:rFonts w:ascii="Arial" w:hAnsi="Arial" w:hint="default"/>
      </w:rPr>
    </w:lvl>
    <w:lvl w:ilvl="2" w:tentative="1">
      <w:start w:val="1"/>
      <w:numFmt w:val="bullet"/>
      <w:lvlText w:val=""/>
      <w:lvlJc w:val="left"/>
      <w:pPr>
        <w:tabs>
          <w:tab w:val="left" w:pos="1600"/>
        </w:tabs>
        <w:ind w:left="1600" w:hanging="400"/>
      </w:pPr>
      <w:rPr>
        <w:rFonts w:ascii="Wingdings" w:hAnsi="Wingdings" w:hint="default"/>
      </w:rPr>
    </w:lvl>
    <w:lvl w:ilvl="3" w:tentative="1">
      <w:start w:val="1"/>
      <w:numFmt w:val="bullet"/>
      <w:lvlText w:val=""/>
      <w:lvlJc w:val="left"/>
      <w:pPr>
        <w:tabs>
          <w:tab w:val="left" w:pos="2000"/>
        </w:tabs>
        <w:ind w:left="2000" w:hanging="400"/>
      </w:pPr>
      <w:rPr>
        <w:rFonts w:ascii="Wingdings" w:hAnsi="Wingdings" w:hint="default"/>
      </w:rPr>
    </w:lvl>
    <w:lvl w:ilvl="4" w:tentative="1">
      <w:start w:val="1"/>
      <w:numFmt w:val="bullet"/>
      <w:lvlText w:val=""/>
      <w:lvlJc w:val="left"/>
      <w:pPr>
        <w:tabs>
          <w:tab w:val="left" w:pos="2400"/>
        </w:tabs>
        <w:ind w:left="2400" w:hanging="400"/>
      </w:pPr>
      <w:rPr>
        <w:rFonts w:ascii="Wingdings" w:hAnsi="Wingdings" w:hint="default"/>
      </w:rPr>
    </w:lvl>
    <w:lvl w:ilvl="5" w:tentative="1">
      <w:start w:val="1"/>
      <w:numFmt w:val="bullet"/>
      <w:lvlText w:val=""/>
      <w:lvlJc w:val="left"/>
      <w:pPr>
        <w:tabs>
          <w:tab w:val="left" w:pos="2800"/>
        </w:tabs>
        <w:ind w:left="2800" w:hanging="400"/>
      </w:pPr>
      <w:rPr>
        <w:rFonts w:ascii="Wingdings" w:hAnsi="Wingdings" w:hint="default"/>
      </w:rPr>
    </w:lvl>
    <w:lvl w:ilvl="6" w:tentative="1">
      <w:start w:val="1"/>
      <w:numFmt w:val="bullet"/>
      <w:lvlText w:val=""/>
      <w:lvlJc w:val="left"/>
      <w:pPr>
        <w:tabs>
          <w:tab w:val="left" w:pos="3200"/>
        </w:tabs>
        <w:ind w:left="3200" w:hanging="400"/>
      </w:pPr>
      <w:rPr>
        <w:rFonts w:ascii="Wingdings" w:hAnsi="Wingdings" w:hint="default"/>
      </w:rPr>
    </w:lvl>
    <w:lvl w:ilvl="7" w:tentative="1">
      <w:start w:val="1"/>
      <w:numFmt w:val="bullet"/>
      <w:lvlText w:val=""/>
      <w:lvlJc w:val="left"/>
      <w:pPr>
        <w:tabs>
          <w:tab w:val="left" w:pos="3600"/>
        </w:tabs>
        <w:ind w:left="3600" w:hanging="400"/>
      </w:pPr>
      <w:rPr>
        <w:rFonts w:ascii="Wingdings" w:hAnsi="Wingdings" w:hint="default"/>
      </w:rPr>
    </w:lvl>
    <w:lvl w:ilvl="8" w:tentative="1">
      <w:start w:val="1"/>
      <w:numFmt w:val="bullet"/>
      <w:lvlText w:val=""/>
      <w:lvlJc w:val="left"/>
      <w:pPr>
        <w:tabs>
          <w:tab w:val="left" w:pos="4000"/>
        </w:tabs>
        <w:ind w:left="4000" w:hanging="400"/>
      </w:pPr>
      <w:rPr>
        <w:rFonts w:ascii="Wingdings" w:hAnsi="Wingdings" w:hint="default"/>
      </w:rPr>
    </w:lvl>
  </w:abstractNum>
  <w:abstractNum w:abstractNumId="9" w15:restartNumberingAfterBreak="0">
    <w:nsid w:val="0BEB5AEF"/>
    <w:multiLevelType w:val="multilevel"/>
    <w:tmpl w:val="727EA4FE"/>
    <w:lvl w:ilvl="0">
      <w:start w:val="2"/>
      <w:numFmt w:val="decimal"/>
      <w:lvlText w:val="-"/>
      <w:lvlJc w:val="left"/>
      <w:rPr>
        <w:rFonts w:ascii="Times New Roman" w:eastAsia="Batang" w:hAnsi="Times New Roman"/>
        <w:color w:val="000000"/>
        <w:sz w:val="20"/>
      </w:rPr>
    </w:lvl>
    <w:lvl w:ilvl="1">
      <w:start w:val="1"/>
      <w:numFmt w:val="decimal"/>
      <w:lvlText w:val=""/>
      <w:lvlJc w:val="left"/>
      <w:rPr>
        <w:rFonts w:ascii="Wingdings" w:eastAsia="한컴바탕" w:hAnsi="Wingdings"/>
        <w:color w:val="000000"/>
        <w:sz w:val="20"/>
      </w:rPr>
    </w:lvl>
    <w:lvl w:ilvl="2">
      <w:start w:val="1"/>
      <w:numFmt w:val="decimal"/>
      <w:lvlText w:val=""/>
      <w:lvlJc w:val="left"/>
      <w:rPr>
        <w:rFonts w:ascii="Wingdings" w:eastAsia="한컴바탕" w:hAnsi="Wingdings"/>
        <w:color w:val="000000"/>
        <w:sz w:val="20"/>
      </w:rPr>
    </w:lvl>
    <w:lvl w:ilvl="3">
      <w:start w:val="1"/>
      <w:numFmt w:val="decimal"/>
      <w:lvlText w:val=""/>
      <w:lvlJc w:val="left"/>
      <w:rPr>
        <w:rFonts w:ascii="Wingdings" w:eastAsia="한컴바탕" w:hAnsi="Wingdings"/>
        <w:color w:val="000000"/>
        <w:sz w:val="20"/>
      </w:rPr>
    </w:lvl>
    <w:lvl w:ilvl="4">
      <w:start w:val="1"/>
      <w:numFmt w:val="decimal"/>
      <w:lvlText w:val=""/>
      <w:lvlJc w:val="left"/>
      <w:rPr>
        <w:rFonts w:ascii="Wingdings" w:eastAsia="한컴바탕" w:hAnsi="Wingdings"/>
        <w:color w:val="000000"/>
        <w:sz w:val="20"/>
      </w:rPr>
    </w:lvl>
    <w:lvl w:ilvl="5">
      <w:start w:val="1"/>
      <w:numFmt w:val="decimal"/>
      <w:lvlText w:val=""/>
      <w:lvlJc w:val="left"/>
      <w:rPr>
        <w:rFonts w:ascii="Wingdings" w:eastAsia="한컴바탕" w:hAnsi="Wingdings"/>
        <w:color w:val="000000"/>
        <w:sz w:val="20"/>
      </w:rPr>
    </w:lvl>
    <w:lvl w:ilvl="6">
      <w:start w:val="1"/>
      <w:numFmt w:val="decimal"/>
      <w:lvlText w:val=""/>
      <w:lvlJc w:val="left"/>
      <w:rPr>
        <w:rFonts w:ascii="Wingdings" w:eastAsia="한컴바탕" w:hAnsi="Wingdings"/>
        <w:color w:val="000000"/>
        <w:sz w:val="20"/>
      </w:rPr>
    </w:lvl>
    <w:lvl w:ilvl="7">
      <w:numFmt w:val="decimal"/>
      <w:lvlText w:val=""/>
      <w:lvlJc w:val="left"/>
    </w:lvl>
    <w:lvl w:ilvl="8">
      <w:numFmt w:val="decimal"/>
      <w:lvlText w:val=""/>
      <w:lvlJc w:val="left"/>
    </w:lvl>
  </w:abstractNum>
  <w:abstractNum w:abstractNumId="10" w15:restartNumberingAfterBreak="0">
    <w:nsid w:val="0C5252C1"/>
    <w:multiLevelType w:val="hybridMultilevel"/>
    <w:tmpl w:val="8C7C0CAE"/>
    <w:lvl w:ilvl="0" w:tplc="F036CBCC">
      <w:start w:val="1"/>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32591E"/>
    <w:multiLevelType w:val="multilevel"/>
    <w:tmpl w:val="2398FE0E"/>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D6E7783"/>
    <w:multiLevelType w:val="multilevel"/>
    <w:tmpl w:val="0D6E7783"/>
    <w:lvl w:ilvl="0">
      <w:start w:val="1"/>
      <w:numFmt w:val="lowerLetter"/>
      <w:lvlText w:val="%1)"/>
      <w:lvlJc w:val="left"/>
      <w:pPr>
        <w:tabs>
          <w:tab w:val="left" w:pos="760"/>
        </w:tabs>
        <w:ind w:left="760" w:hanging="360"/>
      </w:pPr>
      <w:rPr>
        <w:rFonts w:hint="default"/>
      </w:rPr>
    </w:lvl>
    <w:lvl w:ilvl="1" w:tentative="1">
      <w:start w:val="1"/>
      <w:numFmt w:val="upperLetter"/>
      <w:lvlText w:val="%2."/>
      <w:lvlJc w:val="left"/>
      <w:pPr>
        <w:tabs>
          <w:tab w:val="left" w:pos="1200"/>
        </w:tabs>
        <w:ind w:left="1200" w:hanging="400"/>
      </w:pPr>
    </w:lvl>
    <w:lvl w:ilvl="2" w:tentative="1">
      <w:start w:val="1"/>
      <w:numFmt w:val="lowerRoman"/>
      <w:lvlText w:val="%3."/>
      <w:lvlJc w:val="right"/>
      <w:pPr>
        <w:tabs>
          <w:tab w:val="left" w:pos="1600"/>
        </w:tabs>
        <w:ind w:left="1600" w:hanging="400"/>
      </w:pPr>
    </w:lvl>
    <w:lvl w:ilvl="3" w:tentative="1">
      <w:start w:val="1"/>
      <w:numFmt w:val="decimal"/>
      <w:lvlText w:val="%4."/>
      <w:lvlJc w:val="left"/>
      <w:pPr>
        <w:tabs>
          <w:tab w:val="left" w:pos="2000"/>
        </w:tabs>
        <w:ind w:left="2000" w:hanging="400"/>
      </w:pPr>
    </w:lvl>
    <w:lvl w:ilvl="4" w:tentative="1">
      <w:start w:val="1"/>
      <w:numFmt w:val="upperLetter"/>
      <w:lvlText w:val="%5."/>
      <w:lvlJc w:val="left"/>
      <w:pPr>
        <w:tabs>
          <w:tab w:val="left" w:pos="2400"/>
        </w:tabs>
        <w:ind w:left="2400" w:hanging="400"/>
      </w:pPr>
    </w:lvl>
    <w:lvl w:ilvl="5" w:tentative="1">
      <w:start w:val="1"/>
      <w:numFmt w:val="lowerRoman"/>
      <w:lvlText w:val="%6."/>
      <w:lvlJc w:val="right"/>
      <w:pPr>
        <w:tabs>
          <w:tab w:val="left" w:pos="2800"/>
        </w:tabs>
        <w:ind w:left="2800" w:hanging="400"/>
      </w:pPr>
    </w:lvl>
    <w:lvl w:ilvl="6" w:tentative="1">
      <w:start w:val="1"/>
      <w:numFmt w:val="decimal"/>
      <w:lvlText w:val="%7."/>
      <w:lvlJc w:val="left"/>
      <w:pPr>
        <w:tabs>
          <w:tab w:val="left" w:pos="3200"/>
        </w:tabs>
        <w:ind w:left="3200" w:hanging="400"/>
      </w:pPr>
    </w:lvl>
    <w:lvl w:ilvl="7" w:tentative="1">
      <w:start w:val="1"/>
      <w:numFmt w:val="upperLetter"/>
      <w:lvlText w:val="%8."/>
      <w:lvlJc w:val="left"/>
      <w:pPr>
        <w:tabs>
          <w:tab w:val="left" w:pos="3600"/>
        </w:tabs>
        <w:ind w:left="3600" w:hanging="400"/>
      </w:pPr>
    </w:lvl>
    <w:lvl w:ilvl="8" w:tentative="1">
      <w:start w:val="1"/>
      <w:numFmt w:val="lowerRoman"/>
      <w:lvlText w:val="%9."/>
      <w:lvlJc w:val="right"/>
      <w:pPr>
        <w:tabs>
          <w:tab w:val="left" w:pos="4000"/>
        </w:tabs>
        <w:ind w:left="4000" w:hanging="400"/>
      </w:pPr>
    </w:lvl>
  </w:abstractNum>
  <w:abstractNum w:abstractNumId="13" w15:restartNumberingAfterBreak="0">
    <w:nsid w:val="0DAE76D8"/>
    <w:multiLevelType w:val="hybridMultilevel"/>
    <w:tmpl w:val="232EED60"/>
    <w:lvl w:ilvl="0" w:tplc="5B88FB44">
      <w:start w:val="120"/>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0F30520E"/>
    <w:multiLevelType w:val="multilevel"/>
    <w:tmpl w:val="0F30520E"/>
    <w:lvl w:ilvl="0">
      <w:start w:val="1"/>
      <w:numFmt w:val="lowerLetter"/>
      <w:lvlText w:val="(%1)"/>
      <w:lvlJc w:val="left"/>
      <w:pPr>
        <w:tabs>
          <w:tab w:val="left" w:pos="1080"/>
        </w:tabs>
        <w:ind w:left="1080" w:hanging="72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5" w15:restartNumberingAfterBreak="0">
    <w:nsid w:val="10007CB7"/>
    <w:multiLevelType w:val="hybridMultilevel"/>
    <w:tmpl w:val="A5763188"/>
    <w:lvl w:ilvl="0" w:tplc="8828CB30">
      <w:start w:val="1"/>
      <w:numFmt w:val="bullet"/>
      <w:lvlText w:val="•"/>
      <w:lvlJc w:val="left"/>
      <w:pPr>
        <w:ind w:left="840" w:hanging="420"/>
      </w:pPr>
      <w:rPr>
        <w:rFonts w:ascii="Arial"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129E5B41"/>
    <w:multiLevelType w:val="hybridMultilevel"/>
    <w:tmpl w:val="EDB26088"/>
    <w:lvl w:ilvl="0" w:tplc="D832B330">
      <w:start w:val="1"/>
      <w:numFmt w:val="decimal"/>
      <w:lvlText w:val="4.%1"/>
      <w:lvlJc w:val="left"/>
      <w:pPr>
        <w:ind w:left="144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2D662C8"/>
    <w:multiLevelType w:val="hybridMultilevel"/>
    <w:tmpl w:val="9FF8840A"/>
    <w:lvl w:ilvl="0" w:tplc="03D4228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6E21299"/>
    <w:multiLevelType w:val="hybridMultilevel"/>
    <w:tmpl w:val="FFB2F638"/>
    <w:lvl w:ilvl="0" w:tplc="11AC79BE">
      <w:start w:val="1"/>
      <w:numFmt w:val="decimal"/>
      <w:lvlText w:val="(%1)"/>
      <w:lvlJc w:val="left"/>
      <w:pPr>
        <w:ind w:left="364" w:hanging="360"/>
      </w:pPr>
      <w:rPr>
        <w:rFonts w:hint="default"/>
      </w:rPr>
    </w:lvl>
    <w:lvl w:ilvl="1" w:tplc="04090017" w:tentative="1">
      <w:start w:val="1"/>
      <w:numFmt w:val="aiueoFullWidth"/>
      <w:lvlText w:val="(%2)"/>
      <w:lvlJc w:val="left"/>
      <w:pPr>
        <w:ind w:left="844" w:hanging="420"/>
      </w:pPr>
    </w:lvl>
    <w:lvl w:ilvl="2" w:tplc="04090011" w:tentative="1">
      <w:start w:val="1"/>
      <w:numFmt w:val="decimalEnclosedCircle"/>
      <w:lvlText w:val="%3"/>
      <w:lvlJc w:val="left"/>
      <w:pPr>
        <w:ind w:left="1264" w:hanging="420"/>
      </w:pPr>
    </w:lvl>
    <w:lvl w:ilvl="3" w:tplc="0409000F" w:tentative="1">
      <w:start w:val="1"/>
      <w:numFmt w:val="decimal"/>
      <w:lvlText w:val="%4."/>
      <w:lvlJc w:val="left"/>
      <w:pPr>
        <w:ind w:left="1684" w:hanging="420"/>
      </w:pPr>
    </w:lvl>
    <w:lvl w:ilvl="4" w:tplc="04090017" w:tentative="1">
      <w:start w:val="1"/>
      <w:numFmt w:val="aiueoFullWidth"/>
      <w:lvlText w:val="(%5)"/>
      <w:lvlJc w:val="left"/>
      <w:pPr>
        <w:ind w:left="2104" w:hanging="420"/>
      </w:pPr>
    </w:lvl>
    <w:lvl w:ilvl="5" w:tplc="04090011" w:tentative="1">
      <w:start w:val="1"/>
      <w:numFmt w:val="decimalEnclosedCircle"/>
      <w:lvlText w:val="%6"/>
      <w:lvlJc w:val="left"/>
      <w:pPr>
        <w:ind w:left="2524" w:hanging="420"/>
      </w:pPr>
    </w:lvl>
    <w:lvl w:ilvl="6" w:tplc="0409000F" w:tentative="1">
      <w:start w:val="1"/>
      <w:numFmt w:val="decimal"/>
      <w:lvlText w:val="%7."/>
      <w:lvlJc w:val="left"/>
      <w:pPr>
        <w:ind w:left="2944" w:hanging="420"/>
      </w:pPr>
    </w:lvl>
    <w:lvl w:ilvl="7" w:tplc="04090017" w:tentative="1">
      <w:start w:val="1"/>
      <w:numFmt w:val="aiueoFullWidth"/>
      <w:lvlText w:val="(%8)"/>
      <w:lvlJc w:val="left"/>
      <w:pPr>
        <w:ind w:left="3364" w:hanging="420"/>
      </w:pPr>
    </w:lvl>
    <w:lvl w:ilvl="8" w:tplc="04090011" w:tentative="1">
      <w:start w:val="1"/>
      <w:numFmt w:val="decimalEnclosedCircle"/>
      <w:lvlText w:val="%9"/>
      <w:lvlJc w:val="left"/>
      <w:pPr>
        <w:ind w:left="3784" w:hanging="420"/>
      </w:pPr>
    </w:lvl>
  </w:abstractNum>
  <w:abstractNum w:abstractNumId="19" w15:restartNumberingAfterBreak="0">
    <w:nsid w:val="174869D0"/>
    <w:multiLevelType w:val="hybridMultilevel"/>
    <w:tmpl w:val="4EF8F6DC"/>
    <w:lvl w:ilvl="0" w:tplc="F8DA8418">
      <w:start w:val="2"/>
      <w:numFmt w:val="bullet"/>
      <w:lvlText w:val="-"/>
      <w:lvlJc w:val="left"/>
      <w:pPr>
        <w:ind w:left="1140" w:hanging="420"/>
      </w:pPr>
      <w:rPr>
        <w:rFonts w:ascii="Times New Roman" w:eastAsia="MS Mincho"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0" w15:restartNumberingAfterBreak="0">
    <w:nsid w:val="195D3758"/>
    <w:multiLevelType w:val="hybridMultilevel"/>
    <w:tmpl w:val="D16A79A0"/>
    <w:lvl w:ilvl="0" w:tplc="8828CB30">
      <w:start w:val="1"/>
      <w:numFmt w:val="bullet"/>
      <w:lvlText w:val="•"/>
      <w:lvlJc w:val="left"/>
      <w:pPr>
        <w:tabs>
          <w:tab w:val="num" w:pos="720"/>
        </w:tabs>
        <w:ind w:left="720" w:hanging="360"/>
      </w:pPr>
      <w:rPr>
        <w:rFonts w:ascii="Arial" w:hAnsi="Arial" w:hint="default"/>
      </w:rPr>
    </w:lvl>
    <w:lvl w:ilvl="1" w:tplc="7FAA3E66" w:tentative="1">
      <w:start w:val="1"/>
      <w:numFmt w:val="bullet"/>
      <w:lvlText w:val="•"/>
      <w:lvlJc w:val="left"/>
      <w:pPr>
        <w:tabs>
          <w:tab w:val="num" w:pos="1440"/>
        </w:tabs>
        <w:ind w:left="1440" w:hanging="360"/>
      </w:pPr>
      <w:rPr>
        <w:rFonts w:ascii="Arial" w:hAnsi="Arial" w:hint="default"/>
      </w:rPr>
    </w:lvl>
    <w:lvl w:ilvl="2" w:tplc="381AB7EA" w:tentative="1">
      <w:start w:val="1"/>
      <w:numFmt w:val="bullet"/>
      <w:lvlText w:val="•"/>
      <w:lvlJc w:val="left"/>
      <w:pPr>
        <w:tabs>
          <w:tab w:val="num" w:pos="2160"/>
        </w:tabs>
        <w:ind w:left="2160" w:hanging="360"/>
      </w:pPr>
      <w:rPr>
        <w:rFonts w:ascii="Arial" w:hAnsi="Arial" w:hint="default"/>
      </w:rPr>
    </w:lvl>
    <w:lvl w:ilvl="3" w:tplc="20CEF21E" w:tentative="1">
      <w:start w:val="1"/>
      <w:numFmt w:val="bullet"/>
      <w:lvlText w:val="•"/>
      <w:lvlJc w:val="left"/>
      <w:pPr>
        <w:tabs>
          <w:tab w:val="num" w:pos="2880"/>
        </w:tabs>
        <w:ind w:left="2880" w:hanging="360"/>
      </w:pPr>
      <w:rPr>
        <w:rFonts w:ascii="Arial" w:hAnsi="Arial" w:hint="default"/>
      </w:rPr>
    </w:lvl>
    <w:lvl w:ilvl="4" w:tplc="179E8204" w:tentative="1">
      <w:start w:val="1"/>
      <w:numFmt w:val="bullet"/>
      <w:lvlText w:val="•"/>
      <w:lvlJc w:val="left"/>
      <w:pPr>
        <w:tabs>
          <w:tab w:val="num" w:pos="3600"/>
        </w:tabs>
        <w:ind w:left="3600" w:hanging="360"/>
      </w:pPr>
      <w:rPr>
        <w:rFonts w:ascii="Arial" w:hAnsi="Arial" w:hint="default"/>
      </w:rPr>
    </w:lvl>
    <w:lvl w:ilvl="5" w:tplc="6F604D76" w:tentative="1">
      <w:start w:val="1"/>
      <w:numFmt w:val="bullet"/>
      <w:lvlText w:val="•"/>
      <w:lvlJc w:val="left"/>
      <w:pPr>
        <w:tabs>
          <w:tab w:val="num" w:pos="4320"/>
        </w:tabs>
        <w:ind w:left="4320" w:hanging="360"/>
      </w:pPr>
      <w:rPr>
        <w:rFonts w:ascii="Arial" w:hAnsi="Arial" w:hint="default"/>
      </w:rPr>
    </w:lvl>
    <w:lvl w:ilvl="6" w:tplc="360826A2" w:tentative="1">
      <w:start w:val="1"/>
      <w:numFmt w:val="bullet"/>
      <w:lvlText w:val="•"/>
      <w:lvlJc w:val="left"/>
      <w:pPr>
        <w:tabs>
          <w:tab w:val="num" w:pos="5040"/>
        </w:tabs>
        <w:ind w:left="5040" w:hanging="360"/>
      </w:pPr>
      <w:rPr>
        <w:rFonts w:ascii="Arial" w:hAnsi="Arial" w:hint="default"/>
      </w:rPr>
    </w:lvl>
    <w:lvl w:ilvl="7" w:tplc="8CB695F0" w:tentative="1">
      <w:start w:val="1"/>
      <w:numFmt w:val="bullet"/>
      <w:lvlText w:val="•"/>
      <w:lvlJc w:val="left"/>
      <w:pPr>
        <w:tabs>
          <w:tab w:val="num" w:pos="5760"/>
        </w:tabs>
        <w:ind w:left="5760" w:hanging="360"/>
      </w:pPr>
      <w:rPr>
        <w:rFonts w:ascii="Arial" w:hAnsi="Arial" w:hint="default"/>
      </w:rPr>
    </w:lvl>
    <w:lvl w:ilvl="8" w:tplc="7FE8878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B0A0CC1"/>
    <w:multiLevelType w:val="hybridMultilevel"/>
    <w:tmpl w:val="023C0CEA"/>
    <w:lvl w:ilvl="0" w:tplc="8828CB30">
      <w:start w:val="1"/>
      <w:numFmt w:val="bullet"/>
      <w:lvlText w:val="•"/>
      <w:lvlJc w:val="left"/>
      <w:pPr>
        <w:ind w:left="1140" w:hanging="420"/>
      </w:pPr>
      <w:rPr>
        <w:rFonts w:ascii="Arial" w:hAnsi="Aria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1E59690C"/>
    <w:multiLevelType w:val="hybridMultilevel"/>
    <w:tmpl w:val="9532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51292A"/>
    <w:multiLevelType w:val="hybridMultilevel"/>
    <w:tmpl w:val="574C62E2"/>
    <w:lvl w:ilvl="0" w:tplc="F8DA8418">
      <w:start w:val="2"/>
      <w:numFmt w:val="bullet"/>
      <w:lvlText w:val="-"/>
      <w:lvlJc w:val="left"/>
      <w:pPr>
        <w:ind w:left="840" w:hanging="420"/>
      </w:pPr>
      <w:rPr>
        <w:rFonts w:ascii="Times New Roman" w:eastAsia="MS Mincho" w:hAnsi="Times New Roman" w:cs="Times New Roman"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20D0767D"/>
    <w:multiLevelType w:val="hybridMultilevel"/>
    <w:tmpl w:val="03F652CE"/>
    <w:lvl w:ilvl="0" w:tplc="1242C9CA">
      <w:numFmt w:val="bullet"/>
      <w:lvlText w:val="-"/>
      <w:lvlJc w:val="left"/>
      <w:pPr>
        <w:ind w:left="1080" w:hanging="360"/>
      </w:pPr>
      <w:rPr>
        <w:rFonts w:ascii="Times New Roman" w:eastAsia="MS Mincho"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15:restartNumberingAfterBreak="0">
    <w:nsid w:val="25E568D1"/>
    <w:multiLevelType w:val="hybridMultilevel"/>
    <w:tmpl w:val="CC58F714"/>
    <w:lvl w:ilvl="0" w:tplc="F8DA8418">
      <w:start w:val="2"/>
      <w:numFmt w:val="bullet"/>
      <w:lvlText w:val="-"/>
      <w:lvlJc w:val="left"/>
      <w:pPr>
        <w:ind w:left="420" w:hanging="42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68038EB"/>
    <w:multiLevelType w:val="multilevel"/>
    <w:tmpl w:val="268038EB"/>
    <w:lvl w:ilvl="0">
      <w:start w:val="1"/>
      <w:numFmt w:val="decimal"/>
      <w:lvlText w:val="%1"/>
      <w:lvlJc w:val="left"/>
      <w:pPr>
        <w:tabs>
          <w:tab w:val="left" w:pos="840"/>
        </w:tabs>
        <w:ind w:left="120" w:firstLine="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7" w15:restartNumberingAfterBreak="0">
    <w:nsid w:val="270B0262"/>
    <w:multiLevelType w:val="hybridMultilevel"/>
    <w:tmpl w:val="DA42B10C"/>
    <w:lvl w:ilvl="0" w:tplc="E548872A">
      <w:start w:val="1"/>
      <w:numFmt w:val="lowerLetter"/>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28" w15:restartNumberingAfterBreak="0">
    <w:nsid w:val="28B011B7"/>
    <w:multiLevelType w:val="hybridMultilevel"/>
    <w:tmpl w:val="C5248778"/>
    <w:lvl w:ilvl="0" w:tplc="2FE852B2">
      <w:numFmt w:val="bullet"/>
      <w:lvlText w:val="•"/>
      <w:lvlJc w:val="left"/>
      <w:pPr>
        <w:ind w:left="1140" w:hanging="420"/>
      </w:pPr>
      <w:rPr>
        <w:rFonts w:ascii="Batang" w:eastAsia="Batang" w:hAnsi="Batang" w:cs="Courier New"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9" w15:restartNumberingAfterBreak="0">
    <w:nsid w:val="2C876ECB"/>
    <w:multiLevelType w:val="hybridMultilevel"/>
    <w:tmpl w:val="5958E6E4"/>
    <w:lvl w:ilvl="0" w:tplc="8828CB30">
      <w:start w:val="1"/>
      <w:numFmt w:val="bullet"/>
      <w:lvlText w:val="•"/>
      <w:lvlJc w:val="left"/>
      <w:pPr>
        <w:ind w:left="1140" w:hanging="420"/>
      </w:pPr>
      <w:rPr>
        <w:rFonts w:ascii="Arial" w:hAnsi="Arial"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0" w15:restartNumberingAfterBreak="0">
    <w:nsid w:val="2D5C5F63"/>
    <w:multiLevelType w:val="multilevel"/>
    <w:tmpl w:val="2D5C5F6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2D80322A"/>
    <w:multiLevelType w:val="multilevel"/>
    <w:tmpl w:val="2D80322A"/>
    <w:lvl w:ilvl="0">
      <w:start w:val="1"/>
      <w:numFmt w:val="decimal"/>
      <w:lvlText w:val="(%1)"/>
      <w:lvlJc w:val="left"/>
      <w:pPr>
        <w:ind w:left="360" w:hanging="36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32" w15:restartNumberingAfterBreak="0">
    <w:nsid w:val="2E5539C0"/>
    <w:multiLevelType w:val="hybridMultilevel"/>
    <w:tmpl w:val="81EA93C8"/>
    <w:lvl w:ilvl="0" w:tplc="6B5639E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EE24774"/>
    <w:multiLevelType w:val="hybridMultilevel"/>
    <w:tmpl w:val="BC800358"/>
    <w:lvl w:ilvl="0" w:tplc="6B5639E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F8838F5"/>
    <w:multiLevelType w:val="hybridMultilevel"/>
    <w:tmpl w:val="935A7712"/>
    <w:lvl w:ilvl="0" w:tplc="F8DA8418">
      <w:start w:val="2"/>
      <w:numFmt w:val="bullet"/>
      <w:lvlText w:val="-"/>
      <w:lvlJc w:val="left"/>
      <w:pPr>
        <w:ind w:left="840" w:hanging="420"/>
      </w:pPr>
      <w:rPr>
        <w:rFonts w:ascii="Times New Roman" w:eastAsia="MS Mincho" w:hAnsi="Times New Roman"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30BB3E55"/>
    <w:multiLevelType w:val="hybridMultilevel"/>
    <w:tmpl w:val="1CF68A2C"/>
    <w:lvl w:ilvl="0" w:tplc="6B5639E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0DB706A"/>
    <w:multiLevelType w:val="hybridMultilevel"/>
    <w:tmpl w:val="B4826650"/>
    <w:lvl w:ilvl="0" w:tplc="F8DA8418">
      <w:start w:val="2"/>
      <w:numFmt w:val="bullet"/>
      <w:lvlText w:val="-"/>
      <w:lvlJc w:val="left"/>
      <w:pPr>
        <w:ind w:left="1140" w:hanging="420"/>
      </w:pPr>
      <w:rPr>
        <w:rFonts w:ascii="Times New Roman" w:eastAsia="MS Mincho"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7" w15:restartNumberingAfterBreak="0">
    <w:nsid w:val="326228A9"/>
    <w:multiLevelType w:val="hybridMultilevel"/>
    <w:tmpl w:val="0AEC85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15:restartNumberingAfterBreak="0">
    <w:nsid w:val="35EA01AD"/>
    <w:multiLevelType w:val="hybridMultilevel"/>
    <w:tmpl w:val="0716340C"/>
    <w:lvl w:ilvl="0" w:tplc="04163DF4">
      <w:numFmt w:val="bullet"/>
      <w:lvlText w:val="-"/>
      <w:lvlJc w:val="left"/>
      <w:pPr>
        <w:ind w:left="1440" w:hanging="720"/>
      </w:pPr>
      <w:rPr>
        <w:rFonts w:ascii="Times New Roman" w:eastAsia="MS Mincho"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9" w15:restartNumberingAfterBreak="0">
    <w:nsid w:val="35F94495"/>
    <w:multiLevelType w:val="hybridMultilevel"/>
    <w:tmpl w:val="813A0E6A"/>
    <w:lvl w:ilvl="0" w:tplc="704203D0">
      <w:start w:val="1"/>
      <w:numFmt w:val="bullet"/>
      <w:lvlText w:val="-"/>
      <w:lvlJc w:val="left"/>
      <w:pPr>
        <w:ind w:left="420" w:hanging="420"/>
      </w:pPr>
      <w:rPr>
        <w:rFonts w:ascii="Times New Roman" w:eastAsia="MS 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915C0A"/>
    <w:multiLevelType w:val="multilevel"/>
    <w:tmpl w:val="46A6B81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949695F"/>
    <w:multiLevelType w:val="hybridMultilevel"/>
    <w:tmpl w:val="6380879E"/>
    <w:lvl w:ilvl="0" w:tplc="6B5639E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95A66FB"/>
    <w:multiLevelType w:val="multilevel"/>
    <w:tmpl w:val="395A66FB"/>
    <w:lvl w:ilvl="0">
      <w:start w:val="1"/>
      <w:numFmt w:val="decimal"/>
      <w:lvlText w:val="%1."/>
      <w:lvlJc w:val="left"/>
      <w:pPr>
        <w:ind w:left="360" w:hanging="36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43" w15:restartNumberingAfterBreak="0">
    <w:nsid w:val="3C9B4EED"/>
    <w:multiLevelType w:val="hybridMultilevel"/>
    <w:tmpl w:val="1ED0604C"/>
    <w:lvl w:ilvl="0" w:tplc="ACF81762">
      <w:start w:val="1"/>
      <w:numFmt w:val="bullet"/>
      <w:lvlText w:val="•"/>
      <w:lvlJc w:val="left"/>
      <w:pPr>
        <w:tabs>
          <w:tab w:val="num" w:pos="720"/>
        </w:tabs>
        <w:ind w:left="720" w:hanging="360"/>
      </w:pPr>
      <w:rPr>
        <w:rFonts w:ascii="Arial" w:hAnsi="Arial" w:hint="default"/>
      </w:rPr>
    </w:lvl>
    <w:lvl w:ilvl="1" w:tplc="6910F5CC" w:tentative="1">
      <w:start w:val="1"/>
      <w:numFmt w:val="bullet"/>
      <w:lvlText w:val="•"/>
      <w:lvlJc w:val="left"/>
      <w:pPr>
        <w:tabs>
          <w:tab w:val="num" w:pos="1440"/>
        </w:tabs>
        <w:ind w:left="1440" w:hanging="360"/>
      </w:pPr>
      <w:rPr>
        <w:rFonts w:ascii="Arial" w:hAnsi="Arial" w:hint="default"/>
      </w:rPr>
    </w:lvl>
    <w:lvl w:ilvl="2" w:tplc="23D859E4" w:tentative="1">
      <w:start w:val="1"/>
      <w:numFmt w:val="bullet"/>
      <w:lvlText w:val="•"/>
      <w:lvlJc w:val="left"/>
      <w:pPr>
        <w:tabs>
          <w:tab w:val="num" w:pos="2160"/>
        </w:tabs>
        <w:ind w:left="2160" w:hanging="360"/>
      </w:pPr>
      <w:rPr>
        <w:rFonts w:ascii="Arial" w:hAnsi="Arial" w:hint="default"/>
      </w:rPr>
    </w:lvl>
    <w:lvl w:ilvl="3" w:tplc="0420A416" w:tentative="1">
      <w:start w:val="1"/>
      <w:numFmt w:val="bullet"/>
      <w:lvlText w:val="•"/>
      <w:lvlJc w:val="left"/>
      <w:pPr>
        <w:tabs>
          <w:tab w:val="num" w:pos="2880"/>
        </w:tabs>
        <w:ind w:left="2880" w:hanging="360"/>
      </w:pPr>
      <w:rPr>
        <w:rFonts w:ascii="Arial" w:hAnsi="Arial" w:hint="default"/>
      </w:rPr>
    </w:lvl>
    <w:lvl w:ilvl="4" w:tplc="72C09D42" w:tentative="1">
      <w:start w:val="1"/>
      <w:numFmt w:val="bullet"/>
      <w:lvlText w:val="•"/>
      <w:lvlJc w:val="left"/>
      <w:pPr>
        <w:tabs>
          <w:tab w:val="num" w:pos="3600"/>
        </w:tabs>
        <w:ind w:left="3600" w:hanging="360"/>
      </w:pPr>
      <w:rPr>
        <w:rFonts w:ascii="Arial" w:hAnsi="Arial" w:hint="default"/>
      </w:rPr>
    </w:lvl>
    <w:lvl w:ilvl="5" w:tplc="71DA2488" w:tentative="1">
      <w:start w:val="1"/>
      <w:numFmt w:val="bullet"/>
      <w:lvlText w:val="•"/>
      <w:lvlJc w:val="left"/>
      <w:pPr>
        <w:tabs>
          <w:tab w:val="num" w:pos="4320"/>
        </w:tabs>
        <w:ind w:left="4320" w:hanging="360"/>
      </w:pPr>
      <w:rPr>
        <w:rFonts w:ascii="Arial" w:hAnsi="Arial" w:hint="default"/>
      </w:rPr>
    </w:lvl>
    <w:lvl w:ilvl="6" w:tplc="F300F1B4" w:tentative="1">
      <w:start w:val="1"/>
      <w:numFmt w:val="bullet"/>
      <w:lvlText w:val="•"/>
      <w:lvlJc w:val="left"/>
      <w:pPr>
        <w:tabs>
          <w:tab w:val="num" w:pos="5040"/>
        </w:tabs>
        <w:ind w:left="5040" w:hanging="360"/>
      </w:pPr>
      <w:rPr>
        <w:rFonts w:ascii="Arial" w:hAnsi="Arial" w:hint="default"/>
      </w:rPr>
    </w:lvl>
    <w:lvl w:ilvl="7" w:tplc="4EC2E8D4" w:tentative="1">
      <w:start w:val="1"/>
      <w:numFmt w:val="bullet"/>
      <w:lvlText w:val="•"/>
      <w:lvlJc w:val="left"/>
      <w:pPr>
        <w:tabs>
          <w:tab w:val="num" w:pos="5760"/>
        </w:tabs>
        <w:ind w:left="5760" w:hanging="360"/>
      </w:pPr>
      <w:rPr>
        <w:rFonts w:ascii="Arial" w:hAnsi="Arial" w:hint="default"/>
      </w:rPr>
    </w:lvl>
    <w:lvl w:ilvl="8" w:tplc="D1B0D34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D9D690D"/>
    <w:multiLevelType w:val="hybridMultilevel"/>
    <w:tmpl w:val="0F6AD77C"/>
    <w:lvl w:ilvl="0" w:tplc="0409000F">
      <w:start w:val="1"/>
      <w:numFmt w:val="decimal"/>
      <w:lvlText w:val="%1."/>
      <w:lvlJc w:val="left"/>
      <w:pPr>
        <w:ind w:left="720" w:hanging="360"/>
      </w:pPr>
    </w:lvl>
    <w:lvl w:ilvl="1" w:tplc="F384BAA6">
      <w:start w:val="1"/>
      <w:numFmt w:val="decimal"/>
      <w:lvlText w:val="7.%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39C74AE"/>
    <w:multiLevelType w:val="multilevel"/>
    <w:tmpl w:val="439C74AE"/>
    <w:lvl w:ilvl="0">
      <w:start w:val="1"/>
      <w:numFmt w:val="decimal"/>
      <w:lvlText w:val="%1"/>
      <w:lvlJc w:val="left"/>
      <w:pPr>
        <w:tabs>
          <w:tab w:val="left" w:pos="840"/>
        </w:tabs>
        <w:ind w:left="120" w:firstLine="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46" w15:restartNumberingAfterBreak="0">
    <w:nsid w:val="442D4087"/>
    <w:multiLevelType w:val="hybridMultilevel"/>
    <w:tmpl w:val="6800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AD5FD7"/>
    <w:multiLevelType w:val="hybridMultilevel"/>
    <w:tmpl w:val="FF529E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6E173BC"/>
    <w:multiLevelType w:val="multilevel"/>
    <w:tmpl w:val="46E173BC"/>
    <w:lvl w:ilvl="0">
      <w:start w:val="1"/>
      <w:numFmt w:val="decimal"/>
      <w:lvlText w:val="%1"/>
      <w:lvlJc w:val="left"/>
      <w:pPr>
        <w:tabs>
          <w:tab w:val="left" w:pos="840"/>
        </w:tabs>
        <w:ind w:left="120" w:firstLine="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49" w15:restartNumberingAfterBreak="0">
    <w:nsid w:val="4D7F4ECF"/>
    <w:multiLevelType w:val="hybridMultilevel"/>
    <w:tmpl w:val="A3D6C8A4"/>
    <w:lvl w:ilvl="0" w:tplc="375E5DA6">
      <w:start w:val="1"/>
      <w:numFmt w:val="decimal"/>
      <w:lvlText w:val="5.%1"/>
      <w:lvlJc w:val="left"/>
      <w:pPr>
        <w:ind w:left="1494"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DDD4D62"/>
    <w:multiLevelType w:val="hybridMultilevel"/>
    <w:tmpl w:val="75EC5FE2"/>
    <w:lvl w:ilvl="0" w:tplc="B8284BD0">
      <w:start w:val="1"/>
      <w:numFmt w:val="decimal"/>
      <w:lvlText w:val="(%1)"/>
      <w:lvlJc w:val="left"/>
      <w:pPr>
        <w:ind w:left="720" w:hanging="360"/>
      </w:pPr>
      <w:rPr>
        <w:rFonts w:hint="default"/>
      </w:rPr>
    </w:lvl>
    <w:lvl w:ilvl="1" w:tplc="D8FCE292">
      <w:start w:val="3"/>
      <w:numFmt w:val="decimal"/>
      <w:lvlText w:val="%2"/>
      <w:lvlJc w:val="left"/>
      <w:pPr>
        <w:ind w:left="1140" w:hanging="36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1" w15:restartNumberingAfterBreak="0">
    <w:nsid w:val="4E3334B7"/>
    <w:multiLevelType w:val="hybridMultilevel"/>
    <w:tmpl w:val="3EC67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010C6D"/>
    <w:multiLevelType w:val="hybridMultilevel"/>
    <w:tmpl w:val="A3D252BA"/>
    <w:lvl w:ilvl="0" w:tplc="428441B0">
      <w:start w:val="1"/>
      <w:numFmt w:val="bullet"/>
      <w:lvlText w:val="-"/>
      <w:lvlJc w:val="left"/>
      <w:pPr>
        <w:ind w:left="420" w:hanging="420"/>
      </w:pPr>
      <w:rPr>
        <w:rFonts w:ascii="Times New Roman" w:eastAsia="MS Gothic"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50E82484"/>
    <w:multiLevelType w:val="hybridMultilevel"/>
    <w:tmpl w:val="4B8E061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736966"/>
    <w:multiLevelType w:val="hybridMultilevel"/>
    <w:tmpl w:val="82D0F83E"/>
    <w:lvl w:ilvl="0" w:tplc="03D42280">
      <w:start w:val="1"/>
      <w:numFmt w:val="decimal"/>
      <w:lvlText w:val="(%1)"/>
      <w:lvlJc w:val="left"/>
      <w:pPr>
        <w:ind w:left="1080" w:hanging="420"/>
      </w:pPr>
      <w:rPr>
        <w:rFonts w:hint="eastAsia"/>
      </w:rPr>
    </w:lvl>
    <w:lvl w:ilvl="1" w:tplc="04090017">
      <w:start w:val="1"/>
      <w:numFmt w:val="aiueoFullWidth"/>
      <w:lvlText w:val="(%2)"/>
      <w:lvlJc w:val="left"/>
      <w:pPr>
        <w:ind w:left="1500" w:hanging="420"/>
      </w:pPr>
    </w:lvl>
    <w:lvl w:ilvl="2" w:tplc="0409001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5" w15:restartNumberingAfterBreak="0">
    <w:nsid w:val="52C16E2B"/>
    <w:multiLevelType w:val="hybridMultilevel"/>
    <w:tmpl w:val="9338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4B9073D"/>
    <w:multiLevelType w:val="hybridMultilevel"/>
    <w:tmpl w:val="A62EDF26"/>
    <w:lvl w:ilvl="0" w:tplc="F8DA8418">
      <w:start w:val="2"/>
      <w:numFmt w:val="bullet"/>
      <w:lvlText w:val="-"/>
      <w:lvlJc w:val="left"/>
      <w:pPr>
        <w:ind w:left="1140" w:hanging="420"/>
      </w:pPr>
      <w:rPr>
        <w:rFonts w:ascii="Times New Roman" w:eastAsia="MS Mincho"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7" w15:restartNumberingAfterBreak="0">
    <w:nsid w:val="55B247F6"/>
    <w:multiLevelType w:val="multilevel"/>
    <w:tmpl w:val="55B247F6"/>
    <w:lvl w:ilvl="0">
      <w:start w:val="1"/>
      <w:numFmt w:val="decimal"/>
      <w:lvlText w:val="%1"/>
      <w:lvlJc w:val="left"/>
      <w:pPr>
        <w:tabs>
          <w:tab w:val="left" w:pos="840"/>
        </w:tabs>
        <w:ind w:left="120" w:firstLine="0"/>
      </w:pPr>
      <w:rPr>
        <w:rFonts w:hint="default"/>
      </w:rPr>
    </w:lvl>
    <w:lvl w:ilvl="1" w:tentative="1">
      <w:start w:val="1"/>
      <w:numFmt w:val="upperLetter"/>
      <w:lvlText w:val="%2."/>
      <w:lvlJc w:val="left"/>
      <w:pPr>
        <w:ind w:left="1200" w:hanging="400"/>
      </w:pPr>
    </w:lvl>
    <w:lvl w:ilvl="2" w:tentative="1">
      <w:start w:val="1"/>
      <w:numFmt w:val="lowerRoman"/>
      <w:lvlText w:val="%3."/>
      <w:lvlJc w:val="right"/>
      <w:pPr>
        <w:ind w:left="1600" w:hanging="400"/>
      </w:pPr>
    </w:lvl>
    <w:lvl w:ilvl="3" w:tentative="1">
      <w:start w:val="1"/>
      <w:numFmt w:val="decimal"/>
      <w:lvlText w:val="%4."/>
      <w:lvlJc w:val="left"/>
      <w:pPr>
        <w:ind w:left="2000" w:hanging="400"/>
      </w:pPr>
    </w:lvl>
    <w:lvl w:ilvl="4" w:tentative="1">
      <w:start w:val="1"/>
      <w:numFmt w:val="upperLetter"/>
      <w:lvlText w:val="%5."/>
      <w:lvlJc w:val="left"/>
      <w:pPr>
        <w:ind w:left="2400" w:hanging="400"/>
      </w:pPr>
    </w:lvl>
    <w:lvl w:ilvl="5" w:tentative="1">
      <w:start w:val="1"/>
      <w:numFmt w:val="lowerRoman"/>
      <w:lvlText w:val="%6."/>
      <w:lvlJc w:val="right"/>
      <w:pPr>
        <w:ind w:left="2800" w:hanging="400"/>
      </w:pPr>
    </w:lvl>
    <w:lvl w:ilvl="6" w:tentative="1">
      <w:start w:val="1"/>
      <w:numFmt w:val="decimal"/>
      <w:lvlText w:val="%7."/>
      <w:lvlJc w:val="left"/>
      <w:pPr>
        <w:ind w:left="3200" w:hanging="400"/>
      </w:pPr>
    </w:lvl>
    <w:lvl w:ilvl="7" w:tentative="1">
      <w:start w:val="1"/>
      <w:numFmt w:val="upperLetter"/>
      <w:lvlText w:val="%8."/>
      <w:lvlJc w:val="left"/>
      <w:pPr>
        <w:ind w:left="3600" w:hanging="400"/>
      </w:pPr>
    </w:lvl>
    <w:lvl w:ilvl="8" w:tentative="1">
      <w:start w:val="1"/>
      <w:numFmt w:val="lowerRoman"/>
      <w:lvlText w:val="%9."/>
      <w:lvlJc w:val="right"/>
      <w:pPr>
        <w:ind w:left="4000" w:hanging="400"/>
      </w:pPr>
    </w:lvl>
  </w:abstractNum>
  <w:abstractNum w:abstractNumId="58" w15:restartNumberingAfterBreak="0">
    <w:nsid w:val="560B3889"/>
    <w:multiLevelType w:val="hybridMultilevel"/>
    <w:tmpl w:val="6882D924"/>
    <w:lvl w:ilvl="0" w:tplc="50AA1E1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58126F27"/>
    <w:multiLevelType w:val="hybridMultilevel"/>
    <w:tmpl w:val="0FA6B534"/>
    <w:lvl w:ilvl="0" w:tplc="836AEF7E">
      <w:start w:val="3"/>
      <w:numFmt w:val="bullet"/>
      <w:lvlText w:val="-"/>
      <w:lvlJc w:val="left"/>
      <w:pPr>
        <w:ind w:left="1040" w:hanging="400"/>
      </w:pPr>
      <w:rPr>
        <w:rFonts w:ascii="Times New Roman" w:eastAsiaTheme="minorEastAsia" w:hAnsi="Times New Roman" w:cs="Times New Roman" w:hint="default"/>
      </w:rPr>
    </w:lvl>
    <w:lvl w:ilvl="1" w:tplc="04090003">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60" w15:restartNumberingAfterBreak="0">
    <w:nsid w:val="58EC13D6"/>
    <w:multiLevelType w:val="hybridMultilevel"/>
    <w:tmpl w:val="4F920254"/>
    <w:lvl w:ilvl="0" w:tplc="8828CB30">
      <w:start w:val="1"/>
      <w:numFmt w:val="bullet"/>
      <w:lvlText w:val="•"/>
      <w:lvlJc w:val="left"/>
      <w:pPr>
        <w:ind w:left="840" w:hanging="420"/>
      </w:pPr>
      <w:rPr>
        <w:rFonts w:ascii="Arial"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1" w15:restartNumberingAfterBreak="0">
    <w:nsid w:val="5A292A3F"/>
    <w:multiLevelType w:val="hybridMultilevel"/>
    <w:tmpl w:val="BE32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1B4D34"/>
    <w:multiLevelType w:val="hybridMultilevel"/>
    <w:tmpl w:val="F098AD28"/>
    <w:lvl w:ilvl="0" w:tplc="F8DA8418">
      <w:start w:val="2"/>
      <w:numFmt w:val="bullet"/>
      <w:lvlText w:val="-"/>
      <w:lvlJc w:val="left"/>
      <w:pPr>
        <w:ind w:left="1080" w:hanging="420"/>
      </w:pPr>
      <w:rPr>
        <w:rFonts w:ascii="Times New Roman" w:eastAsia="MS Mincho" w:hAnsi="Times New Roman" w:cs="Times New Roman"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3" w15:restartNumberingAfterBreak="0">
    <w:nsid w:val="5F5177D7"/>
    <w:multiLevelType w:val="hybridMultilevel"/>
    <w:tmpl w:val="6D083B2C"/>
    <w:lvl w:ilvl="0" w:tplc="6B5639E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608F291C"/>
    <w:multiLevelType w:val="hybridMultilevel"/>
    <w:tmpl w:val="A56CABF2"/>
    <w:lvl w:ilvl="0" w:tplc="6B5639E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19A2CC3"/>
    <w:multiLevelType w:val="multilevel"/>
    <w:tmpl w:val="619A2CC3"/>
    <w:lvl w:ilvl="0">
      <w:start w:val="1"/>
      <w:numFmt w:val="decimal"/>
      <w:lvlText w:val="%1."/>
      <w:lvlJc w:val="left"/>
      <w:pPr>
        <w:tabs>
          <w:tab w:val="left" w:pos="644"/>
        </w:tabs>
        <w:ind w:left="-4" w:firstLine="288"/>
      </w:pPr>
      <w:rPr>
        <w:rFonts w:hint="default"/>
      </w:rPr>
    </w:lvl>
    <w:lvl w:ilvl="1" w:tentative="1">
      <w:start w:val="2"/>
      <w:numFmt w:val="decimal"/>
      <w:lvlText w:val="%1.%2."/>
      <w:lvlJc w:val="left"/>
      <w:pPr>
        <w:tabs>
          <w:tab w:val="left" w:pos="911"/>
        </w:tabs>
        <w:ind w:left="911" w:hanging="915"/>
      </w:pPr>
      <w:rPr>
        <w:rFonts w:hint="default"/>
      </w:rPr>
    </w:lvl>
    <w:lvl w:ilvl="2" w:tentative="1">
      <w:start w:val="1"/>
      <w:numFmt w:val="decimal"/>
      <w:lvlText w:val="%1.%2.%3."/>
      <w:lvlJc w:val="left"/>
      <w:pPr>
        <w:tabs>
          <w:tab w:val="left" w:pos="911"/>
        </w:tabs>
        <w:ind w:left="911" w:hanging="915"/>
      </w:pPr>
      <w:rPr>
        <w:rFonts w:hint="default"/>
      </w:rPr>
    </w:lvl>
    <w:lvl w:ilvl="3" w:tentative="1">
      <w:start w:val="1"/>
      <w:numFmt w:val="decimal"/>
      <w:lvlText w:val="%1.%2.%3.%4."/>
      <w:lvlJc w:val="left"/>
      <w:pPr>
        <w:tabs>
          <w:tab w:val="left" w:pos="1076"/>
        </w:tabs>
        <w:ind w:left="1076" w:hanging="1080"/>
      </w:pPr>
      <w:rPr>
        <w:rFonts w:hint="default"/>
      </w:rPr>
    </w:lvl>
    <w:lvl w:ilvl="4" w:tentative="1">
      <w:start w:val="1"/>
      <w:numFmt w:val="decimal"/>
      <w:lvlText w:val="%1.%2.%3.%4.%5."/>
      <w:lvlJc w:val="left"/>
      <w:pPr>
        <w:tabs>
          <w:tab w:val="left" w:pos="1076"/>
        </w:tabs>
        <w:ind w:left="1076" w:hanging="1080"/>
      </w:pPr>
      <w:rPr>
        <w:rFonts w:hint="default"/>
      </w:rPr>
    </w:lvl>
    <w:lvl w:ilvl="5" w:tentative="1">
      <w:start w:val="1"/>
      <w:numFmt w:val="decimal"/>
      <w:lvlText w:val="%1.%2.%3.%4.%5.%6."/>
      <w:lvlJc w:val="left"/>
      <w:pPr>
        <w:tabs>
          <w:tab w:val="left" w:pos="1436"/>
        </w:tabs>
        <w:ind w:left="1436" w:hanging="1440"/>
      </w:pPr>
      <w:rPr>
        <w:rFonts w:hint="default"/>
      </w:rPr>
    </w:lvl>
    <w:lvl w:ilvl="6" w:tentative="1">
      <w:start w:val="1"/>
      <w:numFmt w:val="decimal"/>
      <w:lvlText w:val="%1.%2.%3.%4.%5.%6.%7."/>
      <w:lvlJc w:val="left"/>
      <w:pPr>
        <w:tabs>
          <w:tab w:val="left" w:pos="1436"/>
        </w:tabs>
        <w:ind w:left="1436" w:hanging="1440"/>
      </w:pPr>
      <w:rPr>
        <w:rFonts w:hint="default"/>
      </w:rPr>
    </w:lvl>
    <w:lvl w:ilvl="7" w:tentative="1">
      <w:start w:val="1"/>
      <w:numFmt w:val="decimal"/>
      <w:lvlText w:val="%1.%2.%3.%4.%5.%6.%7.%8."/>
      <w:lvlJc w:val="left"/>
      <w:pPr>
        <w:tabs>
          <w:tab w:val="left" w:pos="1796"/>
        </w:tabs>
        <w:ind w:left="1796" w:hanging="1800"/>
      </w:pPr>
      <w:rPr>
        <w:rFonts w:hint="default"/>
      </w:rPr>
    </w:lvl>
    <w:lvl w:ilvl="8" w:tentative="1">
      <w:start w:val="1"/>
      <w:numFmt w:val="decimal"/>
      <w:lvlText w:val="%1.%2.%3.%4.%5.%6.%7.%8.%9."/>
      <w:lvlJc w:val="left"/>
      <w:pPr>
        <w:tabs>
          <w:tab w:val="left" w:pos="1796"/>
        </w:tabs>
        <w:ind w:left="1796" w:hanging="1800"/>
      </w:pPr>
      <w:rPr>
        <w:rFonts w:hint="default"/>
      </w:rPr>
    </w:lvl>
  </w:abstractNum>
  <w:abstractNum w:abstractNumId="66" w15:restartNumberingAfterBreak="0">
    <w:nsid w:val="660C1FDB"/>
    <w:multiLevelType w:val="hybridMultilevel"/>
    <w:tmpl w:val="A418A7BC"/>
    <w:lvl w:ilvl="0" w:tplc="F8DA8418">
      <w:start w:val="2"/>
      <w:numFmt w:val="bullet"/>
      <w:lvlText w:val="-"/>
      <w:lvlJc w:val="left"/>
      <w:pPr>
        <w:ind w:left="1080" w:hanging="420"/>
      </w:pPr>
      <w:rPr>
        <w:rFonts w:ascii="Times New Roman" w:eastAsia="MS Mincho" w:hAnsi="Times New Roman" w:cs="Times New Roman"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67" w15:restartNumberingAfterBreak="0">
    <w:nsid w:val="66230A7C"/>
    <w:multiLevelType w:val="hybridMultilevel"/>
    <w:tmpl w:val="2EE08D14"/>
    <w:lvl w:ilvl="0" w:tplc="2FE852B2">
      <w:numFmt w:val="bullet"/>
      <w:lvlText w:val="•"/>
      <w:lvlJc w:val="left"/>
      <w:pPr>
        <w:ind w:left="1140" w:hanging="420"/>
      </w:pPr>
      <w:rPr>
        <w:rFonts w:ascii="Batang" w:eastAsia="Batang" w:hAnsi="Batang" w:cs="Courier New"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8" w15:restartNumberingAfterBreak="0">
    <w:nsid w:val="673D5B78"/>
    <w:multiLevelType w:val="hybridMultilevel"/>
    <w:tmpl w:val="C7D0F09A"/>
    <w:lvl w:ilvl="0" w:tplc="8828CB3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680714D1"/>
    <w:multiLevelType w:val="hybridMultilevel"/>
    <w:tmpl w:val="C8304FF4"/>
    <w:lvl w:ilvl="0" w:tplc="5B705E3E">
      <w:start w:val="1"/>
      <w:numFmt w:val="decimal"/>
      <w:lvlText w:val="1.%1"/>
      <w:lvlJc w:val="left"/>
      <w:pPr>
        <w:ind w:left="2520" w:hanging="360"/>
      </w:pPr>
    </w:lvl>
    <w:lvl w:ilvl="1" w:tplc="9B8CF55E">
      <w:start w:val="1"/>
      <w:numFmt w:val="decimal"/>
      <w:lvlText w:val="1.%2"/>
      <w:lvlJc w:val="left"/>
      <w:pPr>
        <w:ind w:left="1440" w:hanging="360"/>
      </w:pPr>
      <w:rPr>
        <w:rFonts w:hint="eastAsia"/>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9FF3628"/>
    <w:multiLevelType w:val="hybridMultilevel"/>
    <w:tmpl w:val="9080E300"/>
    <w:lvl w:ilvl="0" w:tplc="4F70FDE2">
      <w:start w:val="1"/>
      <w:numFmt w:val="decimal"/>
      <w:lvlText w:val="6.%1"/>
      <w:lvlJc w:val="left"/>
      <w:pPr>
        <w:ind w:left="1494" w:hanging="360"/>
      </w:pPr>
      <w:rPr>
        <w:rFonts w:hint="eastAsia"/>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1" w15:restartNumberingAfterBreak="0">
    <w:nsid w:val="6AE76870"/>
    <w:multiLevelType w:val="hybridMultilevel"/>
    <w:tmpl w:val="EF74DB20"/>
    <w:lvl w:ilvl="0" w:tplc="0409000F">
      <w:start w:val="1"/>
      <w:numFmt w:val="decimal"/>
      <w:lvlText w:val="%1."/>
      <w:lvlJc w:val="left"/>
      <w:pPr>
        <w:ind w:left="720" w:hanging="360"/>
      </w:pPr>
    </w:lvl>
    <w:lvl w:ilvl="1" w:tplc="32D68A4C">
      <w:start w:val="1"/>
      <w:numFmt w:val="decimal"/>
      <w:lvlText w:val="3.%2"/>
      <w:lvlJc w:val="left"/>
      <w:pPr>
        <w:ind w:left="1440" w:hanging="360"/>
      </w:pPr>
      <w:rPr>
        <w:rFonts w:hint="eastAsia"/>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6B2C4466"/>
    <w:multiLevelType w:val="hybridMultilevel"/>
    <w:tmpl w:val="BDE82586"/>
    <w:lvl w:ilvl="0" w:tplc="08888E82">
      <w:start w:val="1"/>
      <w:numFmt w:val="decimal"/>
      <w:lvlText w:val="6.%1"/>
      <w:lvlJc w:val="left"/>
      <w:pPr>
        <w:ind w:left="144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6C2E6DF7"/>
    <w:multiLevelType w:val="hybridMultilevel"/>
    <w:tmpl w:val="008C6606"/>
    <w:lvl w:ilvl="0" w:tplc="F8DA8418">
      <w:start w:val="2"/>
      <w:numFmt w:val="bullet"/>
      <w:lvlText w:val="-"/>
      <w:lvlJc w:val="left"/>
      <w:pPr>
        <w:ind w:left="1508" w:hanging="360"/>
      </w:pPr>
      <w:rPr>
        <w:rFonts w:ascii="Times New Roman" w:eastAsia="MS Mincho" w:hAnsi="Times New Roman" w:cs="Times New Roman" w:hint="default"/>
      </w:rPr>
    </w:lvl>
    <w:lvl w:ilvl="1" w:tplc="0409000B">
      <w:start w:val="1"/>
      <w:numFmt w:val="bullet"/>
      <w:lvlText w:val=""/>
      <w:lvlJc w:val="left"/>
      <w:pPr>
        <w:ind w:left="1137" w:hanging="420"/>
      </w:pPr>
      <w:rPr>
        <w:rFonts w:ascii="Wingdings" w:hAnsi="Wingdings" w:hint="default"/>
      </w:rPr>
    </w:lvl>
    <w:lvl w:ilvl="2" w:tplc="0409000D">
      <w:start w:val="1"/>
      <w:numFmt w:val="bullet"/>
      <w:lvlText w:val=""/>
      <w:lvlJc w:val="left"/>
      <w:pPr>
        <w:ind w:left="1557" w:hanging="420"/>
      </w:pPr>
      <w:rPr>
        <w:rFonts w:ascii="Wingdings" w:hAnsi="Wingdings" w:hint="default"/>
      </w:rPr>
    </w:lvl>
    <w:lvl w:ilvl="3" w:tplc="04090001">
      <w:start w:val="1"/>
      <w:numFmt w:val="bullet"/>
      <w:lvlText w:val=""/>
      <w:lvlJc w:val="left"/>
      <w:pPr>
        <w:ind w:left="1977" w:hanging="420"/>
      </w:pPr>
      <w:rPr>
        <w:rFonts w:ascii="Wingdings" w:hAnsi="Wingdings" w:hint="default"/>
      </w:rPr>
    </w:lvl>
    <w:lvl w:ilvl="4" w:tplc="0409000B">
      <w:start w:val="1"/>
      <w:numFmt w:val="bullet"/>
      <w:lvlText w:val=""/>
      <w:lvlJc w:val="left"/>
      <w:pPr>
        <w:ind w:left="2397" w:hanging="420"/>
      </w:pPr>
      <w:rPr>
        <w:rFonts w:ascii="Wingdings" w:hAnsi="Wingdings" w:hint="default"/>
      </w:rPr>
    </w:lvl>
    <w:lvl w:ilvl="5" w:tplc="0409000D">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74" w15:restartNumberingAfterBreak="0">
    <w:nsid w:val="6D564D91"/>
    <w:multiLevelType w:val="hybridMultilevel"/>
    <w:tmpl w:val="EB442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8B7543"/>
    <w:multiLevelType w:val="hybridMultilevel"/>
    <w:tmpl w:val="D6C24C8C"/>
    <w:lvl w:ilvl="0" w:tplc="F9A258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902F14"/>
    <w:multiLevelType w:val="hybridMultilevel"/>
    <w:tmpl w:val="A0DC961A"/>
    <w:lvl w:ilvl="0" w:tplc="0409000F">
      <w:start w:val="1"/>
      <w:numFmt w:val="decimal"/>
      <w:lvlText w:val="%1."/>
      <w:lvlJc w:val="left"/>
      <w:pPr>
        <w:ind w:left="720" w:hanging="360"/>
      </w:pPr>
    </w:lvl>
    <w:lvl w:ilvl="1" w:tplc="A6EC5008">
      <w:start w:val="1"/>
      <w:numFmt w:val="decimal"/>
      <w:lvlText w:val="2.%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72CB2443"/>
    <w:multiLevelType w:val="hybridMultilevel"/>
    <w:tmpl w:val="1114A9E4"/>
    <w:lvl w:ilvl="0" w:tplc="75D62072">
      <w:start w:val="22"/>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760D19DE"/>
    <w:multiLevelType w:val="hybridMultilevel"/>
    <w:tmpl w:val="42A6526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9" w15:restartNumberingAfterBreak="0">
    <w:nsid w:val="78147197"/>
    <w:multiLevelType w:val="multilevel"/>
    <w:tmpl w:val="78147197"/>
    <w:lvl w:ilvl="0">
      <w:start w:val="1"/>
      <w:numFmt w:val="decimal"/>
      <w:lvlText w:val="%1"/>
      <w:lvlJc w:val="left"/>
      <w:pPr>
        <w:tabs>
          <w:tab w:val="left" w:pos="840"/>
        </w:tabs>
        <w:ind w:left="120" w:firstLine="0"/>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80" w15:restartNumberingAfterBreak="0">
    <w:nsid w:val="78B500CC"/>
    <w:multiLevelType w:val="hybridMultilevel"/>
    <w:tmpl w:val="60E0E86E"/>
    <w:lvl w:ilvl="0" w:tplc="0409000F">
      <w:start w:val="1"/>
      <w:numFmt w:val="decimal"/>
      <w:lvlText w:val="%1."/>
      <w:lvlJc w:val="left"/>
      <w:pPr>
        <w:ind w:left="720" w:hanging="360"/>
      </w:pPr>
    </w:lvl>
    <w:lvl w:ilvl="1" w:tplc="7CE859A2">
      <w:start w:val="1"/>
      <w:numFmt w:val="decimal"/>
      <w:lvlText w:val="A.%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97010F9"/>
    <w:multiLevelType w:val="multilevel"/>
    <w:tmpl w:val="CCE86CD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9854925"/>
    <w:multiLevelType w:val="hybridMultilevel"/>
    <w:tmpl w:val="C716227A"/>
    <w:lvl w:ilvl="0" w:tplc="F8DA8418">
      <w:start w:val="2"/>
      <w:numFmt w:val="bullet"/>
      <w:lvlText w:val="-"/>
      <w:lvlJc w:val="left"/>
      <w:pPr>
        <w:ind w:left="1508"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6B12A8"/>
    <w:multiLevelType w:val="multilevel"/>
    <w:tmpl w:val="7B6B12A8"/>
    <w:lvl w:ilvl="0">
      <w:start w:val="11"/>
      <w:numFmt w:val="decimal"/>
      <w:lvlText w:val="%1."/>
      <w:lvlJc w:val="left"/>
      <w:pPr>
        <w:ind w:left="360" w:hanging="360"/>
      </w:pPr>
      <w:rPr>
        <w:rFonts w:eastAsia="SimHei"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84" w15:restartNumberingAfterBreak="0">
    <w:nsid w:val="7CE36DE5"/>
    <w:multiLevelType w:val="hybridMultilevel"/>
    <w:tmpl w:val="B3B4938E"/>
    <w:lvl w:ilvl="0" w:tplc="0409000F">
      <w:start w:val="1"/>
      <w:numFmt w:val="decimal"/>
      <w:lvlText w:val="%1."/>
      <w:lvlJc w:val="left"/>
      <w:pPr>
        <w:ind w:left="720" w:hanging="360"/>
      </w:pPr>
    </w:lvl>
    <w:lvl w:ilvl="1" w:tplc="F5AC4BAE">
      <w:start w:val="1"/>
      <w:numFmt w:val="decimal"/>
      <w:lvlText w:val="3.%2"/>
      <w:lvlJc w:val="left"/>
      <w:pPr>
        <w:ind w:left="1440" w:hanging="360"/>
      </w:pPr>
      <w:rPr>
        <w:rFonts w:hint="eastAsia"/>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7D3A682C"/>
    <w:multiLevelType w:val="hybridMultilevel"/>
    <w:tmpl w:val="38E4EEC4"/>
    <w:lvl w:ilvl="0" w:tplc="B8284BD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7D5A47D5"/>
    <w:multiLevelType w:val="hybridMultilevel"/>
    <w:tmpl w:val="9FF8840A"/>
    <w:lvl w:ilvl="0" w:tplc="03D4228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7F3140FB"/>
    <w:multiLevelType w:val="hybridMultilevel"/>
    <w:tmpl w:val="8320E826"/>
    <w:lvl w:ilvl="0" w:tplc="93D61D0A">
      <w:start w:val="1"/>
      <w:numFmt w:val="lowerRoman"/>
      <w:lvlText w:val="(%1)"/>
      <w:lvlJc w:val="left"/>
      <w:pPr>
        <w:ind w:left="3204" w:hanging="720"/>
      </w:pPr>
      <w:rPr>
        <w:rFonts w:hint="default"/>
      </w:rPr>
    </w:lvl>
    <w:lvl w:ilvl="1" w:tplc="04090017" w:tentative="1">
      <w:start w:val="1"/>
      <w:numFmt w:val="aiueoFullWidth"/>
      <w:lvlText w:val="(%2)"/>
      <w:lvlJc w:val="left"/>
      <w:pPr>
        <w:ind w:left="3324" w:hanging="420"/>
      </w:pPr>
    </w:lvl>
    <w:lvl w:ilvl="2" w:tplc="04090011" w:tentative="1">
      <w:start w:val="1"/>
      <w:numFmt w:val="decimalEnclosedCircle"/>
      <w:lvlText w:val="%3"/>
      <w:lvlJc w:val="left"/>
      <w:pPr>
        <w:ind w:left="3744" w:hanging="420"/>
      </w:pPr>
    </w:lvl>
    <w:lvl w:ilvl="3" w:tplc="0409000F" w:tentative="1">
      <w:start w:val="1"/>
      <w:numFmt w:val="decimal"/>
      <w:lvlText w:val="%4."/>
      <w:lvlJc w:val="left"/>
      <w:pPr>
        <w:ind w:left="4164" w:hanging="420"/>
      </w:pPr>
    </w:lvl>
    <w:lvl w:ilvl="4" w:tplc="04090017" w:tentative="1">
      <w:start w:val="1"/>
      <w:numFmt w:val="aiueoFullWidth"/>
      <w:lvlText w:val="(%5)"/>
      <w:lvlJc w:val="left"/>
      <w:pPr>
        <w:ind w:left="4584" w:hanging="420"/>
      </w:pPr>
    </w:lvl>
    <w:lvl w:ilvl="5" w:tplc="04090011" w:tentative="1">
      <w:start w:val="1"/>
      <w:numFmt w:val="decimalEnclosedCircle"/>
      <w:lvlText w:val="%6"/>
      <w:lvlJc w:val="left"/>
      <w:pPr>
        <w:ind w:left="5004" w:hanging="420"/>
      </w:pPr>
    </w:lvl>
    <w:lvl w:ilvl="6" w:tplc="0409000F" w:tentative="1">
      <w:start w:val="1"/>
      <w:numFmt w:val="decimal"/>
      <w:lvlText w:val="%7."/>
      <w:lvlJc w:val="left"/>
      <w:pPr>
        <w:ind w:left="5424" w:hanging="420"/>
      </w:pPr>
    </w:lvl>
    <w:lvl w:ilvl="7" w:tplc="04090017" w:tentative="1">
      <w:start w:val="1"/>
      <w:numFmt w:val="aiueoFullWidth"/>
      <w:lvlText w:val="(%8)"/>
      <w:lvlJc w:val="left"/>
      <w:pPr>
        <w:ind w:left="5844" w:hanging="420"/>
      </w:pPr>
    </w:lvl>
    <w:lvl w:ilvl="8" w:tplc="04090011" w:tentative="1">
      <w:start w:val="1"/>
      <w:numFmt w:val="decimalEnclosedCircle"/>
      <w:lvlText w:val="%9"/>
      <w:lvlJc w:val="left"/>
      <w:pPr>
        <w:ind w:left="6264" w:hanging="420"/>
      </w:pPr>
    </w:lvl>
  </w:abstractNum>
  <w:abstractNum w:abstractNumId="88" w15:restartNumberingAfterBreak="0">
    <w:nsid w:val="7F35736C"/>
    <w:multiLevelType w:val="hybridMultilevel"/>
    <w:tmpl w:val="893071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4"/>
  </w:num>
  <w:num w:numId="3">
    <w:abstractNumId w:val="30"/>
  </w:num>
  <w:num w:numId="4">
    <w:abstractNumId w:val="14"/>
  </w:num>
  <w:num w:numId="5">
    <w:abstractNumId w:val="12"/>
  </w:num>
  <w:num w:numId="6">
    <w:abstractNumId w:val="26"/>
  </w:num>
  <w:num w:numId="7">
    <w:abstractNumId w:val="42"/>
  </w:num>
  <w:num w:numId="8">
    <w:abstractNumId w:val="83"/>
  </w:num>
  <w:num w:numId="9">
    <w:abstractNumId w:val="31"/>
  </w:num>
  <w:num w:numId="10">
    <w:abstractNumId w:val="48"/>
  </w:num>
  <w:num w:numId="11">
    <w:abstractNumId w:val="45"/>
  </w:num>
  <w:num w:numId="12">
    <w:abstractNumId w:val="57"/>
  </w:num>
  <w:num w:numId="13">
    <w:abstractNumId w:val="79"/>
  </w:num>
  <w:num w:numId="14">
    <w:abstractNumId w:val="3"/>
  </w:num>
  <w:num w:numId="15">
    <w:abstractNumId w:val="65"/>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num>
  <w:num w:numId="20">
    <w:abstractNumId w:val="84"/>
  </w:num>
  <w:num w:numId="21">
    <w:abstractNumId w:val="70"/>
  </w:num>
  <w:num w:numId="2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13"/>
  </w:num>
  <w:num w:numId="25">
    <w:abstractNumId w:val="73"/>
  </w:num>
  <w:num w:numId="26">
    <w:abstractNumId w:val="50"/>
  </w:num>
  <w:num w:numId="27">
    <w:abstractNumId w:val="18"/>
  </w:num>
  <w:num w:numId="28">
    <w:abstractNumId w:val="27"/>
  </w:num>
  <w:num w:numId="29">
    <w:abstractNumId w:val="87"/>
  </w:num>
  <w:num w:numId="30">
    <w:abstractNumId w:val="53"/>
  </w:num>
  <w:num w:numId="31">
    <w:abstractNumId w:val="54"/>
  </w:num>
  <w:num w:numId="32">
    <w:abstractNumId w:val="1"/>
  </w:num>
  <w:num w:numId="33">
    <w:abstractNumId w:val="75"/>
  </w:num>
  <w:num w:numId="34">
    <w:abstractNumId w:val="77"/>
  </w:num>
  <w:num w:numId="35">
    <w:abstractNumId w:val="74"/>
  </w:num>
  <w:num w:numId="36">
    <w:abstractNumId w:val="81"/>
  </w:num>
  <w:num w:numId="37">
    <w:abstractNumId w:val="22"/>
  </w:num>
  <w:num w:numId="38">
    <w:abstractNumId w:val="61"/>
  </w:num>
  <w:num w:numId="39">
    <w:abstractNumId w:val="82"/>
  </w:num>
  <w:num w:numId="40">
    <w:abstractNumId w:val="37"/>
  </w:num>
  <w:num w:numId="41">
    <w:abstractNumId w:val="78"/>
  </w:num>
  <w:num w:numId="42">
    <w:abstractNumId w:val="46"/>
  </w:num>
  <w:num w:numId="43">
    <w:abstractNumId w:val="51"/>
  </w:num>
  <w:num w:numId="44">
    <w:abstractNumId w:val="85"/>
  </w:num>
  <w:num w:numId="45">
    <w:abstractNumId w:val="58"/>
  </w:num>
  <w:num w:numId="46">
    <w:abstractNumId w:val="10"/>
  </w:num>
  <w:num w:numId="47">
    <w:abstractNumId w:val="35"/>
  </w:num>
  <w:num w:numId="48">
    <w:abstractNumId w:val="41"/>
  </w:num>
  <w:num w:numId="49">
    <w:abstractNumId w:val="64"/>
  </w:num>
  <w:num w:numId="50">
    <w:abstractNumId w:val="33"/>
  </w:num>
  <w:num w:numId="51">
    <w:abstractNumId w:val="63"/>
  </w:num>
  <w:num w:numId="52">
    <w:abstractNumId w:val="32"/>
  </w:num>
  <w:num w:numId="53">
    <w:abstractNumId w:val="39"/>
  </w:num>
  <w:num w:numId="54">
    <w:abstractNumId w:val="52"/>
  </w:num>
  <w:num w:numId="55">
    <w:abstractNumId w:val="44"/>
  </w:num>
  <w:num w:numId="56">
    <w:abstractNumId w:val="49"/>
  </w:num>
  <w:num w:numId="57">
    <w:abstractNumId w:val="72"/>
  </w:num>
  <w:num w:numId="58">
    <w:abstractNumId w:val="16"/>
  </w:num>
  <w:num w:numId="59">
    <w:abstractNumId w:val="47"/>
  </w:num>
  <w:num w:numId="60">
    <w:abstractNumId w:val="40"/>
  </w:num>
  <w:num w:numId="61">
    <w:abstractNumId w:val="55"/>
  </w:num>
  <w:num w:numId="62">
    <w:abstractNumId w:val="24"/>
  </w:num>
  <w:num w:numId="63">
    <w:abstractNumId w:val="25"/>
  </w:num>
  <w:num w:numId="64">
    <w:abstractNumId w:val="23"/>
  </w:num>
  <w:num w:numId="65">
    <w:abstractNumId w:val="5"/>
  </w:num>
  <w:num w:numId="66">
    <w:abstractNumId w:val="38"/>
  </w:num>
  <w:num w:numId="67">
    <w:abstractNumId w:val="36"/>
  </w:num>
  <w:num w:numId="68">
    <w:abstractNumId w:val="56"/>
  </w:num>
  <w:num w:numId="69">
    <w:abstractNumId w:val="43"/>
  </w:num>
  <w:num w:numId="70">
    <w:abstractNumId w:val="20"/>
  </w:num>
  <w:num w:numId="71">
    <w:abstractNumId w:val="88"/>
  </w:num>
  <w:num w:numId="72">
    <w:abstractNumId w:val="21"/>
  </w:num>
  <w:num w:numId="73">
    <w:abstractNumId w:val="6"/>
  </w:num>
  <w:num w:numId="74">
    <w:abstractNumId w:val="0"/>
  </w:num>
  <w:num w:numId="75">
    <w:abstractNumId w:val="68"/>
  </w:num>
  <w:num w:numId="76">
    <w:abstractNumId w:val="29"/>
  </w:num>
  <w:num w:numId="77">
    <w:abstractNumId w:val="19"/>
  </w:num>
  <w:num w:numId="78">
    <w:abstractNumId w:val="7"/>
  </w:num>
  <w:num w:numId="79">
    <w:abstractNumId w:val="62"/>
  </w:num>
  <w:num w:numId="80">
    <w:abstractNumId w:val="2"/>
  </w:num>
  <w:num w:numId="81">
    <w:abstractNumId w:val="17"/>
  </w:num>
  <w:num w:numId="82">
    <w:abstractNumId w:val="15"/>
  </w:num>
  <w:num w:numId="83">
    <w:abstractNumId w:val="60"/>
  </w:num>
  <w:num w:numId="84">
    <w:abstractNumId w:val="34"/>
  </w:num>
  <w:num w:numId="85">
    <w:abstractNumId w:val="66"/>
  </w:num>
  <w:num w:numId="86">
    <w:abstractNumId w:val="9"/>
  </w:num>
  <w:num w:numId="87">
    <w:abstractNumId w:val="28"/>
  </w:num>
  <w:num w:numId="88">
    <w:abstractNumId w:val="67"/>
  </w:num>
  <w:num w:numId="89">
    <w:abstractNumId w:val="86"/>
  </w:num>
  <w:num w:numId="90">
    <w:abstractNumId w:val="1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rawingGridHorizontalSpacing w:val="120"/>
  <w:noPunctuationKerning/>
  <w:characterSpacingControl w:val="doNotCompress"/>
  <w:hdrShapeDefaults>
    <o:shapedefaults v:ext="edit" spidmax="2049"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135"/>
    <w:rsid w:val="00001B93"/>
    <w:rsid w:val="00002FAF"/>
    <w:rsid w:val="00003315"/>
    <w:rsid w:val="00004EC8"/>
    <w:rsid w:val="000058DB"/>
    <w:rsid w:val="00010A20"/>
    <w:rsid w:val="00012DDA"/>
    <w:rsid w:val="00013778"/>
    <w:rsid w:val="00013F65"/>
    <w:rsid w:val="00014E66"/>
    <w:rsid w:val="000179F1"/>
    <w:rsid w:val="00020992"/>
    <w:rsid w:val="00022E3B"/>
    <w:rsid w:val="0002335F"/>
    <w:rsid w:val="00024974"/>
    <w:rsid w:val="000261AA"/>
    <w:rsid w:val="000263FF"/>
    <w:rsid w:val="00027570"/>
    <w:rsid w:val="00027D4E"/>
    <w:rsid w:val="0003141F"/>
    <w:rsid w:val="00033C73"/>
    <w:rsid w:val="00035337"/>
    <w:rsid w:val="0003595B"/>
    <w:rsid w:val="00036B40"/>
    <w:rsid w:val="00036BAF"/>
    <w:rsid w:val="000425BF"/>
    <w:rsid w:val="000430A7"/>
    <w:rsid w:val="00043646"/>
    <w:rsid w:val="00045CE9"/>
    <w:rsid w:val="0004675B"/>
    <w:rsid w:val="00047B2C"/>
    <w:rsid w:val="00047F50"/>
    <w:rsid w:val="0005177F"/>
    <w:rsid w:val="000549B5"/>
    <w:rsid w:val="00055260"/>
    <w:rsid w:val="00055EF1"/>
    <w:rsid w:val="000560DF"/>
    <w:rsid w:val="00056616"/>
    <w:rsid w:val="00056713"/>
    <w:rsid w:val="00057405"/>
    <w:rsid w:val="00057495"/>
    <w:rsid w:val="00057814"/>
    <w:rsid w:val="0006023A"/>
    <w:rsid w:val="000603A3"/>
    <w:rsid w:val="000614F6"/>
    <w:rsid w:val="0006571E"/>
    <w:rsid w:val="00066D95"/>
    <w:rsid w:val="00067E5B"/>
    <w:rsid w:val="000715FF"/>
    <w:rsid w:val="00072E95"/>
    <w:rsid w:val="00077288"/>
    <w:rsid w:val="00080153"/>
    <w:rsid w:val="000840EE"/>
    <w:rsid w:val="000848AD"/>
    <w:rsid w:val="00084B09"/>
    <w:rsid w:val="00084B24"/>
    <w:rsid w:val="000850D7"/>
    <w:rsid w:val="00086EC0"/>
    <w:rsid w:val="00087A6B"/>
    <w:rsid w:val="00087CC9"/>
    <w:rsid w:val="00087FAA"/>
    <w:rsid w:val="00091192"/>
    <w:rsid w:val="000913C6"/>
    <w:rsid w:val="00092494"/>
    <w:rsid w:val="00092E65"/>
    <w:rsid w:val="00093281"/>
    <w:rsid w:val="00093C66"/>
    <w:rsid w:val="00095258"/>
    <w:rsid w:val="000A00DC"/>
    <w:rsid w:val="000A00F2"/>
    <w:rsid w:val="000A2BA4"/>
    <w:rsid w:val="000A41E2"/>
    <w:rsid w:val="000A58CC"/>
    <w:rsid w:val="000A6010"/>
    <w:rsid w:val="000B0964"/>
    <w:rsid w:val="000B0B13"/>
    <w:rsid w:val="000B0D67"/>
    <w:rsid w:val="000B2C84"/>
    <w:rsid w:val="000B41AF"/>
    <w:rsid w:val="000B5169"/>
    <w:rsid w:val="000B56A8"/>
    <w:rsid w:val="000B67FC"/>
    <w:rsid w:val="000B7C9E"/>
    <w:rsid w:val="000C0AE1"/>
    <w:rsid w:val="000C2FE2"/>
    <w:rsid w:val="000C3AC3"/>
    <w:rsid w:val="000C5289"/>
    <w:rsid w:val="000C5ED0"/>
    <w:rsid w:val="000C6C02"/>
    <w:rsid w:val="000D0B77"/>
    <w:rsid w:val="000D0B9A"/>
    <w:rsid w:val="000D0CEB"/>
    <w:rsid w:val="000D0E8B"/>
    <w:rsid w:val="000D0EDC"/>
    <w:rsid w:val="000D45A9"/>
    <w:rsid w:val="000D58E4"/>
    <w:rsid w:val="000D6AB5"/>
    <w:rsid w:val="000D6ECB"/>
    <w:rsid w:val="000D7252"/>
    <w:rsid w:val="000D796E"/>
    <w:rsid w:val="000D7DF9"/>
    <w:rsid w:val="000E0227"/>
    <w:rsid w:val="000E53C3"/>
    <w:rsid w:val="000E6AB8"/>
    <w:rsid w:val="000E753C"/>
    <w:rsid w:val="000E77B5"/>
    <w:rsid w:val="000F12F1"/>
    <w:rsid w:val="000F1FA1"/>
    <w:rsid w:val="000F2ADA"/>
    <w:rsid w:val="000F5540"/>
    <w:rsid w:val="000F55F6"/>
    <w:rsid w:val="000F788F"/>
    <w:rsid w:val="0010180F"/>
    <w:rsid w:val="00102028"/>
    <w:rsid w:val="001023C2"/>
    <w:rsid w:val="00102E2E"/>
    <w:rsid w:val="00105ECB"/>
    <w:rsid w:val="001101F9"/>
    <w:rsid w:val="00111543"/>
    <w:rsid w:val="00112685"/>
    <w:rsid w:val="00112A32"/>
    <w:rsid w:val="00115673"/>
    <w:rsid w:val="00115923"/>
    <w:rsid w:val="00117D08"/>
    <w:rsid w:val="001253DA"/>
    <w:rsid w:val="00126637"/>
    <w:rsid w:val="00127EF1"/>
    <w:rsid w:val="00131591"/>
    <w:rsid w:val="00131E92"/>
    <w:rsid w:val="00133D7A"/>
    <w:rsid w:val="0013536C"/>
    <w:rsid w:val="00137EAC"/>
    <w:rsid w:val="001423DB"/>
    <w:rsid w:val="0014660B"/>
    <w:rsid w:val="00146AEF"/>
    <w:rsid w:val="00152759"/>
    <w:rsid w:val="001531EF"/>
    <w:rsid w:val="00153CBC"/>
    <w:rsid w:val="00154037"/>
    <w:rsid w:val="00161906"/>
    <w:rsid w:val="00161A3D"/>
    <w:rsid w:val="00161C6A"/>
    <w:rsid w:val="00162F79"/>
    <w:rsid w:val="00164851"/>
    <w:rsid w:val="00164FF2"/>
    <w:rsid w:val="00167272"/>
    <w:rsid w:val="00167C75"/>
    <w:rsid w:val="001711C3"/>
    <w:rsid w:val="001717DA"/>
    <w:rsid w:val="00171AFD"/>
    <w:rsid w:val="00172132"/>
    <w:rsid w:val="00172845"/>
    <w:rsid w:val="0017324F"/>
    <w:rsid w:val="001758E6"/>
    <w:rsid w:val="00177210"/>
    <w:rsid w:val="001815E2"/>
    <w:rsid w:val="00183047"/>
    <w:rsid w:val="00183BFF"/>
    <w:rsid w:val="00184019"/>
    <w:rsid w:val="0018405A"/>
    <w:rsid w:val="00184318"/>
    <w:rsid w:val="001857D6"/>
    <w:rsid w:val="001868EB"/>
    <w:rsid w:val="0018747D"/>
    <w:rsid w:val="0019052F"/>
    <w:rsid w:val="0019339C"/>
    <w:rsid w:val="00193CCC"/>
    <w:rsid w:val="00196568"/>
    <w:rsid w:val="001A0586"/>
    <w:rsid w:val="001A06CD"/>
    <w:rsid w:val="001A1904"/>
    <w:rsid w:val="001A321F"/>
    <w:rsid w:val="001A3F89"/>
    <w:rsid w:val="001A409F"/>
    <w:rsid w:val="001A42A1"/>
    <w:rsid w:val="001A5559"/>
    <w:rsid w:val="001A62B8"/>
    <w:rsid w:val="001A6552"/>
    <w:rsid w:val="001B0135"/>
    <w:rsid w:val="001B0456"/>
    <w:rsid w:val="001B18C2"/>
    <w:rsid w:val="001B1E4B"/>
    <w:rsid w:val="001B34D0"/>
    <w:rsid w:val="001B35FE"/>
    <w:rsid w:val="001B4A3E"/>
    <w:rsid w:val="001B730B"/>
    <w:rsid w:val="001C181A"/>
    <w:rsid w:val="001C230F"/>
    <w:rsid w:val="001C7533"/>
    <w:rsid w:val="001D0CFF"/>
    <w:rsid w:val="001D106F"/>
    <w:rsid w:val="001D2C23"/>
    <w:rsid w:val="001D3A1C"/>
    <w:rsid w:val="001D5D7E"/>
    <w:rsid w:val="001D6298"/>
    <w:rsid w:val="001D7137"/>
    <w:rsid w:val="001E0DD4"/>
    <w:rsid w:val="001E1BB2"/>
    <w:rsid w:val="001E237D"/>
    <w:rsid w:val="001E3760"/>
    <w:rsid w:val="001E3AE5"/>
    <w:rsid w:val="001E7320"/>
    <w:rsid w:val="001E73DB"/>
    <w:rsid w:val="001E7AA4"/>
    <w:rsid w:val="001F07FE"/>
    <w:rsid w:val="001F0B42"/>
    <w:rsid w:val="001F1097"/>
    <w:rsid w:val="001F1EF4"/>
    <w:rsid w:val="001F2DF3"/>
    <w:rsid w:val="001F34A1"/>
    <w:rsid w:val="001F3871"/>
    <w:rsid w:val="001F6B20"/>
    <w:rsid w:val="002006C9"/>
    <w:rsid w:val="002008C2"/>
    <w:rsid w:val="00200D08"/>
    <w:rsid w:val="002034BE"/>
    <w:rsid w:val="00203718"/>
    <w:rsid w:val="00204062"/>
    <w:rsid w:val="00205613"/>
    <w:rsid w:val="0020583E"/>
    <w:rsid w:val="0020776E"/>
    <w:rsid w:val="00212CF8"/>
    <w:rsid w:val="00215B23"/>
    <w:rsid w:val="00217579"/>
    <w:rsid w:val="0022023E"/>
    <w:rsid w:val="00222431"/>
    <w:rsid w:val="002247FE"/>
    <w:rsid w:val="00230088"/>
    <w:rsid w:val="00230ECC"/>
    <w:rsid w:val="00232314"/>
    <w:rsid w:val="002326C6"/>
    <w:rsid w:val="00232B1C"/>
    <w:rsid w:val="00233000"/>
    <w:rsid w:val="002335F0"/>
    <w:rsid w:val="00240582"/>
    <w:rsid w:val="00243DC1"/>
    <w:rsid w:val="002444DC"/>
    <w:rsid w:val="002463E9"/>
    <w:rsid w:val="00253258"/>
    <w:rsid w:val="00254A1B"/>
    <w:rsid w:val="002555B6"/>
    <w:rsid w:val="00256079"/>
    <w:rsid w:val="002568A7"/>
    <w:rsid w:val="00256B64"/>
    <w:rsid w:val="00257A20"/>
    <w:rsid w:val="00262EAB"/>
    <w:rsid w:val="0026314E"/>
    <w:rsid w:val="00265F19"/>
    <w:rsid w:val="002705C7"/>
    <w:rsid w:val="0027068B"/>
    <w:rsid w:val="002706EF"/>
    <w:rsid w:val="00270EE1"/>
    <w:rsid w:val="00272418"/>
    <w:rsid w:val="002740CF"/>
    <w:rsid w:val="0027669F"/>
    <w:rsid w:val="0028145F"/>
    <w:rsid w:val="00282C41"/>
    <w:rsid w:val="00283849"/>
    <w:rsid w:val="0028454D"/>
    <w:rsid w:val="002860FA"/>
    <w:rsid w:val="00286969"/>
    <w:rsid w:val="00287A99"/>
    <w:rsid w:val="00287C27"/>
    <w:rsid w:val="00290DF6"/>
    <w:rsid w:val="00291726"/>
    <w:rsid w:val="002922B1"/>
    <w:rsid w:val="002926D4"/>
    <w:rsid w:val="002951F1"/>
    <w:rsid w:val="00295202"/>
    <w:rsid w:val="0029527C"/>
    <w:rsid w:val="002A02DD"/>
    <w:rsid w:val="002A1CB1"/>
    <w:rsid w:val="002A3677"/>
    <w:rsid w:val="002A6379"/>
    <w:rsid w:val="002A650F"/>
    <w:rsid w:val="002A6569"/>
    <w:rsid w:val="002A6D5A"/>
    <w:rsid w:val="002A71ED"/>
    <w:rsid w:val="002B029A"/>
    <w:rsid w:val="002B12EF"/>
    <w:rsid w:val="002B2855"/>
    <w:rsid w:val="002B4EF4"/>
    <w:rsid w:val="002B699A"/>
    <w:rsid w:val="002C07DA"/>
    <w:rsid w:val="002C31FF"/>
    <w:rsid w:val="002C3306"/>
    <w:rsid w:val="002C3B69"/>
    <w:rsid w:val="002C47D4"/>
    <w:rsid w:val="002C55C5"/>
    <w:rsid w:val="002C5D81"/>
    <w:rsid w:val="002C7EA9"/>
    <w:rsid w:val="002C7F7D"/>
    <w:rsid w:val="002D2FEE"/>
    <w:rsid w:val="002D58FF"/>
    <w:rsid w:val="002D62D4"/>
    <w:rsid w:val="002D7EE6"/>
    <w:rsid w:val="002E12FF"/>
    <w:rsid w:val="002E219C"/>
    <w:rsid w:val="002E21F7"/>
    <w:rsid w:val="002E4A4A"/>
    <w:rsid w:val="002E4D59"/>
    <w:rsid w:val="002E7057"/>
    <w:rsid w:val="002E7294"/>
    <w:rsid w:val="002E7497"/>
    <w:rsid w:val="002F1F67"/>
    <w:rsid w:val="002F24E8"/>
    <w:rsid w:val="002F2817"/>
    <w:rsid w:val="002F300D"/>
    <w:rsid w:val="002F3279"/>
    <w:rsid w:val="002F37EF"/>
    <w:rsid w:val="002F56D9"/>
    <w:rsid w:val="002F5CAB"/>
    <w:rsid w:val="002F61FA"/>
    <w:rsid w:val="002F7C91"/>
    <w:rsid w:val="00300166"/>
    <w:rsid w:val="00300903"/>
    <w:rsid w:val="00301772"/>
    <w:rsid w:val="003049ED"/>
    <w:rsid w:val="00306761"/>
    <w:rsid w:val="00307AD1"/>
    <w:rsid w:val="00310F2E"/>
    <w:rsid w:val="00311640"/>
    <w:rsid w:val="00311692"/>
    <w:rsid w:val="00315A88"/>
    <w:rsid w:val="00317664"/>
    <w:rsid w:val="0032037A"/>
    <w:rsid w:val="00321156"/>
    <w:rsid w:val="00321A4C"/>
    <w:rsid w:val="003227B1"/>
    <w:rsid w:val="00322F02"/>
    <w:rsid w:val="00324755"/>
    <w:rsid w:val="0032476B"/>
    <w:rsid w:val="0032757F"/>
    <w:rsid w:val="00330A14"/>
    <w:rsid w:val="003312CB"/>
    <w:rsid w:val="0033335E"/>
    <w:rsid w:val="003340C3"/>
    <w:rsid w:val="00341B55"/>
    <w:rsid w:val="00341C88"/>
    <w:rsid w:val="00343A12"/>
    <w:rsid w:val="00343FB0"/>
    <w:rsid w:val="0034470D"/>
    <w:rsid w:val="00344A80"/>
    <w:rsid w:val="00347CC3"/>
    <w:rsid w:val="00347D2C"/>
    <w:rsid w:val="00350934"/>
    <w:rsid w:val="00351465"/>
    <w:rsid w:val="00351C8D"/>
    <w:rsid w:val="003549EF"/>
    <w:rsid w:val="003552A8"/>
    <w:rsid w:val="00355DFD"/>
    <w:rsid w:val="00356CAC"/>
    <w:rsid w:val="003570D9"/>
    <w:rsid w:val="00357C2B"/>
    <w:rsid w:val="00360B25"/>
    <w:rsid w:val="00361023"/>
    <w:rsid w:val="0036111C"/>
    <w:rsid w:val="003611CB"/>
    <w:rsid w:val="00362A10"/>
    <w:rsid w:val="00363101"/>
    <w:rsid w:val="003655A2"/>
    <w:rsid w:val="00367C0F"/>
    <w:rsid w:val="003701E1"/>
    <w:rsid w:val="003707AF"/>
    <w:rsid w:val="003717E1"/>
    <w:rsid w:val="003801B0"/>
    <w:rsid w:val="003801C6"/>
    <w:rsid w:val="0038081A"/>
    <w:rsid w:val="00381A9C"/>
    <w:rsid w:val="00381D2D"/>
    <w:rsid w:val="00385882"/>
    <w:rsid w:val="003859A9"/>
    <w:rsid w:val="003862CE"/>
    <w:rsid w:val="00386671"/>
    <w:rsid w:val="00386A2B"/>
    <w:rsid w:val="00386B03"/>
    <w:rsid w:val="00393AC9"/>
    <w:rsid w:val="00394D42"/>
    <w:rsid w:val="0039755A"/>
    <w:rsid w:val="003A1CB9"/>
    <w:rsid w:val="003A3142"/>
    <w:rsid w:val="003A58FB"/>
    <w:rsid w:val="003A5942"/>
    <w:rsid w:val="003A5BB6"/>
    <w:rsid w:val="003A6DF5"/>
    <w:rsid w:val="003A76A2"/>
    <w:rsid w:val="003B09DA"/>
    <w:rsid w:val="003B1EA5"/>
    <w:rsid w:val="003B2034"/>
    <w:rsid w:val="003B2F89"/>
    <w:rsid w:val="003B3D2F"/>
    <w:rsid w:val="003B4CBD"/>
    <w:rsid w:val="003B5903"/>
    <w:rsid w:val="003B6263"/>
    <w:rsid w:val="003C00F9"/>
    <w:rsid w:val="003C0DB1"/>
    <w:rsid w:val="003C248E"/>
    <w:rsid w:val="003C324E"/>
    <w:rsid w:val="003C3D48"/>
    <w:rsid w:val="003C56DC"/>
    <w:rsid w:val="003C64A7"/>
    <w:rsid w:val="003C6ADB"/>
    <w:rsid w:val="003C74A0"/>
    <w:rsid w:val="003C7FC8"/>
    <w:rsid w:val="003D1C10"/>
    <w:rsid w:val="003D3957"/>
    <w:rsid w:val="003D3A77"/>
    <w:rsid w:val="003D3FDA"/>
    <w:rsid w:val="003D5AEA"/>
    <w:rsid w:val="003D5E76"/>
    <w:rsid w:val="003D6F46"/>
    <w:rsid w:val="003D77C7"/>
    <w:rsid w:val="003D7E5F"/>
    <w:rsid w:val="003E0198"/>
    <w:rsid w:val="003E22E7"/>
    <w:rsid w:val="003E2C8E"/>
    <w:rsid w:val="003E35DB"/>
    <w:rsid w:val="003E3983"/>
    <w:rsid w:val="003E3A05"/>
    <w:rsid w:val="003F2EF3"/>
    <w:rsid w:val="003F3286"/>
    <w:rsid w:val="003F5BC5"/>
    <w:rsid w:val="003F6C2A"/>
    <w:rsid w:val="00400140"/>
    <w:rsid w:val="00402B32"/>
    <w:rsid w:val="004040DF"/>
    <w:rsid w:val="00404FC1"/>
    <w:rsid w:val="0040536D"/>
    <w:rsid w:val="00406404"/>
    <w:rsid w:val="004078C2"/>
    <w:rsid w:val="004101CB"/>
    <w:rsid w:val="004135B5"/>
    <w:rsid w:val="00414DBB"/>
    <w:rsid w:val="0041563D"/>
    <w:rsid w:val="00415E27"/>
    <w:rsid w:val="00416AB7"/>
    <w:rsid w:val="00420822"/>
    <w:rsid w:val="004219C6"/>
    <w:rsid w:val="004220F5"/>
    <w:rsid w:val="00422EC6"/>
    <w:rsid w:val="00423806"/>
    <w:rsid w:val="00424EEF"/>
    <w:rsid w:val="004266A1"/>
    <w:rsid w:val="00427164"/>
    <w:rsid w:val="00427F32"/>
    <w:rsid w:val="00431515"/>
    <w:rsid w:val="004339DC"/>
    <w:rsid w:val="004364C8"/>
    <w:rsid w:val="0043657F"/>
    <w:rsid w:val="00436B75"/>
    <w:rsid w:val="00436DF8"/>
    <w:rsid w:val="00437E09"/>
    <w:rsid w:val="004404D9"/>
    <w:rsid w:val="00442787"/>
    <w:rsid w:val="00443029"/>
    <w:rsid w:val="00446811"/>
    <w:rsid w:val="0044717D"/>
    <w:rsid w:val="0045269B"/>
    <w:rsid w:val="00452DA0"/>
    <w:rsid w:val="00454014"/>
    <w:rsid w:val="00454542"/>
    <w:rsid w:val="0045458F"/>
    <w:rsid w:val="00454B39"/>
    <w:rsid w:val="00461CD8"/>
    <w:rsid w:val="0046480A"/>
    <w:rsid w:val="004653F4"/>
    <w:rsid w:val="00465B42"/>
    <w:rsid w:val="00465F0F"/>
    <w:rsid w:val="0047098C"/>
    <w:rsid w:val="00470F65"/>
    <w:rsid w:val="00471F4B"/>
    <w:rsid w:val="0047348E"/>
    <w:rsid w:val="00475883"/>
    <w:rsid w:val="00475955"/>
    <w:rsid w:val="00475D20"/>
    <w:rsid w:val="0047784B"/>
    <w:rsid w:val="00480A12"/>
    <w:rsid w:val="004813CF"/>
    <w:rsid w:val="00482A66"/>
    <w:rsid w:val="00482F00"/>
    <w:rsid w:val="00483303"/>
    <w:rsid w:val="0048379D"/>
    <w:rsid w:val="0048463F"/>
    <w:rsid w:val="004857C0"/>
    <w:rsid w:val="00485F51"/>
    <w:rsid w:val="00486FB7"/>
    <w:rsid w:val="00491FBE"/>
    <w:rsid w:val="00494018"/>
    <w:rsid w:val="004947D4"/>
    <w:rsid w:val="004A2237"/>
    <w:rsid w:val="004A3224"/>
    <w:rsid w:val="004A72B7"/>
    <w:rsid w:val="004A7D55"/>
    <w:rsid w:val="004B22F6"/>
    <w:rsid w:val="004B38F2"/>
    <w:rsid w:val="004B3E44"/>
    <w:rsid w:val="004B55E5"/>
    <w:rsid w:val="004B7F6F"/>
    <w:rsid w:val="004C1B50"/>
    <w:rsid w:val="004C2EA9"/>
    <w:rsid w:val="004C57AA"/>
    <w:rsid w:val="004C693A"/>
    <w:rsid w:val="004C75D4"/>
    <w:rsid w:val="004C7B47"/>
    <w:rsid w:val="004C7F39"/>
    <w:rsid w:val="004D64A1"/>
    <w:rsid w:val="004D6E56"/>
    <w:rsid w:val="004D7A8D"/>
    <w:rsid w:val="004E033C"/>
    <w:rsid w:val="004E1373"/>
    <w:rsid w:val="004E1FC0"/>
    <w:rsid w:val="004E5201"/>
    <w:rsid w:val="004E7324"/>
    <w:rsid w:val="004E7829"/>
    <w:rsid w:val="004E7883"/>
    <w:rsid w:val="004F0322"/>
    <w:rsid w:val="004F1E47"/>
    <w:rsid w:val="004F2132"/>
    <w:rsid w:val="004F2A83"/>
    <w:rsid w:val="004F41C5"/>
    <w:rsid w:val="004F52B0"/>
    <w:rsid w:val="004F5457"/>
    <w:rsid w:val="004F5D65"/>
    <w:rsid w:val="004F5F4E"/>
    <w:rsid w:val="00500BC2"/>
    <w:rsid w:val="00501B3A"/>
    <w:rsid w:val="00502EB8"/>
    <w:rsid w:val="005045CD"/>
    <w:rsid w:val="00504774"/>
    <w:rsid w:val="005057FE"/>
    <w:rsid w:val="005077AE"/>
    <w:rsid w:val="00511AB3"/>
    <w:rsid w:val="00513CB9"/>
    <w:rsid w:val="00514D17"/>
    <w:rsid w:val="00515E43"/>
    <w:rsid w:val="00516619"/>
    <w:rsid w:val="00516F96"/>
    <w:rsid w:val="00517AF4"/>
    <w:rsid w:val="00520655"/>
    <w:rsid w:val="00522145"/>
    <w:rsid w:val="00523564"/>
    <w:rsid w:val="0052698D"/>
    <w:rsid w:val="00526D6C"/>
    <w:rsid w:val="00527329"/>
    <w:rsid w:val="005278FE"/>
    <w:rsid w:val="00530E8C"/>
    <w:rsid w:val="00532812"/>
    <w:rsid w:val="00533396"/>
    <w:rsid w:val="00533D82"/>
    <w:rsid w:val="005344F9"/>
    <w:rsid w:val="00534C22"/>
    <w:rsid w:val="00534D2D"/>
    <w:rsid w:val="00534E8E"/>
    <w:rsid w:val="005358BF"/>
    <w:rsid w:val="0053613D"/>
    <w:rsid w:val="00536919"/>
    <w:rsid w:val="00536E37"/>
    <w:rsid w:val="005402CA"/>
    <w:rsid w:val="00540F5F"/>
    <w:rsid w:val="00540F76"/>
    <w:rsid w:val="005414D6"/>
    <w:rsid w:val="00542D5A"/>
    <w:rsid w:val="00544BE1"/>
    <w:rsid w:val="00545405"/>
    <w:rsid w:val="00545AA9"/>
    <w:rsid w:val="00545F9A"/>
    <w:rsid w:val="0054772A"/>
    <w:rsid w:val="00554B09"/>
    <w:rsid w:val="0055590A"/>
    <w:rsid w:val="00556443"/>
    <w:rsid w:val="00556B39"/>
    <w:rsid w:val="005572B6"/>
    <w:rsid w:val="005576E9"/>
    <w:rsid w:val="0056080A"/>
    <w:rsid w:val="00561475"/>
    <w:rsid w:val="00561F79"/>
    <w:rsid w:val="0056267E"/>
    <w:rsid w:val="00563196"/>
    <w:rsid w:val="005648A5"/>
    <w:rsid w:val="005656BA"/>
    <w:rsid w:val="00566C18"/>
    <w:rsid w:val="00570125"/>
    <w:rsid w:val="00571A75"/>
    <w:rsid w:val="00572B30"/>
    <w:rsid w:val="005734D1"/>
    <w:rsid w:val="00573B37"/>
    <w:rsid w:val="00574505"/>
    <w:rsid w:val="00574670"/>
    <w:rsid w:val="00574A42"/>
    <w:rsid w:val="00574E67"/>
    <w:rsid w:val="005751C4"/>
    <w:rsid w:val="0057582A"/>
    <w:rsid w:val="005803C9"/>
    <w:rsid w:val="005824FB"/>
    <w:rsid w:val="005825CF"/>
    <w:rsid w:val="00582D2D"/>
    <w:rsid w:val="00582DB4"/>
    <w:rsid w:val="005833B9"/>
    <w:rsid w:val="0058436F"/>
    <w:rsid w:val="005843E0"/>
    <w:rsid w:val="00584552"/>
    <w:rsid w:val="00587875"/>
    <w:rsid w:val="00591400"/>
    <w:rsid w:val="00591E63"/>
    <w:rsid w:val="00593716"/>
    <w:rsid w:val="005947BE"/>
    <w:rsid w:val="00595036"/>
    <w:rsid w:val="005979C3"/>
    <w:rsid w:val="005A0F71"/>
    <w:rsid w:val="005A1309"/>
    <w:rsid w:val="005A15C8"/>
    <w:rsid w:val="005A16EF"/>
    <w:rsid w:val="005A3A8B"/>
    <w:rsid w:val="005A3F04"/>
    <w:rsid w:val="005A4580"/>
    <w:rsid w:val="005A5C44"/>
    <w:rsid w:val="005A6B33"/>
    <w:rsid w:val="005A6B7B"/>
    <w:rsid w:val="005A6F0E"/>
    <w:rsid w:val="005A6F9D"/>
    <w:rsid w:val="005A7B0A"/>
    <w:rsid w:val="005B2D95"/>
    <w:rsid w:val="005C00E4"/>
    <w:rsid w:val="005C432D"/>
    <w:rsid w:val="005C7931"/>
    <w:rsid w:val="005D03E1"/>
    <w:rsid w:val="005D074B"/>
    <w:rsid w:val="005D12CF"/>
    <w:rsid w:val="005D2657"/>
    <w:rsid w:val="005D267F"/>
    <w:rsid w:val="005D2688"/>
    <w:rsid w:val="005D2B02"/>
    <w:rsid w:val="005D2BB2"/>
    <w:rsid w:val="005D3212"/>
    <w:rsid w:val="005D3DD6"/>
    <w:rsid w:val="005D4849"/>
    <w:rsid w:val="005D4B5F"/>
    <w:rsid w:val="005D4FE5"/>
    <w:rsid w:val="005E4085"/>
    <w:rsid w:val="005E4439"/>
    <w:rsid w:val="005E4F81"/>
    <w:rsid w:val="005E5092"/>
    <w:rsid w:val="005E6B6C"/>
    <w:rsid w:val="005E7D76"/>
    <w:rsid w:val="005F0D6E"/>
    <w:rsid w:val="005F1BBA"/>
    <w:rsid w:val="005F2A9B"/>
    <w:rsid w:val="005F2B90"/>
    <w:rsid w:val="005F4DEC"/>
    <w:rsid w:val="005F4F88"/>
    <w:rsid w:val="005F558F"/>
    <w:rsid w:val="005F7328"/>
    <w:rsid w:val="005F79FE"/>
    <w:rsid w:val="00601A28"/>
    <w:rsid w:val="00602842"/>
    <w:rsid w:val="00602935"/>
    <w:rsid w:val="00605F64"/>
    <w:rsid w:val="0060779B"/>
    <w:rsid w:val="00607DBE"/>
    <w:rsid w:val="00607E2B"/>
    <w:rsid w:val="0061058D"/>
    <w:rsid w:val="0061067B"/>
    <w:rsid w:val="0061625A"/>
    <w:rsid w:val="006166AC"/>
    <w:rsid w:val="00616E98"/>
    <w:rsid w:val="006217EA"/>
    <w:rsid w:val="00622DE6"/>
    <w:rsid w:val="0063062B"/>
    <w:rsid w:val="00630F9A"/>
    <w:rsid w:val="006325E0"/>
    <w:rsid w:val="00632C7C"/>
    <w:rsid w:val="00632CA7"/>
    <w:rsid w:val="00640FD4"/>
    <w:rsid w:val="00641BAD"/>
    <w:rsid w:val="006432C5"/>
    <w:rsid w:val="006459BE"/>
    <w:rsid w:val="0064609A"/>
    <w:rsid w:val="00650F4C"/>
    <w:rsid w:val="00652891"/>
    <w:rsid w:val="00656502"/>
    <w:rsid w:val="00656773"/>
    <w:rsid w:val="00660166"/>
    <w:rsid w:val="006602B0"/>
    <w:rsid w:val="00661E36"/>
    <w:rsid w:val="00666338"/>
    <w:rsid w:val="00667229"/>
    <w:rsid w:val="00670C25"/>
    <w:rsid w:val="00672BB3"/>
    <w:rsid w:val="00673112"/>
    <w:rsid w:val="00673CCB"/>
    <w:rsid w:val="00673DC2"/>
    <w:rsid w:val="00674136"/>
    <w:rsid w:val="00674F9B"/>
    <w:rsid w:val="00675192"/>
    <w:rsid w:val="006802E5"/>
    <w:rsid w:val="00681BE2"/>
    <w:rsid w:val="006821C0"/>
    <w:rsid w:val="006823AE"/>
    <w:rsid w:val="00682BE5"/>
    <w:rsid w:val="006853AA"/>
    <w:rsid w:val="006920E2"/>
    <w:rsid w:val="006927B9"/>
    <w:rsid w:val="006929B1"/>
    <w:rsid w:val="00693EE3"/>
    <w:rsid w:val="00696829"/>
    <w:rsid w:val="006979DF"/>
    <w:rsid w:val="006A08A0"/>
    <w:rsid w:val="006A0C15"/>
    <w:rsid w:val="006A261F"/>
    <w:rsid w:val="006A2A1F"/>
    <w:rsid w:val="006A3969"/>
    <w:rsid w:val="006A4EF9"/>
    <w:rsid w:val="006A69B9"/>
    <w:rsid w:val="006A70FE"/>
    <w:rsid w:val="006B183F"/>
    <w:rsid w:val="006B3A69"/>
    <w:rsid w:val="006B50FA"/>
    <w:rsid w:val="006B6746"/>
    <w:rsid w:val="006B7049"/>
    <w:rsid w:val="006C0413"/>
    <w:rsid w:val="006C2214"/>
    <w:rsid w:val="006C2BA1"/>
    <w:rsid w:val="006C3A6A"/>
    <w:rsid w:val="006C4BFB"/>
    <w:rsid w:val="006C7280"/>
    <w:rsid w:val="006D0DAA"/>
    <w:rsid w:val="006D331D"/>
    <w:rsid w:val="006D4527"/>
    <w:rsid w:val="006D56A8"/>
    <w:rsid w:val="006D603D"/>
    <w:rsid w:val="006E0414"/>
    <w:rsid w:val="006E0788"/>
    <w:rsid w:val="006E0934"/>
    <w:rsid w:val="006E3B74"/>
    <w:rsid w:val="006E6381"/>
    <w:rsid w:val="006F2006"/>
    <w:rsid w:val="006F2C4B"/>
    <w:rsid w:val="006F3E93"/>
    <w:rsid w:val="006F3F87"/>
    <w:rsid w:val="006F5383"/>
    <w:rsid w:val="006F5E09"/>
    <w:rsid w:val="006F7E81"/>
    <w:rsid w:val="006F7F91"/>
    <w:rsid w:val="007010AE"/>
    <w:rsid w:val="007016A1"/>
    <w:rsid w:val="007016DF"/>
    <w:rsid w:val="00701774"/>
    <w:rsid w:val="0070256A"/>
    <w:rsid w:val="00702AB0"/>
    <w:rsid w:val="00703173"/>
    <w:rsid w:val="00703822"/>
    <w:rsid w:val="007044D6"/>
    <w:rsid w:val="00706122"/>
    <w:rsid w:val="00710F92"/>
    <w:rsid w:val="0071553E"/>
    <w:rsid w:val="007157DF"/>
    <w:rsid w:val="007177D6"/>
    <w:rsid w:val="00721294"/>
    <w:rsid w:val="00724E1C"/>
    <w:rsid w:val="00725232"/>
    <w:rsid w:val="00725FE2"/>
    <w:rsid w:val="00731446"/>
    <w:rsid w:val="00732608"/>
    <w:rsid w:val="00732ABF"/>
    <w:rsid w:val="007335D3"/>
    <w:rsid w:val="00734269"/>
    <w:rsid w:val="007356C3"/>
    <w:rsid w:val="007379FE"/>
    <w:rsid w:val="0074190C"/>
    <w:rsid w:val="00743A13"/>
    <w:rsid w:val="00746A63"/>
    <w:rsid w:val="00746C4F"/>
    <w:rsid w:val="007475A9"/>
    <w:rsid w:val="007517FF"/>
    <w:rsid w:val="00752037"/>
    <w:rsid w:val="00753070"/>
    <w:rsid w:val="00756B5B"/>
    <w:rsid w:val="00757E69"/>
    <w:rsid w:val="00761E27"/>
    <w:rsid w:val="00762576"/>
    <w:rsid w:val="0076271C"/>
    <w:rsid w:val="007640A5"/>
    <w:rsid w:val="00764D89"/>
    <w:rsid w:val="00767FAC"/>
    <w:rsid w:val="00776CB3"/>
    <w:rsid w:val="00776DBA"/>
    <w:rsid w:val="00777B2C"/>
    <w:rsid w:val="00777D13"/>
    <w:rsid w:val="00777D45"/>
    <w:rsid w:val="0078048A"/>
    <w:rsid w:val="00780D1A"/>
    <w:rsid w:val="00781FA5"/>
    <w:rsid w:val="007823CB"/>
    <w:rsid w:val="0078550A"/>
    <w:rsid w:val="00785652"/>
    <w:rsid w:val="0078581D"/>
    <w:rsid w:val="007861E7"/>
    <w:rsid w:val="00786574"/>
    <w:rsid w:val="00796A86"/>
    <w:rsid w:val="00797821"/>
    <w:rsid w:val="007A03E7"/>
    <w:rsid w:val="007A0B5F"/>
    <w:rsid w:val="007A236F"/>
    <w:rsid w:val="007A2923"/>
    <w:rsid w:val="007A2B53"/>
    <w:rsid w:val="007A4218"/>
    <w:rsid w:val="007A4972"/>
    <w:rsid w:val="007A49DA"/>
    <w:rsid w:val="007A61D7"/>
    <w:rsid w:val="007A7351"/>
    <w:rsid w:val="007B057B"/>
    <w:rsid w:val="007B1F76"/>
    <w:rsid w:val="007B575D"/>
    <w:rsid w:val="007B69FF"/>
    <w:rsid w:val="007B6DE1"/>
    <w:rsid w:val="007B708F"/>
    <w:rsid w:val="007B7498"/>
    <w:rsid w:val="007B7637"/>
    <w:rsid w:val="007B7B22"/>
    <w:rsid w:val="007C2331"/>
    <w:rsid w:val="007C2678"/>
    <w:rsid w:val="007C2E59"/>
    <w:rsid w:val="007C3498"/>
    <w:rsid w:val="007C36D7"/>
    <w:rsid w:val="007C401D"/>
    <w:rsid w:val="007C429F"/>
    <w:rsid w:val="007C5C3C"/>
    <w:rsid w:val="007D0345"/>
    <w:rsid w:val="007D1271"/>
    <w:rsid w:val="007D2E0B"/>
    <w:rsid w:val="007D33CA"/>
    <w:rsid w:val="007D3AF1"/>
    <w:rsid w:val="007D5C9C"/>
    <w:rsid w:val="007D77FF"/>
    <w:rsid w:val="007D7A72"/>
    <w:rsid w:val="007E12E3"/>
    <w:rsid w:val="007E233B"/>
    <w:rsid w:val="007E23CC"/>
    <w:rsid w:val="007E343C"/>
    <w:rsid w:val="007E3A72"/>
    <w:rsid w:val="007E47AB"/>
    <w:rsid w:val="007E6130"/>
    <w:rsid w:val="007E6E2F"/>
    <w:rsid w:val="007F0204"/>
    <w:rsid w:val="007F10D7"/>
    <w:rsid w:val="007F27F8"/>
    <w:rsid w:val="007F42AE"/>
    <w:rsid w:val="007F6857"/>
    <w:rsid w:val="007F76B8"/>
    <w:rsid w:val="008031AD"/>
    <w:rsid w:val="008039C2"/>
    <w:rsid w:val="00803C91"/>
    <w:rsid w:val="00805342"/>
    <w:rsid w:val="0080570B"/>
    <w:rsid w:val="00806DA3"/>
    <w:rsid w:val="008102C1"/>
    <w:rsid w:val="00810A93"/>
    <w:rsid w:val="00811B0E"/>
    <w:rsid w:val="008141C6"/>
    <w:rsid w:val="00814858"/>
    <w:rsid w:val="008148E1"/>
    <w:rsid w:val="00815FA6"/>
    <w:rsid w:val="0082008B"/>
    <w:rsid w:val="00820A7D"/>
    <w:rsid w:val="008217A8"/>
    <w:rsid w:val="00822E75"/>
    <w:rsid w:val="008250B0"/>
    <w:rsid w:val="008250C5"/>
    <w:rsid w:val="0082594C"/>
    <w:rsid w:val="0082620A"/>
    <w:rsid w:val="00826215"/>
    <w:rsid w:val="008269AC"/>
    <w:rsid w:val="00826C44"/>
    <w:rsid w:val="0082784B"/>
    <w:rsid w:val="008318DC"/>
    <w:rsid w:val="008333EC"/>
    <w:rsid w:val="00837D00"/>
    <w:rsid w:val="00837F40"/>
    <w:rsid w:val="00841290"/>
    <w:rsid w:val="0084215F"/>
    <w:rsid w:val="008423A5"/>
    <w:rsid w:val="00844925"/>
    <w:rsid w:val="008454B9"/>
    <w:rsid w:val="008508CB"/>
    <w:rsid w:val="00852515"/>
    <w:rsid w:val="0085369B"/>
    <w:rsid w:val="0085423E"/>
    <w:rsid w:val="00856178"/>
    <w:rsid w:val="008600D5"/>
    <w:rsid w:val="00860DB2"/>
    <w:rsid w:val="00861BCE"/>
    <w:rsid w:val="00863501"/>
    <w:rsid w:val="008649E7"/>
    <w:rsid w:val="00871AC6"/>
    <w:rsid w:val="00873914"/>
    <w:rsid w:val="00873918"/>
    <w:rsid w:val="00874667"/>
    <w:rsid w:val="008747CA"/>
    <w:rsid w:val="0087527D"/>
    <w:rsid w:val="00880301"/>
    <w:rsid w:val="008816EB"/>
    <w:rsid w:val="00883ED0"/>
    <w:rsid w:val="008851D7"/>
    <w:rsid w:val="00891D1A"/>
    <w:rsid w:val="00892A32"/>
    <w:rsid w:val="00893289"/>
    <w:rsid w:val="00895197"/>
    <w:rsid w:val="00895634"/>
    <w:rsid w:val="008B3F8A"/>
    <w:rsid w:val="008B4AED"/>
    <w:rsid w:val="008B63D9"/>
    <w:rsid w:val="008C024A"/>
    <w:rsid w:val="008C4DAE"/>
    <w:rsid w:val="008C5457"/>
    <w:rsid w:val="008C5885"/>
    <w:rsid w:val="008C62E6"/>
    <w:rsid w:val="008C764D"/>
    <w:rsid w:val="008C7F2C"/>
    <w:rsid w:val="008D01F2"/>
    <w:rsid w:val="008D0E09"/>
    <w:rsid w:val="008D2477"/>
    <w:rsid w:val="008D400B"/>
    <w:rsid w:val="008D6E79"/>
    <w:rsid w:val="008D7986"/>
    <w:rsid w:val="008E1496"/>
    <w:rsid w:val="008E165F"/>
    <w:rsid w:val="008E1F90"/>
    <w:rsid w:val="008E32BC"/>
    <w:rsid w:val="008E735D"/>
    <w:rsid w:val="008E745A"/>
    <w:rsid w:val="008E77D9"/>
    <w:rsid w:val="008F1AF0"/>
    <w:rsid w:val="008F219B"/>
    <w:rsid w:val="008F2A43"/>
    <w:rsid w:val="008F43A5"/>
    <w:rsid w:val="008F4D5F"/>
    <w:rsid w:val="008F5054"/>
    <w:rsid w:val="008F5E55"/>
    <w:rsid w:val="008F76F0"/>
    <w:rsid w:val="00900B61"/>
    <w:rsid w:val="00902A69"/>
    <w:rsid w:val="00903250"/>
    <w:rsid w:val="009064A9"/>
    <w:rsid w:val="00906CF5"/>
    <w:rsid w:val="00907458"/>
    <w:rsid w:val="00907D59"/>
    <w:rsid w:val="00910DCD"/>
    <w:rsid w:val="00910F84"/>
    <w:rsid w:val="009147E2"/>
    <w:rsid w:val="00915000"/>
    <w:rsid w:val="00917A47"/>
    <w:rsid w:val="00922ED6"/>
    <w:rsid w:val="009254A8"/>
    <w:rsid w:val="00930EC8"/>
    <w:rsid w:val="00931D2A"/>
    <w:rsid w:val="0093232F"/>
    <w:rsid w:val="00932917"/>
    <w:rsid w:val="00932A7A"/>
    <w:rsid w:val="00934F1D"/>
    <w:rsid w:val="00934F67"/>
    <w:rsid w:val="00937DE2"/>
    <w:rsid w:val="009411C0"/>
    <w:rsid w:val="009426CF"/>
    <w:rsid w:val="00943322"/>
    <w:rsid w:val="00944CBC"/>
    <w:rsid w:val="00944DA5"/>
    <w:rsid w:val="00945036"/>
    <w:rsid w:val="00945AB2"/>
    <w:rsid w:val="00946159"/>
    <w:rsid w:val="00951398"/>
    <w:rsid w:val="00951B75"/>
    <w:rsid w:val="00956352"/>
    <w:rsid w:val="00956CC7"/>
    <w:rsid w:val="00957115"/>
    <w:rsid w:val="00957153"/>
    <w:rsid w:val="00960940"/>
    <w:rsid w:val="00960E55"/>
    <w:rsid w:val="0096235E"/>
    <w:rsid w:val="00962E9D"/>
    <w:rsid w:val="0096524D"/>
    <w:rsid w:val="009662EC"/>
    <w:rsid w:val="00967BEC"/>
    <w:rsid w:val="00970EC0"/>
    <w:rsid w:val="00971BBD"/>
    <w:rsid w:val="00973520"/>
    <w:rsid w:val="009751B5"/>
    <w:rsid w:val="0097693B"/>
    <w:rsid w:val="00981B8A"/>
    <w:rsid w:val="00981C63"/>
    <w:rsid w:val="00982121"/>
    <w:rsid w:val="00982BD8"/>
    <w:rsid w:val="00983711"/>
    <w:rsid w:val="0098381E"/>
    <w:rsid w:val="00984BD2"/>
    <w:rsid w:val="00984BF6"/>
    <w:rsid w:val="00987A1E"/>
    <w:rsid w:val="00987D27"/>
    <w:rsid w:val="0099016D"/>
    <w:rsid w:val="00990A38"/>
    <w:rsid w:val="00992B38"/>
    <w:rsid w:val="00993378"/>
    <w:rsid w:val="00994506"/>
    <w:rsid w:val="00995BC5"/>
    <w:rsid w:val="0099709F"/>
    <w:rsid w:val="009A0267"/>
    <w:rsid w:val="009A1659"/>
    <w:rsid w:val="009A1E95"/>
    <w:rsid w:val="009A29F0"/>
    <w:rsid w:val="009A43DA"/>
    <w:rsid w:val="009A4A1E"/>
    <w:rsid w:val="009A4A6D"/>
    <w:rsid w:val="009A7C6F"/>
    <w:rsid w:val="009B501F"/>
    <w:rsid w:val="009B7DF0"/>
    <w:rsid w:val="009C2471"/>
    <w:rsid w:val="009C2CA3"/>
    <w:rsid w:val="009C3BDC"/>
    <w:rsid w:val="009C4561"/>
    <w:rsid w:val="009C76E4"/>
    <w:rsid w:val="009D0F37"/>
    <w:rsid w:val="009D2EAB"/>
    <w:rsid w:val="009D40FB"/>
    <w:rsid w:val="009D5282"/>
    <w:rsid w:val="009D6D2D"/>
    <w:rsid w:val="009E04A4"/>
    <w:rsid w:val="009E1E23"/>
    <w:rsid w:val="009E1F18"/>
    <w:rsid w:val="009E48D5"/>
    <w:rsid w:val="009E576F"/>
    <w:rsid w:val="009E66A8"/>
    <w:rsid w:val="009E7AC6"/>
    <w:rsid w:val="009F14E1"/>
    <w:rsid w:val="009F16A2"/>
    <w:rsid w:val="009F1742"/>
    <w:rsid w:val="009F1FCA"/>
    <w:rsid w:val="009F2044"/>
    <w:rsid w:val="009F2CC9"/>
    <w:rsid w:val="009F32FB"/>
    <w:rsid w:val="009F3DBA"/>
    <w:rsid w:val="009F522E"/>
    <w:rsid w:val="009F54CE"/>
    <w:rsid w:val="009F57E6"/>
    <w:rsid w:val="009F7083"/>
    <w:rsid w:val="00A04F13"/>
    <w:rsid w:val="00A07149"/>
    <w:rsid w:val="00A0734C"/>
    <w:rsid w:val="00A07381"/>
    <w:rsid w:val="00A10CA8"/>
    <w:rsid w:val="00A11518"/>
    <w:rsid w:val="00A12506"/>
    <w:rsid w:val="00A128B8"/>
    <w:rsid w:val="00A133ED"/>
    <w:rsid w:val="00A17200"/>
    <w:rsid w:val="00A22A82"/>
    <w:rsid w:val="00A232D3"/>
    <w:rsid w:val="00A239D8"/>
    <w:rsid w:val="00A254CE"/>
    <w:rsid w:val="00A2661A"/>
    <w:rsid w:val="00A26FB0"/>
    <w:rsid w:val="00A27538"/>
    <w:rsid w:val="00A31E3C"/>
    <w:rsid w:val="00A3226B"/>
    <w:rsid w:val="00A32357"/>
    <w:rsid w:val="00A331DC"/>
    <w:rsid w:val="00A34505"/>
    <w:rsid w:val="00A347DF"/>
    <w:rsid w:val="00A359C4"/>
    <w:rsid w:val="00A3673A"/>
    <w:rsid w:val="00A36FC8"/>
    <w:rsid w:val="00A37878"/>
    <w:rsid w:val="00A37BB2"/>
    <w:rsid w:val="00A41421"/>
    <w:rsid w:val="00A425F2"/>
    <w:rsid w:val="00A51571"/>
    <w:rsid w:val="00A51D4A"/>
    <w:rsid w:val="00A57D7B"/>
    <w:rsid w:val="00A623AD"/>
    <w:rsid w:val="00A62D4C"/>
    <w:rsid w:val="00A65CC0"/>
    <w:rsid w:val="00A66973"/>
    <w:rsid w:val="00A6784E"/>
    <w:rsid w:val="00A67A4B"/>
    <w:rsid w:val="00A7097B"/>
    <w:rsid w:val="00A73C72"/>
    <w:rsid w:val="00A73D69"/>
    <w:rsid w:val="00A7429B"/>
    <w:rsid w:val="00A7437E"/>
    <w:rsid w:val="00A74571"/>
    <w:rsid w:val="00A7752F"/>
    <w:rsid w:val="00A77762"/>
    <w:rsid w:val="00A82239"/>
    <w:rsid w:val="00A8254F"/>
    <w:rsid w:val="00A856A4"/>
    <w:rsid w:val="00A85701"/>
    <w:rsid w:val="00A879C3"/>
    <w:rsid w:val="00A92A56"/>
    <w:rsid w:val="00A963F1"/>
    <w:rsid w:val="00A96A82"/>
    <w:rsid w:val="00A96D54"/>
    <w:rsid w:val="00AA0700"/>
    <w:rsid w:val="00AA097F"/>
    <w:rsid w:val="00AA35E1"/>
    <w:rsid w:val="00AA474C"/>
    <w:rsid w:val="00AA7CAA"/>
    <w:rsid w:val="00AB0008"/>
    <w:rsid w:val="00AB1466"/>
    <w:rsid w:val="00AB1709"/>
    <w:rsid w:val="00AB350A"/>
    <w:rsid w:val="00AB374D"/>
    <w:rsid w:val="00AB38CD"/>
    <w:rsid w:val="00AB477A"/>
    <w:rsid w:val="00AB6EBE"/>
    <w:rsid w:val="00AB71AC"/>
    <w:rsid w:val="00AB75D4"/>
    <w:rsid w:val="00AC08B5"/>
    <w:rsid w:val="00AC100E"/>
    <w:rsid w:val="00AC573C"/>
    <w:rsid w:val="00AD6A93"/>
    <w:rsid w:val="00AD7E5F"/>
    <w:rsid w:val="00AF06F1"/>
    <w:rsid w:val="00AF0E04"/>
    <w:rsid w:val="00AF1E8B"/>
    <w:rsid w:val="00AF423B"/>
    <w:rsid w:val="00AF46D9"/>
    <w:rsid w:val="00AF53D2"/>
    <w:rsid w:val="00B001DC"/>
    <w:rsid w:val="00B00E62"/>
    <w:rsid w:val="00B01B24"/>
    <w:rsid w:val="00B028FD"/>
    <w:rsid w:val="00B02DE6"/>
    <w:rsid w:val="00B0434F"/>
    <w:rsid w:val="00B06CD5"/>
    <w:rsid w:val="00B06D1E"/>
    <w:rsid w:val="00B129FF"/>
    <w:rsid w:val="00B12AE2"/>
    <w:rsid w:val="00B12DB6"/>
    <w:rsid w:val="00B14254"/>
    <w:rsid w:val="00B15314"/>
    <w:rsid w:val="00B15E1A"/>
    <w:rsid w:val="00B1660B"/>
    <w:rsid w:val="00B16CCC"/>
    <w:rsid w:val="00B24B63"/>
    <w:rsid w:val="00B24BD2"/>
    <w:rsid w:val="00B2795D"/>
    <w:rsid w:val="00B27F70"/>
    <w:rsid w:val="00B30C81"/>
    <w:rsid w:val="00B30F40"/>
    <w:rsid w:val="00B31701"/>
    <w:rsid w:val="00B32C97"/>
    <w:rsid w:val="00B33A4B"/>
    <w:rsid w:val="00B367E6"/>
    <w:rsid w:val="00B36E28"/>
    <w:rsid w:val="00B37DFF"/>
    <w:rsid w:val="00B4217E"/>
    <w:rsid w:val="00B425C0"/>
    <w:rsid w:val="00B43478"/>
    <w:rsid w:val="00B435F9"/>
    <w:rsid w:val="00B43816"/>
    <w:rsid w:val="00B439D8"/>
    <w:rsid w:val="00B43D09"/>
    <w:rsid w:val="00B44760"/>
    <w:rsid w:val="00B453C0"/>
    <w:rsid w:val="00B46E2E"/>
    <w:rsid w:val="00B50917"/>
    <w:rsid w:val="00B520FF"/>
    <w:rsid w:val="00B529B1"/>
    <w:rsid w:val="00B530B6"/>
    <w:rsid w:val="00B53A30"/>
    <w:rsid w:val="00B559D6"/>
    <w:rsid w:val="00B574D4"/>
    <w:rsid w:val="00B576A1"/>
    <w:rsid w:val="00B60739"/>
    <w:rsid w:val="00B61311"/>
    <w:rsid w:val="00B61C82"/>
    <w:rsid w:val="00B637B8"/>
    <w:rsid w:val="00B64937"/>
    <w:rsid w:val="00B64D2E"/>
    <w:rsid w:val="00B7142E"/>
    <w:rsid w:val="00B7453A"/>
    <w:rsid w:val="00B74B9A"/>
    <w:rsid w:val="00B75F47"/>
    <w:rsid w:val="00B77CA3"/>
    <w:rsid w:val="00B8042A"/>
    <w:rsid w:val="00B83DD7"/>
    <w:rsid w:val="00B841DC"/>
    <w:rsid w:val="00B8436A"/>
    <w:rsid w:val="00B850A7"/>
    <w:rsid w:val="00B85B48"/>
    <w:rsid w:val="00B85C02"/>
    <w:rsid w:val="00B8635F"/>
    <w:rsid w:val="00B86388"/>
    <w:rsid w:val="00B868FB"/>
    <w:rsid w:val="00B8784C"/>
    <w:rsid w:val="00B9039D"/>
    <w:rsid w:val="00B90DDF"/>
    <w:rsid w:val="00B91880"/>
    <w:rsid w:val="00B91DCF"/>
    <w:rsid w:val="00B9349F"/>
    <w:rsid w:val="00B94DB3"/>
    <w:rsid w:val="00B95D34"/>
    <w:rsid w:val="00B964CA"/>
    <w:rsid w:val="00B97692"/>
    <w:rsid w:val="00B97747"/>
    <w:rsid w:val="00B9778A"/>
    <w:rsid w:val="00BA0C90"/>
    <w:rsid w:val="00BA1522"/>
    <w:rsid w:val="00BA1CA2"/>
    <w:rsid w:val="00BA5A99"/>
    <w:rsid w:val="00BA5DDC"/>
    <w:rsid w:val="00BA6391"/>
    <w:rsid w:val="00BA7BDC"/>
    <w:rsid w:val="00BA7CD7"/>
    <w:rsid w:val="00BB2D4B"/>
    <w:rsid w:val="00BB2FD5"/>
    <w:rsid w:val="00BB3720"/>
    <w:rsid w:val="00BB3EC0"/>
    <w:rsid w:val="00BC12EB"/>
    <w:rsid w:val="00BC567E"/>
    <w:rsid w:val="00BD0F9B"/>
    <w:rsid w:val="00BD5F8D"/>
    <w:rsid w:val="00BD61AC"/>
    <w:rsid w:val="00BD738E"/>
    <w:rsid w:val="00BD7AB9"/>
    <w:rsid w:val="00BD7D0F"/>
    <w:rsid w:val="00BE0069"/>
    <w:rsid w:val="00BE1E81"/>
    <w:rsid w:val="00BE2387"/>
    <w:rsid w:val="00BE23CB"/>
    <w:rsid w:val="00BE26D4"/>
    <w:rsid w:val="00BE4848"/>
    <w:rsid w:val="00BE597E"/>
    <w:rsid w:val="00BE5C70"/>
    <w:rsid w:val="00BE64BB"/>
    <w:rsid w:val="00BE7198"/>
    <w:rsid w:val="00BE7826"/>
    <w:rsid w:val="00BF003E"/>
    <w:rsid w:val="00BF0156"/>
    <w:rsid w:val="00BF1513"/>
    <w:rsid w:val="00BF1534"/>
    <w:rsid w:val="00BF3447"/>
    <w:rsid w:val="00BF4DD9"/>
    <w:rsid w:val="00BF4DF9"/>
    <w:rsid w:val="00C02113"/>
    <w:rsid w:val="00C02715"/>
    <w:rsid w:val="00C0322C"/>
    <w:rsid w:val="00C0418E"/>
    <w:rsid w:val="00C04F4F"/>
    <w:rsid w:val="00C0511A"/>
    <w:rsid w:val="00C05CF2"/>
    <w:rsid w:val="00C05D62"/>
    <w:rsid w:val="00C06E16"/>
    <w:rsid w:val="00C07134"/>
    <w:rsid w:val="00C0719D"/>
    <w:rsid w:val="00C12167"/>
    <w:rsid w:val="00C12FEA"/>
    <w:rsid w:val="00C1387D"/>
    <w:rsid w:val="00C15633"/>
    <w:rsid w:val="00C15E8A"/>
    <w:rsid w:val="00C20D97"/>
    <w:rsid w:val="00C20F10"/>
    <w:rsid w:val="00C2311D"/>
    <w:rsid w:val="00C24625"/>
    <w:rsid w:val="00C24B5D"/>
    <w:rsid w:val="00C25563"/>
    <w:rsid w:val="00C262EF"/>
    <w:rsid w:val="00C27D50"/>
    <w:rsid w:val="00C30C80"/>
    <w:rsid w:val="00C33213"/>
    <w:rsid w:val="00C33379"/>
    <w:rsid w:val="00C357AD"/>
    <w:rsid w:val="00C360D3"/>
    <w:rsid w:val="00C3619C"/>
    <w:rsid w:val="00C3672E"/>
    <w:rsid w:val="00C4118A"/>
    <w:rsid w:val="00C416CF"/>
    <w:rsid w:val="00C46226"/>
    <w:rsid w:val="00C505F8"/>
    <w:rsid w:val="00C528D6"/>
    <w:rsid w:val="00C52DC7"/>
    <w:rsid w:val="00C55437"/>
    <w:rsid w:val="00C5573A"/>
    <w:rsid w:val="00C55C28"/>
    <w:rsid w:val="00C55F59"/>
    <w:rsid w:val="00C56423"/>
    <w:rsid w:val="00C56887"/>
    <w:rsid w:val="00C61245"/>
    <w:rsid w:val="00C6132C"/>
    <w:rsid w:val="00C62BE5"/>
    <w:rsid w:val="00C63E79"/>
    <w:rsid w:val="00C6489E"/>
    <w:rsid w:val="00C64C10"/>
    <w:rsid w:val="00C66F3E"/>
    <w:rsid w:val="00C67FB1"/>
    <w:rsid w:val="00C7304C"/>
    <w:rsid w:val="00C738FF"/>
    <w:rsid w:val="00C74CA2"/>
    <w:rsid w:val="00C75160"/>
    <w:rsid w:val="00C75F56"/>
    <w:rsid w:val="00C80C96"/>
    <w:rsid w:val="00C8127A"/>
    <w:rsid w:val="00C81702"/>
    <w:rsid w:val="00C82475"/>
    <w:rsid w:val="00C82961"/>
    <w:rsid w:val="00C86E72"/>
    <w:rsid w:val="00C9218E"/>
    <w:rsid w:val="00C927EF"/>
    <w:rsid w:val="00C956E7"/>
    <w:rsid w:val="00C95AB6"/>
    <w:rsid w:val="00C95DD5"/>
    <w:rsid w:val="00C967DE"/>
    <w:rsid w:val="00C97B8C"/>
    <w:rsid w:val="00CA07AF"/>
    <w:rsid w:val="00CA0F25"/>
    <w:rsid w:val="00CA1A97"/>
    <w:rsid w:val="00CA5119"/>
    <w:rsid w:val="00CB1C47"/>
    <w:rsid w:val="00CB34B2"/>
    <w:rsid w:val="00CB3564"/>
    <w:rsid w:val="00CB5C65"/>
    <w:rsid w:val="00CB6E85"/>
    <w:rsid w:val="00CB74B1"/>
    <w:rsid w:val="00CC0CB1"/>
    <w:rsid w:val="00CC113A"/>
    <w:rsid w:val="00CC1869"/>
    <w:rsid w:val="00CC5034"/>
    <w:rsid w:val="00CC52E0"/>
    <w:rsid w:val="00CD5431"/>
    <w:rsid w:val="00CD54CB"/>
    <w:rsid w:val="00CD75B4"/>
    <w:rsid w:val="00CD7FE5"/>
    <w:rsid w:val="00CE026D"/>
    <w:rsid w:val="00CE048F"/>
    <w:rsid w:val="00CE1956"/>
    <w:rsid w:val="00CE224F"/>
    <w:rsid w:val="00CE2484"/>
    <w:rsid w:val="00CE2AA4"/>
    <w:rsid w:val="00CE478D"/>
    <w:rsid w:val="00CE48FE"/>
    <w:rsid w:val="00CE5D95"/>
    <w:rsid w:val="00CE6834"/>
    <w:rsid w:val="00CF1770"/>
    <w:rsid w:val="00CF2491"/>
    <w:rsid w:val="00CF3B5B"/>
    <w:rsid w:val="00CF58D5"/>
    <w:rsid w:val="00CF745D"/>
    <w:rsid w:val="00D00DDB"/>
    <w:rsid w:val="00D03B25"/>
    <w:rsid w:val="00D04568"/>
    <w:rsid w:val="00D04B0D"/>
    <w:rsid w:val="00D04CDD"/>
    <w:rsid w:val="00D05368"/>
    <w:rsid w:val="00D05464"/>
    <w:rsid w:val="00D06F12"/>
    <w:rsid w:val="00D07009"/>
    <w:rsid w:val="00D07DE3"/>
    <w:rsid w:val="00D10473"/>
    <w:rsid w:val="00D10CB3"/>
    <w:rsid w:val="00D23CB5"/>
    <w:rsid w:val="00D24691"/>
    <w:rsid w:val="00D270CF"/>
    <w:rsid w:val="00D27774"/>
    <w:rsid w:val="00D30769"/>
    <w:rsid w:val="00D34605"/>
    <w:rsid w:val="00D40E27"/>
    <w:rsid w:val="00D46E36"/>
    <w:rsid w:val="00D471A2"/>
    <w:rsid w:val="00D50670"/>
    <w:rsid w:val="00D51C07"/>
    <w:rsid w:val="00D55777"/>
    <w:rsid w:val="00D56B31"/>
    <w:rsid w:val="00D56F2E"/>
    <w:rsid w:val="00D573A2"/>
    <w:rsid w:val="00D57772"/>
    <w:rsid w:val="00D57C15"/>
    <w:rsid w:val="00D607FA"/>
    <w:rsid w:val="00D613DB"/>
    <w:rsid w:val="00D620D7"/>
    <w:rsid w:val="00D63EF5"/>
    <w:rsid w:val="00D64FF8"/>
    <w:rsid w:val="00D65C7D"/>
    <w:rsid w:val="00D66CA1"/>
    <w:rsid w:val="00D670DC"/>
    <w:rsid w:val="00D67565"/>
    <w:rsid w:val="00D7147F"/>
    <w:rsid w:val="00D72BBA"/>
    <w:rsid w:val="00D741CC"/>
    <w:rsid w:val="00D7485F"/>
    <w:rsid w:val="00D75524"/>
    <w:rsid w:val="00D75626"/>
    <w:rsid w:val="00D757DF"/>
    <w:rsid w:val="00D75A4D"/>
    <w:rsid w:val="00D75DB2"/>
    <w:rsid w:val="00D76B9F"/>
    <w:rsid w:val="00D83637"/>
    <w:rsid w:val="00D8478B"/>
    <w:rsid w:val="00D854EF"/>
    <w:rsid w:val="00D86151"/>
    <w:rsid w:val="00D870DD"/>
    <w:rsid w:val="00D87EEE"/>
    <w:rsid w:val="00D9002D"/>
    <w:rsid w:val="00D95785"/>
    <w:rsid w:val="00D972F3"/>
    <w:rsid w:val="00D979C2"/>
    <w:rsid w:val="00DA066A"/>
    <w:rsid w:val="00DA21C0"/>
    <w:rsid w:val="00DA3D61"/>
    <w:rsid w:val="00DA4FAC"/>
    <w:rsid w:val="00DA5FC5"/>
    <w:rsid w:val="00DA602C"/>
    <w:rsid w:val="00DA7595"/>
    <w:rsid w:val="00DA7CE9"/>
    <w:rsid w:val="00DA7EBB"/>
    <w:rsid w:val="00DB0A68"/>
    <w:rsid w:val="00DB11BC"/>
    <w:rsid w:val="00DB1445"/>
    <w:rsid w:val="00DB1A8D"/>
    <w:rsid w:val="00DB1E08"/>
    <w:rsid w:val="00DB36D1"/>
    <w:rsid w:val="00DB5999"/>
    <w:rsid w:val="00DB5FE0"/>
    <w:rsid w:val="00DB6B00"/>
    <w:rsid w:val="00DB6DB4"/>
    <w:rsid w:val="00DB727E"/>
    <w:rsid w:val="00DC3580"/>
    <w:rsid w:val="00DC43A3"/>
    <w:rsid w:val="00DC4E64"/>
    <w:rsid w:val="00DC7510"/>
    <w:rsid w:val="00DC7A23"/>
    <w:rsid w:val="00DC7D59"/>
    <w:rsid w:val="00DD2B77"/>
    <w:rsid w:val="00DD655B"/>
    <w:rsid w:val="00DD7BE7"/>
    <w:rsid w:val="00DE0F6A"/>
    <w:rsid w:val="00DE1286"/>
    <w:rsid w:val="00DE1D1B"/>
    <w:rsid w:val="00DE2F33"/>
    <w:rsid w:val="00DE4FFE"/>
    <w:rsid w:val="00DE5EB1"/>
    <w:rsid w:val="00DE70CD"/>
    <w:rsid w:val="00DF11D2"/>
    <w:rsid w:val="00DF28C7"/>
    <w:rsid w:val="00DF2DA6"/>
    <w:rsid w:val="00DF31B3"/>
    <w:rsid w:val="00DF40DD"/>
    <w:rsid w:val="00DF43E5"/>
    <w:rsid w:val="00DF4991"/>
    <w:rsid w:val="00DF5B51"/>
    <w:rsid w:val="00DF624D"/>
    <w:rsid w:val="00DF64E8"/>
    <w:rsid w:val="00DF7C6F"/>
    <w:rsid w:val="00E01F65"/>
    <w:rsid w:val="00E02312"/>
    <w:rsid w:val="00E024EE"/>
    <w:rsid w:val="00E0350B"/>
    <w:rsid w:val="00E10773"/>
    <w:rsid w:val="00E11118"/>
    <w:rsid w:val="00E111AF"/>
    <w:rsid w:val="00E111BC"/>
    <w:rsid w:val="00E11EF3"/>
    <w:rsid w:val="00E12E38"/>
    <w:rsid w:val="00E1556D"/>
    <w:rsid w:val="00E157A3"/>
    <w:rsid w:val="00E20BBC"/>
    <w:rsid w:val="00E264D9"/>
    <w:rsid w:val="00E27821"/>
    <w:rsid w:val="00E27BC0"/>
    <w:rsid w:val="00E30A23"/>
    <w:rsid w:val="00E31B0C"/>
    <w:rsid w:val="00E32681"/>
    <w:rsid w:val="00E3438A"/>
    <w:rsid w:val="00E350D4"/>
    <w:rsid w:val="00E42EB9"/>
    <w:rsid w:val="00E46613"/>
    <w:rsid w:val="00E46A7A"/>
    <w:rsid w:val="00E4780B"/>
    <w:rsid w:val="00E50C5A"/>
    <w:rsid w:val="00E51E3C"/>
    <w:rsid w:val="00E52575"/>
    <w:rsid w:val="00E52A9A"/>
    <w:rsid w:val="00E52CA0"/>
    <w:rsid w:val="00E53CCB"/>
    <w:rsid w:val="00E53D45"/>
    <w:rsid w:val="00E555AE"/>
    <w:rsid w:val="00E56E5C"/>
    <w:rsid w:val="00E577D1"/>
    <w:rsid w:val="00E60C8D"/>
    <w:rsid w:val="00E64B28"/>
    <w:rsid w:val="00E64D7B"/>
    <w:rsid w:val="00E66FF3"/>
    <w:rsid w:val="00E674D3"/>
    <w:rsid w:val="00E70BCE"/>
    <w:rsid w:val="00E724FB"/>
    <w:rsid w:val="00E73F37"/>
    <w:rsid w:val="00E748B3"/>
    <w:rsid w:val="00E751DF"/>
    <w:rsid w:val="00E756D9"/>
    <w:rsid w:val="00E75EF5"/>
    <w:rsid w:val="00E77AFF"/>
    <w:rsid w:val="00E80711"/>
    <w:rsid w:val="00E82F42"/>
    <w:rsid w:val="00E86B39"/>
    <w:rsid w:val="00E92E8A"/>
    <w:rsid w:val="00E964EF"/>
    <w:rsid w:val="00E96A94"/>
    <w:rsid w:val="00E974DF"/>
    <w:rsid w:val="00E97EBF"/>
    <w:rsid w:val="00E97FDC"/>
    <w:rsid w:val="00EA0300"/>
    <w:rsid w:val="00EA0A0F"/>
    <w:rsid w:val="00EA11C2"/>
    <w:rsid w:val="00EA1597"/>
    <w:rsid w:val="00EA1AA1"/>
    <w:rsid w:val="00EA2062"/>
    <w:rsid w:val="00EA28E3"/>
    <w:rsid w:val="00EA5CF6"/>
    <w:rsid w:val="00EA6AF8"/>
    <w:rsid w:val="00EA7A5F"/>
    <w:rsid w:val="00EB0602"/>
    <w:rsid w:val="00EB20B4"/>
    <w:rsid w:val="00EB4457"/>
    <w:rsid w:val="00EB6D9C"/>
    <w:rsid w:val="00EC0519"/>
    <w:rsid w:val="00EC1400"/>
    <w:rsid w:val="00EC1B1F"/>
    <w:rsid w:val="00EC60D0"/>
    <w:rsid w:val="00ED0D33"/>
    <w:rsid w:val="00ED15B2"/>
    <w:rsid w:val="00ED29CC"/>
    <w:rsid w:val="00ED2C9C"/>
    <w:rsid w:val="00ED452D"/>
    <w:rsid w:val="00ED5940"/>
    <w:rsid w:val="00ED5DD0"/>
    <w:rsid w:val="00ED63A2"/>
    <w:rsid w:val="00EE3AB2"/>
    <w:rsid w:val="00EE6721"/>
    <w:rsid w:val="00EF0312"/>
    <w:rsid w:val="00EF1B8B"/>
    <w:rsid w:val="00EF2219"/>
    <w:rsid w:val="00EF29B3"/>
    <w:rsid w:val="00EF2BD7"/>
    <w:rsid w:val="00EF2E3F"/>
    <w:rsid w:val="00EF3C62"/>
    <w:rsid w:val="00EF42A3"/>
    <w:rsid w:val="00EF5DBD"/>
    <w:rsid w:val="00EF6F31"/>
    <w:rsid w:val="00F013A6"/>
    <w:rsid w:val="00F069DD"/>
    <w:rsid w:val="00F109FD"/>
    <w:rsid w:val="00F10D87"/>
    <w:rsid w:val="00F1340D"/>
    <w:rsid w:val="00F13499"/>
    <w:rsid w:val="00F14DED"/>
    <w:rsid w:val="00F23899"/>
    <w:rsid w:val="00F23F35"/>
    <w:rsid w:val="00F24158"/>
    <w:rsid w:val="00F2668F"/>
    <w:rsid w:val="00F2727B"/>
    <w:rsid w:val="00F340F9"/>
    <w:rsid w:val="00F37965"/>
    <w:rsid w:val="00F4037F"/>
    <w:rsid w:val="00F409AF"/>
    <w:rsid w:val="00F40D42"/>
    <w:rsid w:val="00F43859"/>
    <w:rsid w:val="00F452EE"/>
    <w:rsid w:val="00F52600"/>
    <w:rsid w:val="00F5614F"/>
    <w:rsid w:val="00F578C1"/>
    <w:rsid w:val="00F57C05"/>
    <w:rsid w:val="00F64670"/>
    <w:rsid w:val="00F652FC"/>
    <w:rsid w:val="00F65824"/>
    <w:rsid w:val="00F65EBA"/>
    <w:rsid w:val="00F6761E"/>
    <w:rsid w:val="00F67BBC"/>
    <w:rsid w:val="00F71A30"/>
    <w:rsid w:val="00F71F3B"/>
    <w:rsid w:val="00F74565"/>
    <w:rsid w:val="00F771C6"/>
    <w:rsid w:val="00F77B74"/>
    <w:rsid w:val="00F80761"/>
    <w:rsid w:val="00F80C37"/>
    <w:rsid w:val="00F81B50"/>
    <w:rsid w:val="00F836B1"/>
    <w:rsid w:val="00F83F98"/>
    <w:rsid w:val="00F8405A"/>
    <w:rsid w:val="00F84067"/>
    <w:rsid w:val="00F84CB3"/>
    <w:rsid w:val="00F85639"/>
    <w:rsid w:val="00F85C8E"/>
    <w:rsid w:val="00F9076D"/>
    <w:rsid w:val="00F91015"/>
    <w:rsid w:val="00F9417A"/>
    <w:rsid w:val="00F97129"/>
    <w:rsid w:val="00FA0FC4"/>
    <w:rsid w:val="00FA15EC"/>
    <w:rsid w:val="00FA2EE9"/>
    <w:rsid w:val="00FA6A08"/>
    <w:rsid w:val="00FA6B58"/>
    <w:rsid w:val="00FA76E4"/>
    <w:rsid w:val="00FB1AB9"/>
    <w:rsid w:val="00FB1B90"/>
    <w:rsid w:val="00FB2629"/>
    <w:rsid w:val="00FB2C22"/>
    <w:rsid w:val="00FB64DD"/>
    <w:rsid w:val="00FB672A"/>
    <w:rsid w:val="00FB77EE"/>
    <w:rsid w:val="00FC0822"/>
    <w:rsid w:val="00FC0A63"/>
    <w:rsid w:val="00FC1458"/>
    <w:rsid w:val="00FC2192"/>
    <w:rsid w:val="00FC2CE0"/>
    <w:rsid w:val="00FC2FEF"/>
    <w:rsid w:val="00FC4916"/>
    <w:rsid w:val="00FC52CD"/>
    <w:rsid w:val="00FC5415"/>
    <w:rsid w:val="00FC622F"/>
    <w:rsid w:val="00FC67CF"/>
    <w:rsid w:val="00FC7186"/>
    <w:rsid w:val="00FC7251"/>
    <w:rsid w:val="00FD0907"/>
    <w:rsid w:val="00FD3ECD"/>
    <w:rsid w:val="00FD4590"/>
    <w:rsid w:val="00FD4778"/>
    <w:rsid w:val="00FD6ACB"/>
    <w:rsid w:val="00FD7C8F"/>
    <w:rsid w:val="00FE02B5"/>
    <w:rsid w:val="00FE04E3"/>
    <w:rsid w:val="00FE1DCE"/>
    <w:rsid w:val="00FE23A9"/>
    <w:rsid w:val="00FE4036"/>
    <w:rsid w:val="00FE581D"/>
    <w:rsid w:val="00FE6489"/>
    <w:rsid w:val="00FE67F3"/>
    <w:rsid w:val="00FE68E9"/>
    <w:rsid w:val="00FE7CB5"/>
    <w:rsid w:val="00FE7E0A"/>
    <w:rsid w:val="00FF119E"/>
    <w:rsid w:val="00FF474D"/>
    <w:rsid w:val="00FF589E"/>
    <w:rsid w:val="00FF6798"/>
    <w:rsid w:val="00FF6B07"/>
    <w:rsid w:val="00FF6F99"/>
    <w:rsid w:val="478C1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5:docId w15:val="{287E04B1-FB15-413C-AE75-29EBED101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annotation text" w:uiPriority="99"/>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annotation reference" w:semiHidden="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uiPriority="20"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BatangChe"/>
      <w:sz w:val="24"/>
      <w:szCs w:val="24"/>
      <w:lang w:eastAsia="en-US"/>
    </w:rPr>
  </w:style>
  <w:style w:type="paragraph" w:styleId="Heading1">
    <w:name w:val="heading 1"/>
    <w:basedOn w:val="Normal"/>
    <w:next w:val="Normal"/>
    <w:link w:val="Heading1Char"/>
    <w:qFormat/>
    <w:pPr>
      <w:keepNext/>
      <w:jc w:val="center"/>
      <w:outlineLvl w:val="0"/>
    </w:pPr>
    <w:rPr>
      <w:rFonts w:cs="Angsana New"/>
      <w:b/>
      <w:bCs/>
      <w:u w:val="single"/>
    </w:rPr>
  </w:style>
  <w:style w:type="paragraph" w:styleId="Heading2">
    <w:name w:val="heading 2"/>
    <w:basedOn w:val="Normal"/>
    <w:next w:val="Normal"/>
    <w:link w:val="Heading2Char"/>
    <w:qFormat/>
    <w:pPr>
      <w:keepNext/>
      <w:outlineLvl w:val="1"/>
    </w:pPr>
    <w:rPr>
      <w:rFonts w:ascii="Arial" w:eastAsia="Dotum" w:hAnsi="Arial" w:cs="Angsana New"/>
    </w:rPr>
  </w:style>
  <w:style w:type="paragraph" w:styleId="Heading3">
    <w:name w:val="heading 3"/>
    <w:basedOn w:val="Normal"/>
    <w:next w:val="Normal"/>
    <w:link w:val="Heading3Char"/>
    <w:qFormat/>
    <w:pPr>
      <w:keepNext/>
      <w:ind w:leftChars="300" w:left="300" w:hangingChars="200" w:hanging="2000"/>
      <w:outlineLvl w:val="2"/>
    </w:pPr>
    <w:rPr>
      <w:rFonts w:ascii="Arial" w:eastAsia="Dotum" w:hAnsi="Arial" w:cs="Angsana New"/>
    </w:rPr>
  </w:style>
  <w:style w:type="paragraph" w:styleId="Heading4">
    <w:name w:val="heading 4"/>
    <w:basedOn w:val="Normal"/>
    <w:next w:val="Normal"/>
    <w:link w:val="Heading4Char"/>
    <w:unhideWhenUsed/>
    <w:qFormat/>
    <w:pPr>
      <w:keepNext/>
      <w:ind w:leftChars="400" w:left="400"/>
      <w:outlineLvl w:val="3"/>
    </w:pPr>
    <w:rPr>
      <w:b/>
      <w:bCs/>
    </w:rPr>
  </w:style>
  <w:style w:type="paragraph" w:styleId="Heading5">
    <w:name w:val="heading 5"/>
    <w:basedOn w:val="Normal"/>
    <w:next w:val="Normal"/>
    <w:link w:val="Heading5Char"/>
    <w:unhideWhenUsed/>
    <w:qFormat/>
    <w:pPr>
      <w:keepNext/>
      <w:ind w:leftChars="800" w:left="800"/>
      <w:outlineLvl w:val="4"/>
    </w:pPr>
    <w:rPr>
      <w:rFonts w:eastAsia="Batang"/>
      <w:b/>
      <w:szCs w:val="20"/>
    </w:rPr>
  </w:style>
  <w:style w:type="paragraph" w:styleId="Heading6">
    <w:name w:val="heading 6"/>
    <w:basedOn w:val="Normal"/>
    <w:next w:val="Normal"/>
    <w:link w:val="Heading6Char"/>
    <w:unhideWhenUsed/>
    <w:qFormat/>
    <w:pPr>
      <w:keepNext/>
      <w:ind w:leftChars="800" w:left="800"/>
      <w:outlineLvl w:val="5"/>
    </w:pPr>
    <w:rPr>
      <w:b/>
      <w:bCs/>
    </w:rPr>
  </w:style>
  <w:style w:type="paragraph" w:styleId="Heading7">
    <w:name w:val="heading 7"/>
    <w:basedOn w:val="Normal"/>
    <w:next w:val="Normal"/>
    <w:link w:val="Heading7Char"/>
    <w:unhideWhenUsed/>
    <w:qFormat/>
    <w:pPr>
      <w:keepNext/>
      <w:ind w:leftChars="800" w:left="800"/>
      <w:outlineLvl w:val="6"/>
    </w:pPr>
    <w:rPr>
      <w:rFonts w:eastAsia="Batang"/>
      <w:b/>
      <w:szCs w:val="20"/>
    </w:rPr>
  </w:style>
  <w:style w:type="paragraph" w:styleId="Heading8">
    <w:name w:val="heading 8"/>
    <w:basedOn w:val="Normal"/>
    <w:next w:val="Normal"/>
    <w:link w:val="Heading8Char"/>
    <w:qFormat/>
    <w:pPr>
      <w:keepNext/>
      <w:widowControl w:val="0"/>
      <w:wordWrap w:val="0"/>
      <w:jc w:val="both"/>
      <w:outlineLvl w:val="7"/>
    </w:pPr>
    <w:rPr>
      <w:rFonts w:cs="Angsana New"/>
      <w:b/>
      <w:bCs/>
      <w:kern w:val="2"/>
      <w:sz w:val="20"/>
      <w:szCs w:val="20"/>
      <w:lang w:eastAsia="ko-KR"/>
    </w:rPr>
  </w:style>
  <w:style w:type="paragraph" w:styleId="Heading9">
    <w:name w:val="heading 9"/>
    <w:basedOn w:val="Normal"/>
    <w:next w:val="Normal"/>
    <w:link w:val="Heading9Char"/>
    <w:unhideWhenUsed/>
    <w:qFormat/>
    <w:pPr>
      <w:keepNext/>
      <w:ind w:leftChars="1200" w:left="1200"/>
      <w:outlineLvl w:val="8"/>
    </w:pPr>
    <w:rPr>
      <w:rFonts w:eastAsia="Batang"/>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semiHidden/>
    <w:rPr>
      <w:b/>
      <w:bCs/>
    </w:rPr>
  </w:style>
  <w:style w:type="paragraph" w:styleId="CommentText">
    <w:name w:val="annotation text"/>
    <w:basedOn w:val="Normal"/>
    <w:link w:val="CommentTextChar"/>
    <w:uiPriority w:val="99"/>
    <w:rPr>
      <w:rFonts w:cs="Angsana New"/>
    </w:rPr>
  </w:style>
  <w:style w:type="paragraph" w:styleId="TOC7">
    <w:name w:val="toc 7"/>
    <w:basedOn w:val="Normal"/>
    <w:next w:val="Normal"/>
    <w:unhideWhenUsed/>
    <w:pPr>
      <w:ind w:leftChars="600" w:left="1440"/>
    </w:pPr>
  </w:style>
  <w:style w:type="paragraph" w:styleId="NormalIndent">
    <w:name w:val="Normal Indent"/>
    <w:basedOn w:val="Normal"/>
    <w:pPr>
      <w:widowControl w:val="0"/>
      <w:wordWrap w:val="0"/>
      <w:ind w:left="851"/>
      <w:jc w:val="both"/>
    </w:pPr>
    <w:rPr>
      <w:kern w:val="2"/>
      <w:sz w:val="20"/>
      <w:szCs w:val="20"/>
      <w:lang w:eastAsia="ko-KR"/>
    </w:rPr>
  </w:style>
  <w:style w:type="paragraph" w:styleId="Caption">
    <w:name w:val="caption"/>
    <w:basedOn w:val="Normal"/>
    <w:next w:val="Normal"/>
    <w:qFormat/>
    <w:pPr>
      <w:tabs>
        <w:tab w:val="left" w:pos="794"/>
        <w:tab w:val="left" w:pos="1191"/>
        <w:tab w:val="left" w:pos="1588"/>
        <w:tab w:val="left" w:pos="1985"/>
      </w:tabs>
      <w:overflowPunct w:val="0"/>
      <w:autoSpaceDE w:val="0"/>
      <w:autoSpaceDN w:val="0"/>
      <w:adjustRightInd w:val="0"/>
      <w:spacing w:before="120"/>
      <w:textAlignment w:val="baseline"/>
    </w:pPr>
    <w:rPr>
      <w:b/>
      <w:bCs/>
      <w:sz w:val="20"/>
      <w:szCs w:val="20"/>
    </w:rPr>
  </w:style>
  <w:style w:type="paragraph" w:styleId="TOC5">
    <w:name w:val="toc 5"/>
    <w:basedOn w:val="Normal"/>
    <w:next w:val="Normal"/>
    <w:unhideWhenUsed/>
    <w:pPr>
      <w:ind w:leftChars="400" w:left="960"/>
    </w:pPr>
  </w:style>
  <w:style w:type="paragraph" w:styleId="TOC3">
    <w:name w:val="toc 3"/>
    <w:basedOn w:val="Normal"/>
    <w:next w:val="Normal"/>
    <w:unhideWhenUsed/>
    <w:pPr>
      <w:ind w:leftChars="200" w:left="480"/>
    </w:pPr>
  </w:style>
  <w:style w:type="paragraph" w:styleId="PlainText">
    <w:name w:val="Plain Text"/>
    <w:basedOn w:val="Normal"/>
    <w:link w:val="PlainTextChar"/>
    <w:pPr>
      <w:spacing w:before="100" w:beforeAutospacing="1" w:after="100" w:afterAutospacing="1"/>
    </w:pPr>
    <w:rPr>
      <w:rFonts w:eastAsia="Times New Roman" w:cs="Angsana New"/>
    </w:rPr>
  </w:style>
  <w:style w:type="paragraph" w:styleId="TOC8">
    <w:name w:val="toc 8"/>
    <w:basedOn w:val="Normal"/>
    <w:next w:val="Normal"/>
    <w:unhideWhenUsed/>
    <w:pPr>
      <w:ind w:leftChars="700" w:left="1680"/>
    </w:pPr>
  </w:style>
  <w:style w:type="paragraph" w:styleId="BalloonText">
    <w:name w:val="Balloon Text"/>
    <w:basedOn w:val="Normal"/>
    <w:link w:val="BalloonTextChar"/>
    <w:rPr>
      <w:rFonts w:ascii="Arial" w:eastAsia="Dotum" w:hAnsi="Arial" w:cs="Angsana New"/>
      <w:sz w:val="18"/>
      <w:szCs w:val="18"/>
    </w:rPr>
  </w:style>
  <w:style w:type="paragraph" w:styleId="Footer">
    <w:name w:val="footer"/>
    <w:basedOn w:val="Normal"/>
    <w:link w:val="FooterChar"/>
    <w:uiPriority w:val="99"/>
    <w:pPr>
      <w:tabs>
        <w:tab w:val="center" w:pos="4320"/>
        <w:tab w:val="right" w:pos="8640"/>
      </w:tabs>
    </w:pPr>
    <w:rPr>
      <w:rFonts w:cs="Angsana New"/>
    </w:rPr>
  </w:style>
  <w:style w:type="paragraph" w:styleId="Header">
    <w:name w:val="header"/>
    <w:basedOn w:val="Normal"/>
    <w:link w:val="HeaderChar"/>
    <w:pPr>
      <w:tabs>
        <w:tab w:val="center" w:pos="4320"/>
        <w:tab w:val="right" w:pos="8640"/>
      </w:tabs>
    </w:pPr>
    <w:rPr>
      <w:rFonts w:cs="Angsana New"/>
    </w:rPr>
  </w:style>
  <w:style w:type="paragraph" w:styleId="TOC1">
    <w:name w:val="toc 1"/>
    <w:basedOn w:val="Normal"/>
    <w:next w:val="Normal"/>
    <w:uiPriority w:val="39"/>
    <w:unhideWhenUsed/>
  </w:style>
  <w:style w:type="paragraph" w:styleId="TOC4">
    <w:name w:val="toc 4"/>
    <w:basedOn w:val="Normal"/>
    <w:next w:val="Normal"/>
    <w:unhideWhenUsed/>
    <w:pPr>
      <w:ind w:leftChars="300" w:left="720"/>
    </w:pPr>
  </w:style>
  <w:style w:type="paragraph" w:styleId="FootnoteText">
    <w:name w:val="footnote text"/>
    <w:basedOn w:val="Normal"/>
    <w:link w:val="FootnoteTextChar"/>
    <w:pPr>
      <w:snapToGrid w:val="0"/>
    </w:pPr>
  </w:style>
  <w:style w:type="paragraph" w:styleId="TOC6">
    <w:name w:val="toc 6"/>
    <w:basedOn w:val="Normal"/>
    <w:next w:val="Normal"/>
    <w:unhideWhenUsed/>
    <w:pPr>
      <w:ind w:leftChars="500" w:left="1200"/>
    </w:pPr>
  </w:style>
  <w:style w:type="paragraph" w:styleId="TOC2">
    <w:name w:val="toc 2"/>
    <w:basedOn w:val="Normal"/>
    <w:next w:val="Normal"/>
    <w:uiPriority w:val="39"/>
    <w:unhideWhenUsed/>
    <w:pPr>
      <w:ind w:leftChars="100" w:left="240"/>
    </w:pPr>
  </w:style>
  <w:style w:type="paragraph" w:styleId="NormalWeb">
    <w:name w:val="Normal (Web)"/>
    <w:basedOn w:val="Normal"/>
    <w:uiPriority w:val="99"/>
    <w:pPr>
      <w:spacing w:before="100" w:beforeAutospacing="1" w:after="100" w:afterAutospacing="1"/>
    </w:pPr>
    <w:rPr>
      <w:rFonts w:ascii="Gulim" w:eastAsia="Gulim" w:hAnsi="Gulim" w:cs="Gulim"/>
      <w:lang w:eastAsia="ko-KR"/>
    </w:rPr>
  </w:style>
  <w:style w:type="paragraph" w:styleId="Index1">
    <w:name w:val="index 1"/>
    <w:basedOn w:val="Normal"/>
    <w:next w:val="Normal"/>
    <w:unhideWhenUsed/>
    <w:pPr>
      <w:ind w:left="240" w:hangingChars="100" w:hanging="240"/>
    </w:pPr>
  </w:style>
  <w:style w:type="character" w:styleId="EndnoteReference">
    <w:name w:val="endnote reference"/>
    <w:semiHidden/>
    <w:rPr>
      <w:vertAlign w:val="superscript"/>
    </w:rPr>
  </w:style>
  <w:style w:type="character" w:styleId="PageNumber">
    <w:name w:val="page number"/>
    <w:basedOn w:val="DefaultParagraphFont"/>
  </w:style>
  <w:style w:type="character" w:styleId="FollowedHyperlink">
    <w:name w:val="FollowedHyperlink"/>
    <w:rPr>
      <w:color w:val="800080"/>
      <w:u w:val="single"/>
    </w:rPr>
  </w:style>
  <w:style w:type="character" w:styleId="Emphasis">
    <w:name w:val="Emphasis"/>
    <w:uiPriority w:val="20"/>
    <w:qFormat/>
    <w:rPr>
      <w:i/>
      <w:iCs/>
    </w:rPr>
  </w:style>
  <w:style w:type="character" w:styleId="LineNumber">
    <w:name w:val="line number"/>
    <w:basedOn w:val="DefaultParagraphFont"/>
  </w:style>
  <w:style w:type="character" w:styleId="Hyperlink">
    <w:name w:val="Hyperlink"/>
    <w:uiPriority w:val="99"/>
    <w:rPr>
      <w:color w:val="0000FF"/>
      <w:u w:val="single"/>
    </w:rPr>
  </w:style>
  <w:style w:type="character" w:styleId="CommentReference">
    <w:name w:val="annotation reference"/>
    <w:semiHidden/>
    <w:rPr>
      <w:sz w:val="18"/>
      <w:szCs w:val="18"/>
    </w:rPr>
  </w:style>
  <w:style w:type="character" w:styleId="FootnoteReference">
    <w:name w:val="footnote reference"/>
    <w:rPr>
      <w:vertAlign w:val="superscript"/>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표"/>
    <w:basedOn w:val="Normal"/>
    <w:next w:val="Normal"/>
    <w:pPr>
      <w:widowControl w:val="0"/>
      <w:wordWrap w:val="0"/>
      <w:autoSpaceDE w:val="0"/>
      <w:autoSpaceDN w:val="0"/>
      <w:jc w:val="both"/>
    </w:pPr>
    <w:rPr>
      <w:rFonts w:ascii="Book Antiqua" w:eastAsia="GulimChe" w:hAnsi="Book Antiqua"/>
      <w:b/>
      <w:bCs/>
      <w:kern w:val="2"/>
      <w:sz w:val="28"/>
      <w:lang w:eastAsia="ko-KR"/>
    </w:rPr>
  </w:style>
  <w:style w:type="paragraph" w:customStyle="1" w:styleId="Note">
    <w:name w:val="Note"/>
    <w:basedOn w:val="Normal"/>
    <w:pPr>
      <w:tabs>
        <w:tab w:val="left" w:pos="284"/>
        <w:tab w:val="left" w:pos="1134"/>
        <w:tab w:val="left" w:pos="1871"/>
        <w:tab w:val="left" w:pos="2268"/>
      </w:tabs>
      <w:spacing w:before="160"/>
      <w:jc w:val="both"/>
    </w:pPr>
    <w:rPr>
      <w:sz w:val="20"/>
      <w:szCs w:val="20"/>
      <w:lang w:eastAsia="ko-KR"/>
    </w:rPr>
  </w:style>
  <w:style w:type="paragraph" w:customStyle="1" w:styleId="Equation">
    <w:name w:val="Equation"/>
    <w:basedOn w:val="Normal"/>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rPr>
  </w:style>
  <w:style w:type="paragraph" w:customStyle="1" w:styleId="Default">
    <w:name w:val="Default"/>
    <w:pPr>
      <w:widowControl w:val="0"/>
      <w:autoSpaceDE w:val="0"/>
      <w:autoSpaceDN w:val="0"/>
      <w:adjustRightInd w:val="0"/>
    </w:pPr>
    <w:rPr>
      <w:rFonts w:eastAsia="Batang"/>
      <w:color w:val="000000"/>
      <w:sz w:val="24"/>
      <w:szCs w:val="24"/>
      <w:lang w:eastAsia="ko-KR"/>
    </w:rPr>
  </w:style>
  <w:style w:type="paragraph" w:customStyle="1" w:styleId="NO">
    <w:name w:val="NO"/>
    <w:basedOn w:val="Default"/>
    <w:next w:val="Default"/>
    <w:pPr>
      <w:spacing w:after="180"/>
    </w:pPr>
    <w:rPr>
      <w:color w:val="auto"/>
    </w:rPr>
  </w:style>
  <w:style w:type="paragraph" w:customStyle="1" w:styleId="FP">
    <w:name w:val="FP"/>
    <w:basedOn w:val="Default"/>
    <w:next w:val="Default"/>
    <w:rPr>
      <w:color w:val="auto"/>
    </w:rPr>
  </w:style>
  <w:style w:type="paragraph" w:customStyle="1" w:styleId="TF">
    <w:name w:val="TF"/>
    <w:basedOn w:val="Default"/>
    <w:next w:val="Default"/>
    <w:pPr>
      <w:spacing w:before="120" w:after="120"/>
    </w:pPr>
    <w:rPr>
      <w:color w:val="auto"/>
    </w:rPr>
  </w:style>
  <w:style w:type="paragraph" w:customStyle="1" w:styleId="text-6">
    <w:name w:val="text-6"/>
    <w:basedOn w:val="Normal"/>
    <w:pPr>
      <w:numPr>
        <w:ilvl w:val="1"/>
        <w:numId w:val="1"/>
      </w:numPr>
      <w:tabs>
        <w:tab w:val="clear" w:pos="1280"/>
        <w:tab w:val="left" w:pos="360"/>
        <w:tab w:val="left" w:pos="760"/>
      </w:tabs>
      <w:spacing w:beforeLines="50"/>
      <w:ind w:left="720" w:firstLine="0"/>
      <w:jc w:val="both"/>
    </w:pPr>
    <w:rPr>
      <w:rFonts w:ascii="Arial" w:hAnsi="Arial" w:cs="Arial"/>
      <w:i/>
      <w:color w:val="0000FF"/>
      <w:lang w:eastAsia="ko-KR"/>
    </w:rPr>
  </w:style>
  <w:style w:type="paragraph" w:customStyle="1" w:styleId="text-5">
    <w:name w:val="text-5"/>
    <w:basedOn w:val="Normal"/>
    <w:rPr>
      <w:rFonts w:ascii="Arial" w:hAnsi="Arial" w:cs="Arial"/>
      <w:i/>
      <w:color w:val="0000FF"/>
      <w:lang w:eastAsia="ko-KR"/>
    </w:rPr>
  </w:style>
  <w:style w:type="paragraph" w:customStyle="1" w:styleId="text-4">
    <w:name w:val="text-4"/>
    <w:basedOn w:val="Normal"/>
    <w:link w:val="text-4Char"/>
    <w:pPr>
      <w:spacing w:beforeLines="50"/>
      <w:ind w:left="720"/>
      <w:jc w:val="both"/>
    </w:pPr>
    <w:rPr>
      <w:rFonts w:ascii="Arial" w:hAnsi="Arial" w:cs="Arial"/>
      <w:i/>
      <w:color w:val="0000FF"/>
      <w:lang w:eastAsia="ko-KR"/>
    </w:rPr>
  </w:style>
  <w:style w:type="paragraph" w:customStyle="1" w:styleId="enumlev1">
    <w:name w:val="enumlev1"/>
    <w:basedOn w:val="Normal"/>
    <w:link w:val="enumlev1Char"/>
    <w:pPr>
      <w:tabs>
        <w:tab w:val="left" w:pos="794"/>
        <w:tab w:val="left" w:pos="1191"/>
        <w:tab w:val="left" w:pos="1588"/>
        <w:tab w:val="left" w:pos="1985"/>
      </w:tabs>
      <w:overflowPunct w:val="0"/>
      <w:autoSpaceDE w:val="0"/>
      <w:autoSpaceDN w:val="0"/>
      <w:adjustRightInd w:val="0"/>
      <w:spacing w:before="80"/>
      <w:ind w:left="794" w:hanging="794"/>
      <w:textAlignment w:val="baseline"/>
    </w:pPr>
  </w:style>
  <w:style w:type="paragraph" w:customStyle="1" w:styleId="CharChar">
    <w:name w:val="Char Char"/>
    <w:basedOn w:val="Normal"/>
    <w:pPr>
      <w:spacing w:after="160" w:line="240" w:lineRule="exact"/>
    </w:pPr>
    <w:rPr>
      <w:rFonts w:ascii="Verdana" w:eastAsia="MS Mincho" w:hAnsi="Verdana"/>
      <w:sz w:val="20"/>
      <w:szCs w:val="20"/>
      <w:lang w:eastAsia="ja-JP"/>
    </w:rPr>
  </w:style>
  <w:style w:type="paragraph" w:customStyle="1" w:styleId="Tabletext">
    <w:name w:val="Table_text"/>
    <w:basedOn w:val="Normal"/>
    <w:link w:val="TabletextChar"/>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Batang"/>
      <w:sz w:val="22"/>
      <w:szCs w:val="20"/>
    </w:rPr>
  </w:style>
  <w:style w:type="paragraph" w:customStyle="1" w:styleId="Tablehead">
    <w:name w:val="Table_head"/>
    <w:basedOn w:val="Normal"/>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Batang"/>
      <w:b/>
      <w:sz w:val="22"/>
      <w:szCs w:val="20"/>
    </w:rPr>
  </w:style>
  <w:style w:type="paragraph" w:customStyle="1" w:styleId="Tablelegend">
    <w:name w:val="Table_legend"/>
    <w:basedOn w:val="Normal"/>
    <w:link w:val="TablelegendChar"/>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120" w:after="40"/>
      <w:textAlignment w:val="baseline"/>
    </w:pPr>
    <w:rPr>
      <w:rFonts w:eastAsia="Batang"/>
      <w:sz w:val="22"/>
      <w:szCs w:val="20"/>
    </w:rPr>
  </w:style>
  <w:style w:type="paragraph" w:customStyle="1" w:styleId="Normalaftertitle">
    <w:name w:val="Normal_after_title"/>
    <w:basedOn w:val="Normal"/>
    <w:next w:val="Normal"/>
    <w:link w:val="NormalaftertitleChar"/>
    <w:pPr>
      <w:tabs>
        <w:tab w:val="left" w:pos="1134"/>
        <w:tab w:val="left" w:pos="1871"/>
        <w:tab w:val="left" w:pos="2268"/>
      </w:tabs>
      <w:overflowPunct w:val="0"/>
      <w:autoSpaceDE w:val="0"/>
      <w:autoSpaceDN w:val="0"/>
      <w:adjustRightInd w:val="0"/>
      <w:spacing w:before="360"/>
      <w:textAlignment w:val="baseline"/>
    </w:pPr>
    <w:rPr>
      <w:rFonts w:eastAsia="Batang" w:cs="Angsana New"/>
      <w:szCs w:val="20"/>
    </w:rPr>
  </w:style>
  <w:style w:type="paragraph" w:customStyle="1" w:styleId="1">
    <w:name w:val="列出段落1"/>
    <w:basedOn w:val="Normal"/>
    <w:uiPriority w:val="34"/>
    <w:qFormat/>
    <w:pPr>
      <w:tabs>
        <w:tab w:val="left" w:pos="1134"/>
        <w:tab w:val="left" w:pos="1871"/>
        <w:tab w:val="left" w:pos="2268"/>
      </w:tabs>
      <w:overflowPunct w:val="0"/>
      <w:autoSpaceDE w:val="0"/>
      <w:autoSpaceDN w:val="0"/>
      <w:adjustRightInd w:val="0"/>
      <w:spacing w:before="120"/>
      <w:ind w:left="720"/>
      <w:contextualSpacing/>
      <w:textAlignment w:val="baseline"/>
    </w:pPr>
    <w:rPr>
      <w:rFonts w:eastAsia="Malgun Gothic"/>
      <w:szCs w:val="20"/>
    </w:rPr>
  </w:style>
  <w:style w:type="paragraph" w:customStyle="1" w:styleId="41">
    <w:name w:val="見出し 41"/>
    <w:basedOn w:val="Heading3"/>
    <w:next w:val="Normal"/>
    <w:link w:val="4"/>
    <w:qFormat/>
    <w:pPr>
      <w:keepLines/>
      <w:tabs>
        <w:tab w:val="left" w:pos="1871"/>
        <w:tab w:val="left" w:pos="2268"/>
      </w:tabs>
      <w:overflowPunct w:val="0"/>
      <w:autoSpaceDE w:val="0"/>
      <w:autoSpaceDN w:val="0"/>
      <w:adjustRightInd w:val="0"/>
      <w:spacing w:before="200"/>
      <w:ind w:leftChars="0" w:left="1134" w:firstLineChars="0" w:hanging="1134"/>
      <w:textAlignment w:val="baseline"/>
      <w:outlineLvl w:val="3"/>
    </w:pPr>
    <w:rPr>
      <w:rFonts w:ascii="Times New Roman" w:eastAsia="Batang" w:hAnsi="Times New Roman" w:cs="Times New Roman"/>
      <w:b/>
      <w:szCs w:val="20"/>
    </w:rPr>
  </w:style>
  <w:style w:type="paragraph" w:customStyle="1" w:styleId="51">
    <w:name w:val="見出し 51"/>
    <w:basedOn w:val="Heading4"/>
    <w:next w:val="Normal"/>
    <w:qFormat/>
    <w:pPr>
      <w:keepLines/>
      <w:tabs>
        <w:tab w:val="left" w:pos="1871"/>
        <w:tab w:val="left" w:pos="2268"/>
      </w:tabs>
      <w:overflowPunct w:val="0"/>
      <w:autoSpaceDE w:val="0"/>
      <w:autoSpaceDN w:val="0"/>
      <w:adjustRightInd w:val="0"/>
      <w:spacing w:before="200"/>
      <w:ind w:leftChars="0" w:left="1134" w:hanging="1134"/>
      <w:textAlignment w:val="baseline"/>
      <w:outlineLvl w:val="4"/>
    </w:pPr>
    <w:rPr>
      <w:rFonts w:eastAsia="MS Mincho"/>
      <w:bCs w:val="0"/>
      <w:szCs w:val="20"/>
    </w:rPr>
  </w:style>
  <w:style w:type="paragraph" w:customStyle="1" w:styleId="61">
    <w:name w:val="見出し 61"/>
    <w:basedOn w:val="Heading4"/>
    <w:next w:val="Normal"/>
    <w:link w:val="6"/>
    <w:qFormat/>
    <w:pPr>
      <w:keepLines/>
      <w:tabs>
        <w:tab w:val="left" w:pos="1871"/>
        <w:tab w:val="left" w:pos="2268"/>
      </w:tabs>
      <w:overflowPunct w:val="0"/>
      <w:autoSpaceDE w:val="0"/>
      <w:autoSpaceDN w:val="0"/>
      <w:adjustRightInd w:val="0"/>
      <w:spacing w:before="200"/>
      <w:ind w:leftChars="0" w:left="1134" w:hanging="1134"/>
      <w:textAlignment w:val="baseline"/>
      <w:outlineLvl w:val="5"/>
    </w:pPr>
    <w:rPr>
      <w:rFonts w:eastAsia="Batang"/>
      <w:bCs w:val="0"/>
      <w:szCs w:val="20"/>
    </w:rPr>
  </w:style>
  <w:style w:type="paragraph" w:customStyle="1" w:styleId="71">
    <w:name w:val="見出し 71"/>
    <w:basedOn w:val="Heading6"/>
    <w:next w:val="Normal"/>
    <w:qFormat/>
    <w:pPr>
      <w:keepLines/>
      <w:tabs>
        <w:tab w:val="left" w:pos="1871"/>
        <w:tab w:val="left" w:pos="2268"/>
      </w:tabs>
      <w:overflowPunct w:val="0"/>
      <w:autoSpaceDE w:val="0"/>
      <w:autoSpaceDN w:val="0"/>
      <w:adjustRightInd w:val="0"/>
      <w:spacing w:before="200"/>
      <w:ind w:leftChars="0" w:left="1134" w:hanging="1134"/>
      <w:textAlignment w:val="baseline"/>
      <w:outlineLvl w:val="6"/>
    </w:pPr>
    <w:rPr>
      <w:rFonts w:eastAsia="MS Mincho"/>
      <w:bCs w:val="0"/>
      <w:szCs w:val="20"/>
    </w:rPr>
  </w:style>
  <w:style w:type="paragraph" w:customStyle="1" w:styleId="91">
    <w:name w:val="見出し 91"/>
    <w:basedOn w:val="Heading6"/>
    <w:next w:val="Normal"/>
    <w:qFormat/>
    <w:pPr>
      <w:keepLines/>
      <w:tabs>
        <w:tab w:val="left" w:pos="1871"/>
        <w:tab w:val="left" w:pos="2268"/>
      </w:tabs>
      <w:overflowPunct w:val="0"/>
      <w:autoSpaceDE w:val="0"/>
      <w:autoSpaceDN w:val="0"/>
      <w:adjustRightInd w:val="0"/>
      <w:spacing w:before="200"/>
      <w:ind w:leftChars="0" w:left="1134" w:hanging="1134"/>
      <w:textAlignment w:val="baseline"/>
      <w:outlineLvl w:val="8"/>
    </w:pPr>
    <w:rPr>
      <w:rFonts w:eastAsia="MS Mincho"/>
      <w:bCs w:val="0"/>
      <w:szCs w:val="20"/>
    </w:rPr>
  </w:style>
  <w:style w:type="paragraph" w:customStyle="1" w:styleId="Artheading">
    <w:name w:val="Art_heading"/>
    <w:basedOn w:val="Normal"/>
    <w:next w:val="Normal"/>
    <w:pPr>
      <w:tabs>
        <w:tab w:val="left" w:pos="1134"/>
        <w:tab w:val="left" w:pos="1871"/>
        <w:tab w:val="left" w:pos="2268"/>
      </w:tabs>
      <w:overflowPunct w:val="0"/>
      <w:autoSpaceDE w:val="0"/>
      <w:autoSpaceDN w:val="0"/>
      <w:adjustRightInd w:val="0"/>
      <w:spacing w:before="480"/>
      <w:jc w:val="center"/>
      <w:textAlignment w:val="baseline"/>
    </w:pPr>
    <w:rPr>
      <w:rFonts w:ascii="Times New Roman Bold" w:eastAsia="MS Mincho" w:hAnsi="Times New Roman Bold"/>
      <w:b/>
      <w:sz w:val="28"/>
      <w:szCs w:val="20"/>
    </w:rPr>
  </w:style>
  <w:style w:type="paragraph" w:customStyle="1" w:styleId="ArtNo">
    <w:name w:val="Art_No"/>
    <w:basedOn w:val="Normal"/>
    <w:next w:val="Arttitle"/>
    <w:pPr>
      <w:keepNext/>
      <w:keepLines/>
      <w:tabs>
        <w:tab w:val="left" w:pos="1134"/>
        <w:tab w:val="left" w:pos="1871"/>
        <w:tab w:val="left" w:pos="2268"/>
      </w:tabs>
      <w:overflowPunct w:val="0"/>
      <w:autoSpaceDE w:val="0"/>
      <w:autoSpaceDN w:val="0"/>
      <w:adjustRightInd w:val="0"/>
      <w:spacing w:before="480"/>
      <w:jc w:val="center"/>
      <w:textAlignment w:val="baseline"/>
    </w:pPr>
    <w:rPr>
      <w:rFonts w:eastAsia="MS Mincho"/>
      <w:caps/>
      <w:sz w:val="28"/>
      <w:szCs w:val="20"/>
    </w:rPr>
  </w:style>
  <w:style w:type="paragraph" w:customStyle="1" w:styleId="Arttitle">
    <w:name w:val="Art_title"/>
    <w:basedOn w:val="Normal"/>
    <w:next w:val="Normal"/>
    <w:pPr>
      <w:keepNext/>
      <w:keepLines/>
      <w:tabs>
        <w:tab w:val="left" w:pos="1134"/>
        <w:tab w:val="left" w:pos="1871"/>
        <w:tab w:val="left" w:pos="2268"/>
      </w:tabs>
      <w:overflowPunct w:val="0"/>
      <w:autoSpaceDE w:val="0"/>
      <w:autoSpaceDN w:val="0"/>
      <w:adjustRightInd w:val="0"/>
      <w:spacing w:before="240"/>
      <w:jc w:val="center"/>
      <w:textAlignment w:val="baseline"/>
    </w:pPr>
    <w:rPr>
      <w:rFonts w:eastAsia="MS Mincho"/>
      <w:b/>
      <w:sz w:val="28"/>
      <w:szCs w:val="20"/>
    </w:rPr>
  </w:style>
  <w:style w:type="paragraph" w:customStyle="1" w:styleId="ASN1">
    <w:name w:val="ASN.1"/>
    <w:basedOn w:val="Normal"/>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Bold" w:eastAsia="MS Mincho" w:hAnsi="Times New Roman Bold"/>
      <w:b/>
      <w:sz w:val="20"/>
      <w:szCs w:val="20"/>
    </w:rPr>
  </w:style>
  <w:style w:type="paragraph" w:customStyle="1" w:styleId="Call">
    <w:name w:val="Call"/>
    <w:basedOn w:val="Normal"/>
    <w:next w:val="Normal"/>
    <w:pPr>
      <w:keepNext/>
      <w:keepLines/>
      <w:tabs>
        <w:tab w:val="left" w:pos="1134"/>
        <w:tab w:val="left" w:pos="1871"/>
        <w:tab w:val="left" w:pos="2268"/>
      </w:tabs>
      <w:overflowPunct w:val="0"/>
      <w:autoSpaceDE w:val="0"/>
      <w:autoSpaceDN w:val="0"/>
      <w:adjustRightInd w:val="0"/>
      <w:spacing w:before="160"/>
      <w:ind w:left="1134"/>
      <w:textAlignment w:val="baseline"/>
    </w:pPr>
    <w:rPr>
      <w:rFonts w:eastAsia="MS Mincho"/>
      <w:i/>
      <w:szCs w:val="20"/>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
  </w:style>
  <w:style w:type="paragraph" w:customStyle="1" w:styleId="enumlev2">
    <w:name w:val="enumlev2"/>
    <w:basedOn w:val="enumlev1"/>
    <w:pPr>
      <w:tabs>
        <w:tab w:val="clear" w:pos="794"/>
        <w:tab w:val="clear" w:pos="1191"/>
        <w:tab w:val="clear" w:pos="1588"/>
        <w:tab w:val="clear" w:pos="1985"/>
        <w:tab w:val="left" w:pos="1134"/>
        <w:tab w:val="left" w:pos="1871"/>
        <w:tab w:val="left" w:pos="2608"/>
        <w:tab w:val="left" w:pos="3345"/>
      </w:tabs>
      <w:ind w:left="1871" w:hanging="737"/>
    </w:pPr>
    <w:rPr>
      <w:rFonts w:eastAsia="MS Mincho"/>
      <w:szCs w:val="20"/>
    </w:rPr>
  </w:style>
  <w:style w:type="paragraph" w:customStyle="1" w:styleId="enumlev3">
    <w:name w:val="enumlev3"/>
    <w:basedOn w:val="enumlev2"/>
    <w:pPr>
      <w:ind w:left="2268" w:hanging="397"/>
    </w:pPr>
  </w:style>
  <w:style w:type="paragraph" w:customStyle="1" w:styleId="Equationlegend">
    <w:name w:val="Equation_legend"/>
    <w:basedOn w:val="NormalIndent"/>
    <w:pPr>
      <w:widowControl/>
      <w:tabs>
        <w:tab w:val="right" w:pos="1871"/>
        <w:tab w:val="left" w:pos="2041"/>
      </w:tabs>
      <w:wordWrap/>
      <w:overflowPunct w:val="0"/>
      <w:autoSpaceDE w:val="0"/>
      <w:autoSpaceDN w:val="0"/>
      <w:adjustRightInd w:val="0"/>
      <w:spacing w:before="80"/>
      <w:ind w:left="2041" w:hanging="2041"/>
      <w:jc w:val="left"/>
      <w:textAlignment w:val="baseline"/>
    </w:pPr>
    <w:rPr>
      <w:rFonts w:eastAsia="MS Mincho"/>
      <w:kern w:val="0"/>
      <w:sz w:val="24"/>
      <w:lang w:eastAsia="en-US"/>
    </w:rPr>
  </w:style>
  <w:style w:type="paragraph" w:customStyle="1" w:styleId="Figurelegend">
    <w:name w:val="Figure_legend"/>
    <w:basedOn w:val="Normal"/>
    <w:pPr>
      <w:keepNext/>
      <w:keepLines/>
      <w:tabs>
        <w:tab w:val="left" w:pos="1134"/>
        <w:tab w:val="left" w:pos="1871"/>
        <w:tab w:val="left" w:pos="2268"/>
      </w:tabs>
      <w:overflowPunct w:val="0"/>
      <w:autoSpaceDE w:val="0"/>
      <w:autoSpaceDN w:val="0"/>
      <w:adjustRightInd w:val="0"/>
      <w:spacing w:before="20" w:after="20"/>
      <w:textAlignment w:val="baseline"/>
    </w:pPr>
    <w:rPr>
      <w:rFonts w:eastAsia="MS Mincho"/>
      <w:sz w:val="18"/>
      <w:szCs w:val="20"/>
    </w:rPr>
  </w:style>
  <w:style w:type="paragraph" w:customStyle="1" w:styleId="Figurewithouttitle">
    <w:name w:val="Figure_without_title"/>
    <w:basedOn w:val="FigureNo"/>
    <w:next w:val="Normal"/>
  </w:style>
  <w:style w:type="paragraph" w:customStyle="1" w:styleId="FigureNo">
    <w:name w:val="Figure_No"/>
    <w:basedOn w:val="Normal"/>
    <w:next w:val="Figuretitle"/>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MS Mincho"/>
      <w:caps/>
      <w:sz w:val="20"/>
      <w:szCs w:val="20"/>
    </w:rPr>
  </w:style>
  <w:style w:type="paragraph" w:customStyle="1" w:styleId="Figuretitle">
    <w:name w:val="Figure_title"/>
    <w:basedOn w:val="Tabletitle"/>
    <w:next w:val="Normal"/>
    <w:link w:val="FiguretitleChar"/>
    <w:pPr>
      <w:spacing w:after="480"/>
    </w:pPr>
  </w:style>
  <w:style w:type="paragraph" w:customStyle="1" w:styleId="Tabletitle">
    <w:name w:val="Table_title"/>
    <w:basedOn w:val="Normal"/>
    <w:next w:val="Tabletext"/>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rPr>
  </w:style>
  <w:style w:type="paragraph" w:customStyle="1" w:styleId="FirstFooter">
    <w:name w:val="FirstFooter"/>
    <w:basedOn w:val="Footer"/>
    <w:pPr>
      <w:tabs>
        <w:tab w:val="clear" w:pos="4320"/>
        <w:tab w:val="clear" w:pos="8640"/>
      </w:tabs>
      <w:spacing w:before="40"/>
    </w:pPr>
    <w:rPr>
      <w:rFonts w:eastAsia="MS Mincho" w:cs="Times New Roman"/>
      <w:sz w:val="16"/>
      <w:szCs w:val="20"/>
    </w:rPr>
  </w:style>
  <w:style w:type="paragraph" w:customStyle="1" w:styleId="11">
    <w:name w:val="索引 11"/>
    <w:basedOn w:val="Normal"/>
    <w:next w:val="Normal"/>
    <w:semiHidden/>
    <w:pPr>
      <w:tabs>
        <w:tab w:val="left" w:pos="1134"/>
        <w:tab w:val="left" w:pos="1871"/>
        <w:tab w:val="left" w:pos="2268"/>
      </w:tabs>
      <w:overflowPunct w:val="0"/>
      <w:autoSpaceDE w:val="0"/>
      <w:autoSpaceDN w:val="0"/>
      <w:adjustRightInd w:val="0"/>
      <w:spacing w:before="120"/>
      <w:textAlignment w:val="baseline"/>
    </w:pPr>
    <w:rPr>
      <w:rFonts w:eastAsia="MS Mincho"/>
      <w:szCs w:val="20"/>
    </w:rPr>
  </w:style>
  <w:style w:type="paragraph" w:customStyle="1" w:styleId="21">
    <w:name w:val="索引 21"/>
    <w:basedOn w:val="Normal"/>
    <w:next w:val="Normal"/>
    <w:semiHidden/>
    <w:pPr>
      <w:tabs>
        <w:tab w:val="left" w:pos="1134"/>
        <w:tab w:val="left" w:pos="1871"/>
        <w:tab w:val="left" w:pos="2268"/>
      </w:tabs>
      <w:overflowPunct w:val="0"/>
      <w:autoSpaceDE w:val="0"/>
      <w:autoSpaceDN w:val="0"/>
      <w:adjustRightInd w:val="0"/>
      <w:spacing w:before="120"/>
      <w:ind w:left="283"/>
      <w:textAlignment w:val="baseline"/>
    </w:pPr>
    <w:rPr>
      <w:rFonts w:eastAsia="MS Mincho"/>
      <w:szCs w:val="20"/>
    </w:rPr>
  </w:style>
  <w:style w:type="paragraph" w:customStyle="1" w:styleId="31">
    <w:name w:val="索引 31"/>
    <w:basedOn w:val="Normal"/>
    <w:next w:val="Normal"/>
    <w:semiHidden/>
    <w:pPr>
      <w:tabs>
        <w:tab w:val="left" w:pos="1134"/>
        <w:tab w:val="left" w:pos="1871"/>
        <w:tab w:val="left" w:pos="2268"/>
      </w:tabs>
      <w:overflowPunct w:val="0"/>
      <w:autoSpaceDE w:val="0"/>
      <w:autoSpaceDN w:val="0"/>
      <w:adjustRightInd w:val="0"/>
      <w:spacing w:before="120"/>
      <w:ind w:left="566"/>
      <w:textAlignment w:val="baseline"/>
    </w:pPr>
    <w:rPr>
      <w:rFonts w:eastAsia="MS Mincho"/>
      <w:szCs w:val="20"/>
    </w:rPr>
  </w:style>
  <w:style w:type="paragraph" w:customStyle="1" w:styleId="PartNo">
    <w:name w:val="Part_No"/>
    <w:basedOn w:val="AnnexNo"/>
    <w:next w:val="Partref"/>
  </w:style>
  <w:style w:type="paragraph" w:customStyle="1" w:styleId="AnnexNo">
    <w:name w:val="Annex_No"/>
    <w:basedOn w:val="Normal"/>
    <w:next w:val="Normal"/>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MS Mincho"/>
      <w:caps/>
      <w:sz w:val="28"/>
      <w:szCs w:val="20"/>
    </w:rPr>
  </w:style>
  <w:style w:type="paragraph" w:customStyle="1" w:styleId="Partref">
    <w:name w:val="Part_ref"/>
    <w:basedOn w:val="Annexref"/>
    <w:next w:val="Parttitle"/>
  </w:style>
  <w:style w:type="paragraph" w:customStyle="1" w:styleId="Annexref">
    <w:name w:val="Annex_ref"/>
    <w:basedOn w:val="Normal"/>
    <w:next w:val="Normal"/>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eastAsia="MS Mincho"/>
      <w:szCs w:val="20"/>
    </w:rPr>
  </w:style>
  <w:style w:type="paragraph" w:customStyle="1" w:styleId="Parttitle">
    <w:name w:val="Part_title"/>
    <w:basedOn w:val="Annextitle"/>
    <w:next w:val="Normalaftertitle0"/>
  </w:style>
  <w:style w:type="paragraph" w:customStyle="1" w:styleId="Annextitle">
    <w:name w:val="Annex_title"/>
    <w:basedOn w:val="Normal"/>
    <w:next w:val="Normal"/>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MS Mincho" w:hAnsi="Times New Roman Bold"/>
      <w:b/>
      <w:sz w:val="28"/>
      <w:szCs w:val="20"/>
    </w:rPr>
  </w:style>
  <w:style w:type="paragraph" w:customStyle="1" w:styleId="Normalaftertitle0">
    <w:name w:val="Normal after title"/>
    <w:basedOn w:val="Normal"/>
    <w:next w:val="Normal"/>
    <w:pPr>
      <w:tabs>
        <w:tab w:val="left" w:pos="1134"/>
        <w:tab w:val="left" w:pos="1871"/>
        <w:tab w:val="left" w:pos="2268"/>
      </w:tabs>
      <w:overflowPunct w:val="0"/>
      <w:autoSpaceDE w:val="0"/>
      <w:autoSpaceDN w:val="0"/>
      <w:adjustRightInd w:val="0"/>
      <w:spacing w:before="280"/>
      <w:textAlignment w:val="baseline"/>
    </w:pPr>
    <w:rPr>
      <w:rFonts w:eastAsia="MS Mincho"/>
      <w:szCs w:val="20"/>
    </w:rPr>
  </w:style>
  <w:style w:type="paragraph" w:customStyle="1" w:styleId="RecNo">
    <w:name w:val="Rec_No"/>
    <w:basedOn w:val="Normal"/>
    <w:next w:val="Rectitle"/>
    <w:pPr>
      <w:keepNext/>
      <w:keepLines/>
      <w:tabs>
        <w:tab w:val="left" w:pos="1134"/>
        <w:tab w:val="left" w:pos="1871"/>
        <w:tab w:val="left" w:pos="2268"/>
      </w:tabs>
      <w:overflowPunct w:val="0"/>
      <w:autoSpaceDE w:val="0"/>
      <w:autoSpaceDN w:val="0"/>
      <w:adjustRightInd w:val="0"/>
      <w:spacing w:before="480"/>
      <w:jc w:val="center"/>
      <w:textAlignment w:val="baseline"/>
    </w:pPr>
    <w:rPr>
      <w:rFonts w:eastAsia="MS Mincho"/>
      <w:caps/>
      <w:sz w:val="28"/>
      <w:szCs w:val="20"/>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0"/>
    <w:pPr>
      <w:jc w:val="right"/>
    </w:pPr>
    <w:rPr>
      <w:sz w:val="22"/>
    </w:rPr>
  </w:style>
  <w:style w:type="paragraph" w:customStyle="1" w:styleId="Questiondate">
    <w:name w:val="Question_date"/>
    <w:basedOn w:val="Recdate"/>
    <w:next w:val="Normalaftertitle0"/>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tabs>
        <w:tab w:val="left" w:pos="1134"/>
        <w:tab w:val="left" w:pos="1871"/>
        <w:tab w:val="left" w:pos="2268"/>
      </w:tabs>
      <w:overflowPunct w:val="0"/>
      <w:autoSpaceDE w:val="0"/>
      <w:autoSpaceDN w:val="0"/>
      <w:adjustRightInd w:val="0"/>
      <w:spacing w:before="120"/>
      <w:ind w:left="1134" w:hanging="1134"/>
      <w:textAlignment w:val="baseline"/>
    </w:pPr>
    <w:rPr>
      <w:rFonts w:eastAsia="MS Mincho"/>
      <w:szCs w:val="20"/>
    </w:rPr>
  </w:style>
  <w:style w:type="paragraph" w:customStyle="1" w:styleId="Reftitle">
    <w:name w:val="Ref_title"/>
    <w:basedOn w:val="Normal"/>
    <w:next w:val="Reftext"/>
    <w:pPr>
      <w:tabs>
        <w:tab w:val="left" w:pos="1134"/>
        <w:tab w:val="left" w:pos="1871"/>
        <w:tab w:val="left" w:pos="2268"/>
      </w:tabs>
      <w:overflowPunct w:val="0"/>
      <w:autoSpaceDE w:val="0"/>
      <w:autoSpaceDN w:val="0"/>
      <w:adjustRightInd w:val="0"/>
      <w:spacing w:before="480"/>
      <w:jc w:val="center"/>
      <w:textAlignment w:val="baseline"/>
    </w:pPr>
    <w:rPr>
      <w:rFonts w:eastAsia="MS Mincho"/>
      <w:caps/>
      <w:szCs w:val="20"/>
    </w:rPr>
  </w:style>
  <w:style w:type="paragraph" w:customStyle="1" w:styleId="Repdate">
    <w:name w:val="Rep_date"/>
    <w:basedOn w:val="Recdate"/>
    <w:next w:val="Normalaftertitle0"/>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0"/>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AnnexNo"/>
    <w:next w:val="Sectiontitle"/>
  </w:style>
  <w:style w:type="paragraph" w:customStyle="1" w:styleId="Sectiontitle">
    <w:name w:val="Section_title"/>
    <w:basedOn w:val="Annextitle"/>
    <w:next w:val="Normalaftertitle0"/>
  </w:style>
  <w:style w:type="paragraph" w:customStyle="1" w:styleId="Source">
    <w:name w:val="Source"/>
    <w:basedOn w:val="Normal"/>
    <w:next w:val="Normal"/>
    <w:pPr>
      <w:tabs>
        <w:tab w:val="left" w:pos="1134"/>
        <w:tab w:val="left" w:pos="1871"/>
        <w:tab w:val="left" w:pos="2268"/>
      </w:tabs>
      <w:overflowPunct w:val="0"/>
      <w:autoSpaceDE w:val="0"/>
      <w:autoSpaceDN w:val="0"/>
      <w:adjustRightInd w:val="0"/>
      <w:spacing w:before="840"/>
      <w:jc w:val="center"/>
      <w:textAlignment w:val="baseline"/>
    </w:pPr>
    <w:rPr>
      <w:rFonts w:eastAsia="MS Mincho"/>
      <w:b/>
      <w:sz w:val="28"/>
      <w:szCs w:val="20"/>
    </w:rPr>
  </w:style>
  <w:style w:type="paragraph" w:customStyle="1" w:styleId="SpecialFooter">
    <w:name w:val="Special Footer"/>
    <w:basedOn w:val="Footer"/>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rFonts w:eastAsia="MS Mincho" w:cs="Times New Roman"/>
      <w:sz w:val="16"/>
      <w:szCs w:val="20"/>
    </w:rPr>
  </w:style>
  <w:style w:type="paragraph" w:customStyle="1" w:styleId="TableNo">
    <w:name w:val="Table_No"/>
    <w:basedOn w:val="Normal"/>
    <w:next w:val="Tabletitle"/>
    <w:link w:val="TableNoChar"/>
    <w:pPr>
      <w:keepNext/>
      <w:tabs>
        <w:tab w:val="left" w:pos="1134"/>
        <w:tab w:val="left" w:pos="1871"/>
        <w:tab w:val="left" w:pos="2268"/>
      </w:tabs>
      <w:overflowPunct w:val="0"/>
      <w:autoSpaceDE w:val="0"/>
      <w:autoSpaceDN w:val="0"/>
      <w:adjustRightInd w:val="0"/>
      <w:spacing w:before="560" w:after="120"/>
      <w:jc w:val="center"/>
      <w:textAlignment w:val="baseline"/>
    </w:pPr>
    <w:rPr>
      <w:rFonts w:eastAsia="MS Mincho"/>
      <w:caps/>
      <w:sz w:val="20"/>
      <w:szCs w:val="20"/>
    </w:rPr>
  </w:style>
  <w:style w:type="paragraph" w:customStyle="1" w:styleId="Tableref">
    <w:name w:val="Table_ref"/>
    <w:basedOn w:val="Normal"/>
    <w:next w:val="Tabletitle"/>
    <w:pPr>
      <w:keepNext/>
      <w:tabs>
        <w:tab w:val="left" w:pos="1134"/>
        <w:tab w:val="left" w:pos="1871"/>
        <w:tab w:val="left" w:pos="2268"/>
      </w:tabs>
      <w:overflowPunct w:val="0"/>
      <w:autoSpaceDE w:val="0"/>
      <w:autoSpaceDN w:val="0"/>
      <w:adjustRightInd w:val="0"/>
      <w:spacing w:before="560"/>
      <w:jc w:val="center"/>
      <w:textAlignment w:val="baseline"/>
    </w:pPr>
    <w:rPr>
      <w:rFonts w:eastAsia="MS Mincho"/>
      <w:sz w:val="20"/>
      <w:szCs w:val="20"/>
    </w:rPr>
  </w:style>
  <w:style w:type="paragraph" w:customStyle="1" w:styleId="Title1">
    <w:name w:val="Title 1"/>
    <w:basedOn w:val="Source"/>
    <w:next w:val="Title2"/>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Title3"/>
    <w:pPr>
      <w:adjustRightInd/>
      <w:spacing w:before="480"/>
      <w:textAlignment w:val="auto"/>
    </w:pPr>
    <w:rPr>
      <w:b w:val="0"/>
      <w:caps/>
    </w:rPr>
  </w:style>
  <w:style w:type="paragraph" w:customStyle="1" w:styleId="Title3">
    <w:name w:val="Title 3"/>
    <w:basedOn w:val="Title2"/>
    <w:next w:val="Title4"/>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right" w:pos="9781"/>
      </w:tabs>
      <w:overflowPunct w:val="0"/>
      <w:autoSpaceDE w:val="0"/>
      <w:autoSpaceDN w:val="0"/>
      <w:adjustRightInd w:val="0"/>
      <w:spacing w:before="120"/>
      <w:textAlignment w:val="baseline"/>
    </w:pPr>
    <w:rPr>
      <w:rFonts w:eastAsia="MS Mincho"/>
      <w:b/>
      <w:szCs w:val="20"/>
    </w:rPr>
  </w:style>
  <w:style w:type="paragraph" w:customStyle="1" w:styleId="110">
    <w:name w:val="目次 11"/>
    <w:basedOn w:val="Normal"/>
    <w:next w:val="TOC1"/>
    <w:uiPriority w:val="39"/>
    <w:qFormat/>
    <w:pPr>
      <w:keepLines/>
      <w:tabs>
        <w:tab w:val="left" w:pos="567"/>
        <w:tab w:val="left" w:leader="dot" w:pos="7938"/>
        <w:tab w:val="center" w:pos="9526"/>
      </w:tabs>
      <w:overflowPunct w:val="0"/>
      <w:autoSpaceDE w:val="0"/>
      <w:autoSpaceDN w:val="0"/>
      <w:adjustRightInd w:val="0"/>
      <w:spacing w:before="240"/>
      <w:ind w:left="567" w:hanging="567"/>
      <w:textAlignment w:val="baseline"/>
    </w:pPr>
    <w:rPr>
      <w:rFonts w:eastAsia="MS Mincho"/>
      <w:szCs w:val="20"/>
    </w:rPr>
  </w:style>
  <w:style w:type="paragraph" w:customStyle="1" w:styleId="210">
    <w:name w:val="目次 21"/>
    <w:basedOn w:val="TOC1"/>
    <w:next w:val="TOC2"/>
    <w:uiPriority w:val="39"/>
    <w:qFormat/>
    <w:pPr>
      <w:keepLines/>
      <w:tabs>
        <w:tab w:val="left" w:pos="567"/>
        <w:tab w:val="left" w:leader="dot" w:pos="7938"/>
        <w:tab w:val="center" w:pos="9526"/>
      </w:tabs>
      <w:overflowPunct w:val="0"/>
      <w:autoSpaceDE w:val="0"/>
      <w:autoSpaceDN w:val="0"/>
      <w:adjustRightInd w:val="0"/>
      <w:spacing w:before="120"/>
      <w:ind w:left="567" w:hanging="567"/>
      <w:textAlignment w:val="baseline"/>
    </w:pPr>
    <w:rPr>
      <w:rFonts w:eastAsia="MS Mincho"/>
      <w:szCs w:val="20"/>
    </w:rPr>
  </w:style>
  <w:style w:type="paragraph" w:customStyle="1" w:styleId="310">
    <w:name w:val="目次 31"/>
    <w:basedOn w:val="TOC2"/>
    <w:next w:val="TOC3"/>
    <w:uiPriority w:val="39"/>
    <w:qFormat/>
    <w:pPr>
      <w:keepLines/>
      <w:tabs>
        <w:tab w:val="left" w:pos="567"/>
        <w:tab w:val="left" w:leader="dot" w:pos="7938"/>
        <w:tab w:val="center" w:pos="9526"/>
      </w:tabs>
      <w:overflowPunct w:val="0"/>
      <w:autoSpaceDE w:val="0"/>
      <w:autoSpaceDN w:val="0"/>
      <w:adjustRightInd w:val="0"/>
      <w:spacing w:before="120"/>
      <w:ind w:leftChars="0" w:left="567" w:hanging="567"/>
      <w:textAlignment w:val="baseline"/>
    </w:pPr>
    <w:rPr>
      <w:rFonts w:eastAsia="MS Mincho"/>
      <w:szCs w:val="20"/>
    </w:rPr>
  </w:style>
  <w:style w:type="paragraph" w:customStyle="1" w:styleId="410">
    <w:name w:val="目次 41"/>
    <w:basedOn w:val="TOC3"/>
    <w:next w:val="TOC4"/>
    <w:pPr>
      <w:keepLines/>
      <w:tabs>
        <w:tab w:val="left" w:pos="567"/>
        <w:tab w:val="left" w:leader="dot" w:pos="7938"/>
        <w:tab w:val="center" w:pos="9526"/>
      </w:tabs>
      <w:overflowPunct w:val="0"/>
      <w:autoSpaceDE w:val="0"/>
      <w:autoSpaceDN w:val="0"/>
      <w:adjustRightInd w:val="0"/>
      <w:spacing w:before="120"/>
      <w:ind w:leftChars="0" w:left="567" w:hanging="567"/>
      <w:textAlignment w:val="baseline"/>
    </w:pPr>
    <w:rPr>
      <w:rFonts w:eastAsia="MS Mincho"/>
      <w:szCs w:val="20"/>
    </w:rPr>
  </w:style>
  <w:style w:type="paragraph" w:customStyle="1" w:styleId="510">
    <w:name w:val="目次 51"/>
    <w:basedOn w:val="TOC4"/>
    <w:next w:val="TOC5"/>
    <w:pPr>
      <w:keepLines/>
      <w:tabs>
        <w:tab w:val="left" w:pos="567"/>
        <w:tab w:val="left" w:leader="dot" w:pos="7938"/>
        <w:tab w:val="center" w:pos="9526"/>
      </w:tabs>
      <w:overflowPunct w:val="0"/>
      <w:autoSpaceDE w:val="0"/>
      <w:autoSpaceDN w:val="0"/>
      <w:adjustRightInd w:val="0"/>
      <w:spacing w:before="120"/>
      <w:ind w:leftChars="0" w:left="567" w:hanging="567"/>
      <w:textAlignment w:val="baseline"/>
    </w:pPr>
    <w:rPr>
      <w:rFonts w:eastAsia="MS Mincho"/>
      <w:szCs w:val="20"/>
    </w:rPr>
  </w:style>
  <w:style w:type="paragraph" w:customStyle="1" w:styleId="610">
    <w:name w:val="目次 61"/>
    <w:basedOn w:val="TOC4"/>
    <w:next w:val="TOC6"/>
    <w:semiHidden/>
    <w:pPr>
      <w:keepLines/>
      <w:tabs>
        <w:tab w:val="left" w:pos="567"/>
        <w:tab w:val="left" w:leader="dot" w:pos="7938"/>
        <w:tab w:val="center" w:pos="9526"/>
      </w:tabs>
      <w:overflowPunct w:val="0"/>
      <w:autoSpaceDE w:val="0"/>
      <w:autoSpaceDN w:val="0"/>
      <w:adjustRightInd w:val="0"/>
      <w:spacing w:before="120"/>
      <w:ind w:leftChars="0" w:left="567" w:hanging="567"/>
      <w:textAlignment w:val="baseline"/>
    </w:pPr>
    <w:rPr>
      <w:rFonts w:eastAsia="MS Mincho"/>
      <w:szCs w:val="20"/>
    </w:rPr>
  </w:style>
  <w:style w:type="paragraph" w:customStyle="1" w:styleId="710">
    <w:name w:val="目次 71"/>
    <w:basedOn w:val="TOC4"/>
    <w:next w:val="TOC7"/>
    <w:semiHidden/>
    <w:pPr>
      <w:keepLines/>
      <w:tabs>
        <w:tab w:val="left" w:pos="567"/>
        <w:tab w:val="left" w:leader="dot" w:pos="7938"/>
        <w:tab w:val="center" w:pos="9526"/>
      </w:tabs>
      <w:overflowPunct w:val="0"/>
      <w:autoSpaceDE w:val="0"/>
      <w:autoSpaceDN w:val="0"/>
      <w:adjustRightInd w:val="0"/>
      <w:spacing w:before="120"/>
      <w:ind w:leftChars="0" w:left="567" w:hanging="567"/>
      <w:textAlignment w:val="baseline"/>
    </w:pPr>
    <w:rPr>
      <w:rFonts w:eastAsia="MS Mincho"/>
      <w:szCs w:val="20"/>
    </w:rPr>
  </w:style>
  <w:style w:type="paragraph" w:customStyle="1" w:styleId="81">
    <w:name w:val="目次 81"/>
    <w:basedOn w:val="TOC4"/>
    <w:next w:val="TOC8"/>
    <w:semiHidden/>
    <w:pPr>
      <w:keepLines/>
      <w:tabs>
        <w:tab w:val="left" w:pos="567"/>
        <w:tab w:val="left" w:leader="dot" w:pos="7938"/>
        <w:tab w:val="center" w:pos="9526"/>
      </w:tabs>
      <w:overflowPunct w:val="0"/>
      <w:autoSpaceDE w:val="0"/>
      <w:autoSpaceDN w:val="0"/>
      <w:adjustRightInd w:val="0"/>
      <w:spacing w:before="120"/>
      <w:ind w:leftChars="0" w:left="567" w:hanging="567"/>
      <w:textAlignment w:val="baseline"/>
    </w:pPr>
    <w:rPr>
      <w:rFonts w:eastAsia="MS Mincho"/>
      <w:szCs w:val="20"/>
    </w:rPr>
  </w:style>
  <w:style w:type="paragraph" w:customStyle="1" w:styleId="Formal">
    <w:name w:val="Formal"/>
    <w:basedOn w:val="ASN1"/>
    <w:rPr>
      <w:b w:val="0"/>
    </w:rPr>
  </w:style>
  <w:style w:type="paragraph" w:customStyle="1" w:styleId="Section1">
    <w:name w:val="Section_1"/>
    <w:basedOn w:val="Normal"/>
    <w:pPr>
      <w:tabs>
        <w:tab w:val="center" w:pos="4820"/>
      </w:tabs>
      <w:overflowPunct w:val="0"/>
      <w:autoSpaceDE w:val="0"/>
      <w:autoSpaceDN w:val="0"/>
      <w:adjustRightInd w:val="0"/>
      <w:spacing w:before="360"/>
      <w:jc w:val="center"/>
      <w:textAlignment w:val="baseline"/>
    </w:pPr>
    <w:rPr>
      <w:rFonts w:eastAsia="MS Mincho"/>
      <w:b/>
      <w:szCs w:val="20"/>
    </w:rPr>
  </w:style>
  <w:style w:type="paragraph" w:customStyle="1" w:styleId="Section2">
    <w:name w:val="Section_2"/>
    <w:basedOn w:val="Section1"/>
    <w:rPr>
      <w:b w:val="0"/>
      <w:i/>
    </w:rPr>
  </w:style>
  <w:style w:type="paragraph" w:customStyle="1" w:styleId="Headingi">
    <w:name w:val="Heading_i"/>
    <w:basedOn w:val="Normal"/>
    <w:next w:val="Normal"/>
    <w:pPr>
      <w:keepNext/>
      <w:tabs>
        <w:tab w:val="left" w:pos="1134"/>
        <w:tab w:val="left" w:pos="1871"/>
        <w:tab w:val="left" w:pos="2268"/>
      </w:tabs>
      <w:overflowPunct w:val="0"/>
      <w:autoSpaceDE w:val="0"/>
      <w:autoSpaceDN w:val="0"/>
      <w:adjustRightInd w:val="0"/>
      <w:spacing w:before="160"/>
      <w:textAlignment w:val="baseline"/>
    </w:pPr>
    <w:rPr>
      <w:rFonts w:ascii="Times" w:eastAsia="MS Mincho" w:hAnsi="Times"/>
      <w:i/>
      <w:szCs w:val="20"/>
    </w:rPr>
  </w:style>
  <w:style w:type="paragraph" w:customStyle="1" w:styleId="Headingb">
    <w:name w:val="Heading_b"/>
    <w:basedOn w:val="Normal"/>
    <w:next w:val="Normal"/>
    <w:link w:val="HeadingbChar"/>
    <w:uiPriority w:val="99"/>
    <w:qFormat/>
    <w:pPr>
      <w:keepNext/>
      <w:tabs>
        <w:tab w:val="left" w:pos="1134"/>
        <w:tab w:val="left" w:pos="1871"/>
        <w:tab w:val="left" w:pos="2268"/>
      </w:tabs>
      <w:overflowPunct w:val="0"/>
      <w:autoSpaceDE w:val="0"/>
      <w:autoSpaceDN w:val="0"/>
      <w:adjustRightInd w:val="0"/>
      <w:spacing w:before="160"/>
      <w:textAlignment w:val="baseline"/>
    </w:pPr>
    <w:rPr>
      <w:rFonts w:ascii="Times" w:eastAsia="MS Mincho" w:hAnsi="Times"/>
      <w:b/>
      <w:szCs w:val="20"/>
    </w:rPr>
  </w:style>
  <w:style w:type="paragraph" w:customStyle="1" w:styleId="Figure">
    <w:name w:val="Figure"/>
    <w:basedOn w:val="Normal"/>
    <w:next w:val="Figuretitle"/>
    <w:pPr>
      <w:keepNext/>
      <w:keepLines/>
      <w:tabs>
        <w:tab w:val="left" w:pos="1134"/>
        <w:tab w:val="left" w:pos="1871"/>
        <w:tab w:val="left" w:pos="2268"/>
      </w:tabs>
      <w:overflowPunct w:val="0"/>
      <w:autoSpaceDE w:val="0"/>
      <w:autoSpaceDN w:val="0"/>
      <w:adjustRightInd w:val="0"/>
      <w:spacing w:before="120"/>
      <w:jc w:val="center"/>
      <w:textAlignment w:val="baseline"/>
    </w:pPr>
    <w:rPr>
      <w:rFonts w:eastAsia="MS Mincho"/>
      <w:szCs w:val="20"/>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
  </w:style>
  <w:style w:type="paragraph" w:customStyle="1" w:styleId="Border">
    <w:name w:val="Border"/>
    <w:basedOn w:val="Tabletext"/>
    <w:pPr>
      <w:pBdr>
        <w:bottom w:val="single" w:sz="6" w:space="0" w:color="auto"/>
      </w:pBd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MS Mincho"/>
      <w:b/>
      <w:sz w:val="20"/>
    </w:rPr>
  </w:style>
  <w:style w:type="paragraph" w:customStyle="1" w:styleId="411">
    <w:name w:val="索引 41"/>
    <w:basedOn w:val="Normal"/>
    <w:next w:val="Normal"/>
    <w:pPr>
      <w:tabs>
        <w:tab w:val="left" w:pos="1134"/>
        <w:tab w:val="left" w:pos="1871"/>
        <w:tab w:val="left" w:pos="2268"/>
      </w:tabs>
      <w:overflowPunct w:val="0"/>
      <w:autoSpaceDE w:val="0"/>
      <w:autoSpaceDN w:val="0"/>
      <w:adjustRightInd w:val="0"/>
      <w:spacing w:before="120"/>
      <w:ind w:left="849"/>
      <w:textAlignment w:val="baseline"/>
    </w:pPr>
    <w:rPr>
      <w:rFonts w:eastAsia="MS Mincho"/>
      <w:szCs w:val="20"/>
    </w:rPr>
  </w:style>
  <w:style w:type="paragraph" w:customStyle="1" w:styleId="511">
    <w:name w:val="索引 51"/>
    <w:basedOn w:val="Normal"/>
    <w:next w:val="Normal"/>
    <w:pPr>
      <w:tabs>
        <w:tab w:val="left" w:pos="1134"/>
        <w:tab w:val="left" w:pos="1871"/>
        <w:tab w:val="left" w:pos="2268"/>
      </w:tabs>
      <w:overflowPunct w:val="0"/>
      <w:autoSpaceDE w:val="0"/>
      <w:autoSpaceDN w:val="0"/>
      <w:adjustRightInd w:val="0"/>
      <w:spacing w:before="120"/>
      <w:ind w:left="1132"/>
      <w:textAlignment w:val="baseline"/>
    </w:pPr>
    <w:rPr>
      <w:rFonts w:eastAsia="MS Mincho"/>
      <w:szCs w:val="20"/>
    </w:rPr>
  </w:style>
  <w:style w:type="paragraph" w:customStyle="1" w:styleId="611">
    <w:name w:val="索引 61"/>
    <w:basedOn w:val="Normal"/>
    <w:next w:val="Normal"/>
    <w:pPr>
      <w:tabs>
        <w:tab w:val="left" w:pos="1134"/>
        <w:tab w:val="left" w:pos="1871"/>
        <w:tab w:val="left" w:pos="2268"/>
      </w:tabs>
      <w:overflowPunct w:val="0"/>
      <w:autoSpaceDE w:val="0"/>
      <w:autoSpaceDN w:val="0"/>
      <w:adjustRightInd w:val="0"/>
      <w:spacing w:before="120"/>
      <w:ind w:left="1415"/>
      <w:textAlignment w:val="baseline"/>
    </w:pPr>
    <w:rPr>
      <w:rFonts w:eastAsia="MS Mincho"/>
      <w:szCs w:val="20"/>
    </w:rPr>
  </w:style>
  <w:style w:type="paragraph" w:customStyle="1" w:styleId="711">
    <w:name w:val="索引 71"/>
    <w:basedOn w:val="Normal"/>
    <w:next w:val="Normal"/>
    <w:pPr>
      <w:tabs>
        <w:tab w:val="left" w:pos="1134"/>
        <w:tab w:val="left" w:pos="1871"/>
        <w:tab w:val="left" w:pos="2268"/>
      </w:tabs>
      <w:overflowPunct w:val="0"/>
      <w:autoSpaceDE w:val="0"/>
      <w:autoSpaceDN w:val="0"/>
      <w:adjustRightInd w:val="0"/>
      <w:spacing w:before="120"/>
      <w:ind w:left="1698"/>
      <w:textAlignment w:val="baseline"/>
    </w:pPr>
    <w:rPr>
      <w:rFonts w:eastAsia="MS Mincho"/>
      <w:szCs w:val="20"/>
    </w:rPr>
  </w:style>
  <w:style w:type="paragraph" w:customStyle="1" w:styleId="10">
    <w:name w:val="索引見出し1"/>
    <w:basedOn w:val="Normal"/>
    <w:next w:val="Index1"/>
    <w:pPr>
      <w:tabs>
        <w:tab w:val="left" w:pos="1134"/>
        <w:tab w:val="left" w:pos="1871"/>
        <w:tab w:val="left" w:pos="2268"/>
      </w:tabs>
      <w:overflowPunct w:val="0"/>
      <w:autoSpaceDE w:val="0"/>
      <w:autoSpaceDN w:val="0"/>
      <w:adjustRightInd w:val="0"/>
      <w:spacing w:before="120"/>
      <w:textAlignment w:val="baseline"/>
    </w:pPr>
    <w:rPr>
      <w:rFonts w:eastAsia="MS Mincho"/>
      <w:szCs w:val="20"/>
    </w:rPr>
  </w:style>
  <w:style w:type="paragraph" w:customStyle="1" w:styleId="Proposal">
    <w:name w:val="Proposal"/>
    <w:basedOn w:val="Normal"/>
    <w:next w:val="Normal"/>
    <w:pPr>
      <w:keepNext/>
      <w:tabs>
        <w:tab w:val="left" w:pos="1134"/>
        <w:tab w:val="left" w:pos="1871"/>
        <w:tab w:val="left" w:pos="2268"/>
      </w:tabs>
      <w:overflowPunct w:val="0"/>
      <w:autoSpaceDE w:val="0"/>
      <w:autoSpaceDN w:val="0"/>
      <w:adjustRightInd w:val="0"/>
      <w:spacing w:before="240"/>
      <w:textAlignment w:val="baseline"/>
    </w:pPr>
    <w:rPr>
      <w:rFonts w:eastAsia="MS Mincho" w:hAnsi="Times New Roman Bold"/>
      <w:szCs w:val="20"/>
    </w:rPr>
  </w:style>
  <w:style w:type="paragraph" w:customStyle="1" w:styleId="Reasons">
    <w:name w:val="Reasons"/>
    <w:basedOn w:val="Normal"/>
    <w:pPr>
      <w:tabs>
        <w:tab w:val="left" w:pos="1134"/>
        <w:tab w:val="left" w:pos="1588"/>
        <w:tab w:val="left" w:pos="1985"/>
      </w:tabs>
      <w:overflowPunct w:val="0"/>
      <w:autoSpaceDE w:val="0"/>
      <w:autoSpaceDN w:val="0"/>
      <w:adjustRightInd w:val="0"/>
      <w:spacing w:before="120"/>
      <w:textAlignment w:val="baseline"/>
    </w:pPr>
    <w:rPr>
      <w:rFonts w:eastAsia="MS Mincho"/>
      <w:szCs w:val="20"/>
    </w:rPr>
  </w:style>
  <w:style w:type="paragraph" w:customStyle="1" w:styleId="Section3">
    <w:name w:val="Section_3"/>
    <w:basedOn w:val="Section1"/>
    <w:rPr>
      <w:b w:val="0"/>
    </w:rPr>
  </w:style>
  <w:style w:type="paragraph" w:customStyle="1" w:styleId="TableTextS5">
    <w:name w:val="Table_TextS5"/>
    <w:basedOn w:val="Normal"/>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eastAsia="MS Mincho"/>
      <w:sz w:val="20"/>
      <w:szCs w:val="20"/>
    </w:rPr>
  </w:style>
  <w:style w:type="paragraph" w:customStyle="1" w:styleId="12">
    <w:name w:val="目次の見出し1"/>
    <w:basedOn w:val="Heading1"/>
    <w:next w:val="Normal"/>
    <w:uiPriority w:val="39"/>
    <w:unhideWhenUsed/>
    <w:qFormat/>
    <w:pPr>
      <w:keepLines/>
      <w:spacing w:before="480" w:line="276" w:lineRule="auto"/>
      <w:jc w:val="left"/>
      <w:outlineLvl w:val="9"/>
    </w:pPr>
    <w:rPr>
      <w:rFonts w:ascii="Cambria" w:eastAsia="MS Gothic" w:hAnsi="Cambria"/>
      <w:color w:val="365F91"/>
      <w:sz w:val="28"/>
      <w:szCs w:val="28"/>
      <w:u w:val="none"/>
      <w:lang w:eastAsia="ja-JP"/>
    </w:rPr>
  </w:style>
  <w:style w:type="paragraph" w:customStyle="1" w:styleId="HeadingSum">
    <w:name w:val="Heading_Sum"/>
    <w:basedOn w:val="Headingb"/>
    <w:next w:val="Normal"/>
    <w:pPr>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sz w:val="22"/>
    </w:rPr>
  </w:style>
  <w:style w:type="character" w:customStyle="1" w:styleId="toctoggle">
    <w:name w:val="toctoggle"/>
    <w:basedOn w:val="DefaultParagraphFont"/>
  </w:style>
  <w:style w:type="character" w:customStyle="1" w:styleId="urlexpansion">
    <w:name w:val="urlexpansion"/>
    <w:basedOn w:val="DefaultParagraphFont"/>
  </w:style>
  <w:style w:type="character" w:customStyle="1" w:styleId="14pt">
    <w:name w:val="스타일 14 pt 굵게 검정"/>
    <w:rPr>
      <w:b/>
      <w:bCs/>
      <w:color w:val="000000"/>
      <w:sz w:val="28"/>
    </w:rPr>
  </w:style>
  <w:style w:type="character" w:customStyle="1" w:styleId="text-4Char">
    <w:name w:val="text-4 Char"/>
    <w:link w:val="text-4"/>
    <w:rPr>
      <w:rFonts w:ascii="Arial" w:eastAsia="BatangChe" w:hAnsi="Arial" w:cs="Arial"/>
      <w:i/>
      <w:color w:val="0000FF"/>
      <w:sz w:val="24"/>
      <w:szCs w:val="24"/>
      <w:lang w:val="en-US" w:eastAsia="ko-KR" w:bidi="ar-SA"/>
    </w:rPr>
  </w:style>
  <w:style w:type="character" w:customStyle="1" w:styleId="enumlev1Char">
    <w:name w:val="enumlev1 Char"/>
    <w:link w:val="enumlev1"/>
    <w:rPr>
      <w:rFonts w:eastAsia="BatangChe"/>
      <w:sz w:val="24"/>
      <w:szCs w:val="24"/>
      <w:lang w:eastAsia="en-US" w:bidi="ar-SA"/>
    </w:rPr>
  </w:style>
  <w:style w:type="character" w:customStyle="1" w:styleId="FootnoteTextChar">
    <w:name w:val="Footnote Text Char"/>
    <w:link w:val="FootnoteText"/>
    <w:rPr>
      <w:rFonts w:eastAsia="BatangChe"/>
      <w:sz w:val="24"/>
      <w:szCs w:val="24"/>
      <w:lang w:val="en-US" w:eastAsia="en-US" w:bidi="ar-SA"/>
    </w:rPr>
  </w:style>
  <w:style w:type="character" w:customStyle="1" w:styleId="enumlev1CharChar">
    <w:name w:val="enumlev1 Char Char"/>
    <w:rPr>
      <w:rFonts w:eastAsia="BatangChe"/>
      <w:sz w:val="24"/>
      <w:szCs w:val="24"/>
      <w:lang w:eastAsia="en-US" w:bidi="ar-SA"/>
    </w:rPr>
  </w:style>
  <w:style w:type="character" w:customStyle="1" w:styleId="Heading1Char">
    <w:name w:val="Heading 1 Char"/>
    <w:link w:val="Heading1"/>
    <w:rPr>
      <w:rFonts w:eastAsia="BatangChe"/>
      <w:b/>
      <w:bCs/>
      <w:sz w:val="24"/>
      <w:szCs w:val="24"/>
      <w:u w:val="single"/>
      <w:lang w:eastAsia="en-US"/>
    </w:rPr>
  </w:style>
  <w:style w:type="character" w:customStyle="1" w:styleId="Heading2Char">
    <w:name w:val="Heading 2 Char"/>
    <w:link w:val="Heading2"/>
    <w:rPr>
      <w:rFonts w:ascii="Arial" w:eastAsia="Dotum" w:hAnsi="Arial"/>
      <w:sz w:val="24"/>
      <w:szCs w:val="24"/>
      <w:lang w:eastAsia="en-US"/>
    </w:rPr>
  </w:style>
  <w:style w:type="character" w:customStyle="1" w:styleId="Heading3Char">
    <w:name w:val="Heading 3 Char"/>
    <w:link w:val="Heading3"/>
    <w:rPr>
      <w:rFonts w:ascii="Arial" w:eastAsia="Dotum" w:hAnsi="Arial"/>
      <w:sz w:val="24"/>
      <w:szCs w:val="24"/>
      <w:lang w:eastAsia="en-US"/>
    </w:rPr>
  </w:style>
  <w:style w:type="character" w:customStyle="1" w:styleId="Heading8Char">
    <w:name w:val="Heading 8 Char"/>
    <w:link w:val="Heading8"/>
    <w:rPr>
      <w:rFonts w:eastAsia="BatangChe"/>
      <w:b/>
      <w:bCs/>
      <w:kern w:val="2"/>
      <w:lang w:eastAsia="ko-KR"/>
    </w:rPr>
  </w:style>
  <w:style w:type="character" w:customStyle="1" w:styleId="FooterChar">
    <w:name w:val="Footer Char"/>
    <w:link w:val="Footer"/>
    <w:uiPriority w:val="99"/>
    <w:rPr>
      <w:rFonts w:eastAsia="BatangChe"/>
      <w:sz w:val="24"/>
      <w:szCs w:val="24"/>
      <w:lang w:eastAsia="en-US"/>
    </w:rPr>
  </w:style>
  <w:style w:type="character" w:customStyle="1" w:styleId="HeaderChar">
    <w:name w:val="Header Char"/>
    <w:link w:val="Header"/>
    <w:rPr>
      <w:rFonts w:eastAsia="BatangChe"/>
      <w:sz w:val="24"/>
      <w:szCs w:val="24"/>
      <w:lang w:eastAsia="en-US"/>
    </w:rPr>
  </w:style>
  <w:style w:type="character" w:customStyle="1" w:styleId="BalloonTextChar">
    <w:name w:val="Balloon Text Char"/>
    <w:link w:val="BalloonText"/>
    <w:rPr>
      <w:rFonts w:ascii="Arial" w:eastAsia="Dotum" w:hAnsi="Arial"/>
      <w:sz w:val="18"/>
      <w:szCs w:val="18"/>
      <w:lang w:eastAsia="en-US"/>
    </w:rPr>
  </w:style>
  <w:style w:type="character" w:customStyle="1" w:styleId="CommentTextChar">
    <w:name w:val="Comment Text Char"/>
    <w:link w:val="CommentText"/>
    <w:uiPriority w:val="99"/>
    <w:rPr>
      <w:rFonts w:eastAsia="BatangChe"/>
      <w:sz w:val="24"/>
      <w:szCs w:val="24"/>
      <w:lang w:eastAsia="en-US"/>
    </w:rPr>
  </w:style>
  <w:style w:type="character" w:customStyle="1" w:styleId="CommentSubjectChar">
    <w:name w:val="Comment Subject Char"/>
    <w:link w:val="CommentSubject"/>
    <w:semiHidden/>
    <w:rPr>
      <w:rFonts w:eastAsia="BatangChe"/>
      <w:b/>
      <w:bCs/>
      <w:sz w:val="24"/>
      <w:szCs w:val="24"/>
      <w:lang w:eastAsia="en-US"/>
    </w:rPr>
  </w:style>
  <w:style w:type="character" w:customStyle="1" w:styleId="PlainTextChar">
    <w:name w:val="Plain Text Char"/>
    <w:link w:val="PlainText"/>
    <w:rPr>
      <w:rFonts w:eastAsia="Times New Roman"/>
      <w:sz w:val="24"/>
      <w:szCs w:val="24"/>
      <w:lang w:eastAsia="en-US"/>
    </w:rPr>
  </w:style>
  <w:style w:type="character" w:customStyle="1" w:styleId="NormalaftertitleChar">
    <w:name w:val="Normal_after_title Char"/>
    <w:link w:val="Normalaftertitle"/>
    <w:rPr>
      <w:sz w:val="24"/>
      <w:lang w:eastAsia="en-US"/>
    </w:rPr>
  </w:style>
  <w:style w:type="character" w:customStyle="1" w:styleId="st">
    <w:name w:val="st"/>
  </w:style>
  <w:style w:type="character" w:customStyle="1" w:styleId="4">
    <w:name w:val="見出し 4 (文字)"/>
    <w:link w:val="41"/>
    <w:rPr>
      <w:rFonts w:ascii="Times New Roman" w:hAnsi="Times New Roman"/>
      <w:b/>
      <w:sz w:val="24"/>
      <w:lang w:eastAsia="en-US"/>
    </w:rPr>
  </w:style>
  <w:style w:type="character" w:customStyle="1" w:styleId="Heading5Char">
    <w:name w:val="Heading 5 Char"/>
    <w:link w:val="Heading5"/>
    <w:rPr>
      <w:rFonts w:ascii="Times New Roman" w:hAnsi="Times New Roman"/>
      <w:b/>
      <w:sz w:val="24"/>
      <w:lang w:eastAsia="en-US"/>
    </w:rPr>
  </w:style>
  <w:style w:type="character" w:customStyle="1" w:styleId="6">
    <w:name w:val="見出し 6 (文字)"/>
    <w:link w:val="61"/>
    <w:rPr>
      <w:rFonts w:ascii="Times New Roman" w:hAnsi="Times New Roman"/>
      <w:b/>
      <w:sz w:val="24"/>
      <w:lang w:eastAsia="en-US"/>
    </w:rPr>
  </w:style>
  <w:style w:type="character" w:customStyle="1" w:styleId="Heading7Char">
    <w:name w:val="Heading 7 Char"/>
    <w:link w:val="Heading7"/>
    <w:rPr>
      <w:rFonts w:ascii="Times New Roman" w:hAnsi="Times New Roman"/>
      <w:b/>
      <w:sz w:val="24"/>
      <w:lang w:eastAsia="en-US"/>
    </w:rPr>
  </w:style>
  <w:style w:type="character" w:customStyle="1" w:styleId="Heading9Char">
    <w:name w:val="Heading 9 Char"/>
    <w:link w:val="Heading9"/>
    <w:rPr>
      <w:rFonts w:ascii="Times New Roman" w:hAnsi="Times New Roman"/>
      <w:b/>
      <w:sz w:val="24"/>
      <w:lang w:eastAsia="en-US"/>
    </w:rPr>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character" w:customStyle="1" w:styleId="Artref">
    <w:name w:val="Art_ref"/>
    <w:basedOn w:val="DefaultParagraphFont"/>
  </w:style>
  <w:style w:type="character" w:customStyle="1" w:styleId="Recdef">
    <w:name w:val="Rec_def"/>
    <w:rPr>
      <w:b/>
    </w:rPr>
  </w:style>
  <w:style w:type="character" w:customStyle="1" w:styleId="Resdef">
    <w:name w:val="Res_def"/>
    <w:rPr>
      <w:rFonts w:ascii="Times New Roman" w:hAnsi="Times New Roman"/>
      <w:b/>
    </w:rPr>
  </w:style>
  <w:style w:type="character" w:customStyle="1" w:styleId="Tablefreq">
    <w:name w:val="Table_freq"/>
    <w:rPr>
      <w:b/>
      <w:color w:val="auto"/>
      <w:sz w:val="20"/>
    </w:rPr>
  </w:style>
  <w:style w:type="character" w:customStyle="1" w:styleId="TabletextChar">
    <w:name w:val="Table_text Char"/>
    <w:link w:val="Tabletext"/>
    <w:rPr>
      <w:sz w:val="22"/>
      <w:lang w:eastAsia="en-US"/>
    </w:rPr>
  </w:style>
  <w:style w:type="character" w:customStyle="1" w:styleId="TablelegendChar">
    <w:name w:val="Table_legend Char"/>
    <w:link w:val="Tablelegend"/>
    <w:locked/>
    <w:rPr>
      <w:sz w:val="22"/>
      <w:lang w:eastAsia="en-US"/>
    </w:rPr>
  </w:style>
  <w:style w:type="character" w:customStyle="1" w:styleId="Heading4Char">
    <w:name w:val="Heading 4 Char"/>
    <w:link w:val="Heading4"/>
    <w:rPr>
      <w:rFonts w:eastAsia="BatangChe"/>
      <w:b/>
      <w:bCs/>
      <w:sz w:val="24"/>
      <w:szCs w:val="24"/>
      <w:lang w:eastAsia="en-US"/>
    </w:rPr>
  </w:style>
  <w:style w:type="character" w:customStyle="1" w:styleId="Heading6Char">
    <w:name w:val="Heading 6 Char"/>
    <w:link w:val="Heading6"/>
    <w:rPr>
      <w:rFonts w:eastAsia="BatangChe"/>
      <w:b/>
      <w:bCs/>
      <w:sz w:val="24"/>
      <w:szCs w:val="24"/>
      <w:lang w:eastAsia="en-US"/>
    </w:rPr>
  </w:style>
  <w:style w:type="character" w:customStyle="1" w:styleId="512">
    <w:name w:val="見出し 5 (文字)1"/>
    <w:semiHidden/>
    <w:rPr>
      <w:rFonts w:eastAsia="SimHei" w:cs="SimHei"/>
      <w:sz w:val="24"/>
      <w:szCs w:val="24"/>
      <w:lang w:eastAsia="en-US"/>
    </w:rPr>
  </w:style>
  <w:style w:type="character" w:customStyle="1" w:styleId="712">
    <w:name w:val="見出し 7 (文字)1"/>
    <w:semiHidden/>
    <w:rPr>
      <w:rFonts w:eastAsia="BatangChe"/>
      <w:sz w:val="24"/>
      <w:szCs w:val="24"/>
      <w:lang w:eastAsia="en-US"/>
    </w:rPr>
  </w:style>
  <w:style w:type="character" w:customStyle="1" w:styleId="910">
    <w:name w:val="見出し 9 (文字)1"/>
    <w:semiHidden/>
    <w:rPr>
      <w:rFonts w:eastAsia="BatangChe"/>
      <w:sz w:val="24"/>
      <w:szCs w:val="24"/>
      <w:lang w:eastAsia="en-US"/>
    </w:rPr>
  </w:style>
  <w:style w:type="table" w:customStyle="1" w:styleId="2">
    <w:name w:val="表 (格子)2"/>
    <w:basedOn w:val="TableNormal"/>
    <w:uiPriority w:val="5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TableNormal"/>
    <w:rPr>
      <w:rFonts w:ascii="Calibri" w:eastAsia="MS Mincho"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表 (格子)3"/>
    <w:basedOn w:val="TableNormal"/>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5D267F"/>
    <w:pPr>
      <w:tabs>
        <w:tab w:val="left" w:pos="540"/>
        <w:tab w:val="left" w:pos="1260"/>
        <w:tab w:val="left" w:pos="1800"/>
      </w:tabs>
      <w:spacing w:before="240" w:after="160" w:line="240" w:lineRule="exact"/>
    </w:pPr>
    <w:rPr>
      <w:rFonts w:ascii="Verdana" w:eastAsia="Times New Roman" w:hAnsi="Verdana"/>
      <w:szCs w:val="20"/>
    </w:rPr>
  </w:style>
  <w:style w:type="paragraph" w:customStyle="1" w:styleId="Head">
    <w:name w:val="Head"/>
    <w:basedOn w:val="Normal"/>
    <w:rsid w:val="005D267F"/>
    <w:pPr>
      <w:tabs>
        <w:tab w:val="left" w:pos="567"/>
        <w:tab w:val="left" w:pos="1134"/>
        <w:tab w:val="left" w:pos="1701"/>
        <w:tab w:val="left" w:pos="2268"/>
        <w:tab w:val="left" w:pos="2835"/>
      </w:tabs>
      <w:overflowPunct w:val="0"/>
      <w:autoSpaceDE w:val="0"/>
      <w:autoSpaceDN w:val="0"/>
      <w:adjustRightInd w:val="0"/>
      <w:textAlignment w:val="baseline"/>
    </w:pPr>
    <w:rPr>
      <w:rFonts w:cs="Angsana New"/>
      <w:szCs w:val="20"/>
      <w:lang w:val="en-GB" w:eastAsia="ko-KR"/>
    </w:rPr>
  </w:style>
  <w:style w:type="paragraph" w:styleId="Title">
    <w:name w:val="Title"/>
    <w:basedOn w:val="Normal"/>
    <w:link w:val="TitleChar"/>
    <w:qFormat/>
    <w:rsid w:val="005D267F"/>
    <w:pPr>
      <w:overflowPunct w:val="0"/>
      <w:autoSpaceDE w:val="0"/>
      <w:autoSpaceDN w:val="0"/>
      <w:adjustRightInd w:val="0"/>
      <w:jc w:val="center"/>
      <w:textAlignment w:val="baseline"/>
    </w:pPr>
    <w:rPr>
      <w:rFonts w:cs="Angsana New"/>
      <w:b/>
      <w:szCs w:val="20"/>
      <w:lang w:val="en-GB" w:eastAsia="ko-KR"/>
    </w:rPr>
  </w:style>
  <w:style w:type="character" w:customStyle="1" w:styleId="TitleChar">
    <w:name w:val="Title Char"/>
    <w:basedOn w:val="DefaultParagraphFont"/>
    <w:link w:val="Title"/>
    <w:rsid w:val="005D267F"/>
    <w:rPr>
      <w:rFonts w:eastAsia="BatangChe" w:cs="Angsana New"/>
      <w:b/>
      <w:sz w:val="24"/>
      <w:lang w:val="en-GB" w:eastAsia="ko-KR"/>
    </w:rPr>
  </w:style>
  <w:style w:type="paragraph" w:styleId="BodyTextIndent">
    <w:name w:val="Body Text Indent"/>
    <w:basedOn w:val="Normal"/>
    <w:link w:val="BodyTextIndentChar"/>
    <w:rsid w:val="005D267F"/>
    <w:pPr>
      <w:ind w:left="720" w:hanging="720"/>
    </w:pPr>
    <w:rPr>
      <w:rFonts w:cs="Angsana New"/>
      <w:i/>
      <w:szCs w:val="20"/>
      <w:lang w:val="en-GB" w:eastAsia="ko-KR"/>
    </w:rPr>
  </w:style>
  <w:style w:type="character" w:customStyle="1" w:styleId="BodyTextIndentChar">
    <w:name w:val="Body Text Indent Char"/>
    <w:basedOn w:val="DefaultParagraphFont"/>
    <w:link w:val="BodyTextIndent"/>
    <w:rsid w:val="005D267F"/>
    <w:rPr>
      <w:rFonts w:eastAsia="BatangChe" w:cs="Angsana New"/>
      <w:i/>
      <w:sz w:val="24"/>
      <w:lang w:val="en-GB" w:eastAsia="ko-KR"/>
    </w:rPr>
  </w:style>
  <w:style w:type="paragraph" w:styleId="BodyText">
    <w:name w:val="Body Text"/>
    <w:basedOn w:val="Normal"/>
    <w:link w:val="BodyTextChar"/>
    <w:rsid w:val="005D267F"/>
    <w:rPr>
      <w:rFonts w:ascii="Arial" w:hAnsi="Arial" w:cs="Angsana New"/>
      <w:sz w:val="22"/>
      <w:szCs w:val="20"/>
      <w:lang w:val="en-GB" w:eastAsia="ko-KR"/>
    </w:rPr>
  </w:style>
  <w:style w:type="character" w:customStyle="1" w:styleId="BodyTextChar">
    <w:name w:val="Body Text Char"/>
    <w:basedOn w:val="DefaultParagraphFont"/>
    <w:link w:val="BodyText"/>
    <w:rsid w:val="005D267F"/>
    <w:rPr>
      <w:rFonts w:ascii="Arial" w:eastAsia="BatangChe" w:hAnsi="Arial" w:cs="Angsana New"/>
      <w:sz w:val="22"/>
      <w:lang w:val="en-GB" w:eastAsia="ko-KR"/>
    </w:rPr>
  </w:style>
  <w:style w:type="paragraph" w:styleId="BodyText2">
    <w:name w:val="Body Text 2"/>
    <w:basedOn w:val="Normal"/>
    <w:link w:val="BodyText2Char"/>
    <w:rsid w:val="005D267F"/>
    <w:rPr>
      <w:rFonts w:cs="Angsana New"/>
      <w:b/>
      <w:sz w:val="22"/>
      <w:szCs w:val="20"/>
      <w:lang w:val="en-GB" w:eastAsia="ko-KR"/>
    </w:rPr>
  </w:style>
  <w:style w:type="character" w:customStyle="1" w:styleId="BodyText2Char">
    <w:name w:val="Body Text 2 Char"/>
    <w:basedOn w:val="DefaultParagraphFont"/>
    <w:link w:val="BodyText2"/>
    <w:rsid w:val="005D267F"/>
    <w:rPr>
      <w:rFonts w:eastAsia="BatangChe" w:cs="Angsana New"/>
      <w:b/>
      <w:sz w:val="22"/>
      <w:lang w:val="en-GB" w:eastAsia="ko-KR"/>
    </w:rPr>
  </w:style>
  <w:style w:type="paragraph" w:styleId="BodyText3">
    <w:name w:val="Body Text 3"/>
    <w:basedOn w:val="Normal"/>
    <w:link w:val="BodyText3Char"/>
    <w:rsid w:val="005D267F"/>
    <w:rPr>
      <w:rFonts w:ascii="Arial" w:hAnsi="Arial" w:cs="Angsana New"/>
      <w:noProof/>
      <w:sz w:val="22"/>
      <w:szCs w:val="20"/>
      <w:lang w:eastAsia="ko-KR"/>
    </w:rPr>
  </w:style>
  <w:style w:type="character" w:customStyle="1" w:styleId="BodyText3Char">
    <w:name w:val="Body Text 3 Char"/>
    <w:basedOn w:val="DefaultParagraphFont"/>
    <w:link w:val="BodyText3"/>
    <w:rsid w:val="005D267F"/>
    <w:rPr>
      <w:rFonts w:ascii="Arial" w:eastAsia="BatangChe" w:hAnsi="Arial" w:cs="Angsana New"/>
      <w:noProof/>
      <w:sz w:val="22"/>
      <w:lang w:eastAsia="ko-KR"/>
    </w:rPr>
  </w:style>
  <w:style w:type="character" w:customStyle="1" w:styleId="Artdef0">
    <w:name w:val="Art#_def"/>
    <w:rsid w:val="005D267F"/>
    <w:rPr>
      <w:rFonts w:ascii="Times New Roman" w:hAnsi="Times New Roman"/>
      <w:b/>
      <w:color w:val="auto"/>
    </w:rPr>
  </w:style>
  <w:style w:type="character" w:customStyle="1" w:styleId="Resref0">
    <w:name w:val="Res#_ref"/>
    <w:rsid w:val="005D267F"/>
  </w:style>
  <w:style w:type="paragraph" w:customStyle="1" w:styleId="TableTitle0">
    <w:name w:val="Table_Title"/>
    <w:basedOn w:val="Normal"/>
    <w:next w:val="Normal"/>
    <w:rsid w:val="005D267F"/>
    <w:pPr>
      <w:keepNext/>
      <w:spacing w:after="120"/>
      <w:jc w:val="center"/>
    </w:pPr>
    <w:rPr>
      <w:rFonts w:cs="Angsana New"/>
      <w:b/>
      <w:noProof/>
      <w:sz w:val="20"/>
      <w:szCs w:val="20"/>
      <w:lang w:eastAsia="ko-KR"/>
    </w:rPr>
  </w:style>
  <w:style w:type="paragraph" w:styleId="NoSpacing">
    <w:name w:val="No Spacing"/>
    <w:uiPriority w:val="1"/>
    <w:qFormat/>
    <w:rsid w:val="005D267F"/>
    <w:pPr>
      <w:widowControl w:val="0"/>
      <w:wordWrap w:val="0"/>
      <w:jc w:val="both"/>
    </w:pPr>
    <w:rPr>
      <w:rFonts w:eastAsia="BatangChe" w:cs="Angsana New"/>
      <w:kern w:val="2"/>
      <w:sz w:val="24"/>
      <w:lang w:eastAsia="ko-KR"/>
    </w:rPr>
  </w:style>
  <w:style w:type="paragraph" w:styleId="ListParagraph">
    <w:name w:val="List Paragraph"/>
    <w:basedOn w:val="Normal"/>
    <w:uiPriority w:val="34"/>
    <w:qFormat/>
    <w:rsid w:val="005D267F"/>
    <w:pPr>
      <w:widowControl w:val="0"/>
      <w:wordWrap w:val="0"/>
      <w:ind w:leftChars="400" w:left="800"/>
    </w:pPr>
    <w:rPr>
      <w:rFonts w:cs="Angsana New"/>
      <w:kern w:val="2"/>
      <w:sz w:val="20"/>
      <w:szCs w:val="20"/>
      <w:lang w:eastAsia="ko-KR"/>
    </w:rPr>
  </w:style>
  <w:style w:type="character" w:customStyle="1" w:styleId="hps">
    <w:name w:val="hps"/>
    <w:rsid w:val="005D267F"/>
  </w:style>
  <w:style w:type="paragraph" w:styleId="z-TopofForm">
    <w:name w:val="HTML Top of Form"/>
    <w:basedOn w:val="Normal"/>
    <w:next w:val="Normal"/>
    <w:link w:val="z-TopofFormChar"/>
    <w:hidden/>
    <w:uiPriority w:val="99"/>
    <w:unhideWhenUsed/>
    <w:rsid w:val="005D267F"/>
    <w:pPr>
      <w:pBdr>
        <w:bottom w:val="single" w:sz="6" w:space="1" w:color="auto"/>
      </w:pBdr>
      <w:jc w:val="center"/>
    </w:pPr>
    <w:rPr>
      <w:rFonts w:ascii="Arial" w:eastAsia="Gulim" w:hAnsi="Arial"/>
      <w:vanish/>
      <w:sz w:val="16"/>
      <w:szCs w:val="16"/>
    </w:rPr>
  </w:style>
  <w:style w:type="character" w:customStyle="1" w:styleId="z-TopofFormChar">
    <w:name w:val="z-Top of Form Char"/>
    <w:basedOn w:val="DefaultParagraphFont"/>
    <w:link w:val="z-TopofForm"/>
    <w:uiPriority w:val="99"/>
    <w:rsid w:val="005D267F"/>
    <w:rPr>
      <w:rFonts w:ascii="Arial" w:eastAsia="Gulim" w:hAnsi="Arial"/>
      <w:vanish/>
      <w:sz w:val="16"/>
      <w:szCs w:val="16"/>
      <w:lang w:eastAsia="en-US"/>
    </w:rPr>
  </w:style>
  <w:style w:type="paragraph" w:customStyle="1" w:styleId="body3">
    <w:name w:val="body3"/>
    <w:basedOn w:val="Normal"/>
    <w:rsid w:val="005D267F"/>
    <w:pPr>
      <w:spacing w:before="100" w:beforeAutospacing="1" w:after="100" w:afterAutospacing="1"/>
    </w:pPr>
    <w:rPr>
      <w:rFonts w:ascii="Gulim" w:eastAsia="Gulim" w:hAnsi="Gulim" w:cs="Gulim"/>
      <w:lang w:eastAsia="ko-KR"/>
    </w:rPr>
  </w:style>
  <w:style w:type="paragraph" w:styleId="z-BottomofForm">
    <w:name w:val="HTML Bottom of Form"/>
    <w:basedOn w:val="Normal"/>
    <w:next w:val="Normal"/>
    <w:link w:val="z-BottomofFormChar"/>
    <w:hidden/>
    <w:uiPriority w:val="99"/>
    <w:unhideWhenUsed/>
    <w:rsid w:val="005D267F"/>
    <w:pPr>
      <w:pBdr>
        <w:top w:val="single" w:sz="6" w:space="1" w:color="auto"/>
      </w:pBdr>
      <w:jc w:val="center"/>
    </w:pPr>
    <w:rPr>
      <w:rFonts w:ascii="Arial" w:eastAsia="Gulim" w:hAnsi="Arial"/>
      <w:vanish/>
      <w:sz w:val="16"/>
      <w:szCs w:val="16"/>
    </w:rPr>
  </w:style>
  <w:style w:type="character" w:customStyle="1" w:styleId="z-BottomofFormChar">
    <w:name w:val="z-Bottom of Form Char"/>
    <w:basedOn w:val="DefaultParagraphFont"/>
    <w:link w:val="z-BottomofForm"/>
    <w:uiPriority w:val="99"/>
    <w:rsid w:val="005D267F"/>
    <w:rPr>
      <w:rFonts w:ascii="Arial" w:eastAsia="Gulim" w:hAnsi="Arial"/>
      <w:vanish/>
      <w:sz w:val="16"/>
      <w:szCs w:val="16"/>
      <w:lang w:eastAsia="en-US"/>
    </w:rPr>
  </w:style>
  <w:style w:type="paragraph" w:customStyle="1" w:styleId="PARAGRAPH">
    <w:name w:val="PARAGRAPH"/>
    <w:link w:val="PARAGRAPHChar"/>
    <w:qFormat/>
    <w:rsid w:val="005D267F"/>
    <w:pPr>
      <w:snapToGrid w:val="0"/>
      <w:spacing w:before="100" w:after="200"/>
      <w:jc w:val="both"/>
    </w:pPr>
    <w:rPr>
      <w:rFonts w:ascii="Arial" w:eastAsia="Malgun Gothic" w:hAnsi="Arial" w:cs="Arial"/>
      <w:spacing w:val="8"/>
      <w:lang w:val="en-GB" w:eastAsia="zh-CN"/>
    </w:rPr>
  </w:style>
  <w:style w:type="character" w:customStyle="1" w:styleId="PARAGRAPHChar">
    <w:name w:val="PARAGRAPH Char"/>
    <w:link w:val="PARAGRAPH"/>
    <w:locked/>
    <w:rsid w:val="005D267F"/>
    <w:rPr>
      <w:rFonts w:ascii="Arial" w:eastAsia="Malgun Gothic" w:hAnsi="Arial" w:cs="Arial"/>
      <w:spacing w:val="8"/>
      <w:lang w:val="en-GB" w:eastAsia="zh-CN"/>
    </w:rPr>
  </w:style>
  <w:style w:type="character" w:styleId="PlaceholderText">
    <w:name w:val="Placeholder Text"/>
    <w:uiPriority w:val="99"/>
    <w:semiHidden/>
    <w:rsid w:val="005D267F"/>
    <w:rPr>
      <w:color w:val="808080"/>
    </w:rPr>
  </w:style>
  <w:style w:type="paragraph" w:customStyle="1" w:styleId="a0">
    <w:name w:val="바탕글"/>
    <w:basedOn w:val="Normal"/>
    <w:rsid w:val="005D267F"/>
    <w:pPr>
      <w:widowControl w:val="0"/>
      <w:shd w:val="clear" w:color="auto" w:fill="FFFFFF"/>
      <w:wordWrap w:val="0"/>
      <w:autoSpaceDE w:val="0"/>
      <w:autoSpaceDN w:val="0"/>
      <w:spacing w:line="384" w:lineRule="auto"/>
      <w:textAlignment w:val="baseline"/>
    </w:pPr>
    <w:rPr>
      <w:rFonts w:ascii="Gulim" w:eastAsia="Gulim" w:hAnsi="Gulim" w:cs="Gulim"/>
      <w:color w:val="000000"/>
      <w:sz w:val="20"/>
      <w:szCs w:val="20"/>
      <w:lang w:eastAsia="ko-KR"/>
    </w:rPr>
  </w:style>
  <w:style w:type="paragraph" w:styleId="TOCHeading">
    <w:name w:val="TOC Heading"/>
    <w:basedOn w:val="Heading1"/>
    <w:next w:val="Normal"/>
    <w:uiPriority w:val="39"/>
    <w:unhideWhenUsed/>
    <w:qFormat/>
    <w:rsid w:val="005D267F"/>
    <w:pPr>
      <w:keepLines/>
      <w:spacing w:before="480"/>
      <w:jc w:val="left"/>
      <w:outlineLvl w:val="9"/>
    </w:pPr>
    <w:rPr>
      <w:rFonts w:ascii="Cambria" w:eastAsia="Malgun Gothic" w:hAnsi="Cambria"/>
      <w:color w:val="365F91"/>
      <w:sz w:val="28"/>
      <w:szCs w:val="28"/>
      <w:u w:val="none"/>
    </w:rPr>
  </w:style>
  <w:style w:type="paragraph" w:styleId="Date">
    <w:name w:val="Date"/>
    <w:basedOn w:val="Normal"/>
    <w:next w:val="Normal"/>
    <w:link w:val="DateChar"/>
    <w:rsid w:val="005D267F"/>
  </w:style>
  <w:style w:type="character" w:customStyle="1" w:styleId="DateChar">
    <w:name w:val="Date Char"/>
    <w:basedOn w:val="DefaultParagraphFont"/>
    <w:link w:val="Date"/>
    <w:rsid w:val="005D267F"/>
    <w:rPr>
      <w:rFonts w:eastAsia="BatangChe"/>
      <w:sz w:val="24"/>
      <w:szCs w:val="24"/>
      <w:lang w:eastAsia="en-US"/>
    </w:rPr>
  </w:style>
  <w:style w:type="paragraph" w:styleId="Revision">
    <w:name w:val="Revision"/>
    <w:hidden/>
    <w:uiPriority w:val="99"/>
    <w:semiHidden/>
    <w:rsid w:val="005D267F"/>
    <w:rPr>
      <w:rFonts w:eastAsia="BatangChe"/>
      <w:sz w:val="24"/>
      <w:szCs w:val="24"/>
      <w:lang w:eastAsia="en-US"/>
    </w:rPr>
  </w:style>
  <w:style w:type="character" w:customStyle="1" w:styleId="HeadingbChar">
    <w:name w:val="Heading_b Char"/>
    <w:link w:val="Headingb"/>
    <w:uiPriority w:val="99"/>
    <w:locked/>
    <w:rsid w:val="005D267F"/>
    <w:rPr>
      <w:rFonts w:ascii="Times" w:eastAsia="MS Mincho" w:hAnsi="Times"/>
      <w:b/>
      <w:sz w:val="24"/>
      <w:lang w:eastAsia="en-US"/>
    </w:rPr>
  </w:style>
  <w:style w:type="character" w:customStyle="1" w:styleId="TableNoChar">
    <w:name w:val="Table_No Char"/>
    <w:link w:val="TableNo"/>
    <w:locked/>
    <w:rsid w:val="005D267F"/>
    <w:rPr>
      <w:rFonts w:eastAsia="MS Mincho"/>
      <w:caps/>
      <w:lang w:eastAsia="en-US"/>
    </w:rPr>
  </w:style>
  <w:style w:type="character" w:customStyle="1" w:styleId="thispg-antibold">
    <w:name w:val="thispg-antibold"/>
    <w:rsid w:val="005D267F"/>
  </w:style>
  <w:style w:type="character" w:customStyle="1" w:styleId="FiguretitleChar">
    <w:name w:val="Figure_title Char"/>
    <w:link w:val="Figuretitle"/>
    <w:locked/>
    <w:rsid w:val="005D267F"/>
    <w:rPr>
      <w:rFonts w:ascii="Times New Roman Bold" w:eastAsia="MS Mincho" w:hAnsi="Times New Roman Bold"/>
      <w:b/>
      <w:lang w:eastAsia="en-US"/>
    </w:rPr>
  </w:style>
  <w:style w:type="table" w:customStyle="1" w:styleId="TableGrid1">
    <w:name w:val="Table Grid1"/>
    <w:basedOn w:val="TableNormal"/>
    <w:next w:val="TableGrid"/>
    <w:uiPriority w:val="59"/>
    <w:rsid w:val="005D267F"/>
    <w:rPr>
      <w:rFonts w:ascii="Calibri" w:eastAsia="Malgun Gothic" w:hAnsi="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5D267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sae.org/news/3415/" TargetMode="External"/><Relationship Id="rId18" Type="http://schemas.openxmlformats.org/officeDocument/2006/relationships/package" Target="embeddings/Microsoft_Excel_Worksheet1.xlsx"/><Relationship Id="rId26" Type="http://schemas.openxmlformats.org/officeDocument/2006/relationships/hyperlink" Target="mailto:dB&#13238;/m@184.4" TargetMode="External"/><Relationship Id="rId39" Type="http://schemas.openxmlformats.org/officeDocument/2006/relationships/image" Target="media/image21.emf"/><Relationship Id="rId21" Type="http://schemas.openxmlformats.org/officeDocument/2006/relationships/image" Target="media/image10.png"/><Relationship Id="rId34" Type="http://schemas.openxmlformats.org/officeDocument/2006/relationships/hyperlink" Target="mailto:dB&#13238;/m@184.4" TargetMode="External"/><Relationship Id="rId42" Type="http://schemas.openxmlformats.org/officeDocument/2006/relationships/hyperlink" Target="mailto:dB&#13238;/m@184.4" TargetMode="External"/><Relationship Id="rId47" Type="http://schemas.openxmlformats.org/officeDocument/2006/relationships/hyperlink" Target="mailto:dB&#13238;/m@184.4"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emf"/><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hyperlink" Target="mailto:dB&#13238;/m@184.4" TargetMode="External"/><Relationship Id="rId37" Type="http://schemas.openxmlformats.org/officeDocument/2006/relationships/image" Target="media/image20.emf"/><Relationship Id="rId40" Type="http://schemas.openxmlformats.org/officeDocument/2006/relationships/hyperlink" Target="mailto:dB&#13238;/m@184.4" TargetMode="External"/><Relationship Id="rId45" Type="http://schemas.openxmlformats.org/officeDocument/2006/relationships/hyperlink" Target="mailto:dB&#13238;/m@184.4"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7.emf"/><Relationship Id="rId44" Type="http://schemas.openxmlformats.org/officeDocument/2006/relationships/hyperlink" Target="mailto:dB&#13238;/m@184.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ndards.sae.org/j2954_201605/" TargetMode="Externa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hyperlink" Target="mailto:dB&#13238;/m@184.4" TargetMode="External"/><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hyperlink" Target="mailto:dB&#13238;/m@184.4" TargetMode="Externa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tta.or.kr/English/index.jsp"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hyperlink" Target="mailto:dB&#13238;/m@184.4" TargetMode="External"/><Relationship Id="rId46" Type="http://schemas.openxmlformats.org/officeDocument/2006/relationships/hyperlink" Target="mailto:dB&#13238;/m@184.4" TargetMode="External"/><Relationship Id="rId20" Type="http://schemas.openxmlformats.org/officeDocument/2006/relationships/image" Target="media/image9.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dB&#13238;/m@184.4" TargetMode="External"/><Relationship Id="rId36" Type="http://schemas.openxmlformats.org/officeDocument/2006/relationships/hyperlink" Target="mailto:dB&#13238;/m@184.4" TargetMode="External"/><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5&#50629;&#47924;\05&#45824;&#50808;&#54876;&#46041;\AWF\AWF%20Document%20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AWF Document Template</Template>
  <TotalTime>2</TotalTime>
  <Pages>34</Pages>
  <Words>10752</Words>
  <Characters>61292</Characters>
  <Application>Microsoft Office Word</Application>
  <DocSecurity>0</DocSecurity>
  <Lines>510</Lines>
  <Paragraphs>143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_x0001_</vt:lpstr>
      <vt:lpstr>_x0001_</vt:lpstr>
      <vt:lpstr>_x0001_</vt:lpstr>
    </vt:vector>
  </TitlesOfParts>
  <Company>APT</Company>
  <LinksUpToDate>false</LinksUpToDate>
  <CharactersWithSpaces>71901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김규헌</dc:creator>
  <cp:lastModifiedBy>Forhadul Parvez</cp:lastModifiedBy>
  <cp:revision>2</cp:revision>
  <cp:lastPrinted>2012-09-05T00:55:00Z</cp:lastPrinted>
  <dcterms:created xsi:type="dcterms:W3CDTF">2017-10-04T02:06:00Z</dcterms:created>
  <dcterms:modified xsi:type="dcterms:W3CDTF">2017-10-04T02:09:00Z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ies>
</file>