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9" w:type="dxa"/>
        <w:tblBorders>
          <w:bottom w:val="single" w:sz="4" w:space="0" w:color="auto"/>
        </w:tblBorders>
        <w:tblLayout w:type="fixed"/>
        <w:tblCellMar>
          <w:left w:w="99" w:type="dxa"/>
          <w:right w:w="99" w:type="dxa"/>
        </w:tblCellMar>
        <w:tblLook w:val="0000" w:firstRow="0" w:lastRow="0" w:firstColumn="0" w:lastColumn="0" w:noHBand="0" w:noVBand="0"/>
      </w:tblPr>
      <w:tblGrid>
        <w:gridCol w:w="1399"/>
        <w:gridCol w:w="4530"/>
        <w:gridCol w:w="1550"/>
        <w:gridCol w:w="111"/>
        <w:gridCol w:w="2229"/>
      </w:tblGrid>
      <w:tr w:rsidR="00511D8F" w:rsidRPr="00330FB4" w:rsidTr="00221349">
        <w:trPr>
          <w:cantSplit/>
        </w:trPr>
        <w:tc>
          <w:tcPr>
            <w:tcW w:w="1399" w:type="dxa"/>
            <w:vMerge w:val="restart"/>
            <w:tcBorders>
              <w:top w:val="nil"/>
              <w:left w:val="nil"/>
              <w:bottom w:val="nil"/>
              <w:right w:val="nil"/>
            </w:tcBorders>
          </w:tcPr>
          <w:p w:rsidR="00511D8F" w:rsidRPr="00330FB4" w:rsidRDefault="00511D8F" w:rsidP="00221349">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extent cx="762000" cy="666750"/>
                  <wp:effectExtent l="19050" t="0" r="0" b="0"/>
                  <wp:docPr id="1" name="Picture 2" descr="small APT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 APTlogogreen"/>
                          <pic:cNvPicPr>
                            <a:picLocks noChangeAspect="1" noChangeArrowheads="1"/>
                          </pic:cNvPicPr>
                        </pic:nvPicPr>
                        <pic:blipFill>
                          <a:blip r:embed="rId8" cstate="print"/>
                          <a:srcRect/>
                          <a:stretch>
                            <a:fillRect/>
                          </a:stretch>
                        </pic:blipFill>
                        <pic:spPr bwMode="auto">
                          <a:xfrm>
                            <a:off x="0" y="0"/>
                            <a:ext cx="762000" cy="666750"/>
                          </a:xfrm>
                          <a:prstGeom prst="rect">
                            <a:avLst/>
                          </a:prstGeom>
                          <a:noFill/>
                          <a:ln w="9525">
                            <a:noFill/>
                            <a:miter lim="800000"/>
                            <a:headEnd/>
                            <a:tailEnd/>
                          </a:ln>
                        </pic:spPr>
                      </pic:pic>
                    </a:graphicData>
                  </a:graphic>
                </wp:inline>
              </w:drawing>
            </w:r>
          </w:p>
        </w:tc>
        <w:tc>
          <w:tcPr>
            <w:tcW w:w="4530" w:type="dxa"/>
            <w:tcBorders>
              <w:top w:val="nil"/>
              <w:left w:val="nil"/>
              <w:bottom w:val="nil"/>
              <w:right w:val="nil"/>
            </w:tcBorders>
          </w:tcPr>
          <w:p w:rsidR="00511D8F" w:rsidRPr="00330FB4" w:rsidRDefault="00567DD5" w:rsidP="00567DD5">
            <w:pPr>
              <w:rPr>
                <w:sz w:val="22"/>
              </w:rPr>
            </w:pPr>
            <w:r>
              <w:rPr>
                <w:rFonts w:hint="eastAsia"/>
                <w:sz w:val="22"/>
                <w:szCs w:val="22"/>
                <w:lang w:eastAsia="ko-KR"/>
              </w:rPr>
              <w:t>ASIA</w:t>
            </w:r>
            <w:r w:rsidR="00511D8F" w:rsidRPr="00330FB4">
              <w:rPr>
                <w:sz w:val="22"/>
                <w:szCs w:val="22"/>
              </w:rPr>
              <w:t>-PACIFIC TELECOMMUNITY</w:t>
            </w:r>
          </w:p>
        </w:tc>
        <w:tc>
          <w:tcPr>
            <w:tcW w:w="1661" w:type="dxa"/>
            <w:gridSpan w:val="2"/>
            <w:tcBorders>
              <w:top w:val="nil"/>
              <w:left w:val="nil"/>
              <w:bottom w:val="nil"/>
              <w:right w:val="nil"/>
            </w:tcBorders>
          </w:tcPr>
          <w:p w:rsidR="00511D8F" w:rsidRPr="00330FB4" w:rsidRDefault="00511D8F" w:rsidP="00221349"/>
        </w:tc>
        <w:tc>
          <w:tcPr>
            <w:tcW w:w="2229" w:type="dxa"/>
            <w:tcBorders>
              <w:top w:val="nil"/>
              <w:left w:val="nil"/>
              <w:bottom w:val="nil"/>
            </w:tcBorders>
          </w:tcPr>
          <w:p w:rsidR="00511D8F" w:rsidRPr="00330FB4" w:rsidRDefault="00511D8F" w:rsidP="00221349">
            <w:pPr>
              <w:pStyle w:val="Heading8"/>
              <w:rPr>
                <w:sz w:val="24"/>
                <w:szCs w:val="24"/>
              </w:rPr>
            </w:pPr>
          </w:p>
        </w:tc>
      </w:tr>
      <w:tr w:rsidR="00511D8F" w:rsidRPr="00330FB4" w:rsidTr="00221349">
        <w:trPr>
          <w:cantSplit/>
        </w:trPr>
        <w:tc>
          <w:tcPr>
            <w:tcW w:w="1399" w:type="dxa"/>
            <w:vMerge/>
            <w:tcBorders>
              <w:top w:val="nil"/>
              <w:left w:val="nil"/>
              <w:bottom w:val="nil"/>
              <w:right w:val="nil"/>
            </w:tcBorders>
          </w:tcPr>
          <w:p w:rsidR="00511D8F" w:rsidRPr="00330FB4" w:rsidRDefault="00511D8F" w:rsidP="00221349"/>
        </w:tc>
        <w:tc>
          <w:tcPr>
            <w:tcW w:w="6080" w:type="dxa"/>
            <w:gridSpan w:val="2"/>
            <w:tcBorders>
              <w:top w:val="nil"/>
              <w:left w:val="nil"/>
              <w:bottom w:val="nil"/>
              <w:right w:val="nil"/>
            </w:tcBorders>
          </w:tcPr>
          <w:p w:rsidR="00511D8F" w:rsidRPr="00330FB4" w:rsidRDefault="00511D8F" w:rsidP="00221349">
            <w:pPr>
              <w:spacing w:line="0" w:lineRule="atLeast"/>
            </w:pPr>
            <w:r w:rsidRPr="00330FB4">
              <w:rPr>
                <w:b/>
              </w:rPr>
              <w:t>The 2</w:t>
            </w:r>
            <w:r w:rsidRPr="00330FB4">
              <w:rPr>
                <w:b/>
                <w:vertAlign w:val="superscript"/>
              </w:rPr>
              <w:t>nd</w:t>
            </w:r>
            <w:r w:rsidRPr="00330FB4">
              <w:rPr>
                <w:b/>
              </w:rPr>
              <w:t xml:space="preserve"> APT Preparatory Meeting for PP-14 (PP14-2)  </w:t>
            </w:r>
          </w:p>
        </w:tc>
        <w:tc>
          <w:tcPr>
            <w:tcW w:w="2340" w:type="dxa"/>
            <w:gridSpan w:val="2"/>
            <w:tcBorders>
              <w:top w:val="nil"/>
              <w:left w:val="nil"/>
              <w:bottom w:val="nil"/>
              <w:right w:val="nil"/>
            </w:tcBorders>
          </w:tcPr>
          <w:p w:rsidR="00511D8F" w:rsidRPr="00330FB4" w:rsidRDefault="00511D8F" w:rsidP="00221349">
            <w:pPr>
              <w:rPr>
                <w:b/>
                <w:bCs/>
                <w:lang w:val="fr-FR"/>
              </w:rPr>
            </w:pPr>
            <w:r w:rsidRPr="00330FB4">
              <w:rPr>
                <w:b/>
                <w:lang w:val="fr-FR"/>
              </w:rPr>
              <w:t>Document:</w:t>
            </w:r>
          </w:p>
          <w:p w:rsidR="00511D8F" w:rsidRPr="00330FB4" w:rsidRDefault="00511D8F" w:rsidP="00221349">
            <w:pPr>
              <w:rPr>
                <w:b/>
                <w:bCs/>
                <w:lang w:val="fr-FR"/>
              </w:rPr>
            </w:pPr>
            <w:r w:rsidRPr="00330FB4">
              <w:rPr>
                <w:b/>
                <w:bCs/>
                <w:lang w:val="fr-FR"/>
              </w:rPr>
              <w:t>PP14-2/INP-xx</w:t>
            </w:r>
          </w:p>
        </w:tc>
      </w:tr>
      <w:tr w:rsidR="00511D8F" w:rsidRPr="00330FB4" w:rsidTr="00221349">
        <w:trPr>
          <w:cantSplit/>
          <w:trHeight w:val="219"/>
        </w:trPr>
        <w:tc>
          <w:tcPr>
            <w:tcW w:w="1399" w:type="dxa"/>
            <w:vMerge/>
            <w:tcBorders>
              <w:top w:val="nil"/>
              <w:left w:val="nil"/>
              <w:bottom w:val="single" w:sz="12" w:space="0" w:color="auto"/>
              <w:right w:val="nil"/>
            </w:tcBorders>
          </w:tcPr>
          <w:p w:rsidR="00511D8F" w:rsidRPr="00330FB4" w:rsidRDefault="00511D8F" w:rsidP="00221349">
            <w:pPr>
              <w:rPr>
                <w:lang w:val="fr-FR"/>
              </w:rPr>
            </w:pPr>
          </w:p>
        </w:tc>
        <w:tc>
          <w:tcPr>
            <w:tcW w:w="6080" w:type="dxa"/>
            <w:gridSpan w:val="2"/>
            <w:tcBorders>
              <w:top w:val="nil"/>
              <w:left w:val="nil"/>
              <w:bottom w:val="single" w:sz="12" w:space="0" w:color="auto"/>
              <w:right w:val="nil"/>
            </w:tcBorders>
          </w:tcPr>
          <w:p w:rsidR="00511D8F" w:rsidRPr="00330FB4" w:rsidRDefault="00511D8F" w:rsidP="00221349">
            <w:r w:rsidRPr="00330FB4">
              <w:t>28 – 30 October 2013, Gold Coast, Australia</w:t>
            </w:r>
          </w:p>
        </w:tc>
        <w:tc>
          <w:tcPr>
            <w:tcW w:w="2340" w:type="dxa"/>
            <w:gridSpan w:val="2"/>
            <w:tcBorders>
              <w:top w:val="nil"/>
              <w:left w:val="nil"/>
              <w:bottom w:val="single" w:sz="12" w:space="0" w:color="auto"/>
              <w:right w:val="nil"/>
            </w:tcBorders>
          </w:tcPr>
          <w:p w:rsidR="00511D8F" w:rsidRPr="00330FB4" w:rsidRDefault="00511D8F" w:rsidP="00221349">
            <w:pPr>
              <w:rPr>
                <w:b/>
              </w:rPr>
            </w:pPr>
            <w:r w:rsidRPr="00330FB4">
              <w:rPr>
                <w:b/>
              </w:rPr>
              <w:t>28 October 2013</w:t>
            </w:r>
          </w:p>
        </w:tc>
      </w:tr>
    </w:tbl>
    <w:p w:rsidR="00511D8F" w:rsidRPr="00330FB4" w:rsidRDefault="00511D8F" w:rsidP="00511D8F">
      <w:pPr>
        <w:jc w:val="center"/>
        <w:rPr>
          <w:b/>
          <w:sz w:val="28"/>
          <w:szCs w:val="28"/>
          <w:lang w:eastAsia="ko-KR"/>
        </w:rPr>
      </w:pPr>
    </w:p>
    <w:p w:rsidR="00511D8F" w:rsidRPr="00330FB4" w:rsidRDefault="00511D8F" w:rsidP="00511D8F">
      <w:pPr>
        <w:jc w:val="center"/>
        <w:rPr>
          <w:lang w:eastAsia="ko-KR"/>
        </w:rPr>
      </w:pPr>
    </w:p>
    <w:p w:rsidR="00511D8F" w:rsidRPr="00330FB4" w:rsidRDefault="00511D8F" w:rsidP="00511D8F">
      <w:pPr>
        <w:jc w:val="center"/>
        <w:rPr>
          <w:rFonts w:eastAsia="Malgun Gothic"/>
          <w:sz w:val="28"/>
          <w:szCs w:val="28"/>
          <w:lang w:eastAsia="ko-KR"/>
        </w:rPr>
      </w:pPr>
      <w:r w:rsidRPr="00330FB4">
        <w:rPr>
          <w:sz w:val="28"/>
          <w:szCs w:val="28"/>
          <w:lang w:eastAsia="ko-KR"/>
        </w:rPr>
        <w:t xml:space="preserve">Chairman, Working Group </w:t>
      </w:r>
      <w:r w:rsidRPr="00330FB4">
        <w:rPr>
          <w:rFonts w:eastAsia="Malgun Gothic"/>
          <w:sz w:val="28"/>
          <w:szCs w:val="28"/>
          <w:lang w:eastAsia="ko-KR"/>
        </w:rPr>
        <w:t>2</w:t>
      </w:r>
    </w:p>
    <w:p w:rsidR="00511D8F" w:rsidRPr="00330FB4" w:rsidRDefault="00511D8F" w:rsidP="00511D8F">
      <w:pPr>
        <w:jc w:val="center"/>
        <w:rPr>
          <w:b/>
          <w:bCs/>
          <w:caps/>
          <w:sz w:val="28"/>
          <w:szCs w:val="28"/>
        </w:rPr>
      </w:pPr>
    </w:p>
    <w:p w:rsidR="00511D8F" w:rsidRPr="00330FB4" w:rsidRDefault="00511D8F" w:rsidP="00511D8F">
      <w:pPr>
        <w:jc w:val="center"/>
        <w:rPr>
          <w:b/>
          <w:bCs/>
          <w:caps/>
          <w:sz w:val="28"/>
          <w:szCs w:val="28"/>
        </w:rPr>
      </w:pPr>
      <w:r w:rsidRPr="00330FB4">
        <w:rPr>
          <w:b/>
          <w:bCs/>
          <w:caps/>
          <w:sz w:val="28"/>
          <w:szCs w:val="28"/>
        </w:rPr>
        <w:t xml:space="preserve">issues for consideration under working group </w:t>
      </w:r>
      <w:r w:rsidRPr="00330FB4">
        <w:rPr>
          <w:rFonts w:eastAsia="Malgun Gothic"/>
          <w:b/>
          <w:bCs/>
          <w:caps/>
          <w:sz w:val="28"/>
          <w:szCs w:val="28"/>
          <w:lang w:eastAsia="ko-KR"/>
        </w:rPr>
        <w:t>2</w:t>
      </w:r>
      <w:r w:rsidRPr="00330FB4">
        <w:rPr>
          <w:b/>
          <w:bCs/>
          <w:caps/>
          <w:sz w:val="28"/>
          <w:szCs w:val="28"/>
        </w:rPr>
        <w:t xml:space="preserve">: </w:t>
      </w:r>
    </w:p>
    <w:p w:rsidR="00511D8F" w:rsidRPr="00330FB4" w:rsidRDefault="00511D8F" w:rsidP="00511D8F">
      <w:pPr>
        <w:jc w:val="center"/>
        <w:rPr>
          <w:b/>
          <w:bCs/>
          <w:caps/>
          <w:sz w:val="28"/>
          <w:szCs w:val="28"/>
        </w:rPr>
      </w:pPr>
      <w:proofErr w:type="gramStart"/>
      <w:r w:rsidRPr="00330FB4">
        <w:rPr>
          <w:b/>
          <w:bCs/>
          <w:caps/>
          <w:sz w:val="28"/>
          <w:szCs w:val="28"/>
        </w:rPr>
        <w:t>( Legal</w:t>
      </w:r>
      <w:proofErr w:type="gramEnd"/>
      <w:r w:rsidRPr="00330FB4">
        <w:rPr>
          <w:b/>
          <w:bCs/>
          <w:caps/>
          <w:sz w:val="28"/>
          <w:szCs w:val="28"/>
        </w:rPr>
        <w:t xml:space="preserve"> and Policy issues )</w:t>
      </w:r>
    </w:p>
    <w:p w:rsidR="00511D8F" w:rsidRPr="00330FB4" w:rsidRDefault="00511D8F" w:rsidP="00511D8F">
      <w:pPr>
        <w:jc w:val="center"/>
      </w:pPr>
    </w:p>
    <w:p w:rsidR="00511D8F" w:rsidRPr="00330FB4" w:rsidRDefault="00511D8F" w:rsidP="00511D8F">
      <w:pPr>
        <w:jc w:val="both"/>
        <w:rPr>
          <w:b/>
        </w:rPr>
      </w:pPr>
    </w:p>
    <w:p w:rsidR="00511D8F" w:rsidRPr="00330FB4" w:rsidRDefault="00511D8F" w:rsidP="00511D8F">
      <w:pPr>
        <w:pStyle w:val="ListParagraph"/>
        <w:numPr>
          <w:ilvl w:val="0"/>
          <w:numId w:val="9"/>
        </w:numPr>
        <w:jc w:val="both"/>
        <w:rPr>
          <w:b/>
          <w:bCs/>
        </w:rPr>
      </w:pPr>
      <w:r w:rsidRPr="00330FB4">
        <w:rPr>
          <w:b/>
          <w:bCs/>
        </w:rPr>
        <w:t>INTRODUCTION</w:t>
      </w:r>
    </w:p>
    <w:p w:rsidR="00511D8F" w:rsidRPr="00330FB4" w:rsidRDefault="00511D8F" w:rsidP="00511D8F">
      <w:pPr>
        <w:pStyle w:val="ListParagraph"/>
        <w:ind w:left="360"/>
        <w:jc w:val="both"/>
      </w:pPr>
    </w:p>
    <w:p w:rsidR="00511D8F" w:rsidRPr="00330FB4" w:rsidRDefault="00511D8F" w:rsidP="00511D8F">
      <w:pPr>
        <w:rPr>
          <w:rFonts w:eastAsia="Malgun Gothic"/>
          <w:lang w:eastAsia="ko-KR"/>
        </w:rPr>
      </w:pPr>
      <w:r w:rsidRPr="00330FB4">
        <w:t>According to the decision made by the 1st Preparatory meeting for ITU PP-</w:t>
      </w:r>
      <w:r w:rsidRPr="00330FB4">
        <w:rPr>
          <w:rFonts w:eastAsia="Malgun Gothic"/>
          <w:lang w:eastAsia="ko-KR"/>
        </w:rPr>
        <w:t>14</w:t>
      </w:r>
      <w:r w:rsidRPr="00330FB4">
        <w:t xml:space="preserve"> of APT, which was held in Seoul / Republic of Korea, 2-3 April 2013, </w:t>
      </w:r>
      <w:r w:rsidRPr="00330FB4">
        <w:rPr>
          <w:rFonts w:eastAsia="Malgun Gothic"/>
          <w:lang w:eastAsia="ko-KR"/>
        </w:rPr>
        <w:t>W</w:t>
      </w:r>
      <w:r w:rsidRPr="00330FB4">
        <w:t xml:space="preserve">G 2 has developed this Issue Paper to facilitate effective discussion on </w:t>
      </w:r>
      <w:r w:rsidRPr="00330FB4">
        <w:rPr>
          <w:rFonts w:eastAsia="Malgun Gothic"/>
          <w:lang w:eastAsia="ko-KR"/>
        </w:rPr>
        <w:t xml:space="preserve">legal and policy </w:t>
      </w:r>
      <w:r w:rsidRPr="00330FB4">
        <w:t xml:space="preserve">issues of ITU. This issue paper intends to stimulate regional discussion on these issues of interest to the Asia-Pacific region. </w:t>
      </w:r>
      <w:r w:rsidRPr="00330FB4">
        <w:rPr>
          <w:rFonts w:eastAsia="Malgun Gothic"/>
          <w:lang w:eastAsia="ko-KR"/>
        </w:rPr>
        <w:t xml:space="preserve">This issue paper covers </w:t>
      </w:r>
      <w:r w:rsidRPr="00330FB4">
        <w:t xml:space="preserve">the </w:t>
      </w:r>
      <w:r w:rsidRPr="00330FB4">
        <w:rPr>
          <w:rFonts w:eastAsia="Malgun Gothic"/>
          <w:lang w:eastAsia="ko-KR"/>
        </w:rPr>
        <w:t xml:space="preserve">outcomes of PP-10, subsequent sessions of </w:t>
      </w:r>
      <w:r>
        <w:rPr>
          <w:rFonts w:eastAsia="Malgun Gothic" w:hint="eastAsia"/>
          <w:lang w:eastAsia="ko-KR"/>
        </w:rPr>
        <w:t xml:space="preserve">the </w:t>
      </w:r>
      <w:r w:rsidRPr="00330FB4">
        <w:rPr>
          <w:rFonts w:eastAsia="Malgun Gothic"/>
          <w:lang w:eastAsia="ko-KR"/>
        </w:rPr>
        <w:t xml:space="preserve">ITU Council, and major ITU Conferences and Assemblies pertaining to </w:t>
      </w:r>
      <w:r>
        <w:rPr>
          <w:rFonts w:eastAsia="Malgun Gothic" w:hint="eastAsia"/>
          <w:lang w:eastAsia="ko-KR"/>
        </w:rPr>
        <w:t xml:space="preserve">the </w:t>
      </w:r>
      <w:r w:rsidRPr="00330FB4">
        <w:rPr>
          <w:rFonts w:eastAsia="Malgun Gothic"/>
          <w:lang w:eastAsia="ko-KR"/>
        </w:rPr>
        <w:t>Terms of Reference of WG 2</w:t>
      </w:r>
      <w:r>
        <w:rPr>
          <w:rFonts w:eastAsia="Malgun Gothic" w:hint="eastAsia"/>
          <w:lang w:eastAsia="ko-KR"/>
        </w:rPr>
        <w:t xml:space="preserve"> </w:t>
      </w:r>
      <w:r w:rsidRPr="00330FB4">
        <w:rPr>
          <w:rFonts w:eastAsia="Malgun Gothic"/>
          <w:lang w:eastAsia="ko-KR"/>
        </w:rPr>
        <w:t>(</w:t>
      </w:r>
      <w:r w:rsidRPr="00330FB4">
        <w:rPr>
          <w:rFonts w:eastAsia="Malgun Gothic"/>
          <w:i/>
          <w:lang w:eastAsia="ko-KR"/>
        </w:rPr>
        <w:t xml:space="preserve">See Annex A for the </w:t>
      </w:r>
      <w:proofErr w:type="spellStart"/>
      <w:r w:rsidRPr="00330FB4">
        <w:rPr>
          <w:rFonts w:eastAsia="Malgun Gothic"/>
          <w:i/>
          <w:lang w:eastAsia="ko-KR"/>
        </w:rPr>
        <w:t>ToR</w:t>
      </w:r>
      <w:proofErr w:type="spellEnd"/>
      <w:r w:rsidRPr="00330FB4">
        <w:rPr>
          <w:rFonts w:eastAsia="Malgun Gothic"/>
          <w:i/>
          <w:lang w:eastAsia="ko-KR"/>
        </w:rPr>
        <w:t xml:space="preserve"> of WG2</w:t>
      </w:r>
      <w:r w:rsidRPr="00330FB4">
        <w:rPr>
          <w:rFonts w:eastAsia="Malgun Gothic"/>
          <w:lang w:eastAsia="ko-KR"/>
        </w:rPr>
        <w:t xml:space="preserve">). </w:t>
      </w:r>
      <w:r w:rsidRPr="00330FB4">
        <w:t xml:space="preserve">This version </w:t>
      </w:r>
      <w:r w:rsidRPr="00330FB4">
        <w:rPr>
          <w:rFonts w:eastAsia="Malgun Gothic"/>
          <w:lang w:eastAsia="ko-KR"/>
        </w:rPr>
        <w:t>also</w:t>
      </w:r>
      <w:r w:rsidRPr="00330FB4">
        <w:t xml:space="preserve"> </w:t>
      </w:r>
      <w:r w:rsidRPr="00330FB4">
        <w:rPr>
          <w:rFonts w:eastAsia="Malgun Gothic"/>
          <w:lang w:eastAsia="ko-KR"/>
        </w:rPr>
        <w:t>covers</w:t>
      </w:r>
      <w:r w:rsidRPr="00330FB4">
        <w:t xml:space="preserve"> the issues of the Constitution (CS) and Convention (CV), given contribution on the CS and CV must be submitted to ITU no later than 8 months prior to PP-1</w:t>
      </w:r>
      <w:r w:rsidRPr="00330FB4">
        <w:rPr>
          <w:rFonts w:eastAsia="Malgun Gothic"/>
          <w:lang w:eastAsia="ko-KR"/>
        </w:rPr>
        <w:t>4 (</w:t>
      </w:r>
      <w:r w:rsidRPr="00330FB4">
        <w:rPr>
          <w:rFonts w:eastAsia="Batang"/>
          <w:lang w:eastAsia="ko-KR"/>
        </w:rPr>
        <w:t>i.e.</w:t>
      </w:r>
      <w:r w:rsidRPr="00330FB4">
        <w:rPr>
          <w:rFonts w:eastAsia="Malgun Gothic"/>
          <w:lang w:eastAsia="ko-KR"/>
        </w:rPr>
        <w:t>, 20</w:t>
      </w:r>
      <w:r w:rsidRPr="00330FB4">
        <w:rPr>
          <w:rFonts w:eastAsia="Malgun Gothic"/>
          <w:vertAlign w:val="superscript"/>
          <w:lang w:eastAsia="ko-KR"/>
        </w:rPr>
        <w:t>th</w:t>
      </w:r>
      <w:r w:rsidRPr="00330FB4">
        <w:rPr>
          <w:rFonts w:eastAsia="Malgun Gothic"/>
          <w:lang w:eastAsia="ko-KR"/>
        </w:rPr>
        <w:t xml:space="preserve"> February 2014)</w:t>
      </w:r>
      <w:r w:rsidRPr="00330FB4">
        <w:t>.</w:t>
      </w:r>
      <w:r w:rsidRPr="00330FB4">
        <w:rPr>
          <w:rFonts w:eastAsia="Malgun Gothic"/>
          <w:lang w:eastAsia="ko-KR"/>
        </w:rPr>
        <w:t xml:space="preserve"> </w:t>
      </w:r>
    </w:p>
    <w:p w:rsidR="00511D8F" w:rsidRPr="00330FB4" w:rsidRDefault="00511D8F" w:rsidP="00511D8F">
      <w:pPr>
        <w:rPr>
          <w:rFonts w:eastAsia="Malgun Gothic"/>
          <w:lang w:eastAsia="ko-KR"/>
        </w:rPr>
      </w:pPr>
    </w:p>
    <w:p w:rsidR="00511D8F" w:rsidRPr="00330FB4" w:rsidRDefault="00511D8F" w:rsidP="00511D8F">
      <w:pPr>
        <w:rPr>
          <w:rFonts w:eastAsia="Malgun Gothic"/>
          <w:lang w:eastAsia="ko-KR"/>
        </w:rPr>
      </w:pPr>
      <w:r w:rsidRPr="0055770B">
        <w:rPr>
          <w:rFonts w:eastAsia="Malgun Gothic"/>
          <w:lang w:eastAsia="ko-KR"/>
        </w:rPr>
        <w:t xml:space="preserve">(Note) The issues of stabilizing </w:t>
      </w:r>
      <w:r w:rsidRPr="0055770B">
        <w:rPr>
          <w:rFonts w:eastAsia="Malgun Gothic" w:hint="eastAsia"/>
          <w:lang w:eastAsia="ko-KR"/>
        </w:rPr>
        <w:t xml:space="preserve">the </w:t>
      </w:r>
      <w:r w:rsidRPr="0055770B">
        <w:rPr>
          <w:rFonts w:eastAsia="Malgun Gothic"/>
          <w:lang w:eastAsia="ko-KR"/>
        </w:rPr>
        <w:t xml:space="preserve">ITU Constitution </w:t>
      </w:r>
      <w:r w:rsidR="008C7623" w:rsidRPr="008C7623">
        <w:t>are specially di</w:t>
      </w:r>
      <w:r w:rsidR="0019609A">
        <w:rPr>
          <w:rFonts w:hint="eastAsia"/>
          <w:lang w:eastAsia="ko-KR"/>
        </w:rPr>
        <w:t>s</w:t>
      </w:r>
      <w:r w:rsidR="008C7623" w:rsidRPr="008C7623">
        <w:t>cussed in the Sub WG on ITU Stable Constitution.</w:t>
      </w:r>
      <w:r w:rsidRPr="00330FB4">
        <w:rPr>
          <w:rFonts w:eastAsia="Malgun Gothic"/>
          <w:lang w:eastAsia="ko-KR"/>
        </w:rPr>
        <w:t xml:space="preserve">  </w:t>
      </w:r>
    </w:p>
    <w:p w:rsidR="00511D8F" w:rsidRPr="00330FB4" w:rsidRDefault="00511D8F" w:rsidP="00511D8F">
      <w:pPr>
        <w:rPr>
          <w:rFonts w:eastAsia="Malgun Gothic"/>
          <w:lang w:eastAsia="ko-KR"/>
        </w:rPr>
      </w:pPr>
    </w:p>
    <w:p w:rsidR="00511D8F" w:rsidRPr="00330FB4" w:rsidRDefault="00511D8F" w:rsidP="00511D8F">
      <w:pPr>
        <w:rPr>
          <w:rFonts w:eastAsia="Malgun Gothic"/>
          <w:lang w:eastAsia="ko-KR"/>
        </w:rPr>
      </w:pPr>
      <w:r w:rsidRPr="00330FB4">
        <w:t>Based on the outcome of discussion</w:t>
      </w:r>
      <w:r>
        <w:rPr>
          <w:rFonts w:hint="eastAsia"/>
          <w:lang w:eastAsia="ko-KR"/>
        </w:rPr>
        <w:t>s</w:t>
      </w:r>
      <w:r w:rsidRPr="00330FB4">
        <w:t xml:space="preserve"> with APT Members in the lead up to and at the 2</w:t>
      </w:r>
      <w:r w:rsidRPr="00330FB4">
        <w:rPr>
          <w:vertAlign w:val="superscript"/>
        </w:rPr>
        <w:t>nd</w:t>
      </w:r>
      <w:r w:rsidRPr="00330FB4">
        <w:t xml:space="preserve"> APT PP-1</w:t>
      </w:r>
      <w:r w:rsidRPr="00330FB4">
        <w:rPr>
          <w:rFonts w:eastAsia="Malgun Gothic"/>
          <w:lang w:eastAsia="ko-KR"/>
        </w:rPr>
        <w:t>4</w:t>
      </w:r>
      <w:r w:rsidRPr="00330FB4">
        <w:t xml:space="preserve"> Preparatory meeting in </w:t>
      </w:r>
      <w:r w:rsidRPr="00330FB4">
        <w:rPr>
          <w:rFonts w:eastAsia="Malgun Gothic"/>
          <w:lang w:eastAsia="ko-KR"/>
        </w:rPr>
        <w:t>October</w:t>
      </w:r>
      <w:r w:rsidRPr="00330FB4">
        <w:t xml:space="preserve"> 20</w:t>
      </w:r>
      <w:r w:rsidRPr="00330FB4">
        <w:rPr>
          <w:rFonts w:eastAsia="Malgun Gothic"/>
          <w:lang w:eastAsia="ko-KR"/>
        </w:rPr>
        <w:t>13</w:t>
      </w:r>
      <w:r w:rsidRPr="00330FB4">
        <w:t xml:space="preserve">, </w:t>
      </w:r>
      <w:r w:rsidRPr="00330FB4">
        <w:rPr>
          <w:rFonts w:eastAsia="Malgun Gothic"/>
          <w:lang w:eastAsia="ko-KR"/>
        </w:rPr>
        <w:t>W</w:t>
      </w:r>
      <w:r w:rsidRPr="00330FB4">
        <w:t>G 2 will identify possible items for APT common proposals.</w:t>
      </w:r>
    </w:p>
    <w:p w:rsidR="00511D8F" w:rsidRPr="00330FB4" w:rsidRDefault="00511D8F" w:rsidP="00511D8F">
      <w:pPr>
        <w:rPr>
          <w:rFonts w:eastAsia="Malgun Gothic"/>
          <w:lang w:eastAsia="ko-KR"/>
        </w:rPr>
      </w:pPr>
      <w:bookmarkStart w:id="0" w:name="_GoBack"/>
      <w:bookmarkEnd w:id="0"/>
    </w:p>
    <w:p w:rsidR="00511D8F" w:rsidRPr="00330FB4" w:rsidRDefault="00511D8F" w:rsidP="00511D8F">
      <w:pPr>
        <w:rPr>
          <w:rFonts w:eastAsia="Malgun Gothic"/>
          <w:lang w:eastAsia="ko-KR"/>
        </w:rPr>
      </w:pPr>
      <w:r w:rsidRPr="00330FB4">
        <w:t>The key issues presented in this paper are:</w:t>
      </w:r>
    </w:p>
    <w:p w:rsidR="00511D8F" w:rsidRPr="00330FB4" w:rsidRDefault="00511D8F" w:rsidP="00511D8F">
      <w:pPr>
        <w:rPr>
          <w:rFonts w:eastAsia="Malgun Gothic"/>
          <w:lang w:eastAsia="ko-KR"/>
        </w:rPr>
      </w:pPr>
    </w:p>
    <w:p w:rsidR="00511D8F" w:rsidRPr="00330FB4" w:rsidRDefault="00511D8F" w:rsidP="00511D8F">
      <w:pPr>
        <w:numPr>
          <w:ilvl w:val="0"/>
          <w:numId w:val="11"/>
        </w:numPr>
        <w:spacing w:after="200" w:line="276" w:lineRule="auto"/>
      </w:pPr>
      <w:r w:rsidRPr="00330FB4">
        <w:rPr>
          <w:rFonts w:eastAsia="Malgun Gothic"/>
          <w:lang w:eastAsia="ko-KR"/>
        </w:rPr>
        <w:t>Discussions and Proposals to a</w:t>
      </w:r>
      <w:r w:rsidRPr="00330FB4">
        <w:t xml:space="preserve">mend to the ITU Constitution and Convention including: </w:t>
      </w:r>
    </w:p>
    <w:p w:rsidR="00511D8F" w:rsidRPr="00330FB4" w:rsidRDefault="00511D8F" w:rsidP="00511D8F">
      <w:pPr>
        <w:ind w:left="360"/>
        <w:rPr>
          <w:rFonts w:eastAsia="Malgun Gothic"/>
          <w:lang w:eastAsia="ko-KR"/>
        </w:rPr>
      </w:pPr>
      <w:r w:rsidRPr="00330FB4">
        <w:t xml:space="preserve">1) </w:t>
      </w:r>
      <w:r w:rsidRPr="00330FB4">
        <w:rPr>
          <w:rFonts w:eastAsia="Malgun Gothic"/>
          <w:lang w:eastAsia="ko-KR"/>
        </w:rPr>
        <w:t>Definition of Telecommunication/ICT</w:t>
      </w:r>
    </w:p>
    <w:p w:rsidR="00511D8F" w:rsidRPr="00330FB4" w:rsidRDefault="00511D8F" w:rsidP="00511D8F">
      <w:pPr>
        <w:ind w:left="360"/>
      </w:pPr>
      <w:r w:rsidRPr="00330FB4">
        <w:t xml:space="preserve">2) Proposals for amendments arising from the other </w:t>
      </w:r>
      <w:r w:rsidRPr="00330FB4">
        <w:rPr>
          <w:lang w:eastAsia="ko-KR"/>
        </w:rPr>
        <w:t>Working</w:t>
      </w:r>
      <w:r w:rsidRPr="00330FB4">
        <w:t xml:space="preserve"> Groups</w:t>
      </w:r>
    </w:p>
    <w:p w:rsidR="00511D8F" w:rsidRPr="00330FB4" w:rsidRDefault="00511D8F" w:rsidP="00511D8F">
      <w:pPr>
        <w:ind w:left="360"/>
        <w:rPr>
          <w:rFonts w:eastAsia="Malgun Gothic"/>
          <w:lang w:eastAsia="ko-KR"/>
        </w:rPr>
      </w:pPr>
      <w:r w:rsidRPr="00330FB4">
        <w:t>3) Other proposals for amendments</w:t>
      </w:r>
    </w:p>
    <w:p w:rsidR="00511D8F" w:rsidRPr="00330FB4" w:rsidRDefault="00511D8F" w:rsidP="00511D8F">
      <w:pPr>
        <w:ind w:left="360"/>
        <w:rPr>
          <w:rFonts w:eastAsia="Malgun Gothic"/>
          <w:lang w:eastAsia="ko-KR"/>
        </w:rPr>
      </w:pPr>
    </w:p>
    <w:p w:rsidR="00511D8F" w:rsidRPr="00330FB4" w:rsidRDefault="00511D8F" w:rsidP="00511D8F">
      <w:pPr>
        <w:numPr>
          <w:ilvl w:val="0"/>
          <w:numId w:val="11"/>
        </w:numPr>
        <w:spacing w:after="200" w:line="276" w:lineRule="auto"/>
        <w:rPr>
          <w:rFonts w:eastAsia="Malgun Gothic"/>
          <w:lang w:eastAsia="ko-KR"/>
        </w:rPr>
      </w:pPr>
      <w:bookmarkStart w:id="1" w:name="OLE_LINK23"/>
      <w:r w:rsidRPr="00330FB4">
        <w:rPr>
          <w:rFonts w:eastAsia="Malgun Gothic"/>
          <w:lang w:eastAsia="ko-KR"/>
        </w:rPr>
        <w:t>ITU’s role in implementing the outcomes of the World Su</w:t>
      </w:r>
      <w:r>
        <w:rPr>
          <w:rFonts w:eastAsia="Malgun Gothic" w:hint="eastAsia"/>
          <w:lang w:eastAsia="ko-KR"/>
        </w:rPr>
        <w:t>m</w:t>
      </w:r>
      <w:r w:rsidRPr="00330FB4">
        <w:rPr>
          <w:rFonts w:eastAsia="Malgun Gothic"/>
          <w:lang w:eastAsia="ko-KR"/>
        </w:rPr>
        <w:t xml:space="preserve">mit on the Information Society (WSIS) and WSIS+10 review process </w:t>
      </w:r>
    </w:p>
    <w:p w:rsidR="00511D8F" w:rsidRPr="00330FB4" w:rsidRDefault="00511D8F" w:rsidP="00511D8F">
      <w:pPr>
        <w:numPr>
          <w:ilvl w:val="0"/>
          <w:numId w:val="11"/>
        </w:numPr>
        <w:spacing w:after="200" w:line="276" w:lineRule="auto"/>
      </w:pPr>
      <w:r w:rsidRPr="00330FB4">
        <w:rPr>
          <w:rFonts w:eastAsia="Malgun Gothic"/>
          <w:lang w:eastAsia="ko-KR"/>
        </w:rPr>
        <w:t>International Internet</w:t>
      </w:r>
      <w:r>
        <w:rPr>
          <w:rFonts w:eastAsia="Malgun Gothic" w:hint="eastAsia"/>
          <w:lang w:eastAsia="ko-KR"/>
        </w:rPr>
        <w:t>-</w:t>
      </w:r>
      <w:r w:rsidRPr="00330FB4">
        <w:rPr>
          <w:rFonts w:eastAsia="Malgun Gothic"/>
          <w:lang w:eastAsia="ko-KR"/>
        </w:rPr>
        <w:t>related public policy issues (Resolution 101, 102, 133, outcomes of WTPF-13)</w:t>
      </w:r>
    </w:p>
    <w:p w:rsidR="00511D8F" w:rsidRPr="00330FB4" w:rsidRDefault="00511D8F" w:rsidP="00511D8F">
      <w:pPr>
        <w:numPr>
          <w:ilvl w:val="0"/>
          <w:numId w:val="11"/>
        </w:numPr>
        <w:spacing w:after="200" w:line="276" w:lineRule="auto"/>
      </w:pPr>
      <w:r w:rsidRPr="00330FB4">
        <w:rPr>
          <w:rFonts w:eastAsia="Malgun Gothic"/>
          <w:lang w:eastAsia="ko-KR"/>
        </w:rPr>
        <w:t>Issues aris</w:t>
      </w:r>
      <w:r>
        <w:rPr>
          <w:rFonts w:eastAsia="Malgun Gothic" w:hint="eastAsia"/>
          <w:lang w:eastAsia="ko-KR"/>
        </w:rPr>
        <w:t>ing</w:t>
      </w:r>
      <w:r w:rsidRPr="00330FB4">
        <w:rPr>
          <w:rFonts w:eastAsia="Malgun Gothic"/>
          <w:lang w:eastAsia="ko-KR"/>
        </w:rPr>
        <w:t xml:space="preserve"> from </w:t>
      </w:r>
      <w:r>
        <w:rPr>
          <w:rFonts w:eastAsia="Malgun Gothic" w:hint="eastAsia"/>
          <w:lang w:eastAsia="ko-KR"/>
        </w:rPr>
        <w:t xml:space="preserve">the </w:t>
      </w:r>
      <w:r w:rsidRPr="00330FB4">
        <w:rPr>
          <w:rFonts w:eastAsia="Malgun Gothic"/>
          <w:lang w:eastAsia="ko-KR"/>
        </w:rPr>
        <w:t>World Conference on International Telecommunication (WCIT-12)</w:t>
      </w:r>
    </w:p>
    <w:p w:rsidR="00511D8F" w:rsidRPr="00330FB4" w:rsidRDefault="00511D8F" w:rsidP="00511D8F">
      <w:pPr>
        <w:numPr>
          <w:ilvl w:val="0"/>
          <w:numId w:val="11"/>
        </w:numPr>
        <w:spacing w:after="200" w:line="276" w:lineRule="auto"/>
      </w:pPr>
      <w:r w:rsidRPr="00330FB4">
        <w:rPr>
          <w:rFonts w:eastAsia="Malgun Gothic"/>
          <w:lang w:eastAsia="ko-KR"/>
        </w:rPr>
        <w:lastRenderedPageBreak/>
        <w:t xml:space="preserve">Possible role of </w:t>
      </w:r>
      <w:r w:rsidRPr="00330FB4">
        <w:rPr>
          <w:lang w:eastAsia="ko-KR"/>
        </w:rPr>
        <w:t>ITU as a Supervisory Authority of the future international registration system for space assets (UNIDROIT)</w:t>
      </w:r>
    </w:p>
    <w:p w:rsidR="00511D8F" w:rsidRPr="00330FB4" w:rsidRDefault="00511D8F" w:rsidP="00511D8F">
      <w:pPr>
        <w:numPr>
          <w:ilvl w:val="0"/>
          <w:numId w:val="11"/>
        </w:numPr>
        <w:spacing w:after="200" w:line="276" w:lineRule="auto"/>
      </w:pPr>
      <w:r w:rsidRPr="00330FB4">
        <w:rPr>
          <w:lang w:eastAsia="ko-KR"/>
        </w:rPr>
        <w:t>Strengthening the role of ITU in building confidence and security in the use of ICTs</w:t>
      </w:r>
    </w:p>
    <w:p w:rsidR="00511D8F" w:rsidRPr="00330FB4" w:rsidRDefault="00511D8F" w:rsidP="00511D8F">
      <w:pPr>
        <w:numPr>
          <w:ilvl w:val="0"/>
          <w:numId w:val="11"/>
        </w:numPr>
        <w:spacing w:after="200" w:line="276" w:lineRule="auto"/>
      </w:pPr>
      <w:r w:rsidRPr="00330FB4">
        <w:t>Conformance and Interoperability</w:t>
      </w:r>
    </w:p>
    <w:p w:rsidR="00511D8F" w:rsidRPr="00330FB4" w:rsidRDefault="00511D8F" w:rsidP="00511D8F">
      <w:pPr>
        <w:numPr>
          <w:ilvl w:val="0"/>
          <w:numId w:val="11"/>
        </w:numPr>
        <w:spacing w:after="200" w:line="276" w:lineRule="auto"/>
      </w:pPr>
      <w:r w:rsidRPr="00330FB4">
        <w:rPr>
          <w:rFonts w:eastAsia="Malgun Gothic"/>
          <w:lang w:eastAsia="ko-KR"/>
        </w:rPr>
        <w:t xml:space="preserve">Members’ </w:t>
      </w:r>
      <w:r>
        <w:rPr>
          <w:rFonts w:eastAsia="Malgun Gothic" w:hint="eastAsia"/>
          <w:lang w:eastAsia="ko-KR"/>
        </w:rPr>
        <w:t>p</w:t>
      </w:r>
      <w:r w:rsidRPr="00330FB4">
        <w:rPr>
          <w:rFonts w:eastAsia="Malgun Gothic"/>
          <w:lang w:eastAsia="ko-KR"/>
        </w:rPr>
        <w:t>roposals to the previous meeting</w:t>
      </w:r>
    </w:p>
    <w:p w:rsidR="00511D8F" w:rsidRPr="00330FB4" w:rsidRDefault="00511D8F" w:rsidP="00511D8F">
      <w:pPr>
        <w:ind w:left="360"/>
        <w:rPr>
          <w:rFonts w:eastAsia="Malgun Gothic"/>
          <w:lang w:eastAsia="ko-KR"/>
        </w:rPr>
      </w:pPr>
      <w:r w:rsidRPr="00330FB4">
        <w:rPr>
          <w:rFonts w:eastAsia="Malgun Gothic"/>
          <w:lang w:eastAsia="ko-KR"/>
        </w:rPr>
        <w:t xml:space="preserve">1) ICT Convergence and </w:t>
      </w:r>
      <w:proofErr w:type="spellStart"/>
      <w:r w:rsidRPr="00330FB4">
        <w:rPr>
          <w:rFonts w:eastAsia="Malgun Gothic"/>
          <w:lang w:eastAsia="ko-KR"/>
        </w:rPr>
        <w:t>IoT</w:t>
      </w:r>
      <w:proofErr w:type="spellEnd"/>
      <w:r w:rsidRPr="00330FB4">
        <w:rPr>
          <w:rFonts w:eastAsia="Malgun Gothic"/>
          <w:lang w:eastAsia="ko-KR"/>
        </w:rPr>
        <w:t xml:space="preserve"> deployment</w:t>
      </w:r>
    </w:p>
    <w:p w:rsidR="00511D8F" w:rsidRPr="00330FB4" w:rsidRDefault="00511D8F" w:rsidP="00511D8F">
      <w:pPr>
        <w:ind w:left="360"/>
        <w:rPr>
          <w:rFonts w:eastAsia="Malgun Gothic"/>
          <w:lang w:eastAsia="ko-KR"/>
        </w:rPr>
      </w:pPr>
    </w:p>
    <w:bookmarkEnd w:id="1"/>
    <w:p w:rsidR="00511D8F" w:rsidRPr="00330FB4" w:rsidRDefault="00511D8F" w:rsidP="00511D8F">
      <w:pPr>
        <w:numPr>
          <w:ilvl w:val="0"/>
          <w:numId w:val="11"/>
        </w:numPr>
        <w:spacing w:after="200" w:line="276" w:lineRule="auto"/>
      </w:pPr>
      <w:r w:rsidRPr="00330FB4">
        <w:t>Issues related with other working groups</w:t>
      </w:r>
    </w:p>
    <w:p w:rsidR="00511D8F" w:rsidRPr="00330FB4" w:rsidRDefault="00511D8F" w:rsidP="00511D8F">
      <w:pPr>
        <w:rPr>
          <w:b/>
          <w:bCs/>
          <w:i/>
          <w:iCs/>
        </w:rPr>
      </w:pPr>
      <w:r w:rsidRPr="00330FB4">
        <w:rPr>
          <w:b/>
          <w:bCs/>
          <w:i/>
          <w:iCs/>
        </w:rPr>
        <w:t>Invitation to APT Members:</w:t>
      </w:r>
    </w:p>
    <w:p w:rsidR="00511D8F" w:rsidRPr="00330FB4" w:rsidRDefault="00511D8F" w:rsidP="00511D8F">
      <w:pPr>
        <w:pBdr>
          <w:top w:val="single" w:sz="4" w:space="1" w:color="auto"/>
          <w:left w:val="single" w:sz="4" w:space="4" w:color="auto"/>
          <w:bottom w:val="single" w:sz="4" w:space="1" w:color="auto"/>
          <w:right w:val="single" w:sz="4" w:space="4" w:color="auto"/>
        </w:pBdr>
        <w:rPr>
          <w:bCs/>
          <w:iCs/>
        </w:rPr>
      </w:pPr>
      <w:r w:rsidRPr="00330FB4">
        <w:rPr>
          <w:bCs/>
          <w:iCs/>
        </w:rPr>
        <w:t>APT member countries are encouraged to actively participate in the discussion and provide comments regarding th</w:t>
      </w:r>
      <w:r w:rsidRPr="00330FB4">
        <w:rPr>
          <w:bCs/>
          <w:iCs/>
          <w:lang w:eastAsia="ko-KR"/>
        </w:rPr>
        <w:t>ese</w:t>
      </w:r>
      <w:r w:rsidRPr="00330FB4">
        <w:rPr>
          <w:bCs/>
          <w:iCs/>
        </w:rPr>
        <w:t xml:space="preserve"> key issues.</w:t>
      </w:r>
    </w:p>
    <w:p w:rsidR="00511D8F" w:rsidRPr="00330FB4" w:rsidRDefault="00511D8F" w:rsidP="00511D8F">
      <w:pPr>
        <w:pStyle w:val="ListParagraph"/>
        <w:ind w:left="360"/>
        <w:jc w:val="both"/>
        <w:rPr>
          <w:rFonts w:eastAsia="Malgun Gothic"/>
          <w:lang w:eastAsia="ko-KR"/>
        </w:rPr>
      </w:pPr>
    </w:p>
    <w:p w:rsidR="00511D8F" w:rsidRPr="00330FB4" w:rsidRDefault="00511D8F" w:rsidP="00511D8F">
      <w:pPr>
        <w:pStyle w:val="ListParagraph"/>
        <w:ind w:left="360"/>
        <w:jc w:val="both"/>
        <w:rPr>
          <w:rFonts w:eastAsia="Malgun Gothic"/>
          <w:lang w:eastAsia="ko-KR"/>
        </w:rPr>
      </w:pPr>
    </w:p>
    <w:p w:rsidR="00511D8F" w:rsidRPr="00330FB4" w:rsidRDefault="00511D8F" w:rsidP="00511D8F">
      <w:pPr>
        <w:pStyle w:val="ListParagraph"/>
        <w:numPr>
          <w:ilvl w:val="0"/>
          <w:numId w:val="9"/>
        </w:numPr>
        <w:jc w:val="both"/>
        <w:rPr>
          <w:b/>
          <w:bCs/>
        </w:rPr>
      </w:pPr>
      <w:r w:rsidRPr="00330FB4">
        <w:rPr>
          <w:b/>
          <w:bCs/>
        </w:rPr>
        <w:t>DISCUSSION ON ISSUES</w:t>
      </w:r>
    </w:p>
    <w:p w:rsidR="00511D8F" w:rsidRPr="00330FB4" w:rsidRDefault="00511D8F" w:rsidP="00511D8F">
      <w:pPr>
        <w:jc w:val="both"/>
        <w:rPr>
          <w:b/>
          <w:bCs/>
        </w:rPr>
      </w:pPr>
      <w:r w:rsidRPr="00330FB4">
        <w:rPr>
          <w:b/>
          <w:bCs/>
        </w:rPr>
        <w:t xml:space="preserve"> </w:t>
      </w:r>
    </w:p>
    <w:p w:rsidR="00511D8F" w:rsidRPr="00330FB4" w:rsidRDefault="00511D8F" w:rsidP="00511D8F">
      <w:pPr>
        <w:pStyle w:val="ListParagraph"/>
        <w:numPr>
          <w:ilvl w:val="1"/>
          <w:numId w:val="9"/>
        </w:numPr>
        <w:ind w:left="360"/>
        <w:jc w:val="both"/>
        <w:rPr>
          <w:b/>
          <w:bCs/>
        </w:rPr>
      </w:pPr>
      <w:r w:rsidRPr="00330FB4">
        <w:rPr>
          <w:b/>
          <w:bCs/>
        </w:rPr>
        <w:t xml:space="preserve">Issue 1: </w:t>
      </w:r>
      <w:r w:rsidRPr="00330FB4">
        <w:rPr>
          <w:rFonts w:eastAsia="Malgun Gothic"/>
          <w:b/>
          <w:bCs/>
          <w:lang w:eastAsia="ko-KR"/>
        </w:rPr>
        <w:t>Definitions – Telecommunications/ICT</w:t>
      </w:r>
    </w:p>
    <w:p w:rsidR="00511D8F" w:rsidRPr="00330FB4" w:rsidRDefault="00511D8F" w:rsidP="00511D8F">
      <w:pPr>
        <w:pStyle w:val="ListParagraph"/>
        <w:ind w:left="360"/>
        <w:jc w:val="both"/>
        <w:rPr>
          <w:b/>
          <w:bCs/>
        </w:rPr>
      </w:pPr>
    </w:p>
    <w:p w:rsidR="00511D8F" w:rsidRPr="00330FB4" w:rsidRDefault="00511D8F" w:rsidP="00511D8F">
      <w:pPr>
        <w:pStyle w:val="ListParagraph"/>
        <w:numPr>
          <w:ilvl w:val="2"/>
          <w:numId w:val="9"/>
        </w:numPr>
        <w:jc w:val="both"/>
      </w:pPr>
      <w:r w:rsidRPr="00330FB4">
        <w:t>Introduction/Background</w:t>
      </w:r>
    </w:p>
    <w:p w:rsidR="00511D8F" w:rsidRPr="00330FB4" w:rsidRDefault="00511D8F" w:rsidP="00511D8F">
      <w:pPr>
        <w:pStyle w:val="ListParagraph"/>
        <w:ind w:left="1440"/>
        <w:jc w:val="both"/>
      </w:pPr>
    </w:p>
    <w:p w:rsidR="00511D8F" w:rsidRPr="00330FB4" w:rsidRDefault="00511D8F" w:rsidP="00511D8F">
      <w:pPr>
        <w:pStyle w:val="ListParagraph"/>
        <w:ind w:left="1440"/>
        <w:jc w:val="both"/>
      </w:pPr>
      <w:r w:rsidRPr="00330FB4">
        <w:t>Plenipotentiary Resolution 140 (Rev. Guadalajara, 2010)</w:t>
      </w:r>
      <w:r w:rsidRPr="00330FB4">
        <w:rPr>
          <w:rStyle w:val="FootnoteReference"/>
        </w:rPr>
        <w:footnoteReference w:id="1"/>
      </w:r>
      <w:r w:rsidRPr="00330FB4">
        <w:t xml:space="preserve"> requests the Council “to elaborate through the Sector study groups and submit a </w:t>
      </w:r>
      <w:r w:rsidRPr="00330FB4">
        <w:rPr>
          <w:i/>
        </w:rPr>
        <w:t>working definition</w:t>
      </w:r>
      <w:r w:rsidRPr="00330FB4">
        <w:t xml:space="preserve"> of the term "ICT" to the Council and working groups of the Council, for possible transmission to PP-14”.</w:t>
      </w:r>
    </w:p>
    <w:p w:rsidR="00511D8F" w:rsidRPr="00330FB4" w:rsidRDefault="00511D8F" w:rsidP="00511D8F">
      <w:pPr>
        <w:pStyle w:val="ListParagraph"/>
        <w:ind w:left="1440"/>
        <w:jc w:val="both"/>
      </w:pPr>
    </w:p>
    <w:p w:rsidR="00511D8F" w:rsidRPr="00330FB4" w:rsidRDefault="00511D8F" w:rsidP="00511D8F">
      <w:pPr>
        <w:pStyle w:val="ListParagraph"/>
        <w:ind w:left="1440"/>
        <w:jc w:val="both"/>
      </w:pPr>
      <w:r w:rsidRPr="00330FB4">
        <w:t>ITU CS1012</w:t>
      </w:r>
      <w:r>
        <w:rPr>
          <w:rFonts w:hint="eastAsia"/>
          <w:lang w:eastAsia="ko-KR"/>
        </w:rPr>
        <w:t xml:space="preserve"> </w:t>
      </w:r>
      <w:r w:rsidRPr="00330FB4">
        <w:t>(telecommunication) says:</w:t>
      </w:r>
    </w:p>
    <w:p w:rsidR="00511D8F" w:rsidRPr="00330FB4" w:rsidRDefault="00511D8F" w:rsidP="00511D8F">
      <w:pPr>
        <w:pStyle w:val="ListParagraph"/>
        <w:ind w:left="1440"/>
        <w:jc w:val="both"/>
      </w:pPr>
    </w:p>
    <w:p w:rsidR="00511D8F" w:rsidRPr="00330FB4" w:rsidRDefault="00511D8F" w:rsidP="00511D8F">
      <w:pPr>
        <w:pStyle w:val="ListParagraph"/>
        <w:ind w:left="2160"/>
        <w:jc w:val="both"/>
        <w:rPr>
          <w:i/>
        </w:rPr>
      </w:pPr>
      <w:r w:rsidRPr="00330FB4">
        <w:rPr>
          <w:i/>
        </w:rPr>
        <w:t>Telecommunication: Any transmission, emission or reception of signs, signals, writing, images and sounds or intelligence of any nature by wire, radio, optical or other electromagnetic systems.</w:t>
      </w:r>
    </w:p>
    <w:p w:rsidR="00511D8F" w:rsidRPr="00330FB4" w:rsidRDefault="00511D8F" w:rsidP="00511D8F">
      <w:pPr>
        <w:pStyle w:val="ListParagraph"/>
        <w:ind w:left="1440"/>
        <w:jc w:val="both"/>
      </w:pPr>
    </w:p>
    <w:p w:rsidR="00511D8F" w:rsidRPr="00330FB4" w:rsidRDefault="00511D8F" w:rsidP="00511D8F">
      <w:pPr>
        <w:pStyle w:val="ListParagraph"/>
        <w:ind w:left="1440"/>
        <w:jc w:val="both"/>
      </w:pPr>
      <w:r w:rsidRPr="00330FB4">
        <w:t xml:space="preserve">A debate on the above definition of ‘Telecommunication’ in relation with Information and Communication Technology (ICT) has been a substantial issue for a long time in ITU history. </w:t>
      </w:r>
    </w:p>
    <w:p w:rsidR="00511D8F" w:rsidRPr="00330FB4" w:rsidRDefault="00511D8F" w:rsidP="00511D8F">
      <w:pPr>
        <w:pStyle w:val="ListParagraph"/>
        <w:ind w:left="1440"/>
        <w:jc w:val="both"/>
        <w:rPr>
          <w:lang w:eastAsia="ko-KR"/>
        </w:rPr>
      </w:pPr>
    </w:p>
    <w:p w:rsidR="00511D8F" w:rsidRPr="00330FB4" w:rsidRDefault="00511D8F" w:rsidP="00511D8F">
      <w:pPr>
        <w:pStyle w:val="ListParagraph"/>
        <w:ind w:left="1440"/>
        <w:jc w:val="both"/>
      </w:pPr>
      <w:r w:rsidRPr="00330FB4">
        <w:rPr>
          <w:lang w:eastAsia="ko-KR"/>
        </w:rPr>
        <w:t>Pursuant to Resolution 142</w:t>
      </w:r>
      <w:r>
        <w:rPr>
          <w:rFonts w:hint="eastAsia"/>
          <w:lang w:eastAsia="ko-KR"/>
        </w:rPr>
        <w:t xml:space="preserve"> </w:t>
      </w:r>
      <w:r w:rsidRPr="00330FB4">
        <w:rPr>
          <w:lang w:eastAsia="ko-KR"/>
        </w:rPr>
        <w:t>(Antalya, PP-06)</w:t>
      </w:r>
      <w:r w:rsidRPr="00330FB4">
        <w:rPr>
          <w:rStyle w:val="FootnoteReference"/>
          <w:lang w:eastAsia="ko-KR"/>
        </w:rPr>
        <w:footnoteReference w:id="2"/>
      </w:r>
      <w:r w:rsidRPr="00330FB4">
        <w:rPr>
          <w:lang w:eastAsia="ko-KR"/>
        </w:rPr>
        <w:t xml:space="preserve">, ITU Council-09 </w:t>
      </w:r>
      <w:r w:rsidRPr="00330FB4">
        <w:t xml:space="preserve">discussed two options: (a) to include a possible definition of ICT in either the CS or CV; or (b) to retain flexibility reflecting the changing impact of ICT and ICT applications in ITU (document </w:t>
      </w:r>
      <w:hyperlink r:id="rId9" w:history="1">
        <w:r w:rsidRPr="00330FB4">
          <w:rPr>
            <w:rStyle w:val="Hyperlink"/>
          </w:rPr>
          <w:t>C09/09</w:t>
        </w:r>
      </w:hyperlink>
      <w:r w:rsidRPr="00330FB4">
        <w:t xml:space="preserve">). </w:t>
      </w:r>
      <w:r>
        <w:rPr>
          <w:rFonts w:hint="eastAsia"/>
          <w:lang w:eastAsia="ko-KR"/>
        </w:rPr>
        <w:t xml:space="preserve">As a result </w:t>
      </w:r>
      <w:r w:rsidRPr="00330FB4">
        <w:t>of the PP-10</w:t>
      </w:r>
      <w:r>
        <w:rPr>
          <w:rFonts w:hint="eastAsia"/>
          <w:lang w:eastAsia="ko-KR"/>
        </w:rPr>
        <w:t xml:space="preserve"> discussions</w:t>
      </w:r>
      <w:r w:rsidRPr="00330FB4">
        <w:t xml:space="preserve">, it was decided the </w:t>
      </w:r>
      <w:r w:rsidRPr="00330FB4">
        <w:rPr>
          <w:i/>
        </w:rPr>
        <w:t>status quo</w:t>
      </w:r>
      <w:r w:rsidRPr="00330FB4">
        <w:t xml:space="preserve"> </w:t>
      </w:r>
      <w:r>
        <w:rPr>
          <w:rFonts w:hint="eastAsia"/>
          <w:lang w:eastAsia="ko-KR"/>
        </w:rPr>
        <w:t xml:space="preserve">would be maintained in </w:t>
      </w:r>
      <w:r w:rsidRPr="00330FB4">
        <w:t xml:space="preserve">so far as the texts of the Union's basic instruments were concerned, although several Member States pointed out that questions of terminology were specifically rooted in the Union's broad range of </w:t>
      </w:r>
      <w:r w:rsidRPr="00330FB4">
        <w:lastRenderedPageBreak/>
        <w:t xml:space="preserve">activities, and that the diversity needed to be reflected in the Constitution and the Convention.  </w:t>
      </w:r>
    </w:p>
    <w:p w:rsidR="00511D8F" w:rsidRPr="00330FB4" w:rsidRDefault="00511D8F" w:rsidP="00511D8F">
      <w:pPr>
        <w:pStyle w:val="ListParagraph"/>
        <w:ind w:left="1440"/>
        <w:jc w:val="both"/>
      </w:pPr>
    </w:p>
    <w:p w:rsidR="00511D8F" w:rsidRPr="00330FB4" w:rsidRDefault="00511D8F" w:rsidP="00511D8F">
      <w:pPr>
        <w:pStyle w:val="ListParagraph"/>
        <w:ind w:left="1440"/>
        <w:jc w:val="both"/>
      </w:pPr>
      <w:r w:rsidRPr="00330FB4">
        <w:t xml:space="preserve">WCIT-12 also discussed </w:t>
      </w:r>
      <w:r>
        <w:rPr>
          <w:rFonts w:hint="eastAsia"/>
          <w:lang w:eastAsia="ko-KR"/>
        </w:rPr>
        <w:t xml:space="preserve">a </w:t>
      </w:r>
      <w:r w:rsidRPr="00330FB4">
        <w:t>similar issue</w:t>
      </w:r>
      <w:proofErr w:type="gramStart"/>
      <w:r>
        <w:rPr>
          <w:rFonts w:hint="eastAsia"/>
          <w:lang w:eastAsia="ko-KR"/>
        </w:rPr>
        <w:t>,</w:t>
      </w:r>
      <w:r w:rsidRPr="00330FB4">
        <w:t xml:space="preserve">  </w:t>
      </w:r>
      <w:r>
        <w:rPr>
          <w:rFonts w:hint="eastAsia"/>
          <w:lang w:eastAsia="ko-KR"/>
        </w:rPr>
        <w:t>which</w:t>
      </w:r>
      <w:proofErr w:type="gramEnd"/>
      <w:r>
        <w:rPr>
          <w:rFonts w:hint="eastAsia"/>
          <w:lang w:eastAsia="ko-KR"/>
        </w:rPr>
        <w:t xml:space="preserve"> was </w:t>
      </w:r>
      <w:r w:rsidRPr="00330FB4">
        <w:t>to define ‘Telecommunication/ICT’ as a new terminology within</w:t>
      </w:r>
      <w:r>
        <w:rPr>
          <w:rFonts w:hint="eastAsia"/>
          <w:lang w:eastAsia="ko-KR"/>
        </w:rPr>
        <w:t xml:space="preserve"> the</w:t>
      </w:r>
      <w:r w:rsidRPr="00330FB4">
        <w:t xml:space="preserve"> </w:t>
      </w:r>
      <w:hyperlink r:id="rId10" w:history="1">
        <w:r w:rsidRPr="00330FB4">
          <w:rPr>
            <w:rStyle w:val="Hyperlink"/>
          </w:rPr>
          <w:t>International Telecommunication Regulations (ITRs)</w:t>
        </w:r>
      </w:hyperlink>
      <w:r w:rsidRPr="00330FB4">
        <w:t>. One of the proposed definitions is</w:t>
      </w:r>
      <w:r>
        <w:rPr>
          <w:rFonts w:hint="eastAsia"/>
          <w:lang w:eastAsia="ko-KR"/>
        </w:rPr>
        <w:t xml:space="preserve"> as follows</w:t>
      </w:r>
      <w:r w:rsidRPr="00330FB4">
        <w:t>:</w:t>
      </w:r>
    </w:p>
    <w:p w:rsidR="00511D8F" w:rsidRPr="00330FB4" w:rsidRDefault="00511D8F" w:rsidP="00511D8F">
      <w:pPr>
        <w:pStyle w:val="ListParagraph"/>
        <w:ind w:left="1440"/>
        <w:jc w:val="both"/>
      </w:pPr>
    </w:p>
    <w:p w:rsidR="00511D8F" w:rsidRPr="00330FB4" w:rsidRDefault="00511D8F" w:rsidP="00511D8F">
      <w:pPr>
        <w:pStyle w:val="Proposal"/>
        <w:framePr w:hSpace="141" w:wrap="around" w:vAnchor="text" w:hAnchor="text" w:y="1"/>
        <w:ind w:left="1440"/>
        <w:suppressOverlap/>
        <w:rPr>
          <w:rFonts w:ascii="Times New Roman" w:hAnsi="Times New Roman"/>
          <w:i/>
        </w:rPr>
      </w:pPr>
      <w:bookmarkStart w:id="2" w:name="ARB_7R1_21"/>
      <w:r w:rsidRPr="00330FB4">
        <w:rPr>
          <w:rFonts w:ascii="Times New Roman" w:hAnsi="Times New Roman"/>
          <w:b/>
          <w:i/>
        </w:rPr>
        <w:t>ADD</w:t>
      </w:r>
      <w:r w:rsidRPr="00330FB4">
        <w:rPr>
          <w:rFonts w:ascii="Times New Roman" w:hAnsi="Times New Roman"/>
          <w:i/>
        </w:rPr>
        <w:tab/>
        <w:t>xxx/7/21</w:t>
      </w:r>
      <w:bookmarkEnd w:id="2"/>
    </w:p>
    <w:p w:rsidR="00511D8F" w:rsidRDefault="00511D8F" w:rsidP="00511D8F">
      <w:pPr>
        <w:pStyle w:val="ListParagraph"/>
        <w:ind w:left="2880"/>
        <w:jc w:val="both"/>
        <w:rPr>
          <w:rStyle w:val="Artdef"/>
          <w:i/>
          <w:lang w:eastAsia="ko-KR"/>
        </w:rPr>
      </w:pPr>
    </w:p>
    <w:p w:rsidR="00511D8F" w:rsidRDefault="00511D8F" w:rsidP="00511D8F">
      <w:pPr>
        <w:pStyle w:val="ListParagraph"/>
        <w:ind w:left="2880"/>
        <w:jc w:val="both"/>
        <w:rPr>
          <w:rStyle w:val="Artdef"/>
          <w:i/>
          <w:lang w:eastAsia="ko-KR"/>
        </w:rPr>
      </w:pPr>
    </w:p>
    <w:p w:rsidR="00511D8F" w:rsidRPr="00330FB4" w:rsidRDefault="00511D8F" w:rsidP="00511D8F">
      <w:pPr>
        <w:pStyle w:val="ListParagraph"/>
        <w:ind w:left="2880"/>
        <w:jc w:val="both"/>
        <w:rPr>
          <w:i/>
        </w:rPr>
      </w:pPr>
      <w:r w:rsidRPr="00330FB4">
        <w:rPr>
          <w:rStyle w:val="Artdef"/>
          <w:i/>
        </w:rPr>
        <w:t>14A</w:t>
      </w:r>
      <w:r w:rsidRPr="00330FB4">
        <w:rPr>
          <w:i/>
        </w:rPr>
        <w:tab/>
        <w:t>2.1bis</w:t>
      </w:r>
      <w:r w:rsidRPr="00330FB4">
        <w:rPr>
          <w:i/>
        </w:rPr>
        <w:tab/>
      </w:r>
      <w:r w:rsidRPr="00330FB4">
        <w:rPr>
          <w:i/>
          <w:iCs/>
        </w:rPr>
        <w:t>Telecommunication/ICT:</w:t>
      </w:r>
      <w:r w:rsidRPr="00330FB4">
        <w:rPr>
          <w:i/>
        </w:rPr>
        <w:t xml:space="preserve"> Any transmission, emission or reception, </w:t>
      </w:r>
      <w:r w:rsidRPr="00330FB4">
        <w:rPr>
          <w:b/>
          <w:i/>
        </w:rPr>
        <w:t>including processing,</w:t>
      </w:r>
      <w:r w:rsidRPr="00330FB4">
        <w:rPr>
          <w:i/>
        </w:rPr>
        <w:t xml:space="preserve"> of signs, signals, writing, images and sounds or intelligence of any nature by wire, radio, optical or other electromagnetic systems.</w:t>
      </w:r>
    </w:p>
    <w:p w:rsidR="00511D8F" w:rsidRPr="00330FB4" w:rsidRDefault="00511D8F" w:rsidP="00511D8F">
      <w:pPr>
        <w:pStyle w:val="ListParagraph"/>
        <w:ind w:left="2880"/>
        <w:jc w:val="both"/>
        <w:rPr>
          <w:i/>
        </w:rPr>
      </w:pPr>
    </w:p>
    <w:p w:rsidR="00511D8F" w:rsidRPr="00330FB4" w:rsidRDefault="00511D8F" w:rsidP="00511D8F">
      <w:pPr>
        <w:pStyle w:val="ListParagraph"/>
        <w:ind w:left="1440"/>
        <w:jc w:val="both"/>
        <w:rPr>
          <w:lang w:eastAsia="ko-KR"/>
        </w:rPr>
      </w:pPr>
      <w:r w:rsidRPr="00330FB4">
        <w:t>Several Member States argued that the definition of that terminology has a strong relationship with ‘Telecommunication</w:t>
      </w:r>
      <w:r>
        <w:rPr>
          <w:rFonts w:hint="eastAsia"/>
          <w:lang w:eastAsia="ko-KR"/>
        </w:rPr>
        <w:t>,</w:t>
      </w:r>
      <w:r w:rsidRPr="00330FB4">
        <w:t>’ which is defined by ITU CS</w:t>
      </w:r>
      <w:r>
        <w:rPr>
          <w:rFonts w:hint="eastAsia"/>
          <w:lang w:eastAsia="ko-KR"/>
        </w:rPr>
        <w:t xml:space="preserve"> </w:t>
      </w:r>
      <w:r w:rsidRPr="00330FB4">
        <w:t xml:space="preserve">(CS1012), </w:t>
      </w:r>
      <w:r>
        <w:rPr>
          <w:rFonts w:hint="eastAsia"/>
          <w:lang w:eastAsia="ko-KR"/>
        </w:rPr>
        <w:t xml:space="preserve">and </w:t>
      </w:r>
      <w:r w:rsidRPr="00330FB4">
        <w:t xml:space="preserve">they </w:t>
      </w:r>
      <w:r>
        <w:rPr>
          <w:rFonts w:hint="eastAsia"/>
          <w:lang w:eastAsia="ko-KR"/>
        </w:rPr>
        <w:t xml:space="preserve">thus </w:t>
      </w:r>
      <w:r w:rsidRPr="00330FB4">
        <w:t>proposed that discussion</w:t>
      </w:r>
      <w:r>
        <w:rPr>
          <w:rFonts w:hint="eastAsia"/>
          <w:lang w:eastAsia="ko-KR"/>
        </w:rPr>
        <w:t>s</w:t>
      </w:r>
      <w:r w:rsidRPr="00330FB4">
        <w:t xml:space="preserve"> to define the terminology should be held at PP </w:t>
      </w:r>
      <w:r>
        <w:rPr>
          <w:rFonts w:hint="eastAsia"/>
          <w:lang w:eastAsia="ko-KR"/>
        </w:rPr>
        <w:t xml:space="preserve">instead </w:t>
      </w:r>
      <w:proofErr w:type="gramStart"/>
      <w:r>
        <w:rPr>
          <w:rFonts w:hint="eastAsia"/>
          <w:lang w:eastAsia="ko-KR"/>
        </w:rPr>
        <w:t xml:space="preserve">of </w:t>
      </w:r>
      <w:r w:rsidRPr="00330FB4">
        <w:t xml:space="preserve"> WCIT</w:t>
      </w:r>
      <w:proofErr w:type="gramEnd"/>
      <w:r w:rsidRPr="00330FB4">
        <w:t xml:space="preserve">. </w:t>
      </w:r>
    </w:p>
    <w:p w:rsidR="00511D8F" w:rsidRPr="00330FB4" w:rsidRDefault="00511D8F" w:rsidP="00511D8F">
      <w:pPr>
        <w:pStyle w:val="ListParagraph"/>
        <w:ind w:left="1440"/>
        <w:jc w:val="both"/>
      </w:pPr>
      <w:r w:rsidRPr="00330FB4">
        <w:t xml:space="preserve"> </w:t>
      </w:r>
    </w:p>
    <w:p w:rsidR="00511D8F" w:rsidRPr="00330FB4" w:rsidRDefault="00511D8F" w:rsidP="00511D8F">
      <w:pPr>
        <w:pStyle w:val="ListParagraph"/>
        <w:numPr>
          <w:ilvl w:val="2"/>
          <w:numId w:val="9"/>
        </w:numPr>
        <w:jc w:val="both"/>
      </w:pPr>
      <w:r w:rsidRPr="00330FB4">
        <w:t>Current Status at ITU</w:t>
      </w:r>
    </w:p>
    <w:p w:rsidR="00511D8F" w:rsidRPr="00330FB4" w:rsidRDefault="00511D8F" w:rsidP="00511D8F">
      <w:pPr>
        <w:jc w:val="both"/>
      </w:pPr>
    </w:p>
    <w:p w:rsidR="00511D8F" w:rsidRPr="00330FB4" w:rsidRDefault="00511D8F" w:rsidP="00511D8F">
      <w:pPr>
        <w:pStyle w:val="ListParagraph"/>
        <w:ind w:left="1440"/>
        <w:jc w:val="both"/>
      </w:pPr>
      <w:r w:rsidRPr="00330FB4">
        <w:rPr>
          <w:lang w:eastAsia="ko-KR"/>
        </w:rPr>
        <w:t>In relation</w:t>
      </w:r>
      <w:r>
        <w:rPr>
          <w:rFonts w:hint="eastAsia"/>
          <w:lang w:eastAsia="ko-KR"/>
        </w:rPr>
        <w:t xml:space="preserve"> to</w:t>
      </w:r>
      <w:r w:rsidRPr="00330FB4">
        <w:rPr>
          <w:lang w:eastAsia="ko-KR"/>
        </w:rPr>
        <w:t xml:space="preserve">  the working definition of ‘ICT’, </w:t>
      </w:r>
      <w:r w:rsidRPr="00330FB4">
        <w:t xml:space="preserve">Council-11 instructed the Director of </w:t>
      </w:r>
      <w:r>
        <w:rPr>
          <w:rFonts w:hint="eastAsia"/>
          <w:lang w:eastAsia="ko-KR"/>
        </w:rPr>
        <w:t xml:space="preserve">the </w:t>
      </w:r>
      <w:r w:rsidRPr="00330FB4">
        <w:t xml:space="preserve">Telecommunication Development Bureau (BDT) “to conduct consultations with the chairmen of ITU-D study groups and </w:t>
      </w:r>
      <w:r>
        <w:rPr>
          <w:rFonts w:hint="eastAsia"/>
          <w:lang w:eastAsia="ko-KR"/>
        </w:rPr>
        <w:t xml:space="preserve">the </w:t>
      </w:r>
      <w:r w:rsidRPr="00330FB4">
        <w:t>Telecommunication Development Advisory Group (TDAG) for the creation of a group for elaboration of a working definition of the term ‘ICT’ open for the participation of other Sector membership, and the Directors of</w:t>
      </w:r>
      <w:r>
        <w:rPr>
          <w:rFonts w:hint="eastAsia"/>
          <w:lang w:eastAsia="ko-KR"/>
        </w:rPr>
        <w:t xml:space="preserve"> the</w:t>
      </w:r>
      <w:r w:rsidRPr="00330FB4">
        <w:t xml:space="preserve"> Radiocommunication Bureau (BR) and Telecommunication Standardization Bureau (TSB) to conduct consultations with the chairmen of ITU-R and ITU-T study groups, </w:t>
      </w:r>
      <w:r>
        <w:rPr>
          <w:rFonts w:hint="eastAsia"/>
          <w:lang w:eastAsia="ko-KR"/>
        </w:rPr>
        <w:t xml:space="preserve">the </w:t>
      </w:r>
      <w:r w:rsidRPr="00330FB4">
        <w:t>Radio Advisory Group (RAG) and Telecommunication Standardization Advisory Group (TSAG) regarding the participation of representatives of their Sector study groups in that activity and report to the Council session 2012.”</w:t>
      </w:r>
    </w:p>
    <w:p w:rsidR="00511D8F" w:rsidRPr="00330FB4" w:rsidRDefault="00511D8F" w:rsidP="00511D8F">
      <w:pPr>
        <w:pStyle w:val="ListParagraph"/>
        <w:ind w:left="1440"/>
        <w:jc w:val="both"/>
      </w:pPr>
    </w:p>
    <w:p w:rsidR="00511D8F" w:rsidRPr="0055770B" w:rsidRDefault="00511D8F" w:rsidP="00511D8F">
      <w:pPr>
        <w:pStyle w:val="ListParagraph"/>
        <w:ind w:left="1440"/>
        <w:jc w:val="both"/>
        <w:rPr>
          <w:lang w:eastAsia="ko-KR"/>
        </w:rPr>
      </w:pPr>
      <w:r w:rsidRPr="00330FB4">
        <w:t>The 2012 meeting of TDAG invited “Study Group 1 to set up the Working Group by September 2012 and to submit the results of its work for consideration by ITU-D Study Groups 1 and 2 as well as TDAG in 2013. TDAG further invited the BDT Director to inform Council 2012 that such an activity has been initiated and report to Council 2014 on the outcomes on this work</w:t>
      </w:r>
      <w:r w:rsidRPr="0055770B">
        <w:t>.”</w:t>
      </w:r>
    </w:p>
    <w:p w:rsidR="00511D8F" w:rsidRPr="0055770B" w:rsidRDefault="008C7623" w:rsidP="00511D8F">
      <w:pPr>
        <w:pStyle w:val="ListParagraph"/>
        <w:ind w:left="1440"/>
        <w:jc w:val="both"/>
        <w:rPr>
          <w:lang w:eastAsia="ko-KR"/>
        </w:rPr>
      </w:pPr>
      <w:r w:rsidRPr="008C7623">
        <w:rPr>
          <w:lang w:eastAsia="ko-KR"/>
        </w:rPr>
        <w:t>The Working Group had a meeting on 8</w:t>
      </w:r>
      <w:r w:rsidRPr="008C7623">
        <w:rPr>
          <w:vertAlign w:val="superscript"/>
          <w:lang w:eastAsia="ko-KR"/>
        </w:rPr>
        <w:t>th</w:t>
      </w:r>
      <w:r w:rsidRPr="008C7623">
        <w:rPr>
          <w:lang w:eastAsia="ko-KR"/>
        </w:rPr>
        <w:t xml:space="preserve"> September 2013, and concluded the following </w:t>
      </w:r>
      <w:r w:rsidR="00511D8F">
        <w:rPr>
          <w:rFonts w:hint="eastAsia"/>
          <w:lang w:eastAsia="ko-KR"/>
        </w:rPr>
        <w:t xml:space="preserve">working </w:t>
      </w:r>
      <w:r w:rsidRPr="008C7623">
        <w:rPr>
          <w:lang w:eastAsia="ko-KR"/>
        </w:rPr>
        <w:t>definition of ICTs:</w:t>
      </w:r>
    </w:p>
    <w:p w:rsidR="00511D8F" w:rsidRPr="00A446C6" w:rsidRDefault="00511D8F" w:rsidP="00511D8F">
      <w:pPr>
        <w:pStyle w:val="ListParagraph"/>
        <w:ind w:left="1440"/>
        <w:jc w:val="both"/>
        <w:rPr>
          <w:lang w:eastAsia="ko-KR"/>
        </w:rPr>
      </w:pPr>
    </w:p>
    <w:p w:rsidR="00511D8F" w:rsidRPr="0055770B" w:rsidRDefault="008C7623" w:rsidP="00511D8F">
      <w:pPr>
        <w:ind w:leftChars="800" w:left="1920"/>
        <w:contextualSpacing/>
        <w:jc w:val="both"/>
        <w:rPr>
          <w:i/>
          <w:lang w:eastAsia="ko-KR"/>
        </w:rPr>
      </w:pPr>
      <w:r w:rsidRPr="008C7623">
        <w:rPr>
          <w:i/>
          <w:lang w:eastAsia="ko-KR"/>
        </w:rPr>
        <w:t xml:space="preserve">Information and Communication </w:t>
      </w:r>
      <w:proofErr w:type="gramStart"/>
      <w:r w:rsidRPr="008C7623">
        <w:rPr>
          <w:i/>
          <w:lang w:eastAsia="ko-KR"/>
        </w:rPr>
        <w:t>Technologies(</w:t>
      </w:r>
      <w:proofErr w:type="gramEnd"/>
      <w:r w:rsidRPr="008C7623">
        <w:rPr>
          <w:i/>
          <w:lang w:eastAsia="ko-KR"/>
        </w:rPr>
        <w:t xml:space="preserve">ICTs): </w:t>
      </w:r>
      <w:r w:rsidRPr="008C7623">
        <w:rPr>
          <w:i/>
        </w:rPr>
        <w:t>Technologies and equipment that handle(e.g. access, create, collect, store, transmit, receive and disseminate) information and communication</w:t>
      </w:r>
      <w:r w:rsidRPr="008C7623">
        <w:rPr>
          <w:i/>
          <w:lang w:eastAsia="ko-KR"/>
        </w:rPr>
        <w:t>.</w:t>
      </w:r>
    </w:p>
    <w:p w:rsidR="00511D8F" w:rsidRPr="0055770B" w:rsidRDefault="00511D8F" w:rsidP="00511D8F">
      <w:pPr>
        <w:pStyle w:val="ListParagraph"/>
        <w:ind w:left="1440"/>
        <w:jc w:val="both"/>
        <w:rPr>
          <w:lang w:eastAsia="ko-KR"/>
        </w:rPr>
      </w:pPr>
    </w:p>
    <w:p w:rsidR="008C7623" w:rsidRDefault="008C7623" w:rsidP="008C7623">
      <w:pPr>
        <w:ind w:left="1440"/>
        <w:jc w:val="both"/>
      </w:pPr>
      <w:r w:rsidRPr="008C7623">
        <w:rPr>
          <w:lang w:eastAsia="ko-KR"/>
        </w:rPr>
        <w:t xml:space="preserve">The above </w:t>
      </w:r>
      <w:r w:rsidR="00511D8F">
        <w:rPr>
          <w:rFonts w:hint="eastAsia"/>
          <w:lang w:eastAsia="ko-KR"/>
        </w:rPr>
        <w:t xml:space="preserve">working </w:t>
      </w:r>
      <w:r w:rsidRPr="008C7623">
        <w:rPr>
          <w:lang w:eastAsia="ko-KR"/>
        </w:rPr>
        <w:t>definition of ICT will be reported to Council-14 and PP-14, so APT member countries need to consider the definition.</w:t>
      </w:r>
      <w:r w:rsidR="00511D8F" w:rsidRPr="00330FB4">
        <w:t xml:space="preserve"> </w:t>
      </w:r>
    </w:p>
    <w:p w:rsidR="00511D8F" w:rsidRPr="00330FB4" w:rsidRDefault="00511D8F" w:rsidP="00511D8F">
      <w:pPr>
        <w:rPr>
          <w:rFonts w:eastAsia="Times New Roman"/>
          <w:sz w:val="20"/>
          <w:szCs w:val="20"/>
        </w:rPr>
      </w:pPr>
    </w:p>
    <w:p w:rsidR="00511D8F" w:rsidRPr="00330FB4" w:rsidRDefault="00511D8F" w:rsidP="00511D8F">
      <w:pPr>
        <w:pStyle w:val="ListParagraph"/>
        <w:ind w:left="1440"/>
        <w:jc w:val="both"/>
        <w:rPr>
          <w:lang w:eastAsia="ko-KR"/>
        </w:rPr>
      </w:pPr>
      <w:r w:rsidRPr="00330FB4">
        <w:lastRenderedPageBreak/>
        <w:t>APT continuously favors</w:t>
      </w:r>
      <w:r>
        <w:rPr>
          <w:rFonts w:hint="eastAsia"/>
          <w:lang w:eastAsia="ko-KR"/>
        </w:rPr>
        <w:t xml:space="preserve"> the</w:t>
      </w:r>
      <w:r w:rsidRPr="00330FB4">
        <w:t xml:space="preserve"> status quo of the definition of ‘Telecommunication’ at PP-06 and PP-10 and no addition of terminology </w:t>
      </w:r>
      <w:r>
        <w:rPr>
          <w:rFonts w:hint="eastAsia"/>
          <w:lang w:eastAsia="ko-KR"/>
        </w:rPr>
        <w:t xml:space="preserve">on </w:t>
      </w:r>
      <w:r w:rsidRPr="00330FB4">
        <w:t xml:space="preserve">‘Telecommunication/ICT’ in </w:t>
      </w:r>
      <w:r>
        <w:rPr>
          <w:rFonts w:hint="eastAsia"/>
          <w:lang w:eastAsia="ko-KR"/>
        </w:rPr>
        <w:t xml:space="preserve">the </w:t>
      </w:r>
      <w:r w:rsidRPr="00330FB4">
        <w:t xml:space="preserve">ITRs at WCIT-12.   </w:t>
      </w:r>
    </w:p>
    <w:p w:rsidR="00511D8F" w:rsidRPr="00330FB4" w:rsidRDefault="00511D8F" w:rsidP="00511D8F">
      <w:pPr>
        <w:jc w:val="both"/>
      </w:pPr>
    </w:p>
    <w:p w:rsidR="00511D8F" w:rsidRPr="00330FB4" w:rsidRDefault="00511D8F" w:rsidP="00511D8F">
      <w:pPr>
        <w:pStyle w:val="ListParagraph"/>
        <w:numPr>
          <w:ilvl w:val="2"/>
          <w:numId w:val="9"/>
        </w:numPr>
        <w:jc w:val="both"/>
        <w:rPr>
          <w:i/>
        </w:rPr>
      </w:pPr>
      <w:r w:rsidRPr="00330FB4">
        <w:rPr>
          <w:i/>
        </w:rPr>
        <w:t xml:space="preserve">Further Action Required </w:t>
      </w:r>
    </w:p>
    <w:p w:rsidR="00511D8F" w:rsidRPr="00330FB4" w:rsidRDefault="00511D8F" w:rsidP="00511D8F">
      <w:pPr>
        <w:pStyle w:val="ListParagraph"/>
        <w:ind w:left="1440"/>
        <w:jc w:val="both"/>
        <w:rPr>
          <w:lang w:eastAsia="ko-KR"/>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3"/>
      </w:tblGrid>
      <w:tr w:rsidR="00511D8F" w:rsidRPr="00330FB4" w:rsidTr="00221349">
        <w:tc>
          <w:tcPr>
            <w:tcW w:w="9533" w:type="dxa"/>
            <w:shd w:val="clear" w:color="auto" w:fill="auto"/>
          </w:tcPr>
          <w:p w:rsidR="00511D8F" w:rsidRPr="00330FB4" w:rsidRDefault="00511D8F" w:rsidP="00221349">
            <w:pPr>
              <w:pStyle w:val="ListParagraph"/>
              <w:ind w:left="0"/>
              <w:jc w:val="both"/>
            </w:pPr>
            <w:r w:rsidRPr="00330FB4">
              <w:t xml:space="preserve">APT member countries are encouraged to note previous discussions </w:t>
            </w:r>
            <w:r>
              <w:rPr>
                <w:rFonts w:hint="eastAsia"/>
                <w:lang w:eastAsia="ko-KR"/>
              </w:rPr>
              <w:t xml:space="preserve">on the </w:t>
            </w:r>
            <w:r w:rsidRPr="00330FB4">
              <w:t>APT</w:t>
            </w:r>
            <w:r>
              <w:rPr>
                <w:lang w:eastAsia="ko-KR"/>
              </w:rPr>
              <w:t>’</w:t>
            </w:r>
            <w:r>
              <w:rPr>
                <w:rFonts w:hint="eastAsia"/>
                <w:lang w:eastAsia="ko-KR"/>
              </w:rPr>
              <w:t>s</w:t>
            </w:r>
            <w:r w:rsidRPr="00330FB4">
              <w:t xml:space="preserve"> position at ITU conferences.</w:t>
            </w:r>
          </w:p>
          <w:p w:rsidR="00511D8F" w:rsidRPr="00330FB4" w:rsidRDefault="00511D8F" w:rsidP="00221349">
            <w:pPr>
              <w:pStyle w:val="ListParagraph"/>
              <w:ind w:left="0"/>
              <w:jc w:val="both"/>
            </w:pPr>
          </w:p>
          <w:p w:rsidR="00511D8F" w:rsidRPr="00330FB4" w:rsidRDefault="00511D8F" w:rsidP="00221349">
            <w:pPr>
              <w:pStyle w:val="ListParagraph"/>
              <w:ind w:left="0"/>
              <w:jc w:val="both"/>
              <w:rPr>
                <w:b/>
                <w:lang w:eastAsia="ko-KR"/>
              </w:rPr>
            </w:pPr>
            <w:r w:rsidRPr="00330FB4">
              <w:rPr>
                <w:b/>
              </w:rPr>
              <w:t>Recommendation:</w:t>
            </w:r>
            <w:r w:rsidRPr="00330FB4">
              <w:t xml:space="preserve"> Taking into consideration previous APT positions and outcomes of working group</w:t>
            </w:r>
            <w:r>
              <w:rPr>
                <w:rFonts w:hint="eastAsia"/>
                <w:lang w:eastAsia="ko-KR"/>
              </w:rPr>
              <w:t>s</w:t>
            </w:r>
            <w:r w:rsidRPr="00330FB4">
              <w:t xml:space="preserve"> on </w:t>
            </w:r>
            <w:r>
              <w:rPr>
                <w:rFonts w:hint="eastAsia"/>
                <w:lang w:eastAsia="ko-KR"/>
              </w:rPr>
              <w:t xml:space="preserve">the </w:t>
            </w:r>
            <w:r w:rsidRPr="00330FB4">
              <w:t>working definition of ICT, APT members need to discuss</w:t>
            </w:r>
            <w:r>
              <w:rPr>
                <w:rFonts w:hint="eastAsia"/>
                <w:lang w:eastAsia="ko-KR"/>
              </w:rPr>
              <w:t xml:space="preserve"> the position that should be taken</w:t>
            </w:r>
            <w:r w:rsidRPr="00330FB4">
              <w:t>.</w:t>
            </w:r>
          </w:p>
        </w:tc>
      </w:tr>
    </w:tbl>
    <w:p w:rsidR="00511D8F" w:rsidRPr="00330FB4" w:rsidRDefault="00511D8F" w:rsidP="00511D8F"/>
    <w:p w:rsidR="00511D8F" w:rsidRPr="00330FB4" w:rsidRDefault="00511D8F" w:rsidP="00511D8F">
      <w:pPr>
        <w:pStyle w:val="ListParagraph"/>
        <w:ind w:left="1440"/>
        <w:jc w:val="both"/>
      </w:pPr>
    </w:p>
    <w:p w:rsidR="00511D8F" w:rsidRPr="00330FB4" w:rsidRDefault="00511D8F" w:rsidP="00511D8F">
      <w:pPr>
        <w:pStyle w:val="ListParagraph"/>
        <w:numPr>
          <w:ilvl w:val="1"/>
          <w:numId w:val="9"/>
        </w:numPr>
        <w:ind w:left="360"/>
        <w:jc w:val="both"/>
        <w:rPr>
          <w:b/>
          <w:bCs/>
        </w:rPr>
      </w:pPr>
      <w:r w:rsidRPr="00330FB4">
        <w:rPr>
          <w:b/>
          <w:bCs/>
        </w:rPr>
        <w:t xml:space="preserve">Issue </w:t>
      </w:r>
      <w:r w:rsidRPr="00330FB4">
        <w:rPr>
          <w:b/>
          <w:bCs/>
          <w:lang w:eastAsia="ko-KR"/>
        </w:rPr>
        <w:t>2</w:t>
      </w:r>
      <w:r w:rsidRPr="00330FB4">
        <w:rPr>
          <w:b/>
          <w:bCs/>
        </w:rPr>
        <w:t>:</w:t>
      </w:r>
      <w:r w:rsidRPr="00330FB4">
        <w:rPr>
          <w:rFonts w:eastAsia="Malgun Gothic"/>
          <w:b/>
          <w:bCs/>
          <w:lang w:eastAsia="ko-KR"/>
        </w:rPr>
        <w:t xml:space="preserve"> ITU’s role in implementing the outcomes of the World Su</w:t>
      </w:r>
      <w:r>
        <w:rPr>
          <w:rFonts w:eastAsia="Malgun Gothic" w:hint="eastAsia"/>
          <w:b/>
          <w:bCs/>
          <w:lang w:eastAsia="ko-KR"/>
        </w:rPr>
        <w:t>m</w:t>
      </w:r>
      <w:r w:rsidRPr="00330FB4">
        <w:rPr>
          <w:rFonts w:eastAsia="Malgun Gothic"/>
          <w:b/>
          <w:bCs/>
          <w:lang w:eastAsia="ko-KR"/>
        </w:rPr>
        <w:t xml:space="preserve">mit on the Information Society (WSIS) and WSIS+10 review process  </w:t>
      </w:r>
    </w:p>
    <w:p w:rsidR="00511D8F" w:rsidRPr="00330FB4" w:rsidRDefault="00511D8F" w:rsidP="00511D8F">
      <w:pPr>
        <w:pStyle w:val="ListParagraph"/>
        <w:ind w:left="360"/>
        <w:jc w:val="both"/>
        <w:rPr>
          <w:b/>
          <w:bCs/>
        </w:rPr>
      </w:pPr>
    </w:p>
    <w:p w:rsidR="00511D8F" w:rsidRPr="00330FB4" w:rsidRDefault="00511D8F" w:rsidP="00511D8F">
      <w:pPr>
        <w:pStyle w:val="ListParagraph"/>
        <w:numPr>
          <w:ilvl w:val="2"/>
          <w:numId w:val="9"/>
        </w:numPr>
        <w:jc w:val="both"/>
      </w:pPr>
      <w:r w:rsidRPr="00330FB4">
        <w:t>Introduction/Background</w:t>
      </w:r>
    </w:p>
    <w:p w:rsidR="00511D8F" w:rsidRPr="00330FB4" w:rsidRDefault="00511D8F" w:rsidP="00511D8F">
      <w:pPr>
        <w:pStyle w:val="ListParagraph"/>
        <w:ind w:left="1440"/>
        <w:jc w:val="both"/>
      </w:pPr>
    </w:p>
    <w:p w:rsidR="00511D8F" w:rsidRPr="00330FB4" w:rsidRDefault="00511D8F" w:rsidP="00511D8F">
      <w:pPr>
        <w:pStyle w:val="ListParagraph"/>
        <w:ind w:left="1440"/>
        <w:jc w:val="both"/>
      </w:pPr>
      <w:r w:rsidRPr="00330FB4">
        <w:t xml:space="preserve">ITU is </w:t>
      </w:r>
      <w:r>
        <w:rPr>
          <w:rFonts w:hint="eastAsia"/>
          <w:lang w:eastAsia="ko-KR"/>
        </w:rPr>
        <w:t xml:space="preserve">the </w:t>
      </w:r>
      <w:r w:rsidRPr="00330FB4">
        <w:t xml:space="preserve">organization </w:t>
      </w:r>
      <w:r>
        <w:rPr>
          <w:rFonts w:hint="eastAsia"/>
          <w:lang w:eastAsia="ko-KR"/>
        </w:rPr>
        <w:t xml:space="preserve">designated </w:t>
      </w:r>
      <w:r w:rsidRPr="00330FB4">
        <w:t xml:space="preserve">as facilitator for the Action Lines C2 (Information and </w:t>
      </w:r>
      <w:r>
        <w:rPr>
          <w:rFonts w:hint="eastAsia"/>
          <w:lang w:eastAsia="ko-KR"/>
        </w:rPr>
        <w:t>c</w:t>
      </w:r>
      <w:r w:rsidRPr="00330FB4">
        <w:t xml:space="preserve">ommunication </w:t>
      </w:r>
      <w:r>
        <w:rPr>
          <w:rFonts w:hint="eastAsia"/>
          <w:lang w:eastAsia="ko-KR"/>
        </w:rPr>
        <w:t>i</w:t>
      </w:r>
      <w:r w:rsidRPr="00330FB4">
        <w:t>nfrastructure), C5</w:t>
      </w:r>
      <w:r>
        <w:rPr>
          <w:rFonts w:hint="eastAsia"/>
          <w:lang w:eastAsia="ko-KR"/>
        </w:rPr>
        <w:t xml:space="preserve"> </w:t>
      </w:r>
      <w:r w:rsidRPr="00330FB4">
        <w:t>(Building confidence and security in the use of ICTs) and C6</w:t>
      </w:r>
      <w:r>
        <w:rPr>
          <w:rFonts w:hint="eastAsia"/>
          <w:lang w:eastAsia="ko-KR"/>
        </w:rPr>
        <w:t xml:space="preserve"> </w:t>
      </w:r>
      <w:r w:rsidRPr="00330FB4">
        <w:t>(Enabling environment).</w:t>
      </w:r>
    </w:p>
    <w:p w:rsidR="00511D8F" w:rsidRPr="00330FB4" w:rsidRDefault="00511D8F" w:rsidP="00511D8F">
      <w:pPr>
        <w:pStyle w:val="ListParagraph"/>
        <w:ind w:left="1440"/>
        <w:jc w:val="both"/>
      </w:pPr>
    </w:p>
    <w:p w:rsidR="00511D8F" w:rsidRPr="00330FB4" w:rsidRDefault="00511D8F" w:rsidP="00511D8F">
      <w:pPr>
        <w:pStyle w:val="ListParagraph"/>
        <w:ind w:left="1440"/>
        <w:jc w:val="both"/>
      </w:pPr>
      <w:r w:rsidRPr="00330FB4">
        <w:rPr>
          <w:lang w:eastAsia="ko-KR"/>
        </w:rPr>
        <w:t xml:space="preserve">Resolution 140 (Rev. Guadalajara, 2010) instructs the Secretary-General and the Directors of the </w:t>
      </w:r>
      <w:proofErr w:type="spellStart"/>
      <w:r w:rsidRPr="00330FB4">
        <w:rPr>
          <w:lang w:eastAsia="ko-KR"/>
        </w:rPr>
        <w:t>Bureaux</w:t>
      </w:r>
      <w:proofErr w:type="spellEnd"/>
      <w:r w:rsidRPr="00330FB4">
        <w:rPr>
          <w:lang w:eastAsia="ko-KR"/>
        </w:rPr>
        <w:t xml:space="preserve"> to prepare and submit a final and comprehensive report on the ITU activities for WSIS implementation to the next plenipotentiary conference in 2014. </w:t>
      </w:r>
      <w:r w:rsidRPr="00330FB4">
        <w:t>Furthermore, Resolution 172</w:t>
      </w:r>
      <w:r>
        <w:rPr>
          <w:rFonts w:hint="eastAsia"/>
          <w:lang w:eastAsia="ko-KR"/>
        </w:rPr>
        <w:t xml:space="preserve"> </w:t>
      </w:r>
      <w:r w:rsidRPr="00330FB4">
        <w:t>(Guadalajara, 2010)</w:t>
      </w:r>
      <w:r w:rsidRPr="00330FB4">
        <w:rPr>
          <w:rStyle w:val="FootnoteReference"/>
        </w:rPr>
        <w:footnoteReference w:id="3"/>
      </w:r>
      <w:r w:rsidRPr="00330FB4">
        <w:t xml:space="preserve"> instructs </w:t>
      </w:r>
      <w:r>
        <w:rPr>
          <w:rFonts w:hint="eastAsia"/>
          <w:lang w:eastAsia="ko-KR"/>
        </w:rPr>
        <w:t xml:space="preserve">the </w:t>
      </w:r>
      <w:r w:rsidRPr="00330FB4">
        <w:t xml:space="preserve">Council to report </w:t>
      </w:r>
      <w:proofErr w:type="gramStart"/>
      <w:r w:rsidRPr="00330FB4">
        <w:t>to  PP</w:t>
      </w:r>
      <w:proofErr w:type="gramEnd"/>
      <w:r w:rsidRPr="00330FB4">
        <w:t xml:space="preserve">-14 on preparations for </w:t>
      </w:r>
      <w:r>
        <w:rPr>
          <w:rFonts w:hint="eastAsia"/>
          <w:lang w:eastAsia="ko-KR"/>
        </w:rPr>
        <w:t xml:space="preserve">the </w:t>
      </w:r>
      <w:r w:rsidRPr="00330FB4">
        <w:t>final overall review of the implementation of the WSIS outcomes and formulate proposals for further activities.</w:t>
      </w:r>
    </w:p>
    <w:p w:rsidR="00511D8F" w:rsidRPr="00330FB4" w:rsidRDefault="00511D8F" w:rsidP="00511D8F">
      <w:pPr>
        <w:jc w:val="both"/>
        <w:rPr>
          <w:lang w:eastAsia="ko-KR"/>
        </w:rPr>
      </w:pPr>
    </w:p>
    <w:p w:rsidR="00511D8F" w:rsidRPr="00330FB4" w:rsidRDefault="00511D8F" w:rsidP="00511D8F">
      <w:pPr>
        <w:pStyle w:val="ListParagraph"/>
        <w:ind w:left="1440"/>
        <w:jc w:val="both"/>
      </w:pPr>
      <w:r w:rsidRPr="00330FB4">
        <w:rPr>
          <w:lang w:eastAsia="ko-KR"/>
        </w:rPr>
        <w:t xml:space="preserve">Pursuant to </w:t>
      </w:r>
      <w:r w:rsidRPr="00330FB4">
        <w:t xml:space="preserve">Resolution 140 (Rev. Guadalajara, 2010) and Resolution 172 (Guadalajara, 2010), </w:t>
      </w:r>
      <w:r>
        <w:rPr>
          <w:rFonts w:hint="eastAsia"/>
          <w:lang w:eastAsia="ko-KR"/>
        </w:rPr>
        <w:t xml:space="preserve">the </w:t>
      </w:r>
      <w:r w:rsidRPr="00330FB4">
        <w:t xml:space="preserve">Council and its Working </w:t>
      </w:r>
      <w:proofErr w:type="gramStart"/>
      <w:r w:rsidRPr="00330FB4">
        <w:t xml:space="preserve">Group  </w:t>
      </w:r>
      <w:r>
        <w:rPr>
          <w:rFonts w:hint="eastAsia"/>
          <w:lang w:eastAsia="ko-KR"/>
        </w:rPr>
        <w:t>have</w:t>
      </w:r>
      <w:proofErr w:type="gramEnd"/>
      <w:r>
        <w:rPr>
          <w:rFonts w:hint="eastAsia"/>
          <w:lang w:eastAsia="ko-KR"/>
        </w:rPr>
        <w:t xml:space="preserve"> </w:t>
      </w:r>
      <w:r w:rsidRPr="00330FB4">
        <w:t xml:space="preserve">monitored the status of </w:t>
      </w:r>
      <w:r>
        <w:rPr>
          <w:rFonts w:hint="eastAsia"/>
          <w:lang w:eastAsia="ko-KR"/>
        </w:rPr>
        <w:t xml:space="preserve">the </w:t>
      </w:r>
      <w:r w:rsidRPr="00330FB4">
        <w:t xml:space="preserve">implementation of the outcomes of WSIS under ITU’s mandate (Action Lines C2, C5 and C6). In this context, Council </w:t>
      </w:r>
      <w:hyperlink r:id="rId11" w:history="1">
        <w:r w:rsidRPr="00330FB4">
          <w:rPr>
            <w:rStyle w:val="Hyperlink"/>
          </w:rPr>
          <w:t>Resolution 1332</w:t>
        </w:r>
      </w:hyperlink>
      <w:r w:rsidRPr="00330FB4">
        <w:rPr>
          <w:rStyle w:val="FootnoteReference"/>
        </w:rPr>
        <w:footnoteReference w:id="4"/>
      </w:r>
      <w:r w:rsidRPr="00330FB4">
        <w:t xml:space="preserve"> and </w:t>
      </w:r>
      <w:hyperlink r:id="rId12" w:history="1">
        <w:r w:rsidRPr="00330FB4">
          <w:rPr>
            <w:rStyle w:val="Hyperlink"/>
          </w:rPr>
          <w:t>1334</w:t>
        </w:r>
      </w:hyperlink>
      <w:r w:rsidRPr="00330FB4">
        <w:rPr>
          <w:rStyle w:val="FootnoteReference"/>
        </w:rPr>
        <w:footnoteReference w:id="5"/>
      </w:r>
      <w:r w:rsidRPr="00330FB4">
        <w:t xml:space="preserve"> have been adopted and revised subsequently. </w:t>
      </w:r>
    </w:p>
    <w:p w:rsidR="00511D8F" w:rsidRPr="00330FB4" w:rsidRDefault="00511D8F" w:rsidP="00511D8F">
      <w:pPr>
        <w:pStyle w:val="ListParagraph"/>
        <w:ind w:left="1440"/>
        <w:jc w:val="both"/>
      </w:pPr>
    </w:p>
    <w:p w:rsidR="00511D8F" w:rsidRPr="00330FB4" w:rsidRDefault="00511D8F" w:rsidP="00511D8F">
      <w:pPr>
        <w:pStyle w:val="ListParagraph"/>
        <w:ind w:left="1440"/>
        <w:jc w:val="both"/>
      </w:pPr>
      <w:r w:rsidRPr="00330FB4">
        <w:t xml:space="preserve">Council Resolution 1334 resolves to support a high-level event on the Overall Review (WSIS+10) to be held in </w:t>
      </w:r>
      <w:proofErr w:type="spellStart"/>
      <w:r w:rsidRPr="00330FB4">
        <w:t>Sharm</w:t>
      </w:r>
      <w:proofErr w:type="spellEnd"/>
      <w:r w:rsidRPr="00330FB4">
        <w:t xml:space="preserve"> el Sheikh, Egypt in April 2014 in conjunction with the World Telecommunication Development Conference. </w:t>
      </w:r>
    </w:p>
    <w:p w:rsidR="00511D8F" w:rsidRPr="00330FB4" w:rsidRDefault="00511D8F" w:rsidP="00511D8F">
      <w:pPr>
        <w:pStyle w:val="ListParagraph"/>
        <w:ind w:left="1440"/>
        <w:jc w:val="both"/>
      </w:pPr>
    </w:p>
    <w:p w:rsidR="00511D8F" w:rsidRPr="00330FB4" w:rsidRDefault="00511D8F" w:rsidP="00511D8F">
      <w:pPr>
        <w:pStyle w:val="ListParagraph"/>
        <w:ind w:left="1440"/>
        <w:jc w:val="both"/>
      </w:pPr>
      <w:r w:rsidRPr="00330FB4">
        <w:lastRenderedPageBreak/>
        <w:t>Resolution 1334 also resolves that the ITU</w:t>
      </w:r>
      <w:r>
        <w:rPr>
          <w:rFonts w:hint="eastAsia"/>
          <w:lang w:eastAsia="ko-KR"/>
        </w:rPr>
        <w:t>-</w:t>
      </w:r>
      <w:r w:rsidRPr="00330FB4">
        <w:t>coordinated WSIS+10 High-Level Event should review the WSIS Outcomes (2003 and 2005) under ITU’s responsibilities and develop proposals on a new vision beyond 2015, potentially including new targets and an action plan beyond 2015 in the area of ITU’s responsibility. This should be implemented taking into account decisions of the 68th Session of the UN General Assembly and will be followed by further review and decision by</w:t>
      </w:r>
      <w:r>
        <w:rPr>
          <w:rFonts w:hint="eastAsia"/>
          <w:lang w:eastAsia="ko-KR"/>
        </w:rPr>
        <w:t xml:space="preserve"> PP-14</w:t>
      </w:r>
      <w:r w:rsidRPr="00330FB4">
        <w:t>, if any.</w:t>
      </w:r>
    </w:p>
    <w:p w:rsidR="00511D8F" w:rsidRPr="00330FB4" w:rsidRDefault="00511D8F" w:rsidP="00511D8F">
      <w:pPr>
        <w:pStyle w:val="ListParagraph"/>
        <w:ind w:left="1440"/>
        <w:jc w:val="both"/>
      </w:pPr>
    </w:p>
    <w:p w:rsidR="00511D8F" w:rsidRPr="00330FB4" w:rsidRDefault="00511D8F" w:rsidP="00511D8F">
      <w:pPr>
        <w:pStyle w:val="ListParagraph"/>
        <w:numPr>
          <w:ilvl w:val="2"/>
          <w:numId w:val="9"/>
        </w:numPr>
        <w:jc w:val="both"/>
      </w:pPr>
      <w:r w:rsidRPr="00330FB4">
        <w:t>Current Status at ITU</w:t>
      </w:r>
    </w:p>
    <w:p w:rsidR="00511D8F" w:rsidRPr="00330FB4" w:rsidRDefault="00511D8F" w:rsidP="00511D8F">
      <w:pPr>
        <w:jc w:val="both"/>
        <w:rPr>
          <w:lang w:eastAsia="ko-KR"/>
        </w:rPr>
      </w:pPr>
    </w:p>
    <w:p w:rsidR="00511D8F" w:rsidRPr="00330FB4" w:rsidRDefault="00511D8F" w:rsidP="00511D8F">
      <w:pPr>
        <w:pStyle w:val="ListParagraph"/>
        <w:ind w:left="1440"/>
        <w:jc w:val="both"/>
      </w:pPr>
      <w:r w:rsidRPr="00330FB4">
        <w:rPr>
          <w:lang w:eastAsia="ko-KR"/>
        </w:rPr>
        <w:t>At Council-13</w:t>
      </w:r>
      <w:r w:rsidRPr="00D83A9B">
        <w:rPr>
          <w:lang w:eastAsia="ko-KR"/>
        </w:rPr>
        <w:t xml:space="preserve">, it was decided to </w:t>
      </w:r>
      <w:r w:rsidRPr="00D83A9B">
        <w:t>use the opportunity of regional preparatory meetings for WTDC-14 to hold additional meetings, within the existing budgetary limits, that should be intergovernmental and inclusive to all WSIS stakeholders, within their respective roles to consider regional views on the implementation of the WSIS outcomes</w:t>
      </w:r>
      <w:r w:rsidRPr="00330FB4">
        <w:t xml:space="preserve">, and a vision beyond 2015, taking into account financial implications, accreditation, operational challenges, providing equal opportunities for stakeholders from developed and developing countries, as well as taking into account the modalities to be decided by </w:t>
      </w:r>
      <w:r>
        <w:rPr>
          <w:rFonts w:hint="eastAsia"/>
          <w:lang w:eastAsia="ko-KR"/>
        </w:rPr>
        <w:t xml:space="preserve">the </w:t>
      </w:r>
      <w:r w:rsidRPr="00330FB4">
        <w:t xml:space="preserve">General Assembly of </w:t>
      </w:r>
      <w:r>
        <w:rPr>
          <w:rFonts w:hint="eastAsia"/>
          <w:lang w:eastAsia="ko-KR"/>
        </w:rPr>
        <w:t xml:space="preserve">the </w:t>
      </w:r>
      <w:r w:rsidRPr="00330FB4">
        <w:t>United Nation</w:t>
      </w:r>
      <w:r>
        <w:rPr>
          <w:rFonts w:hint="eastAsia"/>
          <w:lang w:eastAsia="ko-KR"/>
        </w:rPr>
        <w:t>s</w:t>
      </w:r>
      <w:r w:rsidRPr="00330FB4">
        <w:t>.</w:t>
      </w:r>
    </w:p>
    <w:p w:rsidR="00511D8F" w:rsidRPr="00F015DC" w:rsidRDefault="00511D8F" w:rsidP="00511D8F">
      <w:pPr>
        <w:jc w:val="both"/>
        <w:rPr>
          <w:lang w:eastAsia="ko-KR"/>
        </w:rPr>
      </w:pPr>
    </w:p>
    <w:p w:rsidR="00511D8F" w:rsidRPr="00330FB4" w:rsidRDefault="00511D8F" w:rsidP="00511D8F">
      <w:pPr>
        <w:pStyle w:val="ListParagraph"/>
        <w:numPr>
          <w:ilvl w:val="2"/>
          <w:numId w:val="9"/>
        </w:numPr>
        <w:jc w:val="both"/>
        <w:rPr>
          <w:i/>
        </w:rPr>
      </w:pPr>
      <w:r w:rsidRPr="00330FB4">
        <w:rPr>
          <w:i/>
        </w:rPr>
        <w:t xml:space="preserve">Further Action Required </w:t>
      </w:r>
    </w:p>
    <w:p w:rsidR="00511D8F" w:rsidRPr="00330FB4" w:rsidRDefault="00511D8F" w:rsidP="00511D8F">
      <w:pPr>
        <w:pStyle w:val="ListParagraph"/>
        <w:ind w:left="1440"/>
        <w:jc w:val="both"/>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3"/>
      </w:tblGrid>
      <w:tr w:rsidR="00511D8F" w:rsidRPr="00330FB4" w:rsidTr="00221349">
        <w:tc>
          <w:tcPr>
            <w:tcW w:w="8093" w:type="dxa"/>
            <w:shd w:val="clear" w:color="auto" w:fill="auto"/>
          </w:tcPr>
          <w:p w:rsidR="00511D8F" w:rsidRPr="00330FB4" w:rsidRDefault="00511D8F" w:rsidP="00221349">
            <w:pPr>
              <w:pStyle w:val="ListParagraph"/>
              <w:ind w:left="0"/>
              <w:jc w:val="both"/>
            </w:pPr>
            <w:r w:rsidRPr="00330FB4">
              <w:t>APT member countries are encouraged to note the discussion</w:t>
            </w:r>
            <w:r>
              <w:rPr>
                <w:rFonts w:hint="eastAsia"/>
                <w:lang w:eastAsia="ko-KR"/>
              </w:rPr>
              <w:t>s</w:t>
            </w:r>
            <w:r w:rsidRPr="00330FB4">
              <w:t xml:space="preserve"> o</w:t>
            </w:r>
            <w:r>
              <w:rPr>
                <w:rFonts w:hint="eastAsia"/>
                <w:lang w:eastAsia="ko-KR"/>
              </w:rPr>
              <w:t>f the</w:t>
            </w:r>
            <w:r w:rsidRPr="00330FB4">
              <w:t xml:space="preserve"> ITU Council and CWG-WSIS.</w:t>
            </w:r>
          </w:p>
          <w:p w:rsidR="00511D8F" w:rsidRPr="00330FB4" w:rsidRDefault="00511D8F" w:rsidP="00221349">
            <w:pPr>
              <w:pStyle w:val="ListParagraph"/>
              <w:ind w:left="0"/>
              <w:jc w:val="both"/>
            </w:pPr>
          </w:p>
          <w:p w:rsidR="00511D8F" w:rsidRDefault="00511D8F" w:rsidP="00221349">
            <w:pPr>
              <w:pStyle w:val="ListParagraph"/>
              <w:ind w:left="0"/>
              <w:jc w:val="both"/>
              <w:rPr>
                <w:lang w:eastAsia="ko-KR"/>
              </w:rPr>
            </w:pPr>
            <w:r w:rsidRPr="00330FB4">
              <w:rPr>
                <w:b/>
              </w:rPr>
              <w:t>Recommendation:</w:t>
            </w:r>
            <w:r w:rsidRPr="00330FB4">
              <w:t xml:space="preserve"> Taking into account the preparatory meeting schedule for WSIS+10, APT member countries are encouraged to participate in the preparatory process.</w:t>
            </w:r>
          </w:p>
          <w:p w:rsidR="00511D8F" w:rsidRPr="00330FB4" w:rsidRDefault="00511D8F" w:rsidP="00221349">
            <w:pPr>
              <w:pStyle w:val="ListParagraph"/>
              <w:ind w:left="0"/>
              <w:jc w:val="both"/>
              <w:rPr>
                <w:b/>
                <w:bCs/>
                <w:i/>
                <w:iCs/>
                <w:color w:val="404040"/>
                <w:lang w:eastAsia="ko-KR"/>
              </w:rPr>
            </w:pPr>
          </w:p>
        </w:tc>
      </w:tr>
    </w:tbl>
    <w:p w:rsidR="00511D8F" w:rsidRPr="00330FB4" w:rsidRDefault="00511D8F" w:rsidP="00511D8F">
      <w:pPr>
        <w:jc w:val="both"/>
        <w:rPr>
          <w:lang w:eastAsia="ko-KR"/>
        </w:rPr>
      </w:pPr>
    </w:p>
    <w:p w:rsidR="00511D8F" w:rsidRPr="00330FB4" w:rsidRDefault="00511D8F" w:rsidP="00511D8F">
      <w:pPr>
        <w:pStyle w:val="ListParagraph"/>
        <w:rPr>
          <w:lang w:eastAsia="ko-KR"/>
        </w:rPr>
      </w:pPr>
    </w:p>
    <w:p w:rsidR="00511D8F" w:rsidRPr="00330FB4" w:rsidRDefault="00511D8F" w:rsidP="00511D8F">
      <w:pPr>
        <w:pStyle w:val="ListParagraph"/>
        <w:numPr>
          <w:ilvl w:val="1"/>
          <w:numId w:val="9"/>
        </w:numPr>
        <w:ind w:left="360"/>
        <w:jc w:val="both"/>
        <w:rPr>
          <w:b/>
          <w:bCs/>
        </w:rPr>
      </w:pPr>
      <w:r w:rsidRPr="00330FB4">
        <w:rPr>
          <w:b/>
          <w:bCs/>
        </w:rPr>
        <w:t xml:space="preserve">Issue </w:t>
      </w:r>
      <w:r w:rsidRPr="00330FB4">
        <w:rPr>
          <w:b/>
          <w:bCs/>
          <w:lang w:eastAsia="ko-KR"/>
        </w:rPr>
        <w:t>3</w:t>
      </w:r>
      <w:r w:rsidRPr="00330FB4">
        <w:rPr>
          <w:b/>
          <w:bCs/>
        </w:rPr>
        <w:t>:</w:t>
      </w:r>
      <w:r w:rsidRPr="00330FB4">
        <w:rPr>
          <w:rFonts w:eastAsia="Malgun Gothic"/>
          <w:b/>
          <w:bCs/>
          <w:lang w:eastAsia="ko-KR"/>
        </w:rPr>
        <w:t xml:space="preserve"> International Internet-</w:t>
      </w:r>
      <w:r>
        <w:rPr>
          <w:rFonts w:eastAsia="Malgun Gothic" w:hint="eastAsia"/>
          <w:b/>
          <w:bCs/>
          <w:lang w:eastAsia="ko-KR"/>
        </w:rPr>
        <w:t>R</w:t>
      </w:r>
      <w:r w:rsidRPr="00330FB4">
        <w:rPr>
          <w:rFonts w:eastAsia="Malgun Gothic"/>
          <w:b/>
          <w:bCs/>
          <w:lang w:eastAsia="ko-KR"/>
        </w:rPr>
        <w:t xml:space="preserve">elated Public Policy Issues </w:t>
      </w:r>
    </w:p>
    <w:p w:rsidR="00511D8F" w:rsidRPr="00330FB4" w:rsidRDefault="00511D8F" w:rsidP="00511D8F">
      <w:pPr>
        <w:pStyle w:val="ListParagraph"/>
        <w:ind w:left="360"/>
        <w:jc w:val="both"/>
        <w:rPr>
          <w:b/>
          <w:bCs/>
        </w:rPr>
      </w:pPr>
    </w:p>
    <w:p w:rsidR="00511D8F" w:rsidRPr="00330FB4" w:rsidRDefault="00511D8F" w:rsidP="00511D8F">
      <w:pPr>
        <w:pStyle w:val="ListParagraph"/>
        <w:numPr>
          <w:ilvl w:val="2"/>
          <w:numId w:val="9"/>
        </w:numPr>
        <w:jc w:val="both"/>
      </w:pPr>
      <w:r w:rsidRPr="00330FB4">
        <w:t>Introduction/Background</w:t>
      </w:r>
    </w:p>
    <w:p w:rsidR="00511D8F" w:rsidRPr="00330FB4" w:rsidRDefault="00511D8F" w:rsidP="00511D8F">
      <w:pPr>
        <w:pStyle w:val="ListParagraph"/>
        <w:ind w:left="1440"/>
        <w:jc w:val="both"/>
      </w:pPr>
    </w:p>
    <w:p w:rsidR="00511D8F" w:rsidRPr="00330FB4" w:rsidRDefault="00511D8F" w:rsidP="00511D8F">
      <w:pPr>
        <w:pStyle w:val="ListParagraph"/>
        <w:ind w:left="1440"/>
        <w:jc w:val="both"/>
        <w:rPr>
          <w:lang w:eastAsia="ko-KR"/>
        </w:rPr>
      </w:pPr>
      <w:r w:rsidRPr="00330FB4">
        <w:rPr>
          <w:lang w:eastAsia="ko-KR"/>
        </w:rPr>
        <w:t>Plenipotentiary Conferences adopted Resolutions pertaining to Internet</w:t>
      </w:r>
      <w:r>
        <w:rPr>
          <w:rFonts w:hint="eastAsia"/>
          <w:lang w:eastAsia="ko-KR"/>
        </w:rPr>
        <w:t>-</w:t>
      </w:r>
      <w:r w:rsidRPr="00330FB4">
        <w:rPr>
          <w:lang w:eastAsia="ko-KR"/>
        </w:rPr>
        <w:t xml:space="preserve">related </w:t>
      </w:r>
      <w:r>
        <w:rPr>
          <w:rFonts w:hint="eastAsia"/>
          <w:lang w:eastAsia="ko-KR"/>
        </w:rPr>
        <w:t>p</w:t>
      </w:r>
      <w:r w:rsidRPr="00330FB4">
        <w:rPr>
          <w:lang w:eastAsia="ko-KR"/>
        </w:rPr>
        <w:t xml:space="preserve">ublic </w:t>
      </w:r>
      <w:r>
        <w:rPr>
          <w:rFonts w:hint="eastAsia"/>
          <w:lang w:eastAsia="ko-KR"/>
        </w:rPr>
        <w:t>p</w:t>
      </w:r>
      <w:r w:rsidRPr="00330FB4">
        <w:rPr>
          <w:lang w:eastAsia="ko-KR"/>
        </w:rPr>
        <w:t xml:space="preserve">olicy </w:t>
      </w:r>
      <w:r>
        <w:rPr>
          <w:rFonts w:hint="eastAsia"/>
          <w:lang w:eastAsia="ko-KR"/>
        </w:rPr>
        <w:t>i</w:t>
      </w:r>
      <w:r w:rsidRPr="00330FB4">
        <w:rPr>
          <w:lang w:eastAsia="ko-KR"/>
        </w:rPr>
        <w:t>ssues, which are:</w:t>
      </w:r>
    </w:p>
    <w:p w:rsidR="00511D8F" w:rsidRPr="00330FB4" w:rsidRDefault="00511D8F" w:rsidP="00511D8F">
      <w:pPr>
        <w:pStyle w:val="ListParagraph"/>
        <w:numPr>
          <w:ilvl w:val="0"/>
          <w:numId w:val="15"/>
        </w:numPr>
        <w:jc w:val="both"/>
        <w:rPr>
          <w:lang w:eastAsia="ko-KR"/>
        </w:rPr>
      </w:pPr>
      <w:r w:rsidRPr="00330FB4">
        <w:rPr>
          <w:lang w:eastAsia="ko-KR"/>
        </w:rPr>
        <w:t xml:space="preserve">Resolution 101 – </w:t>
      </w:r>
      <w:r w:rsidRPr="00330FB4">
        <w:rPr>
          <w:i/>
          <w:lang w:eastAsia="ko-KR"/>
        </w:rPr>
        <w:t>Internet Protocol-based networks</w:t>
      </w:r>
    </w:p>
    <w:p w:rsidR="00511D8F" w:rsidRPr="00330FB4" w:rsidRDefault="00511D8F" w:rsidP="00511D8F">
      <w:pPr>
        <w:pStyle w:val="ListParagraph"/>
        <w:numPr>
          <w:ilvl w:val="0"/>
          <w:numId w:val="15"/>
        </w:numPr>
        <w:jc w:val="both"/>
        <w:rPr>
          <w:i/>
          <w:lang w:eastAsia="ko-KR"/>
        </w:rPr>
      </w:pPr>
      <w:r w:rsidRPr="00330FB4">
        <w:rPr>
          <w:lang w:eastAsia="ko-KR"/>
        </w:rPr>
        <w:t xml:space="preserve">Resolution 102 – </w:t>
      </w:r>
      <w:r w:rsidRPr="00330FB4">
        <w:rPr>
          <w:i/>
          <w:lang w:eastAsia="ko-KR"/>
        </w:rPr>
        <w:t>ITU’s role with regard to international public policy issues pertaining to the Internet and the management of Internet resources, including domain names and addresses</w:t>
      </w:r>
    </w:p>
    <w:p w:rsidR="00511D8F" w:rsidRPr="00330FB4" w:rsidRDefault="00511D8F" w:rsidP="00511D8F">
      <w:pPr>
        <w:pStyle w:val="ListParagraph"/>
        <w:numPr>
          <w:ilvl w:val="0"/>
          <w:numId w:val="15"/>
        </w:numPr>
        <w:jc w:val="both"/>
        <w:rPr>
          <w:lang w:eastAsia="ko-KR"/>
        </w:rPr>
      </w:pPr>
      <w:r w:rsidRPr="00330FB4">
        <w:rPr>
          <w:lang w:eastAsia="ko-KR"/>
        </w:rPr>
        <w:t xml:space="preserve">Resolution 133 – </w:t>
      </w:r>
      <w:r w:rsidRPr="00330FB4">
        <w:rPr>
          <w:i/>
          <w:lang w:eastAsia="ko-KR"/>
        </w:rPr>
        <w:t>Role of administrations of Member States in the management of internationalized (multilingual) domain names</w:t>
      </w:r>
    </w:p>
    <w:p w:rsidR="00511D8F" w:rsidRPr="00330FB4" w:rsidRDefault="00511D8F" w:rsidP="00511D8F">
      <w:pPr>
        <w:pStyle w:val="ListParagraph"/>
        <w:ind w:left="1440"/>
        <w:jc w:val="both"/>
        <w:rPr>
          <w:lang w:eastAsia="ko-KR"/>
        </w:rPr>
      </w:pPr>
    </w:p>
    <w:p w:rsidR="00511D8F" w:rsidRPr="00330FB4" w:rsidRDefault="00511D8F" w:rsidP="00511D8F">
      <w:pPr>
        <w:pStyle w:val="ListParagraph"/>
        <w:ind w:left="1440"/>
        <w:jc w:val="both"/>
      </w:pPr>
      <w:r w:rsidRPr="00330FB4">
        <w:t xml:space="preserve">Resolution 102 instructs the Council to report to PP-14 on the activities undertaken and achievements on the objectives of that resolution, including proposals for further consideration as appropriate. </w:t>
      </w:r>
    </w:p>
    <w:p w:rsidR="00511D8F" w:rsidRPr="00330FB4" w:rsidRDefault="00511D8F" w:rsidP="00511D8F">
      <w:pPr>
        <w:pStyle w:val="ListParagraph"/>
        <w:ind w:left="1440"/>
        <w:jc w:val="both"/>
        <w:rPr>
          <w:lang w:eastAsia="ko-KR"/>
        </w:rPr>
      </w:pPr>
    </w:p>
    <w:p w:rsidR="00511D8F" w:rsidRPr="00330FB4" w:rsidRDefault="00511D8F" w:rsidP="00511D8F">
      <w:pPr>
        <w:pStyle w:val="ListParagraph"/>
        <w:ind w:left="1440"/>
        <w:jc w:val="both"/>
        <w:rPr>
          <w:lang w:eastAsia="ko-KR"/>
        </w:rPr>
      </w:pPr>
      <w:r w:rsidRPr="00330FB4">
        <w:rPr>
          <w:lang w:eastAsia="ko-KR"/>
        </w:rPr>
        <w:t xml:space="preserve">WCIT-12 adopted a Resolution related to </w:t>
      </w:r>
      <w:r>
        <w:rPr>
          <w:rFonts w:hint="eastAsia"/>
          <w:lang w:eastAsia="ko-KR"/>
        </w:rPr>
        <w:t xml:space="preserve">the </w:t>
      </w:r>
      <w:r w:rsidRPr="00330FB4">
        <w:rPr>
          <w:lang w:eastAsia="ko-KR"/>
        </w:rPr>
        <w:t>Internet, which is:</w:t>
      </w:r>
    </w:p>
    <w:p w:rsidR="00511D8F" w:rsidRPr="00330FB4" w:rsidRDefault="00511D8F" w:rsidP="00511D8F">
      <w:pPr>
        <w:pStyle w:val="ListParagraph"/>
        <w:numPr>
          <w:ilvl w:val="0"/>
          <w:numId w:val="15"/>
        </w:numPr>
        <w:jc w:val="both"/>
        <w:rPr>
          <w:i/>
          <w:lang w:eastAsia="ko-KR"/>
        </w:rPr>
      </w:pPr>
      <w:r w:rsidRPr="00330FB4">
        <w:rPr>
          <w:lang w:eastAsia="ko-KR"/>
        </w:rPr>
        <w:t xml:space="preserve">Resolution 3 </w:t>
      </w:r>
      <w:r w:rsidRPr="00330FB4">
        <w:rPr>
          <w:i/>
          <w:lang w:eastAsia="ko-KR"/>
        </w:rPr>
        <w:t>– to foster an enabling environment for the greater growth of the Internet</w:t>
      </w:r>
    </w:p>
    <w:p w:rsidR="00511D8F" w:rsidRPr="00330FB4" w:rsidRDefault="00511D8F" w:rsidP="00511D8F">
      <w:pPr>
        <w:pStyle w:val="ListParagraph"/>
        <w:ind w:left="1440"/>
        <w:jc w:val="both"/>
        <w:rPr>
          <w:lang w:eastAsia="ko-KR"/>
        </w:rPr>
      </w:pPr>
    </w:p>
    <w:p w:rsidR="00511D8F" w:rsidRPr="00330FB4" w:rsidRDefault="00511D8F" w:rsidP="00511D8F">
      <w:pPr>
        <w:pStyle w:val="ListParagraph"/>
        <w:ind w:left="1440"/>
        <w:jc w:val="both"/>
        <w:rPr>
          <w:lang w:eastAsia="ko-KR"/>
        </w:rPr>
      </w:pPr>
      <w:r>
        <w:rPr>
          <w:rFonts w:hint="eastAsia"/>
          <w:lang w:eastAsia="ko-KR"/>
        </w:rPr>
        <w:t xml:space="preserve">The </w:t>
      </w:r>
      <w:r w:rsidRPr="00330FB4">
        <w:rPr>
          <w:lang w:eastAsia="ko-KR"/>
        </w:rPr>
        <w:t>World Telecommunications/ICT Policy Forum (WTPF) was held in 2013 to discuss Internet</w:t>
      </w:r>
      <w:r>
        <w:rPr>
          <w:rFonts w:hint="eastAsia"/>
          <w:lang w:eastAsia="ko-KR"/>
        </w:rPr>
        <w:t>-</w:t>
      </w:r>
      <w:r w:rsidRPr="00330FB4">
        <w:rPr>
          <w:lang w:eastAsia="ko-KR"/>
        </w:rPr>
        <w:t xml:space="preserve">related </w:t>
      </w:r>
      <w:r>
        <w:rPr>
          <w:rFonts w:hint="eastAsia"/>
          <w:lang w:eastAsia="ko-KR"/>
        </w:rPr>
        <w:t>p</w:t>
      </w:r>
      <w:r w:rsidRPr="00330FB4">
        <w:rPr>
          <w:lang w:eastAsia="ko-KR"/>
        </w:rPr>
        <w:t xml:space="preserve">ublic </w:t>
      </w:r>
      <w:r>
        <w:rPr>
          <w:rFonts w:hint="eastAsia"/>
          <w:lang w:eastAsia="ko-KR"/>
        </w:rPr>
        <w:t>p</w:t>
      </w:r>
      <w:r w:rsidRPr="00330FB4">
        <w:rPr>
          <w:lang w:eastAsia="ko-KR"/>
        </w:rPr>
        <w:t>olicy issues and come up with the following six Opinions:</w:t>
      </w:r>
    </w:p>
    <w:p w:rsidR="00511D8F" w:rsidRPr="00330FB4" w:rsidRDefault="00511D8F" w:rsidP="00511D8F">
      <w:pPr>
        <w:pStyle w:val="ListParagraph"/>
        <w:numPr>
          <w:ilvl w:val="0"/>
          <w:numId w:val="15"/>
        </w:numPr>
        <w:jc w:val="both"/>
        <w:rPr>
          <w:i/>
          <w:lang w:eastAsia="ko-KR"/>
        </w:rPr>
      </w:pPr>
      <w:r w:rsidRPr="00330FB4">
        <w:rPr>
          <w:lang w:eastAsia="ko-KR"/>
        </w:rPr>
        <w:t xml:space="preserve">Opinion 1 - </w:t>
      </w:r>
      <w:r w:rsidRPr="00330FB4">
        <w:rPr>
          <w:i/>
          <w:lang w:eastAsia="ko-KR"/>
        </w:rPr>
        <w:t>Promoting Internet Exchange Points (IXPs) as a long term solution to advance connectivity</w:t>
      </w:r>
    </w:p>
    <w:p w:rsidR="00511D8F" w:rsidRPr="00330FB4" w:rsidRDefault="00511D8F" w:rsidP="00511D8F">
      <w:pPr>
        <w:pStyle w:val="ListParagraph"/>
        <w:numPr>
          <w:ilvl w:val="0"/>
          <w:numId w:val="15"/>
        </w:numPr>
        <w:jc w:val="both"/>
        <w:rPr>
          <w:lang w:eastAsia="ko-KR"/>
        </w:rPr>
      </w:pPr>
      <w:r w:rsidRPr="00330FB4">
        <w:rPr>
          <w:lang w:eastAsia="ko-KR"/>
        </w:rPr>
        <w:t xml:space="preserve">Opinion 2 - </w:t>
      </w:r>
      <w:r w:rsidRPr="00330FB4">
        <w:rPr>
          <w:i/>
          <w:lang w:eastAsia="ko-KR"/>
        </w:rPr>
        <w:t>Fostering an enabling environment for the greater growth and development of broadband connectivity</w:t>
      </w:r>
    </w:p>
    <w:p w:rsidR="00511D8F" w:rsidRPr="00330FB4" w:rsidRDefault="00511D8F" w:rsidP="00511D8F">
      <w:pPr>
        <w:pStyle w:val="ListParagraph"/>
        <w:numPr>
          <w:ilvl w:val="0"/>
          <w:numId w:val="15"/>
        </w:numPr>
        <w:jc w:val="both"/>
        <w:rPr>
          <w:lang w:eastAsia="ko-KR"/>
        </w:rPr>
      </w:pPr>
      <w:r w:rsidRPr="00330FB4">
        <w:rPr>
          <w:lang w:eastAsia="ko-KR"/>
        </w:rPr>
        <w:t xml:space="preserve">Opinion 3 - </w:t>
      </w:r>
      <w:r w:rsidRPr="00330FB4">
        <w:rPr>
          <w:i/>
          <w:lang w:eastAsia="ko-KR"/>
        </w:rPr>
        <w:t>Supporting Capacity Building for the deployment of IPv6</w:t>
      </w:r>
    </w:p>
    <w:p w:rsidR="00511D8F" w:rsidRPr="00330FB4" w:rsidRDefault="00511D8F" w:rsidP="00511D8F">
      <w:pPr>
        <w:pStyle w:val="ListParagraph"/>
        <w:numPr>
          <w:ilvl w:val="0"/>
          <w:numId w:val="15"/>
        </w:numPr>
        <w:jc w:val="both"/>
        <w:rPr>
          <w:lang w:eastAsia="ko-KR"/>
        </w:rPr>
      </w:pPr>
      <w:r w:rsidRPr="00330FB4">
        <w:rPr>
          <w:lang w:eastAsia="ko-KR"/>
        </w:rPr>
        <w:t xml:space="preserve">Opinion 4 - </w:t>
      </w:r>
      <w:r w:rsidRPr="00330FB4">
        <w:rPr>
          <w:i/>
          <w:lang w:eastAsia="ko-KR"/>
        </w:rPr>
        <w:t>In Support of IPv6 Adoption and Transition from IPv4</w:t>
      </w:r>
    </w:p>
    <w:p w:rsidR="00511D8F" w:rsidRPr="00330FB4" w:rsidRDefault="00511D8F" w:rsidP="00511D8F">
      <w:pPr>
        <w:pStyle w:val="ListParagraph"/>
        <w:numPr>
          <w:ilvl w:val="0"/>
          <w:numId w:val="15"/>
        </w:numPr>
        <w:jc w:val="both"/>
        <w:rPr>
          <w:lang w:eastAsia="ko-KR"/>
        </w:rPr>
      </w:pPr>
      <w:r w:rsidRPr="00330FB4">
        <w:rPr>
          <w:lang w:eastAsia="ko-KR"/>
        </w:rPr>
        <w:t xml:space="preserve">Opinion 5 - </w:t>
      </w:r>
      <w:r w:rsidRPr="00330FB4">
        <w:rPr>
          <w:i/>
          <w:lang w:eastAsia="ko-KR"/>
        </w:rPr>
        <w:t>Supporting Multi-</w:t>
      </w:r>
      <w:proofErr w:type="spellStart"/>
      <w:r w:rsidRPr="00330FB4">
        <w:rPr>
          <w:i/>
          <w:lang w:eastAsia="ko-KR"/>
        </w:rPr>
        <w:t>stakeholderism</w:t>
      </w:r>
      <w:proofErr w:type="spellEnd"/>
      <w:r w:rsidRPr="00330FB4">
        <w:rPr>
          <w:i/>
          <w:lang w:eastAsia="ko-KR"/>
        </w:rPr>
        <w:t xml:space="preserve"> in Internet Governance</w:t>
      </w:r>
    </w:p>
    <w:p w:rsidR="00511D8F" w:rsidRPr="00330FB4" w:rsidRDefault="00511D8F" w:rsidP="00511D8F">
      <w:pPr>
        <w:pStyle w:val="ListParagraph"/>
        <w:numPr>
          <w:ilvl w:val="0"/>
          <w:numId w:val="15"/>
        </w:numPr>
        <w:jc w:val="both"/>
        <w:rPr>
          <w:lang w:eastAsia="ko-KR"/>
        </w:rPr>
      </w:pPr>
      <w:r w:rsidRPr="00330FB4">
        <w:rPr>
          <w:lang w:eastAsia="ko-KR"/>
        </w:rPr>
        <w:t xml:space="preserve">Opinion 6 - </w:t>
      </w:r>
      <w:r w:rsidRPr="00330FB4">
        <w:rPr>
          <w:i/>
          <w:lang w:eastAsia="ko-KR"/>
        </w:rPr>
        <w:t>On supporting operationalizing the Enhanced Cooperation Process</w:t>
      </w:r>
    </w:p>
    <w:p w:rsidR="00511D8F" w:rsidRPr="00330FB4" w:rsidRDefault="00511D8F" w:rsidP="00511D8F">
      <w:pPr>
        <w:jc w:val="both"/>
        <w:rPr>
          <w:lang w:eastAsia="ko-KR"/>
        </w:rPr>
      </w:pPr>
    </w:p>
    <w:p w:rsidR="00511D8F" w:rsidRPr="00330FB4" w:rsidRDefault="00511D8F" w:rsidP="00511D8F">
      <w:pPr>
        <w:pStyle w:val="ListParagraph"/>
        <w:numPr>
          <w:ilvl w:val="2"/>
          <w:numId w:val="9"/>
        </w:numPr>
        <w:jc w:val="both"/>
      </w:pPr>
      <w:r w:rsidRPr="00330FB4">
        <w:t>Current Status at ITU</w:t>
      </w:r>
    </w:p>
    <w:p w:rsidR="00511D8F" w:rsidRPr="00330FB4" w:rsidRDefault="00511D8F" w:rsidP="00511D8F">
      <w:pPr>
        <w:jc w:val="both"/>
        <w:rPr>
          <w:lang w:eastAsia="ko-KR"/>
        </w:rPr>
      </w:pPr>
    </w:p>
    <w:p w:rsidR="00511D8F" w:rsidRDefault="00511D8F" w:rsidP="00511D8F">
      <w:pPr>
        <w:pStyle w:val="ListParagraph"/>
        <w:ind w:left="1440"/>
        <w:jc w:val="both"/>
        <w:rPr>
          <w:lang w:eastAsia="ko-KR"/>
        </w:rPr>
      </w:pPr>
      <w:r w:rsidRPr="00330FB4">
        <w:rPr>
          <w:lang w:eastAsia="ko-KR"/>
        </w:rPr>
        <w:t>WTPF-13 did consider</w:t>
      </w:r>
      <w:r w:rsidRPr="00330FB4">
        <w:t xml:space="preserve"> </w:t>
      </w:r>
      <w:hyperlink r:id="rId13" w:history="1">
        <w:r w:rsidRPr="00330FB4">
          <w:rPr>
            <w:rStyle w:val="Hyperlink"/>
          </w:rPr>
          <w:t xml:space="preserve">the new Draft Opinion on </w:t>
        </w:r>
        <w:r w:rsidRPr="00330FB4">
          <w:rPr>
            <w:rStyle w:val="Hyperlink"/>
            <w:i/>
            <w:iCs/>
          </w:rPr>
          <w:t>the Role of Government in the Multistakeholder Framework for Internet Governance</w:t>
        </w:r>
      </w:hyperlink>
      <w:r w:rsidRPr="00330FB4">
        <w:rPr>
          <w:i/>
          <w:iCs/>
        </w:rPr>
        <w:t xml:space="preserve"> </w:t>
      </w:r>
      <w:r w:rsidRPr="00330FB4">
        <w:rPr>
          <w:lang w:eastAsia="ko-KR"/>
        </w:rPr>
        <w:t xml:space="preserve">submitted by Brazil. </w:t>
      </w:r>
    </w:p>
    <w:p w:rsidR="00511D8F" w:rsidRPr="00330FB4" w:rsidRDefault="00511D8F" w:rsidP="00511D8F">
      <w:pPr>
        <w:pStyle w:val="ListParagraph"/>
        <w:ind w:left="1440"/>
        <w:jc w:val="both"/>
        <w:rPr>
          <w:lang w:eastAsia="ko-KR"/>
        </w:rPr>
      </w:pPr>
      <w:r>
        <w:rPr>
          <w:rFonts w:hint="eastAsia"/>
          <w:lang w:eastAsia="ko-KR"/>
        </w:rPr>
        <w:t>M</w:t>
      </w:r>
      <w:r w:rsidRPr="00330FB4">
        <w:rPr>
          <w:lang w:eastAsia="ko-KR"/>
        </w:rPr>
        <w:t>any delegates expressed the view that the topic was very important</w:t>
      </w:r>
      <w:r>
        <w:rPr>
          <w:rFonts w:hint="eastAsia"/>
          <w:lang w:eastAsia="ko-KR"/>
        </w:rPr>
        <w:t xml:space="preserve"> but also</w:t>
      </w:r>
      <w:r w:rsidRPr="00330FB4">
        <w:rPr>
          <w:lang w:eastAsia="ko-KR"/>
        </w:rPr>
        <w:t xml:space="preserve"> complex</w:t>
      </w:r>
      <w:r>
        <w:rPr>
          <w:rFonts w:hint="eastAsia"/>
          <w:lang w:eastAsia="ko-KR"/>
        </w:rPr>
        <w:t>,</w:t>
      </w:r>
      <w:r w:rsidRPr="00330FB4">
        <w:rPr>
          <w:lang w:eastAsia="ko-KR"/>
        </w:rPr>
        <w:t xml:space="preserve"> </w:t>
      </w:r>
      <w:r>
        <w:rPr>
          <w:rFonts w:hint="eastAsia"/>
          <w:lang w:eastAsia="ko-KR"/>
        </w:rPr>
        <w:t xml:space="preserve">and </w:t>
      </w:r>
      <w:r w:rsidRPr="00330FB4">
        <w:rPr>
          <w:lang w:eastAsia="ko-KR"/>
        </w:rPr>
        <w:t xml:space="preserve">that there was insufficient time left for WTPF-13 to consider all aspects in detail. WTPF-13 concluded this discussion could be continued within the Council Working Group on </w:t>
      </w:r>
      <w:r>
        <w:rPr>
          <w:rFonts w:hint="eastAsia"/>
          <w:lang w:eastAsia="ko-KR"/>
        </w:rPr>
        <w:t>i</w:t>
      </w:r>
      <w:r w:rsidRPr="00330FB4">
        <w:rPr>
          <w:lang w:eastAsia="ko-KR"/>
        </w:rPr>
        <w:t>nternational Internet-related public policy</w:t>
      </w:r>
      <w:r>
        <w:rPr>
          <w:rFonts w:hint="eastAsia"/>
          <w:lang w:eastAsia="ko-KR"/>
        </w:rPr>
        <w:t xml:space="preserve"> issues</w:t>
      </w:r>
      <w:r w:rsidRPr="00330FB4">
        <w:rPr>
          <w:lang w:eastAsia="ko-KR"/>
        </w:rPr>
        <w:t>.</w:t>
      </w:r>
    </w:p>
    <w:p w:rsidR="00511D8F" w:rsidRPr="00F015DC" w:rsidRDefault="00511D8F" w:rsidP="00511D8F">
      <w:pPr>
        <w:pStyle w:val="ListParagraph"/>
        <w:ind w:left="1440"/>
        <w:jc w:val="both"/>
        <w:rPr>
          <w:lang w:eastAsia="ko-KR"/>
        </w:rPr>
      </w:pPr>
    </w:p>
    <w:p w:rsidR="00511D8F" w:rsidRPr="00330FB4" w:rsidRDefault="00511D8F" w:rsidP="00511D8F">
      <w:pPr>
        <w:pStyle w:val="ListParagraph"/>
        <w:ind w:left="1440"/>
        <w:jc w:val="both"/>
        <w:rPr>
          <w:lang w:eastAsia="ko-KR"/>
        </w:rPr>
      </w:pPr>
      <w:r w:rsidRPr="00330FB4">
        <w:rPr>
          <w:lang w:eastAsia="ko-KR"/>
        </w:rPr>
        <w:t>At Council-13, document</w:t>
      </w:r>
      <w:r w:rsidRPr="00330FB4">
        <w:rPr>
          <w:snapToGrid w:val="0"/>
          <w:lang w:val="en-CA"/>
        </w:rPr>
        <w:t xml:space="preserve"> </w:t>
      </w:r>
      <w:hyperlink r:id="rId14" w:history="1">
        <w:r w:rsidRPr="00330FB4">
          <w:rPr>
            <w:rStyle w:val="Hyperlink"/>
            <w:snapToGrid w:val="0"/>
            <w:lang w:val="en-CA"/>
          </w:rPr>
          <w:t>C13/64</w:t>
        </w:r>
      </w:hyperlink>
      <w:r>
        <w:rPr>
          <w:rStyle w:val="Hyperlink"/>
          <w:rFonts w:hint="eastAsia"/>
          <w:snapToGrid w:val="0"/>
          <w:lang w:val="en-CA" w:eastAsia="ko-KR"/>
        </w:rPr>
        <w:t>,</w:t>
      </w:r>
      <w:r w:rsidRPr="00330FB4">
        <w:rPr>
          <w:rStyle w:val="Hyperlink"/>
          <w:snapToGrid w:val="0"/>
          <w:lang w:val="en-CA"/>
        </w:rPr>
        <w:t xml:space="preserve"> </w:t>
      </w:r>
      <w:r w:rsidRPr="00330FB4">
        <w:rPr>
          <w:lang w:eastAsia="ko-KR"/>
        </w:rPr>
        <w:t>which contained a draft resolution relating to the conclusion aforementioned</w:t>
      </w:r>
      <w:r>
        <w:rPr>
          <w:rFonts w:hint="eastAsia"/>
          <w:lang w:eastAsia="ko-KR"/>
        </w:rPr>
        <w:t>,</w:t>
      </w:r>
      <w:r w:rsidRPr="00330FB4">
        <w:rPr>
          <w:lang w:eastAsia="ko-KR"/>
        </w:rPr>
        <w:t xml:space="preserve"> was discussed. The draft Resolution intended to expand the composition of the Council Working Group on international Internet-related public policy issues (CWG-Internet) to all stakeholders</w:t>
      </w:r>
      <w:r>
        <w:rPr>
          <w:rFonts w:hint="eastAsia"/>
          <w:lang w:eastAsia="ko-KR"/>
        </w:rPr>
        <w:t xml:space="preserve"> -</w:t>
      </w:r>
      <w:r w:rsidRPr="00330FB4">
        <w:rPr>
          <w:lang w:eastAsia="ko-KR"/>
        </w:rPr>
        <w:t xml:space="preserve">not only ITU Member States constituted by Resolution 102 but also any interested parties. Since such </w:t>
      </w:r>
      <w:r>
        <w:rPr>
          <w:rFonts w:hint="eastAsia"/>
          <w:lang w:eastAsia="ko-KR"/>
        </w:rPr>
        <w:t xml:space="preserve">a </w:t>
      </w:r>
      <w:r w:rsidRPr="00330FB4">
        <w:rPr>
          <w:lang w:eastAsia="ko-KR"/>
        </w:rPr>
        <w:t xml:space="preserve">decision was up to PP-14, it was proposed that the Council recommend to PP-14 that the composition of CWG-Internet be expanded but implement that recommendation on an interim trial basis at CWG-Internet meetings prior to PP-14. However, due to the divergent view on that issue, Council-13 was unable to adopt the resolution. </w:t>
      </w:r>
    </w:p>
    <w:p w:rsidR="00511D8F" w:rsidRPr="00330FB4" w:rsidRDefault="00511D8F" w:rsidP="00511D8F">
      <w:pPr>
        <w:pStyle w:val="ListParagraph"/>
        <w:ind w:left="1440"/>
        <w:jc w:val="both"/>
        <w:rPr>
          <w:i/>
          <w:lang w:eastAsia="ko-KR"/>
        </w:rPr>
      </w:pPr>
    </w:p>
    <w:p w:rsidR="00511D8F" w:rsidRPr="0018593E" w:rsidRDefault="00511D8F" w:rsidP="00511D8F">
      <w:pPr>
        <w:pStyle w:val="ListParagraph"/>
        <w:ind w:left="1440"/>
        <w:jc w:val="both"/>
        <w:rPr>
          <w:rFonts w:eastAsia="Batang"/>
          <w:lang w:eastAsia="ko-KR"/>
        </w:rPr>
      </w:pPr>
      <w:r w:rsidRPr="00330FB4">
        <w:t xml:space="preserve">The role </w:t>
      </w:r>
      <w:r>
        <w:rPr>
          <w:rFonts w:hint="eastAsia"/>
          <w:lang w:eastAsia="ko-KR"/>
        </w:rPr>
        <w:t xml:space="preserve">of government </w:t>
      </w:r>
      <w:r w:rsidRPr="00330FB4">
        <w:t xml:space="preserve">in </w:t>
      </w:r>
      <w:r>
        <w:rPr>
          <w:rFonts w:hint="eastAsia"/>
          <w:lang w:eastAsia="ko-KR"/>
        </w:rPr>
        <w:t xml:space="preserve">the </w:t>
      </w:r>
      <w:proofErr w:type="spellStart"/>
      <w:r w:rsidRPr="00330FB4">
        <w:rPr>
          <w:rFonts w:eastAsia="Batang"/>
          <w:lang w:eastAsia="ko-KR"/>
        </w:rPr>
        <w:t>multistakeholder</w:t>
      </w:r>
      <w:proofErr w:type="spellEnd"/>
      <w:r w:rsidRPr="00330FB4">
        <w:rPr>
          <w:rFonts w:eastAsia="Batang"/>
          <w:lang w:eastAsia="ko-KR"/>
        </w:rPr>
        <w:t xml:space="preserve"> framework</w:t>
      </w:r>
      <w:r w:rsidRPr="00330FB4">
        <w:t xml:space="preserve"> is the essence of this issue and different views still exist. APT Member Countries have not set up a common position </w:t>
      </w:r>
      <w:r>
        <w:rPr>
          <w:rFonts w:hint="eastAsia"/>
          <w:lang w:eastAsia="ko-KR"/>
        </w:rPr>
        <w:t xml:space="preserve">regarding </w:t>
      </w:r>
      <w:r w:rsidRPr="00330FB4">
        <w:t>this issue.</w:t>
      </w:r>
    </w:p>
    <w:p w:rsidR="00511D8F" w:rsidRPr="00330FB4" w:rsidRDefault="00511D8F" w:rsidP="00511D8F">
      <w:pPr>
        <w:pStyle w:val="ListParagraph"/>
        <w:ind w:left="1440"/>
        <w:jc w:val="both"/>
      </w:pPr>
    </w:p>
    <w:p w:rsidR="00511D8F" w:rsidRPr="00330FB4" w:rsidRDefault="00511D8F" w:rsidP="00511D8F">
      <w:pPr>
        <w:pStyle w:val="ListParagraph"/>
        <w:numPr>
          <w:ilvl w:val="2"/>
          <w:numId w:val="9"/>
        </w:numPr>
        <w:jc w:val="both"/>
        <w:rPr>
          <w:i/>
        </w:rPr>
      </w:pPr>
      <w:r w:rsidRPr="00330FB4">
        <w:rPr>
          <w:i/>
        </w:rPr>
        <w:t xml:space="preserve">Further Action Required </w:t>
      </w:r>
    </w:p>
    <w:p w:rsidR="00511D8F" w:rsidRPr="00330FB4" w:rsidRDefault="00511D8F" w:rsidP="00511D8F">
      <w:pPr>
        <w:pStyle w:val="ListParagraph"/>
        <w:ind w:left="1440"/>
        <w:jc w:val="both"/>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3"/>
      </w:tblGrid>
      <w:tr w:rsidR="00511D8F" w:rsidRPr="00330FB4" w:rsidTr="00221349">
        <w:tc>
          <w:tcPr>
            <w:tcW w:w="9533" w:type="dxa"/>
            <w:shd w:val="clear" w:color="auto" w:fill="auto"/>
          </w:tcPr>
          <w:p w:rsidR="00511D8F" w:rsidRPr="00330FB4" w:rsidRDefault="00511D8F" w:rsidP="00221349">
            <w:pPr>
              <w:pStyle w:val="ListParagraph"/>
              <w:ind w:left="0"/>
              <w:jc w:val="both"/>
            </w:pPr>
            <w:r w:rsidRPr="00330FB4">
              <w:t xml:space="preserve">APT member countries are encouraged to note the discussion of </w:t>
            </w:r>
            <w:r>
              <w:rPr>
                <w:rFonts w:hint="eastAsia"/>
                <w:lang w:eastAsia="ko-KR"/>
              </w:rPr>
              <w:t xml:space="preserve">the </w:t>
            </w:r>
            <w:r w:rsidRPr="00330FB4">
              <w:t xml:space="preserve">ITU Council and CWG on </w:t>
            </w:r>
            <w:r>
              <w:rPr>
                <w:rFonts w:hint="eastAsia"/>
                <w:lang w:eastAsia="ko-KR"/>
              </w:rPr>
              <w:t>i</w:t>
            </w:r>
            <w:r w:rsidRPr="00330FB4">
              <w:t>nternational Internet-related public policy</w:t>
            </w:r>
            <w:r>
              <w:rPr>
                <w:rFonts w:hint="eastAsia"/>
                <w:lang w:eastAsia="ko-KR"/>
              </w:rPr>
              <w:t xml:space="preserve"> issues</w:t>
            </w:r>
            <w:r w:rsidRPr="00330FB4">
              <w:t>.</w:t>
            </w:r>
          </w:p>
          <w:p w:rsidR="00511D8F" w:rsidRPr="00F015DC" w:rsidRDefault="00511D8F" w:rsidP="00221349">
            <w:pPr>
              <w:pStyle w:val="ListParagraph"/>
              <w:ind w:left="0"/>
              <w:jc w:val="both"/>
              <w:rPr>
                <w:lang w:eastAsia="ko-KR"/>
              </w:rPr>
            </w:pPr>
          </w:p>
          <w:p w:rsidR="00511D8F" w:rsidRPr="00330FB4" w:rsidRDefault="00511D8F" w:rsidP="00221349">
            <w:pPr>
              <w:pStyle w:val="ListParagraph"/>
              <w:ind w:left="0"/>
              <w:jc w:val="both"/>
            </w:pPr>
            <w:r w:rsidRPr="00330FB4">
              <w:rPr>
                <w:b/>
              </w:rPr>
              <w:t>Recommendation:</w:t>
            </w:r>
            <w:r w:rsidRPr="00330FB4">
              <w:t xml:space="preserve"> International Internet-related public policy issue</w:t>
            </w:r>
            <w:r>
              <w:rPr>
                <w:rFonts w:hint="eastAsia"/>
                <w:lang w:eastAsia="ko-KR"/>
              </w:rPr>
              <w:t>s</w:t>
            </w:r>
            <w:r w:rsidRPr="00330FB4">
              <w:rPr>
                <w:lang w:eastAsia="ko-KR"/>
              </w:rPr>
              <w:t xml:space="preserve"> </w:t>
            </w:r>
            <w:r w:rsidRPr="00330FB4">
              <w:t xml:space="preserve">would be a substantial </w:t>
            </w:r>
            <w:r>
              <w:rPr>
                <w:rFonts w:hint="eastAsia"/>
                <w:lang w:eastAsia="ko-KR"/>
              </w:rPr>
              <w:t xml:space="preserve">matter </w:t>
            </w:r>
            <w:r w:rsidRPr="00330FB4">
              <w:t xml:space="preserve">to be discussed at the upcoming PP-14, so APT member countries are strongly encouraged to set </w:t>
            </w:r>
            <w:r>
              <w:rPr>
                <w:rFonts w:hint="eastAsia"/>
                <w:lang w:eastAsia="ko-KR"/>
              </w:rPr>
              <w:t xml:space="preserve">a </w:t>
            </w:r>
            <w:r w:rsidRPr="00330FB4">
              <w:t>common view including, but not limited to:</w:t>
            </w:r>
          </w:p>
          <w:p w:rsidR="00511D8F" w:rsidRPr="00330FB4" w:rsidRDefault="00511D8F" w:rsidP="00221349">
            <w:pPr>
              <w:pStyle w:val="ListParagraph"/>
              <w:numPr>
                <w:ilvl w:val="0"/>
                <w:numId w:val="19"/>
              </w:numPr>
              <w:jc w:val="both"/>
              <w:rPr>
                <w:lang w:eastAsia="ko-KR"/>
              </w:rPr>
            </w:pPr>
            <w:r w:rsidRPr="00330FB4">
              <w:t xml:space="preserve">The role of Government in the </w:t>
            </w:r>
            <w:proofErr w:type="spellStart"/>
            <w:r w:rsidRPr="00330FB4">
              <w:t>Multistakeholder</w:t>
            </w:r>
            <w:proofErr w:type="spellEnd"/>
            <w:r w:rsidRPr="00330FB4">
              <w:t xml:space="preserve"> Framework</w:t>
            </w:r>
          </w:p>
          <w:p w:rsidR="00511D8F" w:rsidRPr="00330FB4" w:rsidRDefault="00511D8F" w:rsidP="00221349">
            <w:pPr>
              <w:pStyle w:val="ListParagraph"/>
              <w:numPr>
                <w:ilvl w:val="0"/>
                <w:numId w:val="19"/>
              </w:numPr>
              <w:jc w:val="both"/>
              <w:rPr>
                <w:lang w:eastAsia="ko-KR"/>
              </w:rPr>
            </w:pPr>
            <w:r w:rsidRPr="00330FB4">
              <w:t xml:space="preserve">The composition of </w:t>
            </w:r>
            <w:r>
              <w:rPr>
                <w:rFonts w:hint="eastAsia"/>
                <w:lang w:eastAsia="ko-KR"/>
              </w:rPr>
              <w:t xml:space="preserve">the </w:t>
            </w:r>
            <w:r w:rsidRPr="00330FB4">
              <w:t>ITU Council working group on international Internet public policy issues</w:t>
            </w:r>
          </w:p>
        </w:tc>
      </w:tr>
    </w:tbl>
    <w:p w:rsidR="00511D8F" w:rsidRPr="00330FB4" w:rsidRDefault="00511D8F" w:rsidP="00511D8F">
      <w:pPr>
        <w:pStyle w:val="ListParagraph"/>
        <w:ind w:left="1440"/>
        <w:jc w:val="both"/>
      </w:pPr>
    </w:p>
    <w:p w:rsidR="00511D8F" w:rsidRPr="00330FB4" w:rsidRDefault="00511D8F" w:rsidP="00511D8F">
      <w:pPr>
        <w:pStyle w:val="ListParagraph"/>
        <w:ind w:left="1440"/>
        <w:jc w:val="both"/>
      </w:pPr>
    </w:p>
    <w:p w:rsidR="00511D8F" w:rsidRPr="00330FB4" w:rsidRDefault="00511D8F" w:rsidP="00511D8F">
      <w:pPr>
        <w:pStyle w:val="ListParagraph"/>
        <w:numPr>
          <w:ilvl w:val="1"/>
          <w:numId w:val="9"/>
        </w:numPr>
        <w:ind w:left="360"/>
        <w:jc w:val="both"/>
        <w:rPr>
          <w:b/>
          <w:bCs/>
        </w:rPr>
      </w:pPr>
      <w:r w:rsidRPr="00330FB4">
        <w:rPr>
          <w:b/>
          <w:bCs/>
        </w:rPr>
        <w:t>Issue 4:</w:t>
      </w:r>
      <w:r w:rsidRPr="00330FB4">
        <w:rPr>
          <w:rFonts w:eastAsia="Malgun Gothic"/>
          <w:b/>
          <w:bCs/>
          <w:lang w:eastAsia="ko-KR"/>
        </w:rPr>
        <w:t xml:space="preserve"> Issues </w:t>
      </w:r>
      <w:r>
        <w:rPr>
          <w:rFonts w:eastAsia="Malgun Gothic" w:hint="eastAsia"/>
          <w:b/>
          <w:bCs/>
          <w:lang w:eastAsia="ko-KR"/>
        </w:rPr>
        <w:t>arising</w:t>
      </w:r>
      <w:r w:rsidRPr="00330FB4">
        <w:rPr>
          <w:rFonts w:eastAsia="Malgun Gothic"/>
          <w:b/>
          <w:bCs/>
          <w:lang w:eastAsia="ko-KR"/>
        </w:rPr>
        <w:t xml:space="preserve"> from WCIT</w:t>
      </w:r>
    </w:p>
    <w:p w:rsidR="00511D8F" w:rsidRPr="00330FB4" w:rsidRDefault="00511D8F" w:rsidP="00511D8F">
      <w:pPr>
        <w:pStyle w:val="ListParagraph"/>
        <w:ind w:left="1440"/>
        <w:jc w:val="both"/>
        <w:rPr>
          <w:lang w:eastAsia="ko-KR"/>
        </w:rPr>
      </w:pPr>
    </w:p>
    <w:p w:rsidR="00511D8F" w:rsidRPr="00330FB4" w:rsidRDefault="00511D8F" w:rsidP="00511D8F">
      <w:pPr>
        <w:pStyle w:val="ListParagraph"/>
        <w:ind w:left="1440"/>
        <w:jc w:val="both"/>
      </w:pPr>
      <w:r w:rsidRPr="00330FB4">
        <w:t>During WCIT-12, some issues pertaining to the deliberation of PP-14 arose</w:t>
      </w:r>
      <w:r w:rsidRPr="00330FB4">
        <w:rPr>
          <w:lang w:eastAsia="ko-KR"/>
        </w:rPr>
        <w:t>:</w:t>
      </w:r>
      <w:r w:rsidRPr="00330FB4">
        <w:t xml:space="preserve"> </w:t>
      </w:r>
    </w:p>
    <w:p w:rsidR="00511D8F" w:rsidRPr="00330FB4" w:rsidRDefault="00511D8F" w:rsidP="00511D8F">
      <w:pPr>
        <w:pStyle w:val="ListParagraph"/>
        <w:numPr>
          <w:ilvl w:val="0"/>
          <w:numId w:val="15"/>
        </w:numPr>
        <w:jc w:val="both"/>
      </w:pPr>
      <w:r w:rsidRPr="00330FB4">
        <w:t>International Internet-related public policy issue</w:t>
      </w:r>
      <w:r>
        <w:rPr>
          <w:rFonts w:hint="eastAsia"/>
          <w:lang w:eastAsia="ko-KR"/>
        </w:rPr>
        <w:t>s</w:t>
      </w:r>
      <w:r w:rsidRPr="00330FB4">
        <w:t xml:space="preserve"> </w:t>
      </w:r>
      <w:r w:rsidRPr="00330FB4">
        <w:rPr>
          <w:i/>
        </w:rPr>
        <w:t>(see section 2.3 above)</w:t>
      </w:r>
    </w:p>
    <w:p w:rsidR="00511D8F" w:rsidRPr="00330FB4" w:rsidRDefault="00511D8F" w:rsidP="00511D8F">
      <w:pPr>
        <w:pStyle w:val="ListParagraph"/>
        <w:numPr>
          <w:ilvl w:val="0"/>
          <w:numId w:val="15"/>
        </w:numPr>
        <w:jc w:val="both"/>
      </w:pPr>
      <w:r w:rsidRPr="00330FB4">
        <w:t>Authorized Operating Agency vs. Recognized Operating Agency vs. Operating Agency</w:t>
      </w:r>
    </w:p>
    <w:p w:rsidR="00511D8F" w:rsidRPr="00330FB4" w:rsidRDefault="00511D8F" w:rsidP="00511D8F">
      <w:pPr>
        <w:pStyle w:val="ListParagraph"/>
        <w:numPr>
          <w:ilvl w:val="0"/>
          <w:numId w:val="15"/>
        </w:numPr>
        <w:jc w:val="both"/>
      </w:pPr>
      <w:r w:rsidRPr="00330FB4">
        <w:t>Periodicity of WCIT (WCIT Resolution 4)</w:t>
      </w:r>
    </w:p>
    <w:p w:rsidR="00511D8F" w:rsidRPr="00330FB4" w:rsidRDefault="00511D8F" w:rsidP="00511D8F">
      <w:pPr>
        <w:jc w:val="both"/>
        <w:rPr>
          <w:lang w:eastAsia="ko-KR"/>
        </w:rPr>
      </w:pPr>
    </w:p>
    <w:p w:rsidR="00511D8F" w:rsidRPr="00330FB4" w:rsidRDefault="00511D8F" w:rsidP="00511D8F">
      <w:pPr>
        <w:jc w:val="both"/>
        <w:rPr>
          <w:u w:val="single"/>
          <w:lang w:eastAsia="ko-KR"/>
        </w:rPr>
      </w:pPr>
      <w:r w:rsidRPr="00330FB4">
        <w:rPr>
          <w:u w:val="single"/>
          <w:lang w:eastAsia="ko-KR"/>
        </w:rPr>
        <w:t xml:space="preserve">&lt; PART A: </w:t>
      </w:r>
      <w:r w:rsidRPr="00330FB4">
        <w:rPr>
          <w:u w:val="single"/>
        </w:rPr>
        <w:t xml:space="preserve">Authorized Operating Agency vs. Recognized Operating Agency vs. Operating Agency </w:t>
      </w:r>
      <w:r w:rsidRPr="00330FB4">
        <w:rPr>
          <w:u w:val="single"/>
          <w:lang w:eastAsia="ko-KR"/>
        </w:rPr>
        <w:t>&gt;</w:t>
      </w:r>
    </w:p>
    <w:p w:rsidR="00511D8F" w:rsidRPr="00330FB4" w:rsidRDefault="00511D8F" w:rsidP="00511D8F">
      <w:pPr>
        <w:jc w:val="both"/>
        <w:rPr>
          <w:lang w:eastAsia="ko-KR"/>
        </w:rPr>
      </w:pPr>
    </w:p>
    <w:p w:rsidR="00511D8F" w:rsidRPr="00330FB4" w:rsidRDefault="00511D8F" w:rsidP="00511D8F">
      <w:pPr>
        <w:pStyle w:val="ListParagraph"/>
        <w:numPr>
          <w:ilvl w:val="2"/>
          <w:numId w:val="9"/>
        </w:numPr>
        <w:jc w:val="both"/>
      </w:pPr>
      <w:r w:rsidRPr="00330FB4">
        <w:t>Introduction/Background</w:t>
      </w:r>
    </w:p>
    <w:p w:rsidR="00511D8F" w:rsidRPr="00330FB4" w:rsidRDefault="00511D8F" w:rsidP="00511D8F">
      <w:pPr>
        <w:jc w:val="both"/>
        <w:rPr>
          <w:lang w:eastAsia="ko-KR"/>
        </w:rPr>
      </w:pPr>
    </w:p>
    <w:p w:rsidR="00511D8F" w:rsidRPr="00330FB4" w:rsidRDefault="00511D8F" w:rsidP="00511D8F">
      <w:pPr>
        <w:pStyle w:val="ListParagraph"/>
        <w:ind w:left="1440"/>
        <w:jc w:val="both"/>
      </w:pPr>
      <w:r w:rsidRPr="00330FB4">
        <w:t xml:space="preserve">During WCIT-12, the </w:t>
      </w:r>
      <w:r>
        <w:rPr>
          <w:rFonts w:hint="eastAsia"/>
          <w:lang w:eastAsia="ko-KR"/>
        </w:rPr>
        <w:t xml:space="preserve">term </w:t>
      </w:r>
      <w:r>
        <w:rPr>
          <w:lang w:eastAsia="ko-KR"/>
        </w:rPr>
        <w:t>‘</w:t>
      </w:r>
      <w:r w:rsidRPr="00330FB4">
        <w:t>Authorized Operating Agency</w:t>
      </w:r>
      <w:r>
        <w:rPr>
          <w:lang w:eastAsia="ko-KR"/>
        </w:rPr>
        <w:t>’</w:t>
      </w:r>
      <w:r w:rsidRPr="00330FB4">
        <w:t xml:space="preserve"> was adopted to be used within the ITRs in order to compromise between the camps </w:t>
      </w:r>
      <w:proofErr w:type="gramStart"/>
      <w:r w:rsidRPr="00330FB4">
        <w:t>who</w:t>
      </w:r>
      <w:proofErr w:type="gramEnd"/>
      <w:r w:rsidRPr="00330FB4">
        <w:t xml:space="preserve"> preferred Operating Agency (OA)</w:t>
      </w:r>
      <w:r w:rsidRPr="00330FB4">
        <w:rPr>
          <w:rStyle w:val="FootnoteReference"/>
        </w:rPr>
        <w:footnoteReference w:id="6"/>
      </w:r>
      <w:r w:rsidRPr="00330FB4">
        <w:t xml:space="preserve"> vs. Recognized Operating Agency (ROA)</w:t>
      </w:r>
      <w:r w:rsidRPr="00330FB4">
        <w:rPr>
          <w:rStyle w:val="FootnoteReference"/>
        </w:rPr>
        <w:footnoteReference w:id="7"/>
      </w:r>
      <w:r w:rsidRPr="00330FB4">
        <w:t>. Clause 1.1 b) of Article 1 of</w:t>
      </w:r>
      <w:r>
        <w:rPr>
          <w:rFonts w:hint="eastAsia"/>
          <w:lang w:eastAsia="ko-KR"/>
        </w:rPr>
        <w:t xml:space="preserve"> the</w:t>
      </w:r>
      <w:r w:rsidRPr="00330FB4">
        <w:t xml:space="preserve"> </w:t>
      </w:r>
      <w:hyperlink r:id="rId15" w:history="1">
        <w:r w:rsidRPr="00330FB4">
          <w:rPr>
            <w:rStyle w:val="Hyperlink"/>
          </w:rPr>
          <w:t>ITRs</w:t>
        </w:r>
      </w:hyperlink>
      <w:r w:rsidRPr="00330FB4">
        <w:t xml:space="preserve"> says:</w:t>
      </w:r>
    </w:p>
    <w:p w:rsidR="00511D8F" w:rsidRPr="00330FB4" w:rsidRDefault="00511D8F" w:rsidP="00511D8F">
      <w:pPr>
        <w:pStyle w:val="ListParagraph"/>
        <w:ind w:left="1440"/>
        <w:jc w:val="both"/>
      </w:pPr>
    </w:p>
    <w:p w:rsidR="00511D8F" w:rsidRPr="00330FB4" w:rsidRDefault="00511D8F" w:rsidP="00511D8F">
      <w:pPr>
        <w:pStyle w:val="ListParagraph"/>
        <w:ind w:left="2160"/>
        <w:jc w:val="both"/>
        <w:rPr>
          <w:i/>
        </w:rPr>
      </w:pPr>
      <w:r w:rsidRPr="00330FB4">
        <w:rPr>
          <w:i/>
        </w:rPr>
        <w:t xml:space="preserve">1.1 </w:t>
      </w:r>
      <w:r w:rsidRPr="00330FB4">
        <w:rPr>
          <w:i/>
        </w:rPr>
        <w:tab/>
        <w:t>b) These Regulations also contain provisions applicable to those operating agencies, authorized or recognized by a Member State, to establish, operate and engage in international telecommunications services to the public, hereinafter referred as "authorized operating agencies".</w:t>
      </w:r>
    </w:p>
    <w:p w:rsidR="00511D8F" w:rsidRPr="00330FB4" w:rsidRDefault="00511D8F" w:rsidP="00511D8F">
      <w:pPr>
        <w:jc w:val="both"/>
        <w:rPr>
          <w:lang w:eastAsia="ko-KR"/>
        </w:rPr>
      </w:pPr>
    </w:p>
    <w:p w:rsidR="00511D8F" w:rsidRPr="00330FB4" w:rsidRDefault="00511D8F" w:rsidP="00511D8F">
      <w:pPr>
        <w:pStyle w:val="ListParagraph"/>
        <w:ind w:left="1440"/>
        <w:jc w:val="both"/>
      </w:pPr>
      <w:r w:rsidRPr="00330FB4">
        <w:t>The new term</w:t>
      </w:r>
      <w:r w:rsidRPr="00330FB4">
        <w:rPr>
          <w:lang w:eastAsia="ko-KR"/>
        </w:rPr>
        <w:t xml:space="preserve">, </w:t>
      </w:r>
      <w:r w:rsidRPr="00330FB4">
        <w:rPr>
          <w:rFonts w:eastAsia="Batang"/>
          <w:lang w:eastAsia="ko-KR"/>
        </w:rPr>
        <w:t>Authorized Operating Agency</w:t>
      </w:r>
      <w:r w:rsidRPr="00330FB4">
        <w:rPr>
          <w:lang w:eastAsia="ko-KR"/>
        </w:rPr>
        <w:t>,</w:t>
      </w:r>
      <w:r w:rsidRPr="00330FB4">
        <w:t xml:space="preserve"> has a significant relationship with the definition contained in </w:t>
      </w:r>
      <w:r>
        <w:rPr>
          <w:rFonts w:hint="eastAsia"/>
          <w:lang w:eastAsia="ko-KR"/>
        </w:rPr>
        <w:t xml:space="preserve">the </w:t>
      </w:r>
      <w:r w:rsidRPr="00330FB4">
        <w:t>C</w:t>
      </w:r>
      <w:r w:rsidRPr="00330FB4">
        <w:rPr>
          <w:lang w:eastAsia="ko-KR"/>
        </w:rPr>
        <w:t>V</w:t>
      </w:r>
      <w:r>
        <w:rPr>
          <w:rFonts w:hint="eastAsia"/>
          <w:lang w:eastAsia="ko-KR"/>
        </w:rPr>
        <w:t>,</w:t>
      </w:r>
      <w:r w:rsidRPr="00330FB4">
        <w:t xml:space="preserve"> </w:t>
      </w:r>
      <w:r>
        <w:rPr>
          <w:rFonts w:hint="eastAsia"/>
          <w:lang w:eastAsia="ko-KR"/>
        </w:rPr>
        <w:t>s</w:t>
      </w:r>
      <w:r w:rsidRPr="00330FB4">
        <w:t xml:space="preserve">ince </w:t>
      </w:r>
      <w:r w:rsidRPr="00330FB4">
        <w:rPr>
          <w:rFonts w:eastAsia="Batang"/>
          <w:lang w:eastAsia="ko-KR"/>
        </w:rPr>
        <w:t>Authorized Operating Agency</w:t>
      </w:r>
      <w:r w:rsidRPr="00330FB4">
        <w:rPr>
          <w:lang w:eastAsia="ko-KR"/>
        </w:rPr>
        <w:t xml:space="preserve"> caused a contradiction between </w:t>
      </w:r>
      <w:r>
        <w:rPr>
          <w:rFonts w:hint="eastAsia"/>
          <w:lang w:eastAsia="ko-KR"/>
        </w:rPr>
        <w:t xml:space="preserve">the </w:t>
      </w:r>
      <w:r w:rsidRPr="00330FB4">
        <w:rPr>
          <w:lang w:eastAsia="ko-KR"/>
        </w:rPr>
        <w:t xml:space="preserve">CV and ITRs. </w:t>
      </w:r>
      <w:r>
        <w:rPr>
          <w:rFonts w:hint="eastAsia"/>
          <w:lang w:eastAsia="ko-KR"/>
        </w:rPr>
        <w:t xml:space="preserve">The </w:t>
      </w:r>
      <w:r w:rsidRPr="00330FB4">
        <w:rPr>
          <w:lang w:eastAsia="ko-KR"/>
        </w:rPr>
        <w:t xml:space="preserve">ITRs </w:t>
      </w:r>
      <w:r>
        <w:rPr>
          <w:rFonts w:hint="eastAsia"/>
          <w:lang w:eastAsia="ko-KR"/>
        </w:rPr>
        <w:t xml:space="preserve">form a part </w:t>
      </w:r>
      <w:r w:rsidRPr="00330FB4">
        <w:rPr>
          <w:lang w:eastAsia="ko-KR"/>
        </w:rPr>
        <w:t>of</w:t>
      </w:r>
      <w:r>
        <w:rPr>
          <w:rFonts w:hint="eastAsia"/>
          <w:lang w:eastAsia="ko-KR"/>
        </w:rPr>
        <w:t xml:space="preserve"> the</w:t>
      </w:r>
      <w:r w:rsidRPr="00330FB4">
        <w:rPr>
          <w:lang w:eastAsia="ko-KR"/>
        </w:rPr>
        <w:t xml:space="preserve"> Administrative Regulations of ITU</w:t>
      </w:r>
      <w:proofErr w:type="gramStart"/>
      <w:r>
        <w:rPr>
          <w:rFonts w:hint="eastAsia"/>
          <w:lang w:eastAsia="ko-KR"/>
        </w:rPr>
        <w:t>,</w:t>
      </w:r>
      <w:r w:rsidRPr="00330FB4">
        <w:rPr>
          <w:lang w:eastAsia="ko-KR"/>
        </w:rPr>
        <w:t xml:space="preserve">  </w:t>
      </w:r>
      <w:r>
        <w:rPr>
          <w:rFonts w:hint="eastAsia"/>
          <w:lang w:eastAsia="ko-KR"/>
        </w:rPr>
        <w:t>and</w:t>
      </w:r>
      <w:proofErr w:type="gramEnd"/>
      <w:r>
        <w:rPr>
          <w:rFonts w:hint="eastAsia"/>
          <w:lang w:eastAsia="ko-KR"/>
        </w:rPr>
        <w:t xml:space="preserve"> </w:t>
      </w:r>
      <w:r w:rsidRPr="00330FB4">
        <w:rPr>
          <w:lang w:eastAsia="ko-KR"/>
        </w:rPr>
        <w:t>should be consistent with</w:t>
      </w:r>
      <w:r>
        <w:rPr>
          <w:rFonts w:hint="eastAsia"/>
          <w:lang w:eastAsia="ko-KR"/>
        </w:rPr>
        <w:t xml:space="preserve"> </w:t>
      </w:r>
      <w:r>
        <w:rPr>
          <w:lang w:eastAsia="ko-KR"/>
        </w:rPr>
        <w:t>the</w:t>
      </w:r>
      <w:r>
        <w:rPr>
          <w:rFonts w:hint="eastAsia"/>
          <w:lang w:eastAsia="ko-KR"/>
        </w:rPr>
        <w:t xml:space="preserve"> CS and CV,</w:t>
      </w:r>
      <w:r w:rsidRPr="00330FB4">
        <w:rPr>
          <w:lang w:eastAsia="ko-KR"/>
        </w:rPr>
        <w:t xml:space="preserve"> </w:t>
      </w:r>
      <w:r>
        <w:rPr>
          <w:rFonts w:hint="eastAsia"/>
          <w:lang w:eastAsia="ko-KR"/>
        </w:rPr>
        <w:t xml:space="preserve">which are </w:t>
      </w:r>
      <w:r w:rsidRPr="00330FB4">
        <w:rPr>
          <w:lang w:eastAsia="ko-KR"/>
        </w:rPr>
        <w:t>ITU</w:t>
      </w:r>
      <w:r>
        <w:rPr>
          <w:lang w:eastAsia="ko-KR"/>
        </w:rPr>
        <w:t>’</w:t>
      </w:r>
      <w:r>
        <w:rPr>
          <w:rFonts w:hint="eastAsia"/>
          <w:lang w:eastAsia="ko-KR"/>
        </w:rPr>
        <w:t>s</w:t>
      </w:r>
      <w:r w:rsidRPr="00330FB4">
        <w:rPr>
          <w:lang w:eastAsia="ko-KR"/>
        </w:rPr>
        <w:t xml:space="preserve"> basic instrument</w:t>
      </w:r>
      <w:r>
        <w:rPr>
          <w:rFonts w:hint="eastAsia"/>
          <w:lang w:eastAsia="ko-KR"/>
        </w:rPr>
        <w:t>s</w:t>
      </w:r>
      <w:r w:rsidRPr="00330FB4">
        <w:t xml:space="preserve"> . Clause 2.5 (Service Telecommunication) of Article 2 of </w:t>
      </w:r>
      <w:r>
        <w:rPr>
          <w:rFonts w:hint="eastAsia"/>
          <w:lang w:eastAsia="ko-KR"/>
        </w:rPr>
        <w:t xml:space="preserve">the </w:t>
      </w:r>
      <w:r w:rsidRPr="00330FB4">
        <w:t xml:space="preserve">ITRs contains </w:t>
      </w:r>
      <w:r w:rsidRPr="00330FB4">
        <w:rPr>
          <w:rFonts w:eastAsia="Batang"/>
          <w:lang w:eastAsia="ko-KR"/>
        </w:rPr>
        <w:t>Authorized Operating Agency</w:t>
      </w:r>
      <w:r w:rsidRPr="00330FB4">
        <w:t xml:space="preserve">, </w:t>
      </w:r>
      <w:r>
        <w:rPr>
          <w:rFonts w:hint="eastAsia"/>
          <w:lang w:eastAsia="ko-KR"/>
        </w:rPr>
        <w:t xml:space="preserve">while the </w:t>
      </w:r>
      <w:r w:rsidRPr="00330FB4">
        <w:t xml:space="preserve">CV includes ROA </w:t>
      </w:r>
      <w:r>
        <w:rPr>
          <w:rFonts w:hint="eastAsia"/>
          <w:lang w:eastAsia="ko-KR"/>
        </w:rPr>
        <w:t xml:space="preserve">instead of </w:t>
      </w:r>
      <w:r w:rsidRPr="00330FB4">
        <w:rPr>
          <w:rFonts w:eastAsia="Batang"/>
          <w:lang w:eastAsia="ko-KR"/>
        </w:rPr>
        <w:t>Authorized Operating Agency</w:t>
      </w:r>
      <w:r w:rsidRPr="00330FB4">
        <w:t>. CV 1006 (Service Telecommunication) says:</w:t>
      </w:r>
    </w:p>
    <w:p w:rsidR="00511D8F" w:rsidRPr="00330FB4" w:rsidRDefault="00511D8F" w:rsidP="00511D8F">
      <w:pPr>
        <w:pStyle w:val="ListParagraph"/>
        <w:ind w:left="1440"/>
        <w:jc w:val="both"/>
      </w:pPr>
    </w:p>
    <w:p w:rsidR="00511D8F" w:rsidRPr="00330FB4" w:rsidRDefault="00511D8F" w:rsidP="00511D8F">
      <w:pPr>
        <w:pStyle w:val="ListParagraph"/>
        <w:ind w:left="2160"/>
        <w:jc w:val="both"/>
        <w:rPr>
          <w:i/>
        </w:rPr>
      </w:pPr>
      <w:r w:rsidRPr="00330FB4">
        <w:t>1006</w:t>
      </w:r>
      <w:r w:rsidRPr="00330FB4">
        <w:tab/>
      </w:r>
      <w:r w:rsidRPr="00330FB4">
        <w:rPr>
          <w:i/>
        </w:rPr>
        <w:t>Service Telecommunication: A telecommunication that relates to public international telecommunications and that is exchanged among the following:</w:t>
      </w:r>
    </w:p>
    <w:p w:rsidR="00511D8F" w:rsidRPr="00330FB4" w:rsidRDefault="00511D8F" w:rsidP="00511D8F">
      <w:pPr>
        <w:pStyle w:val="ListParagraph"/>
        <w:ind w:left="2160"/>
        <w:jc w:val="both"/>
        <w:rPr>
          <w:i/>
        </w:rPr>
      </w:pPr>
      <w:r w:rsidRPr="00330FB4">
        <w:rPr>
          <w:i/>
        </w:rPr>
        <w:t xml:space="preserve">- </w:t>
      </w:r>
      <w:proofErr w:type="gramStart"/>
      <w:r w:rsidRPr="00330FB4">
        <w:rPr>
          <w:i/>
        </w:rPr>
        <w:t>administrations</w:t>
      </w:r>
      <w:proofErr w:type="gramEnd"/>
      <w:r w:rsidRPr="00330FB4">
        <w:rPr>
          <w:i/>
        </w:rPr>
        <w:t>,</w:t>
      </w:r>
    </w:p>
    <w:p w:rsidR="00511D8F" w:rsidRPr="00330FB4" w:rsidRDefault="00511D8F" w:rsidP="00511D8F">
      <w:pPr>
        <w:pStyle w:val="ListParagraph"/>
        <w:ind w:left="2160"/>
        <w:jc w:val="both"/>
        <w:rPr>
          <w:i/>
        </w:rPr>
      </w:pPr>
      <w:r w:rsidRPr="00330FB4">
        <w:rPr>
          <w:i/>
        </w:rPr>
        <w:t xml:space="preserve">- </w:t>
      </w:r>
      <w:r w:rsidRPr="00330FB4">
        <w:rPr>
          <w:b/>
          <w:i/>
        </w:rPr>
        <w:t>recognized operating agencies</w:t>
      </w:r>
      <w:r w:rsidRPr="00330FB4">
        <w:rPr>
          <w:i/>
        </w:rPr>
        <w:t>, and</w:t>
      </w:r>
    </w:p>
    <w:p w:rsidR="00511D8F" w:rsidRPr="00330FB4" w:rsidRDefault="00511D8F" w:rsidP="00511D8F">
      <w:pPr>
        <w:pStyle w:val="ListParagraph"/>
        <w:ind w:left="2160"/>
        <w:jc w:val="both"/>
        <w:rPr>
          <w:i/>
        </w:rPr>
      </w:pPr>
      <w:r w:rsidRPr="00330FB4">
        <w:rPr>
          <w:i/>
        </w:rPr>
        <w:t xml:space="preserve">- the Chairman of the Council, the Secretary-General, the Deputy Secretary-General, the Directors of the </w:t>
      </w:r>
      <w:proofErr w:type="spellStart"/>
      <w:r w:rsidRPr="00330FB4">
        <w:rPr>
          <w:i/>
        </w:rPr>
        <w:t>Bureaux</w:t>
      </w:r>
      <w:proofErr w:type="spellEnd"/>
      <w:r w:rsidRPr="00330FB4">
        <w:rPr>
          <w:i/>
        </w:rPr>
        <w:t xml:space="preserve">, the members of the </w:t>
      </w:r>
      <w:r w:rsidRPr="00330FB4">
        <w:rPr>
          <w:i/>
        </w:rPr>
        <w:lastRenderedPageBreak/>
        <w:t>Radio Regulations Board, and other representatives or authorized officials of the Union, including those working on official matters outside the seat of the Union.</w:t>
      </w:r>
    </w:p>
    <w:p w:rsidR="00511D8F" w:rsidRPr="00330FB4" w:rsidRDefault="00511D8F" w:rsidP="00511D8F">
      <w:pPr>
        <w:pStyle w:val="ListParagraph"/>
        <w:ind w:left="1440"/>
        <w:jc w:val="both"/>
      </w:pPr>
    </w:p>
    <w:p w:rsidR="00511D8F" w:rsidRPr="00330FB4" w:rsidRDefault="00511D8F" w:rsidP="00511D8F">
      <w:pPr>
        <w:pStyle w:val="ListParagraph"/>
        <w:numPr>
          <w:ilvl w:val="2"/>
          <w:numId w:val="9"/>
        </w:numPr>
        <w:jc w:val="both"/>
      </w:pPr>
      <w:r w:rsidRPr="00330FB4">
        <w:t>Current Status at ITU</w:t>
      </w:r>
    </w:p>
    <w:p w:rsidR="00511D8F" w:rsidRPr="00330FB4" w:rsidRDefault="00511D8F" w:rsidP="00511D8F">
      <w:pPr>
        <w:pStyle w:val="ListParagraph"/>
        <w:ind w:left="1440"/>
        <w:jc w:val="both"/>
      </w:pPr>
    </w:p>
    <w:p w:rsidR="00511D8F" w:rsidRPr="00330FB4" w:rsidRDefault="00511D8F" w:rsidP="00511D8F">
      <w:pPr>
        <w:pStyle w:val="ListParagraph"/>
        <w:ind w:left="1440"/>
        <w:jc w:val="both"/>
      </w:pPr>
      <w:r w:rsidRPr="00330FB4">
        <w:t xml:space="preserve">According to Article 4 (Instrument of the Union) of </w:t>
      </w:r>
      <w:r>
        <w:rPr>
          <w:rFonts w:hint="eastAsia"/>
          <w:lang w:eastAsia="ko-KR"/>
        </w:rPr>
        <w:t xml:space="preserve">the </w:t>
      </w:r>
      <w:r w:rsidRPr="00330FB4">
        <w:t xml:space="preserve">ITU CS, </w:t>
      </w:r>
      <w:r>
        <w:rPr>
          <w:rFonts w:hint="eastAsia"/>
          <w:lang w:eastAsia="ko-KR"/>
        </w:rPr>
        <w:t xml:space="preserve">the </w:t>
      </w:r>
      <w:r w:rsidRPr="00330FB4">
        <w:t xml:space="preserve">CV shall prevail in the </w:t>
      </w:r>
      <w:r>
        <w:rPr>
          <w:rFonts w:hint="eastAsia"/>
          <w:lang w:eastAsia="ko-KR"/>
        </w:rPr>
        <w:t xml:space="preserve">event </w:t>
      </w:r>
      <w:r w:rsidRPr="00330FB4">
        <w:t xml:space="preserve">of inconsistency between a provision of the CV and a provision of the ITRs. </w:t>
      </w:r>
    </w:p>
    <w:p w:rsidR="00511D8F" w:rsidRPr="00330FB4" w:rsidRDefault="00511D8F" w:rsidP="00511D8F">
      <w:pPr>
        <w:pStyle w:val="ListParagraph"/>
        <w:ind w:left="1440"/>
        <w:jc w:val="both"/>
      </w:pPr>
    </w:p>
    <w:p w:rsidR="00511D8F" w:rsidRPr="00330FB4" w:rsidRDefault="00511D8F" w:rsidP="00511D8F">
      <w:pPr>
        <w:pStyle w:val="ListParagraph"/>
        <w:ind w:left="1440"/>
        <w:jc w:val="both"/>
      </w:pPr>
      <w:r w:rsidRPr="00330FB4">
        <w:t xml:space="preserve">Therefore, in this context, PP-14 needs to consider how to deal with this inconsistency. </w:t>
      </w:r>
    </w:p>
    <w:p w:rsidR="00511D8F" w:rsidRPr="00330FB4" w:rsidRDefault="00511D8F" w:rsidP="00511D8F">
      <w:pPr>
        <w:pStyle w:val="ListParagraph"/>
        <w:ind w:left="1440"/>
        <w:jc w:val="both"/>
      </w:pPr>
    </w:p>
    <w:p w:rsidR="00511D8F" w:rsidRPr="00330FB4" w:rsidRDefault="00511D8F" w:rsidP="00511D8F">
      <w:pPr>
        <w:pStyle w:val="ListParagraph"/>
        <w:numPr>
          <w:ilvl w:val="2"/>
          <w:numId w:val="9"/>
        </w:numPr>
        <w:jc w:val="both"/>
        <w:rPr>
          <w:i/>
        </w:rPr>
      </w:pPr>
      <w:r w:rsidRPr="00330FB4">
        <w:rPr>
          <w:i/>
        </w:rPr>
        <w:t xml:space="preserve">Further Action Required </w:t>
      </w:r>
    </w:p>
    <w:p w:rsidR="00511D8F" w:rsidRPr="00330FB4" w:rsidRDefault="00511D8F" w:rsidP="00511D8F">
      <w:pPr>
        <w:pStyle w:val="ListParagraph"/>
        <w:ind w:left="1440"/>
        <w:jc w:val="both"/>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3"/>
      </w:tblGrid>
      <w:tr w:rsidR="00511D8F" w:rsidRPr="00330FB4" w:rsidTr="00221349">
        <w:tc>
          <w:tcPr>
            <w:tcW w:w="9533" w:type="dxa"/>
            <w:shd w:val="clear" w:color="auto" w:fill="auto"/>
          </w:tcPr>
          <w:p w:rsidR="00511D8F" w:rsidRPr="00330FB4" w:rsidRDefault="00511D8F" w:rsidP="00221349">
            <w:pPr>
              <w:pStyle w:val="ListParagraph"/>
              <w:ind w:left="0"/>
              <w:jc w:val="both"/>
            </w:pPr>
            <w:r w:rsidRPr="00330FB4">
              <w:t>APT member countries are encouraged to note the discussion</w:t>
            </w:r>
            <w:r>
              <w:rPr>
                <w:rFonts w:hint="eastAsia"/>
                <w:lang w:eastAsia="ko-KR"/>
              </w:rPr>
              <w:t>s</w:t>
            </w:r>
            <w:r w:rsidRPr="00330FB4">
              <w:t xml:space="preserve"> that </w:t>
            </w:r>
            <w:r>
              <w:rPr>
                <w:rFonts w:hint="eastAsia"/>
                <w:lang w:eastAsia="ko-KR"/>
              </w:rPr>
              <w:t>were</w:t>
            </w:r>
            <w:r w:rsidRPr="00330FB4">
              <w:t xml:space="preserve"> held during WCIT-12.</w:t>
            </w:r>
          </w:p>
          <w:p w:rsidR="00511D8F" w:rsidRPr="00330FB4" w:rsidRDefault="00511D8F" w:rsidP="00221349">
            <w:pPr>
              <w:pStyle w:val="ListParagraph"/>
              <w:ind w:left="0"/>
              <w:jc w:val="both"/>
            </w:pPr>
          </w:p>
          <w:p w:rsidR="00511D8F" w:rsidRPr="00330FB4" w:rsidRDefault="00511D8F" w:rsidP="00221349">
            <w:pPr>
              <w:pStyle w:val="ListParagraph"/>
              <w:ind w:left="0"/>
              <w:jc w:val="both"/>
              <w:rPr>
                <w:b/>
              </w:rPr>
            </w:pPr>
            <w:r w:rsidRPr="00330FB4">
              <w:rPr>
                <w:b/>
              </w:rPr>
              <w:t>Recommendation:</w:t>
            </w:r>
            <w:r w:rsidRPr="00330FB4">
              <w:t xml:space="preserve"> APT member countries need to discuss how to </w:t>
            </w:r>
            <w:r>
              <w:rPr>
                <w:rFonts w:hint="eastAsia"/>
                <w:lang w:eastAsia="ko-KR"/>
              </w:rPr>
              <w:t xml:space="preserve">keep the </w:t>
            </w:r>
            <w:r w:rsidRPr="00330FB4">
              <w:t>CV and ITR</w:t>
            </w:r>
            <w:r>
              <w:rPr>
                <w:rFonts w:hint="eastAsia"/>
                <w:lang w:eastAsia="ko-KR"/>
              </w:rPr>
              <w:t>s</w:t>
            </w:r>
            <w:r w:rsidRPr="00330FB4">
              <w:t xml:space="preserve"> in line with each other in relation to the definition of ‘service telecommunication’.</w:t>
            </w:r>
          </w:p>
        </w:tc>
      </w:tr>
    </w:tbl>
    <w:p w:rsidR="00511D8F" w:rsidRPr="00330FB4" w:rsidRDefault="00511D8F" w:rsidP="00511D8F">
      <w:pPr>
        <w:pStyle w:val="ListParagraph"/>
        <w:ind w:left="1440"/>
        <w:jc w:val="both"/>
      </w:pPr>
    </w:p>
    <w:p w:rsidR="00511D8F" w:rsidRPr="00330FB4" w:rsidRDefault="00511D8F" w:rsidP="00511D8F">
      <w:pPr>
        <w:pStyle w:val="ListParagraph"/>
        <w:ind w:left="1440"/>
        <w:jc w:val="both"/>
      </w:pPr>
    </w:p>
    <w:p w:rsidR="00511D8F" w:rsidRPr="00330FB4" w:rsidRDefault="00511D8F" w:rsidP="00511D8F">
      <w:pPr>
        <w:ind w:firstLine="720"/>
        <w:jc w:val="both"/>
        <w:rPr>
          <w:u w:val="single"/>
          <w:lang w:eastAsia="ko-KR"/>
        </w:rPr>
      </w:pPr>
      <w:r w:rsidRPr="00330FB4">
        <w:rPr>
          <w:u w:val="single"/>
          <w:lang w:eastAsia="ko-KR"/>
        </w:rPr>
        <w:t>&lt; PART B: Periodicity of WCIT &gt;</w:t>
      </w:r>
    </w:p>
    <w:p w:rsidR="00511D8F" w:rsidRPr="00330FB4" w:rsidRDefault="00511D8F" w:rsidP="00511D8F">
      <w:pPr>
        <w:ind w:firstLine="720"/>
        <w:jc w:val="both"/>
        <w:rPr>
          <w:u w:val="single"/>
          <w:lang w:eastAsia="ko-KR"/>
        </w:rPr>
      </w:pPr>
    </w:p>
    <w:p w:rsidR="00511D8F" w:rsidRPr="00330FB4" w:rsidRDefault="00511D8F" w:rsidP="00511D8F">
      <w:pPr>
        <w:pStyle w:val="ListParagraph"/>
        <w:numPr>
          <w:ilvl w:val="2"/>
          <w:numId w:val="9"/>
        </w:numPr>
        <w:jc w:val="both"/>
      </w:pPr>
      <w:r w:rsidRPr="00330FB4">
        <w:t>Introduction/Background</w:t>
      </w:r>
    </w:p>
    <w:p w:rsidR="00511D8F" w:rsidRPr="00330FB4" w:rsidRDefault="00511D8F" w:rsidP="00511D8F">
      <w:pPr>
        <w:pStyle w:val="ListParagraph"/>
        <w:ind w:left="1440"/>
        <w:jc w:val="both"/>
      </w:pPr>
    </w:p>
    <w:p w:rsidR="00511D8F" w:rsidRPr="00330FB4" w:rsidRDefault="00511D8F" w:rsidP="00511D8F">
      <w:pPr>
        <w:pStyle w:val="ListParagraph"/>
        <w:ind w:left="1440"/>
        <w:jc w:val="both"/>
        <w:rPr>
          <w:noProof/>
        </w:rPr>
      </w:pPr>
      <w:r w:rsidRPr="00330FB4">
        <w:t xml:space="preserve">WCIT Resolution 4, titled </w:t>
      </w:r>
      <w:r w:rsidRPr="00330FB4">
        <w:rPr>
          <w:i/>
        </w:rPr>
        <w:t>‘</w:t>
      </w:r>
      <w:hyperlink w:anchor="_Toc351560121" w:history="1">
        <w:r w:rsidRPr="00330FB4">
          <w:rPr>
            <w:rStyle w:val="Hyperlink"/>
            <w:i/>
            <w:noProof/>
          </w:rPr>
          <w:t>Periodic review of the International Telecommunication Regulations</w:t>
        </w:r>
      </w:hyperlink>
      <w:r w:rsidRPr="00330FB4">
        <w:rPr>
          <w:rStyle w:val="Hyperlink"/>
          <w:i/>
          <w:noProof/>
        </w:rPr>
        <w:t>’</w:t>
      </w:r>
      <w:r w:rsidRPr="00330FB4">
        <w:rPr>
          <w:noProof/>
        </w:rPr>
        <w:t>, r</w:t>
      </w:r>
      <w:r>
        <w:rPr>
          <w:rFonts w:hint="eastAsia"/>
          <w:noProof/>
          <w:lang w:eastAsia="ko-KR"/>
        </w:rPr>
        <w:t>e</w:t>
      </w:r>
      <w:r w:rsidRPr="00330FB4">
        <w:rPr>
          <w:noProof/>
        </w:rPr>
        <w:t xml:space="preserve">solves to invite PP-14 </w:t>
      </w:r>
      <w:r w:rsidRPr="00330FB4">
        <w:t xml:space="preserve">to consider this resolution and to take necessary action, as appropriate, to convene periodically (for example every eight years) a World Conference on International Telecommunications to revise the ITRs, taking into account the financial implications for the Union. </w:t>
      </w:r>
    </w:p>
    <w:p w:rsidR="00511D8F" w:rsidRPr="00330FB4" w:rsidRDefault="00511D8F" w:rsidP="00511D8F">
      <w:pPr>
        <w:jc w:val="both"/>
      </w:pPr>
    </w:p>
    <w:p w:rsidR="00511D8F" w:rsidRPr="00330FB4" w:rsidRDefault="00511D8F" w:rsidP="00511D8F">
      <w:pPr>
        <w:pStyle w:val="ListParagraph"/>
        <w:numPr>
          <w:ilvl w:val="2"/>
          <w:numId w:val="9"/>
        </w:numPr>
        <w:jc w:val="both"/>
      </w:pPr>
      <w:r w:rsidRPr="00330FB4">
        <w:t>Current Status at ITU</w:t>
      </w:r>
    </w:p>
    <w:p w:rsidR="00511D8F" w:rsidRPr="00330FB4" w:rsidRDefault="00511D8F" w:rsidP="00511D8F">
      <w:pPr>
        <w:pStyle w:val="ListParagraph"/>
        <w:ind w:left="1440"/>
        <w:jc w:val="both"/>
      </w:pPr>
    </w:p>
    <w:p w:rsidR="00511D8F" w:rsidRPr="00330FB4" w:rsidRDefault="00511D8F" w:rsidP="00511D8F">
      <w:pPr>
        <w:pStyle w:val="ListParagraph"/>
        <w:ind w:left="1440"/>
        <w:jc w:val="both"/>
        <w:rPr>
          <w:lang w:eastAsia="ko-KR"/>
        </w:rPr>
      </w:pPr>
      <w:r w:rsidRPr="00330FB4">
        <w:rPr>
          <w:lang w:eastAsia="ko-KR"/>
        </w:rPr>
        <w:t xml:space="preserve">The </w:t>
      </w:r>
      <w:r>
        <w:rPr>
          <w:rFonts w:hint="eastAsia"/>
          <w:lang w:eastAsia="ko-KR"/>
        </w:rPr>
        <w:t xml:space="preserve">task of </w:t>
      </w:r>
      <w:proofErr w:type="gramStart"/>
      <w:r w:rsidRPr="00330FB4">
        <w:rPr>
          <w:lang w:eastAsia="ko-KR"/>
        </w:rPr>
        <w:t>review</w:t>
      </w:r>
      <w:r>
        <w:rPr>
          <w:rFonts w:hint="eastAsia"/>
          <w:lang w:eastAsia="ko-KR"/>
        </w:rPr>
        <w:t>ing</w:t>
      </w:r>
      <w:r w:rsidRPr="00330FB4">
        <w:rPr>
          <w:lang w:eastAsia="ko-KR"/>
        </w:rPr>
        <w:t xml:space="preserve">  </w:t>
      </w:r>
      <w:r>
        <w:rPr>
          <w:rFonts w:hint="eastAsia"/>
          <w:lang w:eastAsia="ko-KR"/>
        </w:rPr>
        <w:t>the</w:t>
      </w:r>
      <w:proofErr w:type="gramEnd"/>
      <w:r>
        <w:rPr>
          <w:rFonts w:hint="eastAsia"/>
          <w:lang w:eastAsia="ko-KR"/>
        </w:rPr>
        <w:t xml:space="preserve"> </w:t>
      </w:r>
      <w:r w:rsidRPr="00330FB4">
        <w:rPr>
          <w:lang w:eastAsia="ko-KR"/>
        </w:rPr>
        <w:t>ITR</w:t>
      </w:r>
      <w:r>
        <w:rPr>
          <w:rFonts w:hint="eastAsia"/>
          <w:lang w:eastAsia="ko-KR"/>
        </w:rPr>
        <w:t>s</w:t>
      </w:r>
      <w:r w:rsidRPr="00330FB4">
        <w:rPr>
          <w:lang w:eastAsia="ko-KR"/>
        </w:rPr>
        <w:t xml:space="preserve"> is </w:t>
      </w:r>
      <w:r>
        <w:rPr>
          <w:rFonts w:hint="eastAsia"/>
          <w:lang w:eastAsia="ko-KR"/>
        </w:rPr>
        <w:t xml:space="preserve">a </w:t>
      </w:r>
      <w:r w:rsidRPr="00330FB4">
        <w:rPr>
          <w:lang w:eastAsia="ko-KR"/>
        </w:rPr>
        <w:t>prerogative</w:t>
      </w:r>
      <w:r>
        <w:rPr>
          <w:rFonts w:hint="eastAsia"/>
          <w:lang w:eastAsia="ko-KR"/>
        </w:rPr>
        <w:t xml:space="preserve"> held by</w:t>
      </w:r>
      <w:r w:rsidRPr="00330FB4">
        <w:rPr>
          <w:lang w:eastAsia="ko-KR"/>
        </w:rPr>
        <w:t xml:space="preserve">  WCIT according to clause 146 of Article 25 of </w:t>
      </w:r>
      <w:r>
        <w:rPr>
          <w:rFonts w:hint="eastAsia"/>
          <w:lang w:eastAsia="ko-KR"/>
        </w:rPr>
        <w:t xml:space="preserve">the </w:t>
      </w:r>
      <w:r w:rsidRPr="00330FB4">
        <w:rPr>
          <w:lang w:eastAsia="ko-KR"/>
        </w:rPr>
        <w:t>CS, and WCIT shall be held upon decision by the PP according to clause 4</w:t>
      </w:r>
      <w:r>
        <w:rPr>
          <w:rFonts w:hint="eastAsia"/>
          <w:lang w:eastAsia="ko-KR"/>
        </w:rPr>
        <w:t>8</w:t>
      </w:r>
      <w:r w:rsidRPr="00330FB4">
        <w:rPr>
          <w:lang w:eastAsia="ko-KR"/>
        </w:rPr>
        <w:t xml:space="preserve"> of Article 3 of </w:t>
      </w:r>
      <w:r>
        <w:rPr>
          <w:rFonts w:hint="eastAsia"/>
          <w:lang w:eastAsia="ko-KR"/>
        </w:rPr>
        <w:t xml:space="preserve">the </w:t>
      </w:r>
      <w:r w:rsidRPr="00330FB4">
        <w:rPr>
          <w:lang w:eastAsia="ko-KR"/>
        </w:rPr>
        <w:t xml:space="preserve">CV. In this regard, PP-14 is expected to discuss this issue. </w:t>
      </w:r>
    </w:p>
    <w:p w:rsidR="00511D8F" w:rsidRPr="00330FB4" w:rsidRDefault="00511D8F" w:rsidP="00511D8F">
      <w:pPr>
        <w:pStyle w:val="ListParagraph"/>
        <w:ind w:left="1440"/>
        <w:jc w:val="both"/>
      </w:pPr>
    </w:p>
    <w:p w:rsidR="00511D8F" w:rsidRPr="00330FB4" w:rsidRDefault="00511D8F" w:rsidP="00511D8F">
      <w:pPr>
        <w:pStyle w:val="ListParagraph"/>
        <w:numPr>
          <w:ilvl w:val="2"/>
          <w:numId w:val="9"/>
        </w:numPr>
        <w:jc w:val="both"/>
        <w:rPr>
          <w:i/>
        </w:rPr>
      </w:pPr>
      <w:r w:rsidRPr="00330FB4">
        <w:rPr>
          <w:i/>
        </w:rPr>
        <w:t xml:space="preserve">Further Action Required </w:t>
      </w:r>
    </w:p>
    <w:p w:rsidR="00511D8F" w:rsidRPr="00330FB4" w:rsidRDefault="00511D8F" w:rsidP="00511D8F">
      <w:pPr>
        <w:pStyle w:val="ListParagraph"/>
        <w:ind w:left="1440"/>
        <w:jc w:val="both"/>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3"/>
      </w:tblGrid>
      <w:tr w:rsidR="00511D8F" w:rsidRPr="00330FB4" w:rsidTr="00221349">
        <w:tc>
          <w:tcPr>
            <w:tcW w:w="9533" w:type="dxa"/>
            <w:shd w:val="clear" w:color="auto" w:fill="auto"/>
          </w:tcPr>
          <w:p w:rsidR="00511D8F" w:rsidRPr="00330FB4" w:rsidRDefault="00511D8F" w:rsidP="00221349">
            <w:pPr>
              <w:pStyle w:val="ListParagraph"/>
              <w:ind w:left="0"/>
              <w:jc w:val="both"/>
            </w:pPr>
            <w:r w:rsidRPr="00330FB4">
              <w:t>APT member countries are encouraged to note the outcomes of WCIT, in particular ‘Periodic review of the ITRs’.</w:t>
            </w:r>
          </w:p>
          <w:p w:rsidR="00511D8F" w:rsidRPr="00330FB4" w:rsidRDefault="00511D8F" w:rsidP="00221349">
            <w:pPr>
              <w:pStyle w:val="ListParagraph"/>
              <w:ind w:left="0"/>
              <w:jc w:val="both"/>
            </w:pPr>
          </w:p>
          <w:p w:rsidR="00511D8F" w:rsidRPr="00330FB4" w:rsidRDefault="00511D8F" w:rsidP="00221349">
            <w:pPr>
              <w:pStyle w:val="ListParagraph"/>
              <w:ind w:left="0"/>
              <w:jc w:val="both"/>
              <w:rPr>
                <w:lang w:eastAsia="ko-KR"/>
              </w:rPr>
            </w:pPr>
            <w:r w:rsidRPr="00330FB4">
              <w:rPr>
                <w:b/>
              </w:rPr>
              <w:t>Recommendation:</w:t>
            </w:r>
            <w:r w:rsidRPr="00330FB4">
              <w:t xml:space="preserve"> APT member countries are encouraged to set </w:t>
            </w:r>
            <w:r>
              <w:rPr>
                <w:rFonts w:hint="eastAsia"/>
                <w:lang w:eastAsia="ko-KR"/>
              </w:rPr>
              <w:t xml:space="preserve">a </w:t>
            </w:r>
            <w:r w:rsidRPr="00330FB4">
              <w:t>common view on the periodicity of WCIT.</w:t>
            </w:r>
          </w:p>
        </w:tc>
      </w:tr>
    </w:tbl>
    <w:p w:rsidR="00511D8F" w:rsidRPr="00330FB4" w:rsidRDefault="00511D8F" w:rsidP="00511D8F">
      <w:pPr>
        <w:jc w:val="both"/>
        <w:rPr>
          <w:lang w:eastAsia="ko-KR"/>
        </w:rPr>
      </w:pPr>
    </w:p>
    <w:p w:rsidR="00511D8F" w:rsidRDefault="00511D8F" w:rsidP="00511D8F">
      <w:pPr>
        <w:pStyle w:val="ListParagraph"/>
        <w:ind w:left="1440"/>
        <w:jc w:val="both"/>
        <w:rPr>
          <w:lang w:eastAsia="ko-KR"/>
        </w:rPr>
      </w:pPr>
    </w:p>
    <w:p w:rsidR="00511D8F" w:rsidRDefault="00511D8F" w:rsidP="00511D8F">
      <w:pPr>
        <w:pStyle w:val="ListParagraph"/>
        <w:ind w:left="1440"/>
        <w:jc w:val="both"/>
        <w:rPr>
          <w:lang w:eastAsia="ko-KR"/>
        </w:rPr>
      </w:pPr>
    </w:p>
    <w:p w:rsidR="00511D8F" w:rsidRDefault="00511D8F" w:rsidP="00511D8F">
      <w:pPr>
        <w:pStyle w:val="ListParagraph"/>
        <w:ind w:left="1440"/>
        <w:jc w:val="both"/>
        <w:rPr>
          <w:lang w:eastAsia="ko-KR"/>
        </w:rPr>
      </w:pPr>
    </w:p>
    <w:p w:rsidR="00511D8F" w:rsidRPr="00330FB4" w:rsidRDefault="00511D8F" w:rsidP="00511D8F">
      <w:pPr>
        <w:pStyle w:val="ListParagraph"/>
        <w:ind w:left="1440"/>
        <w:jc w:val="both"/>
        <w:rPr>
          <w:lang w:eastAsia="ko-KR"/>
        </w:rPr>
      </w:pPr>
    </w:p>
    <w:p w:rsidR="00511D8F" w:rsidRPr="00330FB4" w:rsidRDefault="00511D8F" w:rsidP="00511D8F">
      <w:pPr>
        <w:pStyle w:val="ListParagraph"/>
        <w:numPr>
          <w:ilvl w:val="1"/>
          <w:numId w:val="9"/>
        </w:numPr>
        <w:ind w:left="360"/>
        <w:jc w:val="both"/>
        <w:rPr>
          <w:b/>
          <w:bCs/>
        </w:rPr>
      </w:pPr>
      <w:r w:rsidRPr="00330FB4">
        <w:rPr>
          <w:b/>
          <w:bCs/>
        </w:rPr>
        <w:t xml:space="preserve">Issue </w:t>
      </w:r>
      <w:r w:rsidRPr="00330FB4">
        <w:rPr>
          <w:rFonts w:eastAsia="Malgun Gothic"/>
          <w:b/>
          <w:bCs/>
          <w:lang w:eastAsia="ko-KR"/>
        </w:rPr>
        <w:t xml:space="preserve">5: </w:t>
      </w:r>
      <w:r w:rsidRPr="00330FB4">
        <w:rPr>
          <w:rFonts w:eastAsia="Malgun Gothic"/>
          <w:b/>
          <w:lang w:eastAsia="ko-KR"/>
        </w:rPr>
        <w:t xml:space="preserve">Possible role of </w:t>
      </w:r>
      <w:r w:rsidRPr="00330FB4">
        <w:rPr>
          <w:b/>
          <w:lang w:eastAsia="ko-KR"/>
        </w:rPr>
        <w:t>ITU as a Supervisory Authority of the future international registration system for space assets (UNIDROIT)</w:t>
      </w:r>
    </w:p>
    <w:p w:rsidR="00511D8F" w:rsidRPr="00330FB4" w:rsidRDefault="00511D8F" w:rsidP="00511D8F">
      <w:pPr>
        <w:pStyle w:val="ListParagraph"/>
        <w:ind w:left="360"/>
        <w:jc w:val="both"/>
        <w:rPr>
          <w:b/>
          <w:bCs/>
        </w:rPr>
      </w:pPr>
    </w:p>
    <w:p w:rsidR="00511D8F" w:rsidRPr="00330FB4" w:rsidRDefault="00511D8F" w:rsidP="00511D8F">
      <w:pPr>
        <w:pStyle w:val="ListParagraph"/>
        <w:numPr>
          <w:ilvl w:val="2"/>
          <w:numId w:val="9"/>
        </w:numPr>
        <w:jc w:val="both"/>
      </w:pPr>
      <w:r w:rsidRPr="00330FB4">
        <w:t>Introduction/Background</w:t>
      </w:r>
    </w:p>
    <w:p w:rsidR="00511D8F" w:rsidRPr="00330FB4" w:rsidRDefault="00511D8F" w:rsidP="00511D8F">
      <w:pPr>
        <w:pStyle w:val="ListParagraph"/>
        <w:ind w:left="1440"/>
        <w:jc w:val="both"/>
      </w:pPr>
    </w:p>
    <w:p w:rsidR="00511D8F" w:rsidRDefault="00511D8F" w:rsidP="00511D8F">
      <w:pPr>
        <w:pStyle w:val="ListParagraph"/>
        <w:ind w:left="1440"/>
        <w:jc w:val="both"/>
        <w:rPr>
          <w:lang w:eastAsia="ko-KR"/>
        </w:rPr>
      </w:pPr>
      <w:r w:rsidRPr="00330FB4">
        <w:t xml:space="preserve">The </w:t>
      </w:r>
      <w:hyperlink r:id="rId16" w:history="1">
        <w:r w:rsidRPr="00330FB4">
          <w:rPr>
            <w:rStyle w:val="Hyperlink"/>
            <w:i/>
            <w:iCs/>
          </w:rPr>
          <w:t>draft Space Protocol</w:t>
        </w:r>
      </w:hyperlink>
      <w:r w:rsidRPr="00330FB4">
        <w:t xml:space="preserve"> is part of a family of international treaties beginning with the </w:t>
      </w:r>
      <w:hyperlink r:id="rId17" w:history="1">
        <w:r w:rsidRPr="00330FB4">
          <w:rPr>
            <w:rStyle w:val="Hyperlink"/>
          </w:rPr>
          <w:t>Convention on International Interests in Mobile Equipment</w:t>
        </w:r>
      </w:hyperlink>
      <w:r w:rsidRPr="00330FB4">
        <w:t xml:space="preserve"> and </w:t>
      </w:r>
      <w:hyperlink r:id="rId18" w:history="1">
        <w:r w:rsidRPr="00330FB4">
          <w:rPr>
            <w:rStyle w:val="Hyperlink"/>
          </w:rPr>
          <w:t>the Protocol on Matters specific to Aircraft Equipment</w:t>
        </w:r>
      </w:hyperlink>
      <w:r w:rsidRPr="00330FB4">
        <w:t xml:space="preserve">, both opened </w:t>
      </w:r>
      <w:r>
        <w:rPr>
          <w:rFonts w:hint="eastAsia"/>
          <w:lang w:eastAsia="ko-KR"/>
        </w:rPr>
        <w:t xml:space="preserve">for </w:t>
      </w:r>
      <w:r w:rsidRPr="00330FB4">
        <w:t xml:space="preserve">signature in Cape Town on 16 November 2001. The </w:t>
      </w:r>
      <w:hyperlink r:id="rId19" w:history="1">
        <w:r w:rsidRPr="00330FB4">
          <w:rPr>
            <w:rStyle w:val="Hyperlink"/>
            <w:i/>
            <w:iCs/>
          </w:rPr>
          <w:t>draft Space Protocol</w:t>
        </w:r>
      </w:hyperlink>
      <w:r w:rsidRPr="00330FB4">
        <w:rPr>
          <w:i/>
          <w:iCs/>
        </w:rPr>
        <w:t xml:space="preserve"> </w:t>
      </w:r>
      <w:r w:rsidRPr="00330FB4">
        <w:t>is an instrument designed to facilitate asset-based financing for the acquisition and use of space assets, such as satellites and transponders that move beyond frontiers.</w:t>
      </w:r>
    </w:p>
    <w:p w:rsidR="00511D8F" w:rsidRPr="00330FB4" w:rsidRDefault="00511D8F" w:rsidP="00511D8F">
      <w:pPr>
        <w:pStyle w:val="ListParagraph"/>
        <w:ind w:left="1440"/>
        <w:jc w:val="both"/>
        <w:rPr>
          <w:lang w:eastAsia="ko-KR"/>
        </w:rPr>
      </w:pPr>
    </w:p>
    <w:p w:rsidR="00511D8F" w:rsidRDefault="00511D8F" w:rsidP="00511D8F">
      <w:pPr>
        <w:pStyle w:val="ListParagraph"/>
        <w:ind w:left="1440"/>
        <w:jc w:val="both"/>
        <w:rPr>
          <w:rFonts w:eastAsia="Malgun Gothic"/>
          <w:lang w:val="en-GB" w:eastAsia="ko-KR"/>
        </w:rPr>
      </w:pPr>
      <w:r w:rsidRPr="00330FB4">
        <w:rPr>
          <w:rFonts w:eastAsia="Times New Roman"/>
          <w:lang w:val="en-GB"/>
        </w:rPr>
        <w:t xml:space="preserve">At </w:t>
      </w:r>
      <w:hyperlink r:id="rId20" w:history="1">
        <w:r w:rsidRPr="00330FB4">
          <w:rPr>
            <w:rStyle w:val="Hyperlink"/>
            <w:rFonts w:eastAsia="Times New Roman"/>
            <w:lang w:val="en-GB"/>
          </w:rPr>
          <w:t>the final session of the UNIDROIT Committee of governmental experts</w:t>
        </w:r>
      </w:hyperlink>
      <w:r w:rsidRPr="00330FB4">
        <w:rPr>
          <w:rFonts w:eastAsia="Times New Roman"/>
          <w:lang w:val="en-GB"/>
        </w:rPr>
        <w:t xml:space="preserve">, held in Rome from 21 to 25 February 2011, the States participating in the work of the Committee took note with interest of ITU’s potential as a candidate to exercise the functions of Supervisory Authority. </w:t>
      </w:r>
    </w:p>
    <w:p w:rsidR="00511D8F" w:rsidRPr="0009266D" w:rsidRDefault="00511D8F" w:rsidP="00511D8F">
      <w:pPr>
        <w:pStyle w:val="ListParagraph"/>
        <w:ind w:left="1440"/>
        <w:jc w:val="both"/>
        <w:rPr>
          <w:rFonts w:eastAsia="Malgun Gothic"/>
          <w:lang w:eastAsia="ko-KR"/>
        </w:rPr>
      </w:pPr>
    </w:p>
    <w:p w:rsidR="00511D8F" w:rsidRDefault="00511D8F" w:rsidP="00511D8F">
      <w:pPr>
        <w:pStyle w:val="ListParagraph"/>
        <w:ind w:left="1440"/>
        <w:jc w:val="both"/>
        <w:rPr>
          <w:lang w:eastAsia="ko-KR"/>
        </w:rPr>
      </w:pPr>
      <w:r w:rsidRPr="00330FB4">
        <w:t xml:space="preserve">In this context, </w:t>
      </w:r>
      <w:r>
        <w:rPr>
          <w:rFonts w:hint="eastAsia"/>
          <w:lang w:eastAsia="ko-KR"/>
        </w:rPr>
        <w:t xml:space="preserve">a </w:t>
      </w:r>
      <w:r w:rsidRPr="00330FB4">
        <w:t xml:space="preserve">series of sessions of </w:t>
      </w:r>
      <w:r>
        <w:rPr>
          <w:rFonts w:hint="eastAsia"/>
          <w:lang w:eastAsia="ko-KR"/>
        </w:rPr>
        <w:t xml:space="preserve">the </w:t>
      </w:r>
      <w:r w:rsidRPr="00330FB4">
        <w:t xml:space="preserve">ITU Council have discussed </w:t>
      </w:r>
      <w:r>
        <w:rPr>
          <w:rFonts w:hint="eastAsia"/>
          <w:lang w:eastAsia="ko-KR"/>
        </w:rPr>
        <w:t xml:space="preserve">the </w:t>
      </w:r>
      <w:r w:rsidRPr="00330FB4">
        <w:t>matter</w:t>
      </w:r>
      <w:r>
        <w:rPr>
          <w:rFonts w:hint="eastAsia"/>
          <w:lang w:eastAsia="ko-KR"/>
        </w:rPr>
        <w:t>, as to</w:t>
      </w:r>
      <w:r w:rsidRPr="00330FB4">
        <w:t xml:space="preserve"> whether ITU </w:t>
      </w:r>
      <w:r>
        <w:rPr>
          <w:rFonts w:hint="eastAsia"/>
          <w:lang w:eastAsia="ko-KR"/>
        </w:rPr>
        <w:t xml:space="preserve">should </w:t>
      </w:r>
      <w:r w:rsidRPr="00330FB4">
        <w:t>serve as a supervisory authority or not. Some councilors were already willing to agree in principle to the possibility of ITU performing the function of supervisory authority, pointing out that ITU must seize the opportunity that lay before it to be a key player in a sphere associated with satellite operations; that in order to find out what the function of supervisory authority entailed, reference could be made to the precedent constituted by the system put in place for the establishment of the International Registry for aircraft objects and that the Protocol would be of real value. Other councilors, on the other hand, felt that it was, for many reasons, still too early to be taking a decision in principle on the performance by ITU of the function of supervisory authority. The text of the draft Space Protocol was not yet final and there were numerous questions to which the Legal Adviser would have to respond. Many councilors thus considered it premature to announce at the present time that ITU was a candidate.</w:t>
      </w:r>
    </w:p>
    <w:p w:rsidR="00511D8F" w:rsidRPr="00330FB4" w:rsidRDefault="00511D8F" w:rsidP="00511D8F">
      <w:pPr>
        <w:pStyle w:val="ListParagraph"/>
        <w:ind w:left="1440"/>
        <w:jc w:val="both"/>
        <w:rPr>
          <w:lang w:eastAsia="ko-KR"/>
        </w:rPr>
      </w:pPr>
    </w:p>
    <w:p w:rsidR="00511D8F" w:rsidRPr="00330FB4" w:rsidRDefault="00511D8F" w:rsidP="00511D8F">
      <w:pPr>
        <w:pStyle w:val="ListParagraph"/>
        <w:ind w:left="1440"/>
        <w:jc w:val="both"/>
      </w:pPr>
      <w:r w:rsidRPr="00330FB4">
        <w:t>The Councils agreed to authorize the Secretary-General to continue to express interest in ITU becoming the supervisory authority, and to authorize the Secretary-General or his representative to participate in the work of the Preparatory Commission as an observer. Council-13 also concluded that PP-14 would decide whether or not ITU would take on the role of supervisory authority. The various questions raised by ITU Councilors would need to be answered by</w:t>
      </w:r>
      <w:r>
        <w:rPr>
          <w:rFonts w:hint="eastAsia"/>
          <w:lang w:eastAsia="ko-KR"/>
        </w:rPr>
        <w:t xml:space="preserve"> the</w:t>
      </w:r>
      <w:r w:rsidRPr="00330FB4">
        <w:t xml:space="preserve"> ITU Secretariat at the upcoming Council-14, so that ITU Me</w:t>
      </w:r>
      <w:r w:rsidRPr="00330FB4">
        <w:rPr>
          <w:lang w:eastAsia="ko-KR"/>
        </w:rPr>
        <w:t>m</w:t>
      </w:r>
      <w:r w:rsidRPr="00330FB4">
        <w:t>ber States would be in a position to take such a decision at PP-14.</w:t>
      </w:r>
    </w:p>
    <w:p w:rsidR="00511D8F" w:rsidRPr="00330FB4" w:rsidRDefault="00511D8F" w:rsidP="00511D8F">
      <w:pPr>
        <w:pStyle w:val="ListParagraph"/>
        <w:ind w:left="360"/>
        <w:jc w:val="both"/>
        <w:rPr>
          <w:rFonts w:eastAsia="Malgun Gothic"/>
          <w:b/>
          <w:bCs/>
          <w:lang w:eastAsia="ko-KR"/>
        </w:rPr>
      </w:pPr>
    </w:p>
    <w:p w:rsidR="00511D8F" w:rsidRPr="00330FB4" w:rsidRDefault="00511D8F" w:rsidP="00511D8F">
      <w:pPr>
        <w:pStyle w:val="ListParagraph"/>
        <w:numPr>
          <w:ilvl w:val="2"/>
          <w:numId w:val="9"/>
        </w:numPr>
        <w:jc w:val="both"/>
      </w:pPr>
      <w:r w:rsidRPr="00330FB4">
        <w:t>Current Status at ITU</w:t>
      </w:r>
    </w:p>
    <w:p w:rsidR="00511D8F" w:rsidRPr="00330FB4" w:rsidRDefault="00511D8F" w:rsidP="00511D8F">
      <w:pPr>
        <w:pStyle w:val="ListParagraph"/>
        <w:ind w:left="360"/>
        <w:jc w:val="both"/>
        <w:rPr>
          <w:rFonts w:eastAsia="Malgun Gothic"/>
          <w:b/>
          <w:bCs/>
          <w:lang w:eastAsia="ko-KR"/>
        </w:rPr>
      </w:pPr>
    </w:p>
    <w:p w:rsidR="00511D8F" w:rsidRPr="00330FB4" w:rsidRDefault="00511D8F" w:rsidP="00511D8F">
      <w:pPr>
        <w:pStyle w:val="ListParagraph"/>
        <w:ind w:left="1440"/>
        <w:jc w:val="both"/>
        <w:rPr>
          <w:rFonts w:eastAsia="Malgun Gothic"/>
          <w:bCs/>
          <w:lang w:eastAsia="ko-KR"/>
        </w:rPr>
      </w:pPr>
      <w:r>
        <w:rPr>
          <w:rFonts w:eastAsia="Malgun Gothic" w:hint="eastAsia"/>
          <w:bCs/>
          <w:lang w:eastAsia="ko-KR"/>
        </w:rPr>
        <w:t xml:space="preserve">The </w:t>
      </w:r>
      <w:r w:rsidRPr="00330FB4">
        <w:rPr>
          <w:rFonts w:eastAsia="Malgun Gothic"/>
          <w:bCs/>
          <w:lang w:eastAsia="ko-KR"/>
        </w:rPr>
        <w:t xml:space="preserve">ITU Secretary-General is authorized to participate in the work of the Preparatory Commission as an observer and to express interest in ITU becoming the supervisory authority. There is no consensus among the ITU Council members, and the decision would be made at PP-14. </w:t>
      </w:r>
    </w:p>
    <w:p w:rsidR="00511D8F" w:rsidRDefault="00511D8F" w:rsidP="00511D8F">
      <w:pPr>
        <w:pStyle w:val="ListParagraph"/>
        <w:ind w:left="360"/>
        <w:jc w:val="both"/>
        <w:rPr>
          <w:rFonts w:eastAsia="Malgun Gothic"/>
          <w:b/>
          <w:bCs/>
          <w:lang w:eastAsia="ko-KR"/>
        </w:rPr>
      </w:pPr>
    </w:p>
    <w:p w:rsidR="00511D8F" w:rsidRDefault="00511D8F" w:rsidP="00511D8F">
      <w:pPr>
        <w:pStyle w:val="ListParagraph"/>
        <w:ind w:left="360"/>
        <w:jc w:val="both"/>
        <w:rPr>
          <w:rFonts w:eastAsia="Malgun Gothic"/>
          <w:b/>
          <w:bCs/>
          <w:lang w:eastAsia="ko-KR"/>
        </w:rPr>
      </w:pPr>
    </w:p>
    <w:p w:rsidR="00511D8F" w:rsidRDefault="00511D8F" w:rsidP="00511D8F">
      <w:pPr>
        <w:pStyle w:val="ListParagraph"/>
        <w:ind w:left="360"/>
        <w:jc w:val="both"/>
        <w:rPr>
          <w:rFonts w:eastAsia="Malgun Gothic"/>
          <w:b/>
          <w:bCs/>
          <w:lang w:eastAsia="ko-KR"/>
        </w:rPr>
      </w:pPr>
    </w:p>
    <w:p w:rsidR="00511D8F" w:rsidRPr="00330FB4" w:rsidRDefault="00511D8F" w:rsidP="00511D8F">
      <w:pPr>
        <w:pStyle w:val="ListParagraph"/>
        <w:ind w:left="360"/>
        <w:jc w:val="both"/>
        <w:rPr>
          <w:rFonts w:eastAsia="Malgun Gothic"/>
          <w:b/>
          <w:bCs/>
          <w:lang w:eastAsia="ko-KR"/>
        </w:rPr>
      </w:pPr>
    </w:p>
    <w:p w:rsidR="00511D8F" w:rsidRPr="00330FB4" w:rsidRDefault="00511D8F" w:rsidP="00511D8F">
      <w:pPr>
        <w:pStyle w:val="ListParagraph"/>
        <w:numPr>
          <w:ilvl w:val="2"/>
          <w:numId w:val="9"/>
        </w:numPr>
        <w:jc w:val="both"/>
        <w:rPr>
          <w:i/>
        </w:rPr>
      </w:pPr>
      <w:r w:rsidRPr="00330FB4">
        <w:rPr>
          <w:i/>
        </w:rPr>
        <w:t xml:space="preserve">Further Action Required </w:t>
      </w:r>
    </w:p>
    <w:p w:rsidR="00511D8F" w:rsidRPr="00330FB4" w:rsidRDefault="00511D8F" w:rsidP="00511D8F">
      <w:pPr>
        <w:pStyle w:val="ListParagraph"/>
        <w:ind w:left="1440"/>
        <w:jc w:val="both"/>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3"/>
      </w:tblGrid>
      <w:tr w:rsidR="00511D8F" w:rsidRPr="00330FB4" w:rsidTr="00221349">
        <w:tc>
          <w:tcPr>
            <w:tcW w:w="9533" w:type="dxa"/>
            <w:shd w:val="clear" w:color="auto" w:fill="auto"/>
          </w:tcPr>
          <w:p w:rsidR="00511D8F" w:rsidRPr="00330FB4" w:rsidRDefault="00511D8F" w:rsidP="00221349">
            <w:pPr>
              <w:pStyle w:val="ListParagraph"/>
              <w:ind w:left="0"/>
              <w:jc w:val="both"/>
            </w:pPr>
            <w:r w:rsidRPr="00330FB4">
              <w:t xml:space="preserve">APT member countries are encouraged to note the discussion of </w:t>
            </w:r>
            <w:r>
              <w:rPr>
                <w:rFonts w:hint="eastAsia"/>
                <w:lang w:eastAsia="ko-KR"/>
              </w:rPr>
              <w:t xml:space="preserve">the </w:t>
            </w:r>
            <w:r w:rsidRPr="00330FB4">
              <w:t xml:space="preserve">ITU Council </w:t>
            </w:r>
            <w:r w:rsidRPr="00330FB4">
              <w:rPr>
                <w:i/>
              </w:rPr>
              <w:t xml:space="preserve">(see </w:t>
            </w:r>
            <w:hyperlink r:id="rId21" w:history="1">
              <w:r w:rsidRPr="00330FB4">
                <w:rPr>
                  <w:rStyle w:val="Hyperlink"/>
                  <w:i/>
                </w:rPr>
                <w:t>Document C11/26,</w:t>
              </w:r>
            </w:hyperlink>
            <w:r w:rsidRPr="00330FB4">
              <w:rPr>
                <w:i/>
              </w:rPr>
              <w:t xml:space="preserve"> </w:t>
            </w:r>
            <w:hyperlink r:id="rId22" w:history="1">
              <w:r w:rsidRPr="00330FB4">
                <w:rPr>
                  <w:rStyle w:val="Hyperlink"/>
                  <w:bCs/>
                  <w:i/>
                </w:rPr>
                <w:t>C12/36</w:t>
              </w:r>
            </w:hyperlink>
            <w:r w:rsidRPr="00330FB4">
              <w:rPr>
                <w:rStyle w:val="Hyperlink"/>
                <w:bCs/>
                <w:i/>
              </w:rPr>
              <w:t xml:space="preserve">, </w:t>
            </w:r>
            <w:hyperlink r:id="rId23" w:history="1">
              <w:r w:rsidRPr="00330FB4">
                <w:rPr>
                  <w:rStyle w:val="Hyperlink"/>
                  <w:i/>
                </w:rPr>
                <w:t>C13/55</w:t>
              </w:r>
            </w:hyperlink>
            <w:r w:rsidRPr="00330FB4">
              <w:rPr>
                <w:rStyle w:val="Hyperlink"/>
                <w:bCs/>
                <w:i/>
              </w:rPr>
              <w:t>)</w:t>
            </w:r>
            <w:r w:rsidRPr="00330FB4">
              <w:rPr>
                <w:i/>
              </w:rPr>
              <w:t>.</w:t>
            </w:r>
            <w:r w:rsidRPr="00330FB4">
              <w:t xml:space="preserve"> </w:t>
            </w:r>
          </w:p>
          <w:p w:rsidR="00511D8F" w:rsidRPr="00330FB4" w:rsidRDefault="00511D8F" w:rsidP="00221349">
            <w:pPr>
              <w:pStyle w:val="ListParagraph"/>
              <w:ind w:left="0"/>
              <w:jc w:val="both"/>
            </w:pPr>
          </w:p>
          <w:p w:rsidR="00511D8F" w:rsidRPr="00330FB4" w:rsidRDefault="00511D8F" w:rsidP="00221349">
            <w:pPr>
              <w:pStyle w:val="ListParagraph"/>
              <w:ind w:left="0"/>
              <w:jc w:val="both"/>
              <w:rPr>
                <w:rFonts w:eastAsia="Batang"/>
                <w:lang w:eastAsia="ko-KR"/>
              </w:rPr>
            </w:pPr>
            <w:r w:rsidRPr="00330FB4">
              <w:rPr>
                <w:b/>
              </w:rPr>
              <w:t>Recommendation:</w:t>
            </w:r>
            <w:r w:rsidRPr="00330FB4">
              <w:t xml:space="preserve"> </w:t>
            </w:r>
            <w:r w:rsidRPr="00330FB4">
              <w:rPr>
                <w:rFonts w:eastAsia="Batang"/>
                <w:lang w:eastAsia="ko-KR"/>
              </w:rPr>
              <w:t>APT member countries are encouraged to participate in discussion</w:t>
            </w:r>
            <w:r>
              <w:rPr>
                <w:rFonts w:eastAsia="Batang" w:hint="eastAsia"/>
                <w:lang w:eastAsia="ko-KR"/>
              </w:rPr>
              <w:t>s</w:t>
            </w:r>
            <w:r w:rsidRPr="00330FB4">
              <w:rPr>
                <w:rFonts w:eastAsia="Batang"/>
                <w:lang w:eastAsia="ko-KR"/>
              </w:rPr>
              <w:t xml:space="preserve"> at Council-14 taking into account the legal and financial implications, which will be covered by the report from </w:t>
            </w:r>
            <w:r>
              <w:rPr>
                <w:rFonts w:eastAsia="Batang" w:hint="eastAsia"/>
                <w:lang w:eastAsia="ko-KR"/>
              </w:rPr>
              <w:t xml:space="preserve">the </w:t>
            </w:r>
            <w:r w:rsidRPr="00330FB4">
              <w:rPr>
                <w:rFonts w:eastAsia="Batang"/>
                <w:lang w:eastAsia="ko-KR"/>
              </w:rPr>
              <w:t xml:space="preserve">ITU Secretariat. </w:t>
            </w:r>
          </w:p>
        </w:tc>
      </w:tr>
    </w:tbl>
    <w:p w:rsidR="00511D8F" w:rsidRPr="00330FB4" w:rsidRDefault="00511D8F" w:rsidP="00511D8F">
      <w:pPr>
        <w:pStyle w:val="ListParagraph"/>
        <w:ind w:left="1440"/>
        <w:jc w:val="both"/>
      </w:pPr>
    </w:p>
    <w:p w:rsidR="00511D8F" w:rsidRPr="00330FB4" w:rsidRDefault="00511D8F" w:rsidP="00511D8F">
      <w:pPr>
        <w:pStyle w:val="ListParagraph"/>
        <w:numPr>
          <w:ilvl w:val="1"/>
          <w:numId w:val="9"/>
        </w:numPr>
        <w:ind w:left="360"/>
        <w:jc w:val="both"/>
        <w:rPr>
          <w:b/>
          <w:bCs/>
        </w:rPr>
      </w:pPr>
      <w:r w:rsidRPr="00330FB4">
        <w:rPr>
          <w:b/>
          <w:bCs/>
        </w:rPr>
        <w:t xml:space="preserve">Issue </w:t>
      </w:r>
      <w:r w:rsidRPr="00330FB4">
        <w:rPr>
          <w:rFonts w:eastAsia="Malgun Gothic"/>
          <w:b/>
          <w:bCs/>
          <w:lang w:eastAsia="ko-KR"/>
        </w:rPr>
        <w:t xml:space="preserve">6: </w:t>
      </w:r>
      <w:r w:rsidRPr="00330FB4">
        <w:rPr>
          <w:b/>
          <w:lang w:eastAsia="ko-KR"/>
        </w:rPr>
        <w:t>Strengthening the role of ITU in building confidence and security in the use of ICTs</w:t>
      </w:r>
    </w:p>
    <w:p w:rsidR="00511D8F" w:rsidRPr="00330FB4" w:rsidRDefault="00511D8F" w:rsidP="00511D8F">
      <w:pPr>
        <w:pStyle w:val="ListParagraph"/>
        <w:ind w:left="360"/>
        <w:jc w:val="both"/>
        <w:rPr>
          <w:b/>
          <w:bCs/>
        </w:rPr>
      </w:pPr>
    </w:p>
    <w:p w:rsidR="00511D8F" w:rsidRPr="00330FB4" w:rsidRDefault="00511D8F" w:rsidP="00511D8F">
      <w:pPr>
        <w:pStyle w:val="ListParagraph"/>
        <w:numPr>
          <w:ilvl w:val="2"/>
          <w:numId w:val="9"/>
        </w:numPr>
        <w:jc w:val="both"/>
      </w:pPr>
      <w:r w:rsidRPr="00330FB4">
        <w:t>Introduction/Background</w:t>
      </w:r>
    </w:p>
    <w:p w:rsidR="00511D8F" w:rsidRPr="00330FB4" w:rsidRDefault="00511D8F" w:rsidP="00511D8F">
      <w:pPr>
        <w:pStyle w:val="ListParagraph"/>
        <w:ind w:left="1440"/>
        <w:jc w:val="both"/>
      </w:pPr>
    </w:p>
    <w:p w:rsidR="00511D8F" w:rsidRPr="00330FB4" w:rsidRDefault="00511D8F" w:rsidP="00511D8F">
      <w:pPr>
        <w:pStyle w:val="ListParagraph"/>
        <w:ind w:left="1440"/>
        <w:jc w:val="both"/>
        <w:rPr>
          <w:lang w:eastAsia="ko-KR"/>
        </w:rPr>
      </w:pPr>
      <w:r w:rsidRPr="00330FB4">
        <w:t>PP Resolution 130</w:t>
      </w:r>
      <w:r>
        <w:rPr>
          <w:rFonts w:hint="eastAsia"/>
          <w:lang w:eastAsia="ko-KR"/>
        </w:rPr>
        <w:t xml:space="preserve"> </w:t>
      </w:r>
      <w:r w:rsidRPr="00330FB4">
        <w:t>(Rev, Guadalajara, 2010)</w:t>
      </w:r>
      <w:r w:rsidRPr="00330FB4">
        <w:rPr>
          <w:rStyle w:val="FootnoteReference"/>
        </w:rPr>
        <w:footnoteReference w:id="8"/>
      </w:r>
      <w:r w:rsidRPr="00330FB4">
        <w:t xml:space="preserve"> says</w:t>
      </w:r>
      <w:r w:rsidRPr="00330FB4">
        <w:rPr>
          <w:lang w:eastAsia="ko-KR"/>
        </w:rPr>
        <w:t xml:space="preserve"> the following:</w:t>
      </w:r>
    </w:p>
    <w:p w:rsidR="00511D8F" w:rsidRPr="00330FB4" w:rsidRDefault="00511D8F" w:rsidP="00511D8F">
      <w:pPr>
        <w:pStyle w:val="ListParagraph"/>
        <w:numPr>
          <w:ilvl w:val="0"/>
          <w:numId w:val="15"/>
        </w:numPr>
        <w:jc w:val="both"/>
        <w:rPr>
          <w:i/>
        </w:rPr>
      </w:pPr>
      <w:r w:rsidRPr="00330FB4">
        <w:rPr>
          <w:i/>
        </w:rPr>
        <w:t>resolves to continue to give this work high priority within ITU, in accordance with its competences and expertise;</w:t>
      </w:r>
    </w:p>
    <w:p w:rsidR="00511D8F" w:rsidRPr="00330FB4" w:rsidRDefault="00511D8F" w:rsidP="00511D8F">
      <w:pPr>
        <w:pStyle w:val="ListParagraph"/>
        <w:ind w:left="1440"/>
        <w:jc w:val="both"/>
        <w:rPr>
          <w:rFonts w:eastAsia="Malgun Gothic"/>
          <w:i/>
          <w:sz w:val="17"/>
          <w:szCs w:val="17"/>
        </w:rPr>
      </w:pPr>
    </w:p>
    <w:p w:rsidR="00511D8F" w:rsidRPr="00330FB4" w:rsidRDefault="00511D8F" w:rsidP="00511D8F">
      <w:pPr>
        <w:pStyle w:val="ListParagraph"/>
        <w:numPr>
          <w:ilvl w:val="0"/>
          <w:numId w:val="15"/>
        </w:numPr>
        <w:jc w:val="both"/>
        <w:rPr>
          <w:i/>
        </w:rPr>
      </w:pPr>
      <w:r w:rsidRPr="00330FB4">
        <w:rPr>
          <w:i/>
        </w:rPr>
        <w:t xml:space="preserve">resolves to give high priority to the work in ITU described under bearing in mind above, in accordance with its competences and areas of expertise, while being mindful of the need to avoid duplicating work among the </w:t>
      </w:r>
      <w:proofErr w:type="spellStart"/>
      <w:r w:rsidRPr="00330FB4">
        <w:rPr>
          <w:i/>
        </w:rPr>
        <w:t>Bureaux</w:t>
      </w:r>
      <w:proofErr w:type="spellEnd"/>
      <w:r w:rsidRPr="00330FB4">
        <w:rPr>
          <w:i/>
        </w:rPr>
        <w:t xml:space="preserve"> or the General Secretariat or work which more appropriately falls within the mandates of other intergovernmental and relevant international bodies;</w:t>
      </w:r>
    </w:p>
    <w:p w:rsidR="00511D8F" w:rsidRPr="00330FB4" w:rsidRDefault="00511D8F" w:rsidP="00511D8F">
      <w:pPr>
        <w:pStyle w:val="ListParagraph"/>
        <w:ind w:left="1440"/>
        <w:jc w:val="both"/>
        <w:rPr>
          <w:rFonts w:eastAsia="Malgun Gothic"/>
          <w:i/>
          <w:sz w:val="17"/>
          <w:szCs w:val="17"/>
        </w:rPr>
      </w:pPr>
    </w:p>
    <w:p w:rsidR="00511D8F" w:rsidRPr="00330FB4" w:rsidRDefault="00511D8F" w:rsidP="00511D8F">
      <w:pPr>
        <w:pStyle w:val="ListParagraph"/>
        <w:numPr>
          <w:ilvl w:val="0"/>
          <w:numId w:val="15"/>
        </w:numPr>
        <w:jc w:val="both"/>
        <w:rPr>
          <w:i/>
        </w:rPr>
      </w:pPr>
      <w:r w:rsidRPr="00330FB4">
        <w:rPr>
          <w:i/>
        </w:rPr>
        <w:t xml:space="preserve">resolves that ITU shall focus resources and </w:t>
      </w:r>
      <w:proofErr w:type="spellStart"/>
      <w:r w:rsidRPr="00330FB4">
        <w:rPr>
          <w:i/>
        </w:rPr>
        <w:t>programmes</w:t>
      </w:r>
      <w:proofErr w:type="spellEnd"/>
      <w:r w:rsidRPr="00330FB4">
        <w:rPr>
          <w:i/>
        </w:rPr>
        <w:t xml:space="preserve"> on those areas of </w:t>
      </w:r>
      <w:proofErr w:type="spellStart"/>
      <w:r w:rsidRPr="00330FB4">
        <w:rPr>
          <w:i/>
        </w:rPr>
        <w:t>cybersecurity</w:t>
      </w:r>
      <w:proofErr w:type="spellEnd"/>
      <w:r w:rsidRPr="00330FB4">
        <w:rPr>
          <w:i/>
        </w:rPr>
        <w:t xml:space="preserve"> within its core mandate and expertise, notably the technical and development spheres, and not including areas related to Member States’ application of legal or policy principles related to national defense, national security, content and cybercrime, which are within their sovereign rights, although this does not however exclude ITU from carrying out its mandate to develop technical recommendations designed to reduce vulnerabilities in the ICT infrastructure, nor from providing all the assistance that was agreed upon at WTDC-10, including </w:t>
      </w:r>
      <w:proofErr w:type="spellStart"/>
      <w:r w:rsidRPr="00330FB4">
        <w:rPr>
          <w:i/>
        </w:rPr>
        <w:t>Programme</w:t>
      </w:r>
      <w:proofErr w:type="spellEnd"/>
      <w:r w:rsidRPr="00330FB4">
        <w:rPr>
          <w:i/>
        </w:rPr>
        <w:t xml:space="preserve"> 2 activities such as “assisting Member States, in particular developing countries, in the elaboration of appropriate and workable legal measures relating to protection against </w:t>
      </w:r>
      <w:proofErr w:type="spellStart"/>
      <w:r w:rsidRPr="00330FB4">
        <w:rPr>
          <w:i/>
        </w:rPr>
        <w:t>cyberthreats</w:t>
      </w:r>
      <w:proofErr w:type="spellEnd"/>
      <w:r w:rsidRPr="00330FB4">
        <w:rPr>
          <w:i/>
        </w:rPr>
        <w:t>” and in activities under Question 22-1/1</w:t>
      </w:r>
    </w:p>
    <w:p w:rsidR="00511D8F" w:rsidRPr="00330FB4" w:rsidRDefault="00511D8F" w:rsidP="00511D8F">
      <w:pPr>
        <w:pStyle w:val="ListParagraph"/>
        <w:ind w:left="1440"/>
        <w:jc w:val="both"/>
        <w:rPr>
          <w:lang w:eastAsia="ko-KR"/>
        </w:rPr>
      </w:pPr>
    </w:p>
    <w:p w:rsidR="00511D8F" w:rsidRPr="00330FB4" w:rsidRDefault="00511D8F" w:rsidP="00511D8F">
      <w:pPr>
        <w:pStyle w:val="ListParagraph"/>
        <w:ind w:left="1440"/>
        <w:jc w:val="both"/>
        <w:rPr>
          <w:lang w:eastAsia="ko-KR"/>
        </w:rPr>
      </w:pPr>
      <w:r w:rsidRPr="00330FB4">
        <w:rPr>
          <w:lang w:eastAsia="ko-KR"/>
        </w:rPr>
        <w:t xml:space="preserve">Pursuant to Resolution 130, various activities have been conducted by ITU Sectors and </w:t>
      </w:r>
      <w:r>
        <w:rPr>
          <w:rFonts w:hint="eastAsia"/>
          <w:lang w:eastAsia="ko-KR"/>
        </w:rPr>
        <w:t xml:space="preserve">the </w:t>
      </w:r>
      <w:r w:rsidRPr="00330FB4">
        <w:rPr>
          <w:lang w:eastAsia="ko-KR"/>
        </w:rPr>
        <w:t xml:space="preserve">General Secretariat, including </w:t>
      </w:r>
      <w:r>
        <w:rPr>
          <w:rFonts w:hint="eastAsia"/>
          <w:lang w:eastAsia="ko-KR"/>
        </w:rPr>
        <w:t xml:space="preserve">the </w:t>
      </w:r>
      <w:r w:rsidRPr="00330FB4">
        <w:rPr>
          <w:lang w:eastAsia="ko-KR"/>
        </w:rPr>
        <w:t xml:space="preserve">Global Cybersecurity Agenda, </w:t>
      </w:r>
      <w:r>
        <w:rPr>
          <w:rFonts w:hint="eastAsia"/>
          <w:lang w:eastAsia="ko-KR"/>
        </w:rPr>
        <w:t xml:space="preserve">the </w:t>
      </w:r>
      <w:r w:rsidRPr="00330FB4">
        <w:rPr>
          <w:lang w:eastAsia="ko-KR"/>
        </w:rPr>
        <w:t>Child Online Protection</w:t>
      </w:r>
      <w:r>
        <w:rPr>
          <w:rFonts w:hint="eastAsia"/>
          <w:lang w:eastAsia="ko-KR"/>
        </w:rPr>
        <w:t xml:space="preserve"> </w:t>
      </w:r>
      <w:r w:rsidR="003D1ECE">
        <w:rPr>
          <w:lang w:eastAsia="ko-KR"/>
        </w:rPr>
        <w:t>initiative</w:t>
      </w:r>
      <w:r w:rsidRPr="00330FB4">
        <w:rPr>
          <w:lang w:eastAsia="ko-KR"/>
        </w:rPr>
        <w:t xml:space="preserve">, </w:t>
      </w:r>
      <w:r>
        <w:rPr>
          <w:rFonts w:hint="eastAsia"/>
          <w:lang w:eastAsia="ko-KR"/>
        </w:rPr>
        <w:t xml:space="preserve">the development of </w:t>
      </w:r>
      <w:r w:rsidRPr="00330FB4">
        <w:rPr>
          <w:lang w:eastAsia="ko-KR"/>
        </w:rPr>
        <w:t xml:space="preserve">technical recommendations, etc. </w:t>
      </w:r>
    </w:p>
    <w:p w:rsidR="00511D8F" w:rsidRPr="00330FB4" w:rsidRDefault="00511D8F" w:rsidP="00511D8F">
      <w:pPr>
        <w:pStyle w:val="ListParagraph"/>
        <w:ind w:left="1440"/>
        <w:jc w:val="both"/>
      </w:pPr>
    </w:p>
    <w:p w:rsidR="00511D8F" w:rsidRPr="00330FB4" w:rsidRDefault="00511D8F" w:rsidP="00511D8F">
      <w:pPr>
        <w:pStyle w:val="ListParagraph"/>
        <w:ind w:left="1440"/>
        <w:jc w:val="both"/>
      </w:pPr>
      <w:r w:rsidRPr="00330FB4">
        <w:t xml:space="preserve">During the deliberation of ITU Councils, most councilors welcomed the work done by ITU on the technical aspects of </w:t>
      </w:r>
      <w:proofErr w:type="spellStart"/>
      <w:r w:rsidRPr="00330FB4">
        <w:t>cybersecurity</w:t>
      </w:r>
      <w:proofErr w:type="spellEnd"/>
      <w:r w:rsidRPr="00330FB4">
        <w:t xml:space="preserve"> and as part of its mandate, emphasizing the importance of awareness-raising, training and capacity-building activities. However, </w:t>
      </w:r>
      <w:r>
        <w:rPr>
          <w:rFonts w:hint="eastAsia"/>
          <w:lang w:eastAsia="ko-KR"/>
        </w:rPr>
        <w:t xml:space="preserve">a </w:t>
      </w:r>
      <w:r w:rsidRPr="00330FB4">
        <w:t xml:space="preserve">common understanding of ITU’s mandate on </w:t>
      </w:r>
      <w:proofErr w:type="spellStart"/>
      <w:r w:rsidRPr="00330FB4">
        <w:t>cybersecurity</w:t>
      </w:r>
      <w:proofErr w:type="spellEnd"/>
      <w:r w:rsidRPr="00330FB4">
        <w:t xml:space="preserve"> </w:t>
      </w:r>
      <w:r w:rsidRPr="00330FB4">
        <w:lastRenderedPageBreak/>
        <w:t xml:space="preserve">still needs to be reached among ITU Member States. During WCIT-12 some Member States proposed divergent aspects of </w:t>
      </w:r>
      <w:proofErr w:type="spellStart"/>
      <w:r w:rsidRPr="00330FB4">
        <w:t>cybersecurity</w:t>
      </w:r>
      <w:proofErr w:type="spellEnd"/>
      <w:r w:rsidRPr="00330FB4">
        <w:t xml:space="preserve"> including national defense, cyber terrorism and cyber crime. In addition, during Council-13, one councilor added one more argument underscoring that </w:t>
      </w:r>
      <w:proofErr w:type="spellStart"/>
      <w:r w:rsidRPr="00330FB4">
        <w:t>cybersecurity</w:t>
      </w:r>
      <w:proofErr w:type="spellEnd"/>
      <w:r w:rsidRPr="00330FB4">
        <w:t xml:space="preserve"> activities </w:t>
      </w:r>
      <w:r>
        <w:rPr>
          <w:rFonts w:hint="eastAsia"/>
          <w:lang w:eastAsia="ko-KR"/>
        </w:rPr>
        <w:t xml:space="preserve">have </w:t>
      </w:r>
      <w:r w:rsidRPr="00330FB4">
        <w:t xml:space="preserve">to be conducted with due respect for human rights, including individual liberties. </w:t>
      </w:r>
    </w:p>
    <w:p w:rsidR="00511D8F" w:rsidRPr="00330FB4" w:rsidRDefault="00511D8F" w:rsidP="00511D8F">
      <w:pPr>
        <w:pStyle w:val="ListParagraph"/>
        <w:ind w:left="1440"/>
        <w:jc w:val="both"/>
      </w:pPr>
    </w:p>
    <w:p w:rsidR="00511D8F" w:rsidRPr="00330FB4" w:rsidRDefault="00511D8F" w:rsidP="00511D8F">
      <w:pPr>
        <w:pStyle w:val="ListParagraph"/>
        <w:ind w:left="1440"/>
        <w:jc w:val="both"/>
      </w:pPr>
      <w:r w:rsidRPr="00330FB4">
        <w:t>During PP-14, discussion</w:t>
      </w:r>
      <w:r>
        <w:rPr>
          <w:rFonts w:hint="eastAsia"/>
          <w:lang w:eastAsia="ko-KR"/>
        </w:rPr>
        <w:t>s are expected to be held</w:t>
      </w:r>
      <w:r w:rsidRPr="00330FB4">
        <w:t xml:space="preserve"> on the mandate of ITU beyond technical aspects pertaining to </w:t>
      </w:r>
      <w:proofErr w:type="spellStart"/>
      <w:r w:rsidRPr="00330FB4">
        <w:t>cybersecurity</w:t>
      </w:r>
      <w:proofErr w:type="spellEnd"/>
      <w:r w:rsidRPr="00330FB4">
        <w:t xml:space="preserve">. </w:t>
      </w:r>
    </w:p>
    <w:p w:rsidR="00511D8F" w:rsidRPr="00330FB4" w:rsidRDefault="00511D8F" w:rsidP="00511D8F">
      <w:pPr>
        <w:pStyle w:val="ListParagraph"/>
        <w:ind w:left="1440"/>
        <w:jc w:val="both"/>
      </w:pPr>
    </w:p>
    <w:p w:rsidR="00511D8F" w:rsidRPr="00330FB4" w:rsidRDefault="00511D8F" w:rsidP="00511D8F">
      <w:pPr>
        <w:pStyle w:val="ListParagraph"/>
        <w:numPr>
          <w:ilvl w:val="2"/>
          <w:numId w:val="9"/>
        </w:numPr>
        <w:jc w:val="both"/>
      </w:pPr>
      <w:r w:rsidRPr="00330FB4">
        <w:t>Current Status at ITU</w:t>
      </w:r>
    </w:p>
    <w:p w:rsidR="00511D8F" w:rsidRPr="00330FB4" w:rsidRDefault="00511D8F" w:rsidP="00511D8F">
      <w:pPr>
        <w:pStyle w:val="ListParagraph"/>
        <w:ind w:left="360"/>
        <w:jc w:val="both"/>
        <w:rPr>
          <w:rFonts w:eastAsia="Malgun Gothic"/>
          <w:b/>
          <w:bCs/>
          <w:lang w:eastAsia="ko-KR"/>
        </w:rPr>
      </w:pPr>
    </w:p>
    <w:p w:rsidR="00511D8F" w:rsidRDefault="00511D8F" w:rsidP="00511D8F">
      <w:pPr>
        <w:pStyle w:val="ListParagraph"/>
        <w:ind w:left="1440"/>
        <w:jc w:val="both"/>
        <w:rPr>
          <w:lang w:eastAsia="ko-KR"/>
        </w:rPr>
      </w:pPr>
      <w:r w:rsidRPr="00330FB4">
        <w:t>PP-10 attempted to define ‘</w:t>
      </w:r>
      <w:proofErr w:type="spellStart"/>
      <w:r w:rsidRPr="00330FB4">
        <w:t>cybersecurity</w:t>
      </w:r>
      <w:proofErr w:type="spellEnd"/>
      <w:r w:rsidRPr="00330FB4">
        <w:t xml:space="preserve">’ within </w:t>
      </w:r>
      <w:r>
        <w:rPr>
          <w:rFonts w:hint="eastAsia"/>
          <w:lang w:eastAsia="ko-KR"/>
        </w:rPr>
        <w:t xml:space="preserve">the </w:t>
      </w:r>
      <w:r w:rsidRPr="00330FB4">
        <w:t>CS/CV or a resolution and after substantial discussion</w:t>
      </w:r>
      <w:r>
        <w:rPr>
          <w:rFonts w:hint="eastAsia"/>
          <w:lang w:eastAsia="ko-KR"/>
        </w:rPr>
        <w:t>s</w:t>
      </w:r>
      <w:r w:rsidRPr="00330FB4">
        <w:t xml:space="preserve"> Resolution 181</w:t>
      </w:r>
      <w:r>
        <w:rPr>
          <w:rFonts w:hint="eastAsia"/>
          <w:lang w:eastAsia="ko-KR"/>
        </w:rPr>
        <w:t xml:space="preserve"> </w:t>
      </w:r>
      <w:r w:rsidRPr="00330FB4">
        <w:t>(Guadalajara, 2010)</w:t>
      </w:r>
      <w:r w:rsidRPr="00330FB4">
        <w:rPr>
          <w:rStyle w:val="FootnoteReference"/>
        </w:rPr>
        <w:footnoteReference w:id="9"/>
      </w:r>
      <w:r w:rsidRPr="00330FB4">
        <w:t xml:space="preserve"> was</w:t>
      </w:r>
      <w:r>
        <w:rPr>
          <w:rFonts w:hint="eastAsia"/>
          <w:lang w:eastAsia="ko-KR"/>
        </w:rPr>
        <w:t xml:space="preserve"> adopted</w:t>
      </w:r>
      <w:r w:rsidRPr="00330FB4">
        <w:t xml:space="preserve">. APT Members were one of </w:t>
      </w:r>
      <w:r>
        <w:rPr>
          <w:rFonts w:hint="eastAsia"/>
          <w:lang w:eastAsia="ko-KR"/>
        </w:rPr>
        <w:t xml:space="preserve">the </w:t>
      </w:r>
      <w:r w:rsidRPr="00330FB4">
        <w:t xml:space="preserve">proponents to propose </w:t>
      </w:r>
      <w:r>
        <w:rPr>
          <w:rFonts w:hint="eastAsia"/>
          <w:lang w:eastAsia="ko-KR"/>
        </w:rPr>
        <w:t xml:space="preserve">that </w:t>
      </w:r>
      <w:proofErr w:type="spellStart"/>
      <w:r w:rsidRPr="00330FB4">
        <w:t>cybersecurity</w:t>
      </w:r>
      <w:proofErr w:type="spellEnd"/>
      <w:r w:rsidRPr="00330FB4">
        <w:t xml:space="preserve"> </w:t>
      </w:r>
      <w:r>
        <w:rPr>
          <w:rFonts w:hint="eastAsia"/>
          <w:lang w:eastAsia="ko-KR"/>
        </w:rPr>
        <w:t xml:space="preserve">be </w:t>
      </w:r>
      <w:r w:rsidRPr="00330FB4">
        <w:t xml:space="preserve">defined under </w:t>
      </w:r>
      <w:r>
        <w:rPr>
          <w:rFonts w:hint="eastAsia"/>
          <w:lang w:eastAsia="ko-KR"/>
        </w:rPr>
        <w:t xml:space="preserve">a </w:t>
      </w:r>
      <w:r w:rsidRPr="00330FB4">
        <w:t xml:space="preserve">new resolution of PP-10. Resolution 181, however, </w:t>
      </w:r>
      <w:r>
        <w:rPr>
          <w:rFonts w:hint="eastAsia"/>
          <w:lang w:eastAsia="ko-KR"/>
        </w:rPr>
        <w:t xml:space="preserve">merely contains </w:t>
      </w:r>
      <w:r w:rsidRPr="00330FB4">
        <w:t xml:space="preserve">a reference of the definition contained within Recommendation </w:t>
      </w:r>
      <w:r>
        <w:rPr>
          <w:rFonts w:hint="eastAsia"/>
          <w:lang w:eastAsia="ko-KR"/>
        </w:rPr>
        <w:t xml:space="preserve">ITU-T </w:t>
      </w:r>
      <w:r w:rsidRPr="00330FB4">
        <w:t xml:space="preserve">X.1205. </w:t>
      </w:r>
    </w:p>
    <w:p w:rsidR="00511D8F" w:rsidRPr="00330FB4" w:rsidRDefault="00511D8F" w:rsidP="00511D8F">
      <w:pPr>
        <w:pStyle w:val="ListParagraph"/>
        <w:ind w:left="1440"/>
        <w:jc w:val="both"/>
        <w:rPr>
          <w:lang w:eastAsia="ko-KR"/>
        </w:rPr>
      </w:pPr>
    </w:p>
    <w:p w:rsidR="00511D8F" w:rsidRPr="00330FB4" w:rsidRDefault="00511D8F" w:rsidP="00511D8F">
      <w:pPr>
        <w:pStyle w:val="ListParagraph"/>
        <w:ind w:left="1440"/>
        <w:jc w:val="both"/>
      </w:pPr>
      <w:r w:rsidRPr="00330FB4">
        <w:t xml:space="preserve">During Council-13, Indonesia introduced Document </w:t>
      </w:r>
      <w:hyperlink r:id="rId24" w:history="1">
        <w:r w:rsidRPr="00330FB4">
          <w:rPr>
            <w:rStyle w:val="Hyperlink"/>
            <w:snapToGrid w:val="0"/>
          </w:rPr>
          <w:t>C13/89</w:t>
        </w:r>
      </w:hyperlink>
      <w:r w:rsidRPr="00330FB4">
        <w:t xml:space="preserve">, proposing a common understanding of </w:t>
      </w:r>
      <w:proofErr w:type="spellStart"/>
      <w:r w:rsidRPr="00330FB4">
        <w:t>cybersecurity</w:t>
      </w:r>
      <w:proofErr w:type="spellEnd"/>
      <w:r w:rsidRPr="00330FB4">
        <w:t xml:space="preserve"> to strengthen </w:t>
      </w:r>
      <w:proofErr w:type="spellStart"/>
      <w:r w:rsidRPr="00330FB4">
        <w:t>cybersecurity</w:t>
      </w:r>
      <w:proofErr w:type="spellEnd"/>
      <w:r w:rsidRPr="00330FB4">
        <w:t xml:space="preserve"> measures. It was also proposed for </w:t>
      </w:r>
      <w:r>
        <w:rPr>
          <w:rFonts w:hint="eastAsia"/>
          <w:lang w:eastAsia="ko-KR"/>
        </w:rPr>
        <w:t xml:space="preserve">the </w:t>
      </w:r>
      <w:r w:rsidRPr="00330FB4">
        <w:t xml:space="preserve">Council to initiate and develop efforts on </w:t>
      </w:r>
      <w:proofErr w:type="spellStart"/>
      <w:r w:rsidRPr="00330FB4">
        <w:t>cybersecurity</w:t>
      </w:r>
      <w:proofErr w:type="spellEnd"/>
      <w:r w:rsidRPr="00330FB4">
        <w:t>. However, the contribution was submitted too late</w:t>
      </w:r>
      <w:r>
        <w:rPr>
          <w:rFonts w:hint="eastAsia"/>
          <w:lang w:eastAsia="ko-KR"/>
        </w:rPr>
        <w:t xml:space="preserve"> for discussion</w:t>
      </w:r>
      <w:r w:rsidRPr="00330FB4">
        <w:t>, so it was agreed that the contribution would be further discussed at Council-14.</w:t>
      </w:r>
    </w:p>
    <w:p w:rsidR="00511D8F" w:rsidRPr="00330FB4" w:rsidRDefault="00511D8F" w:rsidP="00511D8F">
      <w:pPr>
        <w:pStyle w:val="ListParagraph"/>
        <w:ind w:left="1440"/>
        <w:jc w:val="both"/>
      </w:pPr>
    </w:p>
    <w:p w:rsidR="00511D8F" w:rsidRPr="00330FB4" w:rsidRDefault="00511D8F" w:rsidP="00511D8F">
      <w:pPr>
        <w:pStyle w:val="ListParagraph"/>
        <w:ind w:left="1440"/>
        <w:jc w:val="both"/>
      </w:pPr>
      <w:r w:rsidRPr="00067D0F">
        <w:t>(Note) The outcomes of ‘Seoul Conference on Cyberspace 2013</w:t>
      </w:r>
      <w:r w:rsidRPr="00067D0F">
        <w:rPr>
          <w:rFonts w:hint="eastAsia"/>
          <w:lang w:eastAsia="ko-KR"/>
        </w:rPr>
        <w:t>,</w:t>
      </w:r>
      <w:r w:rsidRPr="00067D0F">
        <w:t>’</w:t>
      </w:r>
      <w:r w:rsidRPr="00067D0F">
        <w:rPr>
          <w:lang w:eastAsia="ko-KR"/>
        </w:rPr>
        <w:t xml:space="preserve"> which will be held in Seoul, Republic of Korea from 17 to 18 October 2013</w:t>
      </w:r>
      <w:r w:rsidRPr="00067D0F">
        <w:rPr>
          <w:rFonts w:hint="eastAsia"/>
          <w:lang w:eastAsia="ko-KR"/>
        </w:rPr>
        <w:t>,</w:t>
      </w:r>
      <w:r w:rsidRPr="00067D0F">
        <w:t xml:space="preserve">  </w:t>
      </w:r>
      <w:r>
        <w:rPr>
          <w:rFonts w:hint="eastAsia"/>
          <w:lang w:eastAsia="ko-KR"/>
        </w:rPr>
        <w:t xml:space="preserve">may </w:t>
      </w:r>
      <w:r w:rsidRPr="00067D0F">
        <w:t>be incorporated in this issue paper if the outcomes have legal and policy implications for PP-14.</w:t>
      </w:r>
      <w:r w:rsidRPr="00330FB4">
        <w:t xml:space="preserve"> </w:t>
      </w:r>
    </w:p>
    <w:p w:rsidR="00511D8F" w:rsidRPr="00330FB4" w:rsidRDefault="00511D8F" w:rsidP="00511D8F">
      <w:pPr>
        <w:pStyle w:val="ListParagraph"/>
        <w:ind w:left="1440"/>
        <w:jc w:val="both"/>
      </w:pPr>
    </w:p>
    <w:p w:rsidR="00511D8F" w:rsidRPr="00330FB4" w:rsidRDefault="00511D8F" w:rsidP="00511D8F">
      <w:pPr>
        <w:pStyle w:val="ListParagraph"/>
        <w:numPr>
          <w:ilvl w:val="2"/>
          <w:numId w:val="9"/>
        </w:numPr>
        <w:jc w:val="both"/>
        <w:rPr>
          <w:i/>
        </w:rPr>
      </w:pPr>
      <w:r w:rsidRPr="00330FB4">
        <w:rPr>
          <w:i/>
        </w:rPr>
        <w:t xml:space="preserve">Further Action Required </w:t>
      </w:r>
    </w:p>
    <w:p w:rsidR="00511D8F" w:rsidRPr="00330FB4" w:rsidRDefault="00511D8F" w:rsidP="00511D8F">
      <w:pPr>
        <w:pStyle w:val="ListParagraph"/>
        <w:ind w:left="1440"/>
        <w:jc w:val="both"/>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3"/>
      </w:tblGrid>
      <w:tr w:rsidR="00511D8F" w:rsidRPr="00330FB4" w:rsidTr="00221349">
        <w:tc>
          <w:tcPr>
            <w:tcW w:w="9533" w:type="dxa"/>
            <w:shd w:val="clear" w:color="auto" w:fill="auto"/>
          </w:tcPr>
          <w:p w:rsidR="00511D8F" w:rsidRPr="00330FB4" w:rsidRDefault="00511D8F" w:rsidP="00221349">
            <w:pPr>
              <w:pStyle w:val="ListParagraph"/>
              <w:ind w:left="0"/>
              <w:jc w:val="both"/>
            </w:pPr>
            <w:r w:rsidRPr="00330FB4">
              <w:t>APT member countries are encouraged to note the discussion of the previous PPs, ITU Councils and relevant conferences</w:t>
            </w:r>
            <w:r w:rsidRPr="00330FB4">
              <w:rPr>
                <w:i/>
              </w:rPr>
              <w:t>.</w:t>
            </w:r>
            <w:r w:rsidRPr="00330FB4">
              <w:t xml:space="preserve"> </w:t>
            </w:r>
          </w:p>
          <w:p w:rsidR="00511D8F" w:rsidRPr="00330FB4" w:rsidRDefault="00511D8F" w:rsidP="00221349">
            <w:pPr>
              <w:pStyle w:val="ListParagraph"/>
              <w:ind w:left="0"/>
              <w:jc w:val="both"/>
            </w:pPr>
          </w:p>
          <w:p w:rsidR="00511D8F" w:rsidRPr="00330FB4" w:rsidRDefault="00511D8F" w:rsidP="00221349">
            <w:pPr>
              <w:pStyle w:val="ListParagraph"/>
              <w:ind w:left="0"/>
              <w:jc w:val="both"/>
              <w:rPr>
                <w:lang w:eastAsia="ko-KR"/>
              </w:rPr>
            </w:pPr>
            <w:r w:rsidRPr="00330FB4">
              <w:rPr>
                <w:b/>
              </w:rPr>
              <w:t xml:space="preserve">Recommendation: </w:t>
            </w:r>
            <w:r>
              <w:rPr>
                <w:rFonts w:hint="eastAsia"/>
                <w:lang w:eastAsia="ko-KR"/>
              </w:rPr>
              <w:t>R</w:t>
            </w:r>
            <w:r w:rsidRPr="00330FB4">
              <w:t xml:space="preserve">ecognizing the importance of this issue, APT member countries are encouraged to </w:t>
            </w:r>
            <w:r>
              <w:rPr>
                <w:rFonts w:hint="eastAsia"/>
                <w:lang w:eastAsia="ko-KR"/>
              </w:rPr>
              <w:t xml:space="preserve">reach </w:t>
            </w:r>
            <w:r w:rsidRPr="00330FB4">
              <w:t xml:space="preserve">a common understanding on ITU’s mandate of </w:t>
            </w:r>
            <w:proofErr w:type="spellStart"/>
            <w:r w:rsidRPr="00330FB4">
              <w:t>cybersecurity</w:t>
            </w:r>
            <w:proofErr w:type="spellEnd"/>
            <w:r w:rsidRPr="00330FB4">
              <w:t>.</w:t>
            </w:r>
          </w:p>
        </w:tc>
      </w:tr>
    </w:tbl>
    <w:p w:rsidR="00511D8F" w:rsidRPr="00330FB4" w:rsidRDefault="00511D8F" w:rsidP="00511D8F">
      <w:pPr>
        <w:jc w:val="both"/>
        <w:rPr>
          <w:rFonts w:eastAsia="Malgun Gothic"/>
          <w:b/>
          <w:bCs/>
          <w:lang w:eastAsia="ko-KR"/>
        </w:rPr>
      </w:pPr>
    </w:p>
    <w:p w:rsidR="00511D8F" w:rsidRPr="00330FB4" w:rsidRDefault="00511D8F" w:rsidP="00511D8F">
      <w:pPr>
        <w:pStyle w:val="ListParagraph"/>
        <w:ind w:left="1440"/>
        <w:jc w:val="both"/>
      </w:pPr>
    </w:p>
    <w:p w:rsidR="00511D8F" w:rsidRPr="00330FB4" w:rsidRDefault="00511D8F" w:rsidP="00511D8F">
      <w:pPr>
        <w:pStyle w:val="ListParagraph"/>
        <w:numPr>
          <w:ilvl w:val="1"/>
          <w:numId w:val="9"/>
        </w:numPr>
        <w:ind w:left="360"/>
        <w:jc w:val="both"/>
        <w:rPr>
          <w:b/>
          <w:bCs/>
        </w:rPr>
      </w:pPr>
      <w:r w:rsidRPr="00330FB4">
        <w:rPr>
          <w:b/>
          <w:bCs/>
        </w:rPr>
        <w:t xml:space="preserve">Issue </w:t>
      </w:r>
      <w:r w:rsidRPr="00330FB4">
        <w:rPr>
          <w:rFonts w:eastAsia="Malgun Gothic"/>
          <w:b/>
          <w:bCs/>
          <w:lang w:eastAsia="ko-KR"/>
        </w:rPr>
        <w:t xml:space="preserve">7: </w:t>
      </w:r>
      <w:r w:rsidRPr="00330FB4">
        <w:rPr>
          <w:b/>
        </w:rPr>
        <w:t>Conformance and Interoperability (C&amp;I)</w:t>
      </w:r>
    </w:p>
    <w:p w:rsidR="00511D8F" w:rsidRPr="00330FB4" w:rsidRDefault="00511D8F" w:rsidP="00511D8F">
      <w:pPr>
        <w:pStyle w:val="ListParagraph"/>
        <w:ind w:left="360"/>
        <w:jc w:val="both"/>
        <w:rPr>
          <w:b/>
          <w:bCs/>
        </w:rPr>
      </w:pPr>
    </w:p>
    <w:p w:rsidR="00511D8F" w:rsidRPr="00330FB4" w:rsidRDefault="00511D8F" w:rsidP="00511D8F">
      <w:pPr>
        <w:pStyle w:val="ListParagraph"/>
        <w:numPr>
          <w:ilvl w:val="2"/>
          <w:numId w:val="9"/>
        </w:numPr>
        <w:jc w:val="both"/>
      </w:pPr>
      <w:r w:rsidRPr="00330FB4">
        <w:t>Introduction/Background</w:t>
      </w:r>
    </w:p>
    <w:p w:rsidR="00511D8F" w:rsidRPr="00330FB4" w:rsidRDefault="00511D8F" w:rsidP="00511D8F">
      <w:pPr>
        <w:pStyle w:val="ListParagraph"/>
        <w:ind w:left="1440"/>
        <w:jc w:val="both"/>
      </w:pPr>
    </w:p>
    <w:p w:rsidR="00511D8F" w:rsidRPr="00330FB4" w:rsidRDefault="00511D8F" w:rsidP="00511D8F">
      <w:pPr>
        <w:pStyle w:val="ListParagraph"/>
        <w:ind w:left="1440"/>
        <w:jc w:val="both"/>
        <w:rPr>
          <w:lang w:eastAsia="ko-KR"/>
        </w:rPr>
      </w:pPr>
      <w:r w:rsidRPr="00330FB4">
        <w:t>Resolution 177</w:t>
      </w:r>
      <w:r>
        <w:rPr>
          <w:rFonts w:hint="eastAsia"/>
          <w:lang w:eastAsia="ko-KR"/>
        </w:rPr>
        <w:t xml:space="preserve"> </w:t>
      </w:r>
      <w:r w:rsidRPr="00330FB4">
        <w:t>(Guadalajara, 2010)</w:t>
      </w:r>
      <w:r w:rsidRPr="00330FB4">
        <w:rPr>
          <w:rStyle w:val="FootnoteReference"/>
        </w:rPr>
        <w:footnoteReference w:id="10"/>
      </w:r>
      <w:r w:rsidRPr="00330FB4">
        <w:t xml:space="preserve"> instructs</w:t>
      </w:r>
      <w:r>
        <w:rPr>
          <w:rFonts w:hint="eastAsia"/>
          <w:lang w:eastAsia="ko-KR"/>
        </w:rPr>
        <w:t xml:space="preserve"> the</w:t>
      </w:r>
      <w:r w:rsidRPr="00330FB4">
        <w:t xml:space="preserve"> Council to report to PP-14 on the progress made with respect to that resolution. </w:t>
      </w:r>
    </w:p>
    <w:p w:rsidR="00511D8F" w:rsidRPr="00330FB4" w:rsidRDefault="00511D8F" w:rsidP="00511D8F">
      <w:pPr>
        <w:pStyle w:val="ListParagraph"/>
        <w:ind w:left="1440"/>
        <w:jc w:val="both"/>
      </w:pPr>
    </w:p>
    <w:p w:rsidR="00511D8F" w:rsidRPr="00330FB4" w:rsidRDefault="00511D8F" w:rsidP="00511D8F">
      <w:pPr>
        <w:pStyle w:val="ListParagraph"/>
        <w:ind w:left="1440"/>
        <w:jc w:val="both"/>
        <w:rPr>
          <w:lang w:eastAsia="ko-KR"/>
        </w:rPr>
      </w:pPr>
      <w:r w:rsidRPr="00330FB4">
        <w:lastRenderedPageBreak/>
        <w:t xml:space="preserve">Pursuant to the Resolution, four pillars have been identified and implemented, which are: </w:t>
      </w:r>
      <w:r w:rsidRPr="00330FB4">
        <w:rPr>
          <w:lang w:eastAsia="ko-KR"/>
        </w:rPr>
        <w:t xml:space="preserve">(1) </w:t>
      </w:r>
      <w:r w:rsidRPr="00330FB4">
        <w:t xml:space="preserve">conformance assessment; </w:t>
      </w:r>
      <w:r w:rsidRPr="00330FB4">
        <w:rPr>
          <w:lang w:eastAsia="ko-KR"/>
        </w:rPr>
        <w:t xml:space="preserve">(2) </w:t>
      </w:r>
      <w:r w:rsidRPr="00330FB4">
        <w:t xml:space="preserve">interoperability events; </w:t>
      </w:r>
      <w:r w:rsidRPr="00330FB4">
        <w:rPr>
          <w:lang w:eastAsia="ko-KR"/>
        </w:rPr>
        <w:t xml:space="preserve">(3) </w:t>
      </w:r>
      <w:r w:rsidRPr="00330FB4">
        <w:t xml:space="preserve">human resource capacity building; and </w:t>
      </w:r>
      <w:r w:rsidRPr="00330FB4">
        <w:rPr>
          <w:lang w:eastAsia="ko-KR"/>
        </w:rPr>
        <w:t>(4) establishment of test centers and C&amp;I regimes in developing countries</w:t>
      </w:r>
      <w:r w:rsidRPr="00330FB4">
        <w:t xml:space="preserve">. </w:t>
      </w:r>
      <w:r>
        <w:rPr>
          <w:rFonts w:hint="eastAsia"/>
          <w:lang w:eastAsia="ko-KR"/>
        </w:rPr>
        <w:t>A series</w:t>
      </w:r>
      <w:r w:rsidRPr="00330FB4">
        <w:rPr>
          <w:lang w:eastAsia="ko-KR"/>
        </w:rPr>
        <w:t xml:space="preserve"> of ITU Council </w:t>
      </w:r>
      <w:r>
        <w:rPr>
          <w:rFonts w:hint="eastAsia"/>
          <w:lang w:eastAsia="ko-KR"/>
        </w:rPr>
        <w:t xml:space="preserve">sessions </w:t>
      </w:r>
      <w:r w:rsidRPr="00330FB4">
        <w:rPr>
          <w:lang w:eastAsia="ko-KR"/>
        </w:rPr>
        <w:t xml:space="preserve">have articulated the </w:t>
      </w:r>
      <w:proofErr w:type="gramStart"/>
      <w:r w:rsidRPr="00330FB4">
        <w:rPr>
          <w:lang w:eastAsia="ko-KR"/>
        </w:rPr>
        <w:t>C&amp;I</w:t>
      </w:r>
      <w:proofErr w:type="gramEnd"/>
      <w:r w:rsidRPr="00330FB4">
        <w:rPr>
          <w:lang w:eastAsia="ko-KR"/>
        </w:rPr>
        <w:t xml:space="preserve"> to be deployed, and consequently Council-12 adopted </w:t>
      </w:r>
      <w:r w:rsidRPr="00330FB4">
        <w:t xml:space="preserve">a relevant business </w:t>
      </w:r>
      <w:r w:rsidRPr="00330FB4">
        <w:rPr>
          <w:lang w:eastAsia="ko-KR"/>
        </w:rPr>
        <w:t xml:space="preserve">plan </w:t>
      </w:r>
      <w:r w:rsidRPr="00330FB4">
        <w:t xml:space="preserve">contained at </w:t>
      </w:r>
      <w:hyperlink r:id="rId25" w:history="1">
        <w:r w:rsidRPr="00330FB4">
          <w:rPr>
            <w:rStyle w:val="Hyperlink"/>
          </w:rPr>
          <w:t>C12</w:t>
        </w:r>
        <w:r w:rsidRPr="00330FB4">
          <w:rPr>
            <w:rStyle w:val="Hyperlink"/>
            <w:lang w:eastAsia="ko-KR"/>
          </w:rPr>
          <w:t>/37</w:t>
        </w:r>
      </w:hyperlink>
      <w:r w:rsidRPr="00330FB4">
        <w:rPr>
          <w:lang w:eastAsia="ko-KR"/>
        </w:rPr>
        <w:t xml:space="preserve">. There is no dispute among the Member States for ITU to pursue pillars (2) to (4), but concerning pillar (1), conformance assessment, many councilors underscored that thorough market surveys and legal studies need to be conducted before its implementation.  </w:t>
      </w:r>
    </w:p>
    <w:p w:rsidR="00511D8F" w:rsidRPr="00330FB4" w:rsidRDefault="00511D8F" w:rsidP="00511D8F">
      <w:pPr>
        <w:jc w:val="both"/>
      </w:pPr>
    </w:p>
    <w:p w:rsidR="00511D8F" w:rsidRPr="00330FB4" w:rsidRDefault="00511D8F" w:rsidP="00511D8F">
      <w:pPr>
        <w:pStyle w:val="ListParagraph"/>
        <w:numPr>
          <w:ilvl w:val="2"/>
          <w:numId w:val="9"/>
        </w:numPr>
        <w:jc w:val="both"/>
      </w:pPr>
      <w:r w:rsidRPr="00330FB4">
        <w:t>Current Status at ITU</w:t>
      </w:r>
    </w:p>
    <w:p w:rsidR="00511D8F" w:rsidRPr="00330FB4" w:rsidRDefault="00511D8F" w:rsidP="00511D8F">
      <w:pPr>
        <w:pStyle w:val="ListParagraph"/>
        <w:ind w:left="1440"/>
        <w:jc w:val="both"/>
        <w:rPr>
          <w:rFonts w:eastAsia="Malgun Gothic"/>
          <w:b/>
          <w:bCs/>
          <w:lang w:eastAsia="ko-KR"/>
        </w:rPr>
      </w:pPr>
    </w:p>
    <w:p w:rsidR="00511D8F" w:rsidRPr="00330FB4" w:rsidRDefault="00511D8F" w:rsidP="00511D8F">
      <w:pPr>
        <w:pStyle w:val="ListParagraph"/>
        <w:ind w:left="1440"/>
        <w:jc w:val="both"/>
        <w:rPr>
          <w:rFonts w:eastAsia="Malgun Gothic"/>
          <w:bCs/>
          <w:lang w:eastAsia="ko-KR"/>
        </w:rPr>
      </w:pPr>
      <w:r w:rsidRPr="00330FB4">
        <w:rPr>
          <w:rFonts w:eastAsia="Malgun Gothic"/>
          <w:bCs/>
          <w:lang w:eastAsia="ko-KR"/>
        </w:rPr>
        <w:t>Various activities have been conducted through ITU-T and ITU-</w:t>
      </w:r>
      <w:proofErr w:type="gramStart"/>
      <w:r w:rsidRPr="00330FB4">
        <w:rPr>
          <w:rFonts w:eastAsia="Malgun Gothic"/>
          <w:bCs/>
          <w:lang w:eastAsia="ko-KR"/>
        </w:rPr>
        <w:t xml:space="preserve">R </w:t>
      </w:r>
      <w:r>
        <w:rPr>
          <w:rFonts w:eastAsia="Malgun Gothic" w:hint="eastAsia"/>
          <w:bCs/>
          <w:lang w:eastAsia="ko-KR"/>
        </w:rPr>
        <w:t xml:space="preserve"> study</w:t>
      </w:r>
      <w:proofErr w:type="gramEnd"/>
      <w:r>
        <w:rPr>
          <w:rFonts w:eastAsia="Malgun Gothic" w:hint="eastAsia"/>
          <w:bCs/>
          <w:lang w:eastAsia="ko-KR"/>
        </w:rPr>
        <w:t xml:space="preserve"> groups </w:t>
      </w:r>
      <w:r w:rsidRPr="00330FB4">
        <w:rPr>
          <w:rFonts w:eastAsia="Malgun Gothic"/>
          <w:bCs/>
          <w:lang w:eastAsia="ko-KR"/>
        </w:rPr>
        <w:t xml:space="preserve">(see </w:t>
      </w:r>
      <w:hyperlink r:id="rId26" w:history="1">
        <w:r w:rsidRPr="00330FB4">
          <w:rPr>
            <w:rStyle w:val="Hyperlink"/>
            <w:rFonts w:eastAsia="Malgun Gothic"/>
            <w:bCs/>
            <w:lang w:eastAsia="ko-KR"/>
          </w:rPr>
          <w:t>C13/24</w:t>
        </w:r>
      </w:hyperlink>
      <w:r w:rsidRPr="00330FB4">
        <w:rPr>
          <w:rFonts w:eastAsia="Malgun Gothic"/>
          <w:bCs/>
          <w:lang w:eastAsia="ko-KR"/>
        </w:rPr>
        <w:t xml:space="preserve">).  </w:t>
      </w:r>
    </w:p>
    <w:p w:rsidR="00511D8F" w:rsidRPr="00850761" w:rsidRDefault="00511D8F" w:rsidP="00511D8F">
      <w:pPr>
        <w:pStyle w:val="ListParagraph"/>
        <w:ind w:left="1440"/>
        <w:jc w:val="both"/>
        <w:rPr>
          <w:rFonts w:eastAsia="Malgun Gothic"/>
          <w:bCs/>
          <w:lang w:eastAsia="ko-KR"/>
        </w:rPr>
      </w:pPr>
    </w:p>
    <w:p w:rsidR="00511D8F" w:rsidRPr="00330FB4" w:rsidRDefault="00511D8F" w:rsidP="00511D8F">
      <w:pPr>
        <w:pStyle w:val="ListParagraph"/>
        <w:ind w:left="1440"/>
        <w:jc w:val="both"/>
        <w:rPr>
          <w:rFonts w:eastAsia="Malgun Gothic"/>
          <w:bCs/>
          <w:lang w:eastAsia="ko-KR"/>
        </w:rPr>
      </w:pPr>
    </w:p>
    <w:p w:rsidR="00511D8F" w:rsidRPr="00330FB4" w:rsidRDefault="00511D8F" w:rsidP="00511D8F">
      <w:pPr>
        <w:pStyle w:val="ListParagraph"/>
        <w:numPr>
          <w:ilvl w:val="2"/>
          <w:numId w:val="9"/>
        </w:numPr>
        <w:jc w:val="both"/>
        <w:rPr>
          <w:i/>
        </w:rPr>
      </w:pPr>
      <w:r w:rsidRPr="00330FB4">
        <w:rPr>
          <w:i/>
        </w:rPr>
        <w:t xml:space="preserve">Further Action Required </w:t>
      </w:r>
    </w:p>
    <w:p w:rsidR="00511D8F" w:rsidRPr="00330FB4" w:rsidRDefault="00511D8F" w:rsidP="00511D8F">
      <w:pPr>
        <w:pStyle w:val="ListParagraph"/>
        <w:ind w:left="1440"/>
        <w:jc w:val="both"/>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3"/>
      </w:tblGrid>
      <w:tr w:rsidR="00511D8F" w:rsidRPr="00330FB4" w:rsidTr="00221349">
        <w:tc>
          <w:tcPr>
            <w:tcW w:w="9533" w:type="dxa"/>
            <w:shd w:val="clear" w:color="auto" w:fill="auto"/>
          </w:tcPr>
          <w:p w:rsidR="00511D8F" w:rsidRPr="00330FB4" w:rsidRDefault="00511D8F" w:rsidP="00221349">
            <w:pPr>
              <w:pStyle w:val="ListParagraph"/>
              <w:ind w:left="0"/>
              <w:jc w:val="both"/>
            </w:pPr>
            <w:r w:rsidRPr="00330FB4">
              <w:t>APT member countries are encouraged to note the various activities taken by ITU sectors and discussion</w:t>
            </w:r>
            <w:r>
              <w:rPr>
                <w:rFonts w:hint="eastAsia"/>
                <w:lang w:eastAsia="ko-KR"/>
              </w:rPr>
              <w:t>s</w:t>
            </w:r>
            <w:r w:rsidRPr="00330FB4">
              <w:t xml:space="preserve"> under </w:t>
            </w:r>
            <w:r>
              <w:rPr>
                <w:rFonts w:hint="eastAsia"/>
                <w:lang w:eastAsia="ko-KR"/>
              </w:rPr>
              <w:t xml:space="preserve">the </w:t>
            </w:r>
            <w:r w:rsidRPr="00330FB4">
              <w:t>Council</w:t>
            </w:r>
            <w:r w:rsidRPr="00330FB4">
              <w:rPr>
                <w:i/>
              </w:rPr>
              <w:t>.</w:t>
            </w:r>
            <w:r w:rsidRPr="00330FB4">
              <w:t xml:space="preserve"> </w:t>
            </w:r>
          </w:p>
          <w:p w:rsidR="00511D8F" w:rsidRPr="00330FB4" w:rsidRDefault="00511D8F" w:rsidP="00221349">
            <w:pPr>
              <w:pStyle w:val="ListParagraph"/>
              <w:ind w:left="0"/>
              <w:jc w:val="both"/>
            </w:pPr>
          </w:p>
          <w:p w:rsidR="00511D8F" w:rsidRPr="00330FB4" w:rsidRDefault="00511D8F" w:rsidP="00221349">
            <w:pPr>
              <w:pStyle w:val="ListParagraph"/>
              <w:ind w:left="0"/>
              <w:jc w:val="both"/>
              <w:rPr>
                <w:lang w:eastAsia="ko-KR"/>
              </w:rPr>
            </w:pPr>
            <w:r w:rsidRPr="00330FB4">
              <w:rPr>
                <w:b/>
              </w:rPr>
              <w:t xml:space="preserve">Recommendation: </w:t>
            </w:r>
            <w:r w:rsidRPr="00330FB4">
              <w:t xml:space="preserve">APT member countries are encouraged to </w:t>
            </w:r>
            <w:r>
              <w:rPr>
                <w:rFonts w:hint="eastAsia"/>
                <w:lang w:eastAsia="ko-KR"/>
              </w:rPr>
              <w:t xml:space="preserve">reach </w:t>
            </w:r>
            <w:r w:rsidRPr="00330FB4">
              <w:t xml:space="preserve">a common understanding on the issue in order to </w:t>
            </w:r>
            <w:r>
              <w:rPr>
                <w:rFonts w:hint="eastAsia"/>
                <w:lang w:eastAsia="ko-KR"/>
              </w:rPr>
              <w:t xml:space="preserve">hold a </w:t>
            </w:r>
            <w:r w:rsidRPr="00330FB4">
              <w:t>common view</w:t>
            </w:r>
            <w:r>
              <w:rPr>
                <w:rFonts w:hint="eastAsia"/>
                <w:lang w:eastAsia="ko-KR"/>
              </w:rPr>
              <w:t xml:space="preserve"> on</w:t>
            </w:r>
            <w:r w:rsidRPr="00330FB4">
              <w:t xml:space="preserve"> whether or not Resolution 177 needs to be modified taking into account ITU’s activities. </w:t>
            </w:r>
          </w:p>
        </w:tc>
      </w:tr>
    </w:tbl>
    <w:p w:rsidR="00511D8F" w:rsidRPr="00330FB4" w:rsidRDefault="00511D8F" w:rsidP="00511D8F">
      <w:pPr>
        <w:pStyle w:val="ListParagraph"/>
        <w:ind w:left="1440"/>
        <w:jc w:val="both"/>
        <w:rPr>
          <w:rFonts w:eastAsia="Malgun Gothic"/>
          <w:b/>
          <w:bCs/>
          <w:lang w:eastAsia="ko-KR"/>
        </w:rPr>
      </w:pPr>
    </w:p>
    <w:p w:rsidR="00511D8F" w:rsidRPr="00330FB4" w:rsidRDefault="00511D8F" w:rsidP="00511D8F">
      <w:pPr>
        <w:pStyle w:val="ListParagraph"/>
        <w:ind w:left="1440"/>
        <w:jc w:val="both"/>
      </w:pPr>
    </w:p>
    <w:p w:rsidR="00511D8F" w:rsidRPr="00330FB4" w:rsidRDefault="00511D8F" w:rsidP="00511D8F">
      <w:pPr>
        <w:pStyle w:val="ListParagraph"/>
        <w:numPr>
          <w:ilvl w:val="1"/>
          <w:numId w:val="9"/>
        </w:numPr>
        <w:ind w:left="360"/>
        <w:jc w:val="both"/>
        <w:rPr>
          <w:b/>
          <w:bCs/>
        </w:rPr>
      </w:pPr>
      <w:r w:rsidRPr="00330FB4">
        <w:rPr>
          <w:b/>
          <w:bCs/>
        </w:rPr>
        <w:t xml:space="preserve">Issue </w:t>
      </w:r>
      <w:r w:rsidRPr="00330FB4">
        <w:rPr>
          <w:rFonts w:eastAsia="Malgun Gothic"/>
          <w:b/>
          <w:bCs/>
          <w:lang w:eastAsia="ko-KR"/>
        </w:rPr>
        <w:t xml:space="preserve">8: </w:t>
      </w:r>
      <w:r w:rsidRPr="00330FB4">
        <w:rPr>
          <w:rFonts w:eastAsia="Malgun Gothic"/>
          <w:b/>
          <w:lang w:eastAsia="ko-KR"/>
        </w:rPr>
        <w:t xml:space="preserve">ICT Convergence and </w:t>
      </w:r>
      <w:proofErr w:type="spellStart"/>
      <w:r w:rsidRPr="00330FB4">
        <w:rPr>
          <w:rFonts w:eastAsia="Malgun Gothic"/>
          <w:b/>
          <w:lang w:eastAsia="ko-KR"/>
        </w:rPr>
        <w:t>IoT</w:t>
      </w:r>
      <w:proofErr w:type="spellEnd"/>
      <w:r w:rsidRPr="00330FB4">
        <w:rPr>
          <w:rFonts w:eastAsia="Malgun Gothic"/>
          <w:b/>
          <w:lang w:eastAsia="ko-KR"/>
        </w:rPr>
        <w:t xml:space="preserve"> Deployment</w:t>
      </w:r>
    </w:p>
    <w:p w:rsidR="00511D8F" w:rsidRPr="00330FB4" w:rsidRDefault="00511D8F" w:rsidP="00511D8F">
      <w:pPr>
        <w:pStyle w:val="ListParagraph"/>
        <w:ind w:left="360"/>
        <w:jc w:val="both"/>
        <w:rPr>
          <w:b/>
          <w:bCs/>
        </w:rPr>
      </w:pPr>
    </w:p>
    <w:p w:rsidR="00511D8F" w:rsidRPr="00330FB4" w:rsidRDefault="00511D8F" w:rsidP="00511D8F">
      <w:pPr>
        <w:pStyle w:val="ListParagraph"/>
        <w:numPr>
          <w:ilvl w:val="2"/>
          <w:numId w:val="9"/>
        </w:numPr>
        <w:jc w:val="both"/>
      </w:pPr>
      <w:r w:rsidRPr="00330FB4">
        <w:t>Introduction/Background</w:t>
      </w:r>
    </w:p>
    <w:p w:rsidR="00511D8F" w:rsidRPr="00330FB4" w:rsidRDefault="00511D8F" w:rsidP="00511D8F">
      <w:pPr>
        <w:pStyle w:val="ListParagraph"/>
        <w:ind w:left="1440"/>
        <w:jc w:val="both"/>
      </w:pPr>
    </w:p>
    <w:p w:rsidR="00511D8F" w:rsidRDefault="00511D8F" w:rsidP="00511D8F">
      <w:pPr>
        <w:pStyle w:val="ListParagraph"/>
        <w:ind w:left="1440"/>
        <w:jc w:val="both"/>
        <w:rPr>
          <w:lang w:eastAsia="ko-KR"/>
        </w:rPr>
      </w:pPr>
      <w:r w:rsidRPr="00330FB4">
        <w:t>During the 1</w:t>
      </w:r>
      <w:r w:rsidRPr="00330FB4">
        <w:rPr>
          <w:vertAlign w:val="superscript"/>
        </w:rPr>
        <w:t>st</w:t>
      </w:r>
      <w:r w:rsidRPr="00330FB4">
        <w:t xml:space="preserve"> APT Preparatory meeting for PP-14, </w:t>
      </w:r>
      <w:r>
        <w:rPr>
          <w:rFonts w:hint="eastAsia"/>
          <w:lang w:eastAsia="ko-KR"/>
        </w:rPr>
        <w:t xml:space="preserve">the </w:t>
      </w:r>
      <w:r w:rsidRPr="00330FB4">
        <w:t>Republic of Korea proposed contributions: telecommunication/ICT convergence and Internet of Things (</w:t>
      </w:r>
      <w:proofErr w:type="spellStart"/>
      <w:r w:rsidRPr="00330FB4">
        <w:t>IoT</w:t>
      </w:r>
      <w:proofErr w:type="spellEnd"/>
      <w:r w:rsidRPr="00330FB4">
        <w:t>) deployment.</w:t>
      </w:r>
    </w:p>
    <w:p w:rsidR="00511D8F" w:rsidRPr="00330FB4" w:rsidRDefault="00511D8F" w:rsidP="00511D8F">
      <w:pPr>
        <w:pStyle w:val="ListParagraph"/>
        <w:ind w:left="1440"/>
        <w:jc w:val="both"/>
        <w:rPr>
          <w:lang w:eastAsia="ko-KR"/>
        </w:rPr>
      </w:pPr>
    </w:p>
    <w:p w:rsidR="00511D8F" w:rsidRDefault="00511D8F" w:rsidP="00511D8F">
      <w:pPr>
        <w:pStyle w:val="ListParagraph"/>
        <w:ind w:left="1440"/>
        <w:jc w:val="both"/>
        <w:rPr>
          <w:rFonts w:eastAsia="Malgun Gothic"/>
          <w:b/>
          <w:bCs/>
          <w:i/>
          <w:color w:val="000000"/>
          <w:lang w:eastAsia="ko-KR"/>
        </w:rPr>
      </w:pPr>
      <w:r w:rsidRPr="00330FB4">
        <w:t xml:space="preserve">Korea expressed their view that ITU will be able to make contributions and provide support to the convergence with telecommunication/ICT that is taking place in other industry sectors, based on its expertise and knowledge as well as diverse experience in the areas of telecommunication/ICT and convergence </w:t>
      </w:r>
      <w:r w:rsidRPr="00330FB4">
        <w:rPr>
          <w:i/>
        </w:rPr>
        <w:t xml:space="preserve">(see </w:t>
      </w:r>
      <w:hyperlink r:id="rId27" w:tgtFrame="_blank" w:history="1">
        <w:r w:rsidRPr="00330FB4">
          <w:rPr>
            <w:rStyle w:val="Hyperlink"/>
            <w:rFonts w:eastAsia="Times New Roman"/>
            <w:i/>
            <w:color w:val="095E54"/>
          </w:rPr>
          <w:t>PP14-1/INP-08(Rev.1)</w:t>
        </w:r>
      </w:hyperlink>
    </w:p>
    <w:p w:rsidR="00511D8F" w:rsidRPr="0009266D" w:rsidRDefault="00511D8F" w:rsidP="00511D8F">
      <w:pPr>
        <w:pStyle w:val="ListParagraph"/>
        <w:ind w:left="1440"/>
        <w:jc w:val="both"/>
        <w:rPr>
          <w:rFonts w:eastAsia="Malgun Gothic"/>
          <w:lang w:eastAsia="ko-KR"/>
        </w:rPr>
      </w:pPr>
    </w:p>
    <w:p w:rsidR="00511D8F" w:rsidRDefault="00511D8F" w:rsidP="00511D8F">
      <w:pPr>
        <w:pStyle w:val="ListParagraph"/>
        <w:ind w:left="1440"/>
        <w:jc w:val="both"/>
        <w:rPr>
          <w:rStyle w:val="Hyperlink"/>
          <w:rFonts w:eastAsia="Malgun Gothic"/>
          <w:i/>
          <w:color w:val="095E54"/>
          <w:lang w:eastAsia="ko-KR"/>
        </w:rPr>
      </w:pPr>
      <w:r w:rsidRPr="00330FB4">
        <w:t xml:space="preserve">Korea also stressed that ITU should recognize the importance of </w:t>
      </w:r>
      <w:proofErr w:type="spellStart"/>
      <w:r w:rsidRPr="00330FB4">
        <w:t>IoT’s</w:t>
      </w:r>
      <w:proofErr w:type="spellEnd"/>
      <w:r w:rsidRPr="00330FB4">
        <w:t xml:space="preserve"> technical, social and economic implications</w:t>
      </w:r>
      <w:r>
        <w:rPr>
          <w:rFonts w:hint="eastAsia"/>
          <w:lang w:eastAsia="ko-KR"/>
        </w:rPr>
        <w:t>,</w:t>
      </w:r>
      <w:r w:rsidRPr="00330FB4">
        <w:t xml:space="preserve"> which </w:t>
      </w:r>
      <w:proofErr w:type="gramStart"/>
      <w:r>
        <w:rPr>
          <w:rFonts w:hint="eastAsia"/>
          <w:lang w:eastAsia="ko-KR"/>
        </w:rPr>
        <w:t xml:space="preserve">are </w:t>
      </w:r>
      <w:r w:rsidRPr="00330FB4">
        <w:t xml:space="preserve"> key</w:t>
      </w:r>
      <w:proofErr w:type="gramEnd"/>
      <w:r w:rsidRPr="00330FB4">
        <w:t xml:space="preserve"> factor</w:t>
      </w:r>
      <w:r>
        <w:rPr>
          <w:rFonts w:hint="eastAsia"/>
          <w:lang w:eastAsia="ko-KR"/>
        </w:rPr>
        <w:t>s</w:t>
      </w:r>
      <w:r w:rsidRPr="00330FB4">
        <w:t xml:space="preserve"> in the networked future. </w:t>
      </w:r>
      <w:r>
        <w:rPr>
          <w:rFonts w:hint="eastAsia"/>
          <w:lang w:eastAsia="ko-KR"/>
        </w:rPr>
        <w:t xml:space="preserve">Therefore, </w:t>
      </w:r>
      <w:r w:rsidRPr="00330FB4">
        <w:t xml:space="preserve">as the special agency of the UN </w:t>
      </w:r>
      <w:r>
        <w:rPr>
          <w:rFonts w:hint="eastAsia"/>
          <w:lang w:eastAsia="ko-KR"/>
        </w:rPr>
        <w:t>in</w:t>
      </w:r>
      <w:r w:rsidRPr="00330FB4">
        <w:t xml:space="preserve"> this area, ITU should perform its role and fulfill its responsibility by further strengthening the current </w:t>
      </w:r>
      <w:proofErr w:type="spellStart"/>
      <w:r w:rsidRPr="00330FB4">
        <w:t>IoT</w:t>
      </w:r>
      <w:proofErr w:type="spellEnd"/>
      <w:r w:rsidRPr="00330FB4">
        <w:t xml:space="preserve"> activities of ITU-T; recognizing the role and responsibility of ITU-R and ITU-D </w:t>
      </w:r>
      <w:r>
        <w:rPr>
          <w:rFonts w:hint="eastAsia"/>
          <w:lang w:eastAsia="ko-KR"/>
        </w:rPr>
        <w:t>in</w:t>
      </w:r>
      <w:r w:rsidRPr="00330FB4">
        <w:t xml:space="preserve"> this area and reflecting it on each sector’s action plans synthetically, </w:t>
      </w:r>
      <w:r>
        <w:rPr>
          <w:rFonts w:hint="eastAsia"/>
          <w:lang w:eastAsia="ko-KR"/>
        </w:rPr>
        <w:t xml:space="preserve">so </w:t>
      </w:r>
      <w:r w:rsidRPr="00330FB4">
        <w:t>that all three sectors can cooperate in harmony</w:t>
      </w:r>
      <w:r w:rsidRPr="00330FB4">
        <w:rPr>
          <w:color w:val="FF0000"/>
        </w:rPr>
        <w:t xml:space="preserve"> </w:t>
      </w:r>
      <w:r w:rsidRPr="00330FB4">
        <w:rPr>
          <w:i/>
        </w:rPr>
        <w:t>(see</w:t>
      </w:r>
      <w:r w:rsidRPr="00330FB4">
        <w:rPr>
          <w:color w:val="FF0000"/>
        </w:rPr>
        <w:t xml:space="preserve"> </w:t>
      </w:r>
      <w:hyperlink r:id="rId28" w:history="1">
        <w:r w:rsidRPr="00330FB4">
          <w:rPr>
            <w:rStyle w:val="Hyperlink"/>
            <w:rFonts w:eastAsia="Times New Roman"/>
            <w:i/>
            <w:color w:val="095E54"/>
          </w:rPr>
          <w:t>PP14-1/INP-09(Rev.1)</w:t>
        </w:r>
      </w:hyperlink>
    </w:p>
    <w:p w:rsidR="00511D8F" w:rsidRPr="0009266D" w:rsidRDefault="00511D8F" w:rsidP="00511D8F">
      <w:pPr>
        <w:pStyle w:val="ListParagraph"/>
        <w:ind w:left="1440"/>
        <w:jc w:val="both"/>
        <w:rPr>
          <w:rFonts w:eastAsia="Malgun Gothic"/>
          <w:lang w:eastAsia="ko-KR"/>
        </w:rPr>
      </w:pPr>
    </w:p>
    <w:p w:rsidR="00511D8F" w:rsidRPr="00330FB4" w:rsidRDefault="00511D8F" w:rsidP="00511D8F">
      <w:pPr>
        <w:pStyle w:val="ListParagraph"/>
        <w:ind w:left="1440"/>
        <w:jc w:val="both"/>
      </w:pPr>
      <w:r>
        <w:rPr>
          <w:rFonts w:hint="eastAsia"/>
          <w:lang w:eastAsia="ko-KR"/>
        </w:rPr>
        <w:t xml:space="preserve"> G</w:t>
      </w:r>
      <w:r w:rsidRPr="00330FB4">
        <w:t xml:space="preserve">eneral support </w:t>
      </w:r>
      <w:r>
        <w:rPr>
          <w:rFonts w:hint="eastAsia"/>
          <w:lang w:eastAsia="ko-KR"/>
        </w:rPr>
        <w:t xml:space="preserve">was shown </w:t>
      </w:r>
      <w:r w:rsidRPr="00330FB4">
        <w:t>to</w:t>
      </w:r>
      <w:r>
        <w:rPr>
          <w:rFonts w:hint="eastAsia"/>
          <w:lang w:eastAsia="ko-KR"/>
        </w:rPr>
        <w:t>ward</w:t>
      </w:r>
      <w:r w:rsidRPr="00330FB4">
        <w:t xml:space="preserve"> those contributions and the meeting decided to invite </w:t>
      </w:r>
      <w:r>
        <w:rPr>
          <w:rFonts w:hint="eastAsia"/>
          <w:lang w:eastAsia="ko-KR"/>
        </w:rPr>
        <w:t xml:space="preserve">the </w:t>
      </w:r>
      <w:r w:rsidRPr="00330FB4">
        <w:t>Republic of Korea to contribute concrete texts such as draft resolutions at the 2</w:t>
      </w:r>
      <w:r w:rsidRPr="00330FB4">
        <w:rPr>
          <w:vertAlign w:val="superscript"/>
        </w:rPr>
        <w:t>nd</w:t>
      </w:r>
      <w:r w:rsidRPr="00330FB4">
        <w:t xml:space="preserve"> APT Preparatory meeting. </w:t>
      </w:r>
    </w:p>
    <w:p w:rsidR="00511D8F" w:rsidRDefault="00511D8F" w:rsidP="00511D8F">
      <w:pPr>
        <w:pStyle w:val="ListParagraph"/>
        <w:ind w:left="1440"/>
        <w:jc w:val="both"/>
        <w:rPr>
          <w:lang w:eastAsia="ko-KR"/>
        </w:rPr>
      </w:pPr>
    </w:p>
    <w:p w:rsidR="00511D8F" w:rsidRDefault="00511D8F" w:rsidP="00511D8F">
      <w:pPr>
        <w:pStyle w:val="ListParagraph"/>
        <w:ind w:left="1440"/>
        <w:jc w:val="both"/>
        <w:rPr>
          <w:lang w:eastAsia="ko-KR"/>
        </w:rPr>
      </w:pPr>
    </w:p>
    <w:p w:rsidR="00511D8F" w:rsidRPr="00330FB4" w:rsidRDefault="00511D8F" w:rsidP="00511D8F">
      <w:pPr>
        <w:pStyle w:val="ListParagraph"/>
        <w:ind w:left="1440"/>
        <w:jc w:val="both"/>
        <w:rPr>
          <w:lang w:eastAsia="ko-KR"/>
        </w:rPr>
      </w:pPr>
    </w:p>
    <w:p w:rsidR="00511D8F" w:rsidRPr="00330FB4" w:rsidRDefault="00511D8F" w:rsidP="00511D8F">
      <w:pPr>
        <w:pStyle w:val="ListParagraph"/>
        <w:numPr>
          <w:ilvl w:val="2"/>
          <w:numId w:val="9"/>
        </w:numPr>
        <w:jc w:val="both"/>
      </w:pPr>
      <w:r w:rsidRPr="00330FB4">
        <w:t>Current Status at ITU</w:t>
      </w:r>
    </w:p>
    <w:p w:rsidR="00511D8F" w:rsidRPr="00330FB4" w:rsidRDefault="00511D8F" w:rsidP="00511D8F">
      <w:pPr>
        <w:pStyle w:val="ListParagraph"/>
        <w:ind w:left="360"/>
        <w:jc w:val="both"/>
        <w:rPr>
          <w:rFonts w:eastAsia="Malgun Gothic"/>
          <w:b/>
          <w:bCs/>
          <w:lang w:eastAsia="ko-KR"/>
        </w:rPr>
      </w:pPr>
    </w:p>
    <w:p w:rsidR="00511D8F" w:rsidRDefault="00511D8F" w:rsidP="00511D8F">
      <w:pPr>
        <w:ind w:left="1440"/>
        <w:rPr>
          <w:color w:val="000000"/>
          <w:lang w:eastAsia="ko-KR"/>
        </w:rPr>
      </w:pPr>
      <w:r w:rsidRPr="00225324">
        <w:rPr>
          <w:color w:val="000000"/>
        </w:rPr>
        <w:t xml:space="preserve">With regard to telecommunication/ICT convergence, ITU has kept </w:t>
      </w:r>
      <w:r w:rsidRPr="00225324">
        <w:rPr>
          <w:rFonts w:hint="eastAsia"/>
          <w:color w:val="000000"/>
        </w:rPr>
        <w:t xml:space="preserve">up with </w:t>
      </w:r>
      <w:r w:rsidRPr="00225324">
        <w:rPr>
          <w:color w:val="000000"/>
        </w:rPr>
        <w:t>the progress of</w:t>
      </w:r>
      <w:r w:rsidRPr="00225324">
        <w:rPr>
          <w:rFonts w:hint="eastAsia"/>
          <w:color w:val="000000"/>
        </w:rPr>
        <w:t xml:space="preserve"> this sector</w:t>
      </w:r>
      <w:r w:rsidRPr="00225324">
        <w:rPr>
          <w:color w:val="000000"/>
        </w:rPr>
        <w:t xml:space="preserve">, and played a role in the related areas. </w:t>
      </w:r>
      <w:r w:rsidRPr="00EC5ECC">
        <w:rPr>
          <w:rFonts w:hint="eastAsia"/>
          <w:color w:val="000000"/>
        </w:rPr>
        <w:t xml:space="preserve">As stipulated in the Strategic Plan for the Union for 2012-2015 adopted at PP-10, ITU recognizes that there is a necessity to respond to diverse changes induced by the development of technology and acceleration of convergence. </w:t>
      </w:r>
    </w:p>
    <w:p w:rsidR="00511D8F" w:rsidRPr="00EC5ECC" w:rsidRDefault="00511D8F" w:rsidP="00511D8F">
      <w:pPr>
        <w:ind w:left="1440"/>
        <w:rPr>
          <w:color w:val="000000"/>
          <w:lang w:eastAsia="ko-KR"/>
        </w:rPr>
      </w:pPr>
    </w:p>
    <w:p w:rsidR="00511D8F" w:rsidRDefault="00511D8F" w:rsidP="00511D8F">
      <w:pPr>
        <w:ind w:left="1440"/>
        <w:rPr>
          <w:color w:val="000000"/>
          <w:lang w:eastAsia="ko-KR"/>
        </w:rPr>
      </w:pPr>
      <w:r w:rsidRPr="00EC5ECC">
        <w:rPr>
          <w:rFonts w:hint="eastAsia"/>
          <w:color w:val="000000"/>
        </w:rPr>
        <w:t xml:space="preserve">At PP-10, ITU adopted and revised resolutions such as </w:t>
      </w:r>
      <w:r w:rsidRPr="00EC5ECC">
        <w:rPr>
          <w:color w:val="000000"/>
        </w:rPr>
        <w:t>monitoring and management in emergency and disaster situations (Resolution 136), climate change</w:t>
      </w:r>
      <w:r w:rsidRPr="00EC5ECC">
        <w:rPr>
          <w:rFonts w:hint="eastAsia"/>
          <w:color w:val="000000"/>
        </w:rPr>
        <w:t xml:space="preserve"> (Resolution 182) and e-health (Resolution 183), underlining the diverse issues  related to ICT convergence.</w:t>
      </w:r>
    </w:p>
    <w:p w:rsidR="00511D8F" w:rsidRPr="00EC5ECC" w:rsidRDefault="00511D8F" w:rsidP="00511D8F">
      <w:pPr>
        <w:ind w:left="1440"/>
        <w:rPr>
          <w:color w:val="000000"/>
          <w:lang w:eastAsia="ko-KR"/>
        </w:rPr>
      </w:pPr>
    </w:p>
    <w:p w:rsidR="00511D8F" w:rsidRDefault="00511D8F" w:rsidP="00511D8F">
      <w:pPr>
        <w:ind w:left="1440"/>
        <w:rPr>
          <w:color w:val="000000"/>
          <w:lang w:eastAsia="ko-KR"/>
        </w:rPr>
      </w:pPr>
      <w:r w:rsidRPr="00EC5ECC">
        <w:rPr>
          <w:rFonts w:hint="eastAsia"/>
          <w:color w:val="000000"/>
        </w:rPr>
        <w:t>Aside from this, WTDC-10 also recognized the necessity for an ecologic approach including diverse ICT applications and service availability for building an information society, and adopted the Hyderabad Action Plan and WTDC Resolution 54</w:t>
      </w:r>
      <w:r>
        <w:rPr>
          <w:rFonts w:hint="eastAsia"/>
          <w:color w:val="000000"/>
          <w:lang w:eastAsia="ko-KR"/>
        </w:rPr>
        <w:t>.</w:t>
      </w:r>
    </w:p>
    <w:p w:rsidR="00511D8F" w:rsidRPr="00EC5ECC" w:rsidRDefault="00511D8F" w:rsidP="00511D8F">
      <w:pPr>
        <w:ind w:left="1440"/>
        <w:rPr>
          <w:color w:val="000000"/>
          <w:lang w:eastAsia="ko-KR"/>
        </w:rPr>
      </w:pPr>
    </w:p>
    <w:p w:rsidR="00511D8F" w:rsidRPr="00225324" w:rsidRDefault="00511D8F" w:rsidP="00511D8F">
      <w:pPr>
        <w:ind w:left="1440"/>
        <w:rPr>
          <w:rFonts w:ascii="Calibri" w:hAnsi="Calibri"/>
          <w:color w:val="000000"/>
          <w:lang w:eastAsia="ko-KR"/>
        </w:rPr>
      </w:pPr>
      <w:r w:rsidRPr="00EC5ECC">
        <w:rPr>
          <w:rFonts w:hint="eastAsia"/>
          <w:color w:val="000000"/>
        </w:rPr>
        <w:t xml:space="preserve">In relation to </w:t>
      </w:r>
      <w:proofErr w:type="spellStart"/>
      <w:r w:rsidRPr="00EC5ECC">
        <w:rPr>
          <w:rFonts w:hint="eastAsia"/>
          <w:color w:val="000000"/>
        </w:rPr>
        <w:t>IoT</w:t>
      </w:r>
      <w:proofErr w:type="spellEnd"/>
      <w:r w:rsidRPr="00EC5ECC">
        <w:rPr>
          <w:rFonts w:hint="eastAsia"/>
          <w:color w:val="000000"/>
        </w:rPr>
        <w:t xml:space="preserve"> deployment, Joint Coordination Activity on </w:t>
      </w:r>
      <w:proofErr w:type="spellStart"/>
      <w:r w:rsidRPr="00EC5ECC">
        <w:rPr>
          <w:rFonts w:hint="eastAsia"/>
          <w:color w:val="000000"/>
        </w:rPr>
        <w:t>IoT</w:t>
      </w:r>
      <w:proofErr w:type="spellEnd"/>
      <w:r w:rsidRPr="00EC5ECC">
        <w:rPr>
          <w:rFonts w:hint="eastAsia"/>
          <w:color w:val="000000"/>
        </w:rPr>
        <w:t xml:space="preserve"> (JCA-</w:t>
      </w:r>
      <w:proofErr w:type="spellStart"/>
      <w:r w:rsidRPr="00EC5ECC">
        <w:rPr>
          <w:rFonts w:hint="eastAsia"/>
          <w:color w:val="000000"/>
        </w:rPr>
        <w:t>IoT</w:t>
      </w:r>
      <w:proofErr w:type="spellEnd"/>
      <w:r w:rsidRPr="00EC5ECC">
        <w:rPr>
          <w:rFonts w:hint="eastAsia"/>
          <w:color w:val="000000"/>
        </w:rPr>
        <w:t xml:space="preserve">) has conducted its work under ITU-T </w:t>
      </w:r>
      <w:proofErr w:type="gramStart"/>
      <w:r w:rsidRPr="00EC5ECC">
        <w:rPr>
          <w:rFonts w:hint="eastAsia"/>
          <w:color w:val="000000"/>
        </w:rPr>
        <w:t>initiatives</w:t>
      </w:r>
      <w:r w:rsidRPr="00330FB4">
        <w:rPr>
          <w:i/>
        </w:rPr>
        <w:t>(</w:t>
      </w:r>
      <w:proofErr w:type="gramEnd"/>
      <w:r w:rsidRPr="00330FB4">
        <w:rPr>
          <w:i/>
        </w:rPr>
        <w:t xml:space="preserve">see </w:t>
      </w:r>
      <w:hyperlink r:id="rId29" w:history="1">
        <w:r w:rsidRPr="00330FB4">
          <w:rPr>
            <w:rStyle w:val="Hyperlink"/>
            <w:i/>
          </w:rPr>
          <w:t>http://www.itu.int/en/ITU-T/jca/iot/Pages/default.aspx</w:t>
        </w:r>
      </w:hyperlink>
      <w:r w:rsidRPr="00330FB4">
        <w:rPr>
          <w:i/>
        </w:rPr>
        <w:t>).</w:t>
      </w:r>
      <w:r>
        <w:rPr>
          <w:rFonts w:hint="eastAsia"/>
          <w:i/>
          <w:lang w:eastAsia="ko-KR"/>
        </w:rPr>
        <w:t xml:space="preserve"> </w:t>
      </w:r>
      <w:r w:rsidRPr="00225324">
        <w:rPr>
          <w:rFonts w:ascii="Calibri" w:hAnsi="Calibri" w:hint="eastAsia"/>
          <w:color w:val="000000"/>
        </w:rPr>
        <w:t xml:space="preserve"> </w:t>
      </w:r>
      <w:r w:rsidRPr="00EC5ECC">
        <w:rPr>
          <w:rFonts w:hint="eastAsia"/>
          <w:color w:val="000000"/>
        </w:rPr>
        <w:t xml:space="preserve">In addition, ITU-T is currently conducting relevant research, as seen in the Recommendation ITU-T Y.2060, </w:t>
      </w:r>
      <w:proofErr w:type="spellStart"/>
      <w:r w:rsidRPr="00EC5ECC">
        <w:rPr>
          <w:rFonts w:hint="eastAsia"/>
          <w:color w:val="000000"/>
        </w:rPr>
        <w:t>IoT</w:t>
      </w:r>
      <w:proofErr w:type="spellEnd"/>
      <w:r w:rsidRPr="00EC5ECC">
        <w:rPr>
          <w:rFonts w:hint="eastAsia"/>
          <w:color w:val="000000"/>
        </w:rPr>
        <w:t xml:space="preserve"> Global Standard Initiative (JCA-</w:t>
      </w:r>
      <w:proofErr w:type="spellStart"/>
      <w:r w:rsidRPr="00EC5ECC">
        <w:rPr>
          <w:rFonts w:hint="eastAsia"/>
          <w:color w:val="000000"/>
        </w:rPr>
        <w:t>IoT</w:t>
      </w:r>
      <w:proofErr w:type="spellEnd"/>
      <w:r w:rsidRPr="00EC5ECC">
        <w:rPr>
          <w:rFonts w:hint="eastAsia"/>
          <w:color w:val="000000"/>
        </w:rPr>
        <w:t>).</w:t>
      </w:r>
    </w:p>
    <w:p w:rsidR="00511D8F" w:rsidRPr="009D7114" w:rsidRDefault="00511D8F" w:rsidP="00511D8F">
      <w:pPr>
        <w:pStyle w:val="ListParagraph"/>
        <w:ind w:left="1440"/>
        <w:jc w:val="both"/>
        <w:rPr>
          <w:lang w:eastAsia="ko-KR"/>
        </w:rPr>
      </w:pPr>
    </w:p>
    <w:p w:rsidR="00511D8F" w:rsidRPr="00330FB4" w:rsidRDefault="00511D8F" w:rsidP="00511D8F">
      <w:pPr>
        <w:pStyle w:val="ListParagraph"/>
        <w:ind w:left="1440"/>
        <w:jc w:val="both"/>
      </w:pPr>
    </w:p>
    <w:p w:rsidR="00511D8F" w:rsidRPr="00330FB4" w:rsidRDefault="00511D8F" w:rsidP="00511D8F">
      <w:pPr>
        <w:pStyle w:val="ListParagraph"/>
        <w:numPr>
          <w:ilvl w:val="2"/>
          <w:numId w:val="9"/>
        </w:numPr>
        <w:jc w:val="both"/>
        <w:rPr>
          <w:i/>
        </w:rPr>
      </w:pPr>
      <w:r w:rsidRPr="00330FB4">
        <w:rPr>
          <w:i/>
        </w:rPr>
        <w:t xml:space="preserve">Further Action Required </w:t>
      </w:r>
    </w:p>
    <w:p w:rsidR="00511D8F" w:rsidRPr="00330FB4" w:rsidRDefault="00511D8F" w:rsidP="00511D8F">
      <w:pPr>
        <w:pStyle w:val="ListParagraph"/>
        <w:ind w:left="1440"/>
        <w:jc w:val="both"/>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3"/>
      </w:tblGrid>
      <w:tr w:rsidR="00511D8F" w:rsidRPr="00330FB4" w:rsidTr="00221349">
        <w:tc>
          <w:tcPr>
            <w:tcW w:w="9533" w:type="dxa"/>
            <w:shd w:val="clear" w:color="auto" w:fill="auto"/>
          </w:tcPr>
          <w:p w:rsidR="00511D8F" w:rsidRPr="00330FB4" w:rsidRDefault="00511D8F" w:rsidP="00221349">
            <w:pPr>
              <w:pStyle w:val="ListParagraph"/>
              <w:ind w:left="0"/>
              <w:jc w:val="both"/>
            </w:pPr>
            <w:r>
              <w:rPr>
                <w:rFonts w:hint="eastAsia"/>
                <w:lang w:eastAsia="ko-KR"/>
              </w:rPr>
              <w:t xml:space="preserve">The </w:t>
            </w:r>
            <w:r w:rsidRPr="00330FB4">
              <w:t>Republic of Korea is invited to submit relevant contributions at the 2</w:t>
            </w:r>
            <w:r w:rsidRPr="00330FB4">
              <w:rPr>
                <w:vertAlign w:val="superscript"/>
              </w:rPr>
              <w:t>nd</w:t>
            </w:r>
            <w:r w:rsidRPr="00330FB4">
              <w:t xml:space="preserve"> APT Preparatory meeting and APT member countries are encouraged to discuss them.  </w:t>
            </w:r>
          </w:p>
          <w:p w:rsidR="00511D8F" w:rsidRPr="00330FB4" w:rsidRDefault="00511D8F" w:rsidP="00221349">
            <w:pPr>
              <w:pStyle w:val="ListParagraph"/>
              <w:ind w:left="0"/>
              <w:jc w:val="both"/>
              <w:rPr>
                <w:b/>
              </w:rPr>
            </w:pPr>
          </w:p>
          <w:p w:rsidR="00511D8F" w:rsidRPr="00330FB4" w:rsidRDefault="00511D8F" w:rsidP="00221349">
            <w:pPr>
              <w:pStyle w:val="ListParagraph"/>
              <w:ind w:left="0"/>
              <w:jc w:val="both"/>
              <w:rPr>
                <w:lang w:eastAsia="ko-KR"/>
              </w:rPr>
            </w:pPr>
            <w:r w:rsidRPr="00330FB4">
              <w:rPr>
                <w:b/>
              </w:rPr>
              <w:t>Recommendation</w:t>
            </w:r>
            <w:r w:rsidRPr="00330FB4">
              <w:t xml:space="preserve">: If there is a common view on these items, these </w:t>
            </w:r>
            <w:r>
              <w:rPr>
                <w:rFonts w:hint="eastAsia"/>
                <w:lang w:eastAsia="ko-KR"/>
              </w:rPr>
              <w:t>two</w:t>
            </w:r>
            <w:r w:rsidRPr="00330FB4">
              <w:t xml:space="preserve"> items are possible candidates for </w:t>
            </w:r>
            <w:r>
              <w:rPr>
                <w:rFonts w:hint="eastAsia"/>
                <w:lang w:eastAsia="ko-KR"/>
              </w:rPr>
              <w:t xml:space="preserve">an </w:t>
            </w:r>
            <w:r w:rsidRPr="00330FB4">
              <w:t>APT Common Proposal targeting PP-14 Resolutions.</w:t>
            </w:r>
            <w:r w:rsidRPr="00330FB4">
              <w:rPr>
                <w:b/>
              </w:rPr>
              <w:t xml:space="preserve"> </w:t>
            </w:r>
          </w:p>
        </w:tc>
      </w:tr>
    </w:tbl>
    <w:p w:rsidR="00511D8F" w:rsidRPr="00330FB4" w:rsidRDefault="00511D8F" w:rsidP="00511D8F">
      <w:pPr>
        <w:pStyle w:val="ListParagraph"/>
        <w:ind w:left="1440"/>
        <w:jc w:val="both"/>
        <w:rPr>
          <w:rFonts w:eastAsia="Malgun Gothic"/>
          <w:b/>
          <w:bCs/>
          <w:lang w:eastAsia="ko-KR"/>
        </w:rPr>
      </w:pPr>
    </w:p>
    <w:p w:rsidR="00511D8F" w:rsidRPr="00330FB4" w:rsidRDefault="00511D8F" w:rsidP="00511D8F">
      <w:pPr>
        <w:jc w:val="both"/>
      </w:pPr>
    </w:p>
    <w:p w:rsidR="00511D8F" w:rsidRPr="00330FB4" w:rsidRDefault="00511D8F" w:rsidP="00511D8F">
      <w:pPr>
        <w:pStyle w:val="ListParagraph"/>
        <w:numPr>
          <w:ilvl w:val="1"/>
          <w:numId w:val="9"/>
        </w:numPr>
        <w:ind w:left="360"/>
        <w:jc w:val="both"/>
        <w:rPr>
          <w:b/>
          <w:bCs/>
        </w:rPr>
      </w:pPr>
      <w:r w:rsidRPr="00330FB4">
        <w:rPr>
          <w:b/>
          <w:bCs/>
        </w:rPr>
        <w:t xml:space="preserve">Issue </w:t>
      </w:r>
      <w:r>
        <w:rPr>
          <w:rFonts w:hint="eastAsia"/>
          <w:b/>
          <w:bCs/>
          <w:lang w:eastAsia="ko-KR"/>
        </w:rPr>
        <w:t>9</w:t>
      </w:r>
      <w:r w:rsidRPr="00330FB4">
        <w:rPr>
          <w:rFonts w:eastAsia="Malgun Gothic"/>
          <w:b/>
          <w:bCs/>
          <w:lang w:eastAsia="ko-KR"/>
        </w:rPr>
        <w:t xml:space="preserve">: </w:t>
      </w:r>
      <w:r w:rsidRPr="00330FB4">
        <w:rPr>
          <w:rFonts w:eastAsia="Malgun Gothic"/>
          <w:b/>
          <w:lang w:eastAsia="ko-KR"/>
        </w:rPr>
        <w:t>Issues related with other working groups</w:t>
      </w:r>
    </w:p>
    <w:p w:rsidR="00511D8F" w:rsidRPr="00330FB4" w:rsidRDefault="00511D8F" w:rsidP="00511D8F">
      <w:pPr>
        <w:pStyle w:val="ListParagraph"/>
        <w:jc w:val="both"/>
      </w:pPr>
    </w:p>
    <w:p w:rsidR="00511D8F" w:rsidRPr="00330FB4" w:rsidRDefault="00511D8F" w:rsidP="00511D8F">
      <w:pPr>
        <w:pStyle w:val="ListParagraph"/>
        <w:numPr>
          <w:ilvl w:val="2"/>
          <w:numId w:val="9"/>
        </w:numPr>
        <w:jc w:val="both"/>
      </w:pPr>
      <w:r w:rsidRPr="00330FB4">
        <w:t xml:space="preserve">This issue paper </w:t>
      </w:r>
      <w:r>
        <w:rPr>
          <w:rFonts w:hint="eastAsia"/>
          <w:lang w:eastAsia="ko-KR"/>
        </w:rPr>
        <w:t>will</w:t>
      </w:r>
      <w:r w:rsidRPr="00330FB4">
        <w:t xml:space="preserve"> be updated, if necessary,</w:t>
      </w:r>
      <w:r>
        <w:rPr>
          <w:rFonts w:hint="eastAsia"/>
          <w:lang w:eastAsia="ko-KR"/>
        </w:rPr>
        <w:t xml:space="preserve"> </w:t>
      </w:r>
      <w:r w:rsidRPr="00330FB4">
        <w:t>before the 3</w:t>
      </w:r>
      <w:r w:rsidRPr="00330FB4">
        <w:rPr>
          <w:vertAlign w:val="superscript"/>
        </w:rPr>
        <w:t>rd</w:t>
      </w:r>
      <w:r w:rsidRPr="00330FB4">
        <w:t xml:space="preserve"> APT Preparatory meeting in order to cope with remaining issues and issues related with other working groups, such as: </w:t>
      </w:r>
    </w:p>
    <w:p w:rsidR="00511D8F" w:rsidRPr="0055770B" w:rsidRDefault="00511D8F" w:rsidP="00511D8F">
      <w:pPr>
        <w:pStyle w:val="ListParagraph"/>
        <w:numPr>
          <w:ilvl w:val="0"/>
          <w:numId w:val="15"/>
        </w:numPr>
        <w:jc w:val="both"/>
      </w:pPr>
      <w:r w:rsidRPr="0055770B">
        <w:t>Child online protection</w:t>
      </w:r>
      <w:r w:rsidR="008C7623" w:rsidRPr="008C7623">
        <w:t>;</w:t>
      </w:r>
    </w:p>
    <w:p w:rsidR="00511D8F" w:rsidRPr="00330FB4" w:rsidRDefault="00511D8F" w:rsidP="00511D8F">
      <w:pPr>
        <w:pStyle w:val="ListParagraph"/>
        <w:numPr>
          <w:ilvl w:val="0"/>
          <w:numId w:val="15"/>
        </w:numPr>
        <w:jc w:val="both"/>
      </w:pPr>
      <w:r w:rsidRPr="00330FB4">
        <w:t>Free Online Access to ITU Publications;</w:t>
      </w:r>
    </w:p>
    <w:p w:rsidR="00511D8F" w:rsidRPr="00330FB4" w:rsidRDefault="00511D8F" w:rsidP="00511D8F">
      <w:pPr>
        <w:pStyle w:val="ListParagraph"/>
        <w:numPr>
          <w:ilvl w:val="0"/>
          <w:numId w:val="15"/>
        </w:numPr>
        <w:jc w:val="both"/>
      </w:pPr>
      <w:r w:rsidRPr="00330FB4">
        <w:t>Accessibility;</w:t>
      </w:r>
    </w:p>
    <w:p w:rsidR="00511D8F" w:rsidRPr="00330FB4" w:rsidRDefault="00511D8F" w:rsidP="00511D8F">
      <w:pPr>
        <w:pStyle w:val="ListParagraph"/>
        <w:numPr>
          <w:ilvl w:val="0"/>
          <w:numId w:val="15"/>
        </w:numPr>
        <w:jc w:val="both"/>
      </w:pPr>
      <w:r w:rsidRPr="00330FB4">
        <w:t xml:space="preserve">Climate Change and e-Waste; </w:t>
      </w:r>
    </w:p>
    <w:p w:rsidR="00511D8F" w:rsidRPr="00330FB4" w:rsidRDefault="00511D8F" w:rsidP="00511D8F">
      <w:pPr>
        <w:pStyle w:val="ListParagraph"/>
        <w:numPr>
          <w:ilvl w:val="0"/>
          <w:numId w:val="15"/>
        </w:numPr>
        <w:jc w:val="both"/>
      </w:pPr>
      <w:r w:rsidRPr="00330FB4">
        <w:t xml:space="preserve">Gender </w:t>
      </w:r>
      <w:r>
        <w:rPr>
          <w:rFonts w:hint="eastAsia"/>
          <w:lang w:eastAsia="ko-KR"/>
        </w:rPr>
        <w:t>M</w:t>
      </w:r>
      <w:r w:rsidRPr="00330FB4">
        <w:t>ainstreaming, etc.</w:t>
      </w:r>
    </w:p>
    <w:p w:rsidR="00511D8F" w:rsidRDefault="00511D8F" w:rsidP="00511D8F">
      <w:pPr>
        <w:jc w:val="both"/>
        <w:rPr>
          <w:rFonts w:eastAsia="Malgun Gothic"/>
          <w:b/>
          <w:bCs/>
          <w:lang w:eastAsia="ko-KR"/>
        </w:rPr>
      </w:pPr>
    </w:p>
    <w:p w:rsidR="00511D8F" w:rsidRDefault="00511D8F" w:rsidP="00511D8F">
      <w:pPr>
        <w:jc w:val="both"/>
        <w:rPr>
          <w:rFonts w:eastAsia="Malgun Gothic"/>
          <w:b/>
          <w:bCs/>
          <w:lang w:eastAsia="ko-KR"/>
        </w:rPr>
      </w:pPr>
    </w:p>
    <w:p w:rsidR="00511D8F" w:rsidRDefault="00511D8F" w:rsidP="00511D8F">
      <w:pPr>
        <w:jc w:val="both"/>
        <w:rPr>
          <w:rFonts w:eastAsia="Malgun Gothic"/>
          <w:b/>
          <w:bCs/>
          <w:lang w:eastAsia="ko-KR"/>
        </w:rPr>
      </w:pPr>
    </w:p>
    <w:p w:rsidR="00511D8F" w:rsidRDefault="00511D8F" w:rsidP="00511D8F">
      <w:pPr>
        <w:jc w:val="both"/>
        <w:rPr>
          <w:rFonts w:eastAsia="Malgun Gothic"/>
          <w:b/>
          <w:bCs/>
          <w:lang w:eastAsia="ko-KR"/>
        </w:rPr>
      </w:pPr>
    </w:p>
    <w:p w:rsidR="00511D8F" w:rsidRDefault="00511D8F" w:rsidP="00511D8F">
      <w:pPr>
        <w:jc w:val="both"/>
        <w:rPr>
          <w:rFonts w:eastAsia="Malgun Gothic"/>
          <w:b/>
          <w:bCs/>
          <w:lang w:eastAsia="ko-KR"/>
        </w:rPr>
      </w:pPr>
    </w:p>
    <w:p w:rsidR="00511D8F" w:rsidRPr="00330FB4" w:rsidRDefault="00511D8F" w:rsidP="00511D8F">
      <w:pPr>
        <w:jc w:val="both"/>
        <w:rPr>
          <w:rFonts w:eastAsia="Malgun Gothic"/>
          <w:b/>
          <w:bCs/>
          <w:lang w:eastAsia="ko-KR"/>
        </w:rPr>
      </w:pPr>
    </w:p>
    <w:p w:rsidR="00511D8F" w:rsidRPr="00330FB4" w:rsidRDefault="00511D8F" w:rsidP="00511D8F">
      <w:pPr>
        <w:pStyle w:val="ListParagraph"/>
        <w:ind w:left="360"/>
        <w:jc w:val="both"/>
        <w:rPr>
          <w:b/>
          <w:bCs/>
        </w:rPr>
      </w:pPr>
    </w:p>
    <w:p w:rsidR="00511D8F" w:rsidRPr="00330FB4" w:rsidRDefault="00511D8F" w:rsidP="00511D8F">
      <w:pPr>
        <w:pStyle w:val="ListParagraph"/>
        <w:numPr>
          <w:ilvl w:val="0"/>
          <w:numId w:val="9"/>
        </w:numPr>
        <w:jc w:val="both"/>
        <w:rPr>
          <w:b/>
          <w:bCs/>
        </w:rPr>
      </w:pPr>
      <w:r w:rsidRPr="00330FB4">
        <w:rPr>
          <w:b/>
          <w:bCs/>
        </w:rPr>
        <w:t xml:space="preserve">POINTS TO BE CONSIDERED FOR THE ISSUES AT </w:t>
      </w:r>
      <w:r>
        <w:rPr>
          <w:rFonts w:hint="eastAsia"/>
          <w:b/>
          <w:bCs/>
          <w:lang w:eastAsia="ko-KR"/>
        </w:rPr>
        <w:t xml:space="preserve">THE </w:t>
      </w:r>
      <w:r w:rsidRPr="00330FB4">
        <w:rPr>
          <w:b/>
          <w:bCs/>
        </w:rPr>
        <w:t>PP14-2 MEETING</w:t>
      </w:r>
    </w:p>
    <w:p w:rsidR="00511D8F" w:rsidRPr="00330FB4" w:rsidRDefault="00511D8F" w:rsidP="00511D8F">
      <w:pPr>
        <w:pStyle w:val="ListParagraph"/>
        <w:ind w:left="360"/>
        <w:jc w:val="both"/>
        <w:rPr>
          <w:b/>
          <w:bCs/>
        </w:rPr>
      </w:pPr>
    </w:p>
    <w:p w:rsidR="00511D8F" w:rsidRPr="00330FB4" w:rsidRDefault="00511D8F" w:rsidP="00511D8F">
      <w:pPr>
        <w:jc w:val="both"/>
        <w:rPr>
          <w:b/>
          <w:bCs/>
        </w:rPr>
      </w:pPr>
    </w:p>
    <w:p w:rsidR="00511D8F" w:rsidRPr="00330FB4" w:rsidRDefault="00511D8F" w:rsidP="00511D8F">
      <w:pPr>
        <w:pStyle w:val="ListParagraph"/>
        <w:numPr>
          <w:ilvl w:val="1"/>
          <w:numId w:val="9"/>
        </w:numPr>
        <w:ind w:left="360"/>
        <w:jc w:val="both"/>
        <w:rPr>
          <w:b/>
          <w:bCs/>
        </w:rPr>
      </w:pPr>
      <w:r w:rsidRPr="00330FB4">
        <w:rPr>
          <w:b/>
          <w:bCs/>
        </w:rPr>
        <w:t>Summary of proposals for further discussion and action</w:t>
      </w:r>
    </w:p>
    <w:p w:rsidR="00511D8F" w:rsidRPr="00330FB4" w:rsidRDefault="00511D8F" w:rsidP="00511D8F">
      <w:pPr>
        <w:jc w:val="both"/>
        <w:rPr>
          <w:b/>
          <w:bC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4105"/>
        <w:gridCol w:w="2479"/>
      </w:tblGrid>
      <w:tr w:rsidR="00511D8F" w:rsidRPr="00330FB4" w:rsidTr="00221349">
        <w:tc>
          <w:tcPr>
            <w:tcW w:w="2589" w:type="dxa"/>
            <w:shd w:val="clear" w:color="auto" w:fill="auto"/>
          </w:tcPr>
          <w:p w:rsidR="00511D8F" w:rsidRPr="00330FB4" w:rsidRDefault="00511D8F" w:rsidP="00221349">
            <w:pPr>
              <w:pStyle w:val="ListParagraph"/>
              <w:ind w:left="0"/>
              <w:jc w:val="center"/>
              <w:rPr>
                <w:b/>
                <w:bCs/>
              </w:rPr>
            </w:pPr>
            <w:r w:rsidRPr="00330FB4">
              <w:rPr>
                <w:b/>
                <w:bCs/>
              </w:rPr>
              <w:t>Issues</w:t>
            </w:r>
          </w:p>
        </w:tc>
        <w:tc>
          <w:tcPr>
            <w:tcW w:w="4105" w:type="dxa"/>
            <w:shd w:val="clear" w:color="auto" w:fill="auto"/>
          </w:tcPr>
          <w:p w:rsidR="00511D8F" w:rsidRPr="00330FB4" w:rsidRDefault="00511D8F" w:rsidP="00221349">
            <w:pPr>
              <w:pStyle w:val="ListParagraph"/>
              <w:ind w:left="0"/>
              <w:jc w:val="center"/>
              <w:rPr>
                <w:b/>
                <w:bCs/>
              </w:rPr>
            </w:pPr>
            <w:r w:rsidRPr="00330FB4">
              <w:rPr>
                <w:b/>
                <w:bCs/>
              </w:rPr>
              <w:t>Description</w:t>
            </w:r>
          </w:p>
        </w:tc>
        <w:tc>
          <w:tcPr>
            <w:tcW w:w="2479" w:type="dxa"/>
            <w:shd w:val="clear" w:color="auto" w:fill="auto"/>
          </w:tcPr>
          <w:p w:rsidR="00511D8F" w:rsidRPr="00330FB4" w:rsidRDefault="00511D8F" w:rsidP="00221349">
            <w:pPr>
              <w:pStyle w:val="ListParagraph"/>
              <w:ind w:left="0"/>
              <w:jc w:val="center"/>
              <w:rPr>
                <w:b/>
                <w:bCs/>
              </w:rPr>
            </w:pPr>
            <w:r w:rsidRPr="00330FB4">
              <w:rPr>
                <w:b/>
                <w:bCs/>
              </w:rPr>
              <w:t xml:space="preserve">Recommendation </w:t>
            </w:r>
          </w:p>
        </w:tc>
      </w:tr>
      <w:tr w:rsidR="00511D8F" w:rsidRPr="00330FB4" w:rsidTr="00221349">
        <w:tc>
          <w:tcPr>
            <w:tcW w:w="2589" w:type="dxa"/>
            <w:shd w:val="clear" w:color="auto" w:fill="auto"/>
          </w:tcPr>
          <w:p w:rsidR="00511D8F" w:rsidRPr="00330FB4" w:rsidRDefault="00511D8F" w:rsidP="00221349">
            <w:pPr>
              <w:pStyle w:val="ListParagraph"/>
              <w:ind w:left="0"/>
              <w:rPr>
                <w:bCs/>
              </w:rPr>
            </w:pPr>
            <w:r w:rsidRPr="00330FB4">
              <w:rPr>
                <w:bCs/>
              </w:rPr>
              <w:t>1. Definition – Telecommunication/ICT</w:t>
            </w:r>
          </w:p>
        </w:tc>
        <w:tc>
          <w:tcPr>
            <w:tcW w:w="4105" w:type="dxa"/>
            <w:shd w:val="clear" w:color="auto" w:fill="auto"/>
          </w:tcPr>
          <w:p w:rsidR="00511D8F" w:rsidRPr="00330FB4" w:rsidRDefault="00511D8F" w:rsidP="00221349">
            <w:pPr>
              <w:pStyle w:val="ListParagraph"/>
              <w:ind w:left="0"/>
              <w:jc w:val="both"/>
              <w:rPr>
                <w:bCs/>
              </w:rPr>
            </w:pPr>
            <w:r w:rsidRPr="00330FB4">
              <w:rPr>
                <w:bCs/>
              </w:rPr>
              <w:t>Term ‘ICT’ in ITU</w:t>
            </w:r>
            <w:r>
              <w:rPr>
                <w:bCs/>
                <w:lang w:eastAsia="ko-KR"/>
              </w:rPr>
              <w:t>’</w:t>
            </w:r>
            <w:r>
              <w:rPr>
                <w:rFonts w:hint="eastAsia"/>
                <w:bCs/>
                <w:lang w:eastAsia="ko-KR"/>
              </w:rPr>
              <w:t>s</w:t>
            </w:r>
            <w:r w:rsidRPr="00330FB4">
              <w:rPr>
                <w:bCs/>
              </w:rPr>
              <w:t xml:space="preserve"> basic instrument </w:t>
            </w:r>
          </w:p>
        </w:tc>
        <w:tc>
          <w:tcPr>
            <w:tcW w:w="2479" w:type="dxa"/>
            <w:shd w:val="clear" w:color="auto" w:fill="auto"/>
          </w:tcPr>
          <w:p w:rsidR="00511D8F" w:rsidRPr="00330FB4" w:rsidRDefault="00511D8F" w:rsidP="00221349">
            <w:pPr>
              <w:pStyle w:val="ListParagraph"/>
              <w:ind w:left="0"/>
              <w:jc w:val="both"/>
              <w:rPr>
                <w:bCs/>
              </w:rPr>
            </w:pPr>
            <w:r w:rsidRPr="00330FB4">
              <w:rPr>
                <w:bCs/>
              </w:rPr>
              <w:t xml:space="preserve">Note ITU discussions and </w:t>
            </w:r>
            <w:r>
              <w:rPr>
                <w:rFonts w:hint="eastAsia"/>
                <w:bCs/>
                <w:lang w:eastAsia="ko-KR"/>
              </w:rPr>
              <w:t>- p</w:t>
            </w:r>
            <w:r w:rsidRPr="00330FB4">
              <w:rPr>
                <w:bCs/>
              </w:rPr>
              <w:t>ossible APT common proposal</w:t>
            </w:r>
          </w:p>
        </w:tc>
      </w:tr>
      <w:tr w:rsidR="00511D8F" w:rsidRPr="00330FB4" w:rsidTr="00221349">
        <w:tc>
          <w:tcPr>
            <w:tcW w:w="2589" w:type="dxa"/>
            <w:shd w:val="clear" w:color="auto" w:fill="auto"/>
          </w:tcPr>
          <w:p w:rsidR="00511D8F" w:rsidRPr="00330FB4" w:rsidRDefault="00511D8F" w:rsidP="00221349">
            <w:pPr>
              <w:pStyle w:val="ListParagraph"/>
              <w:ind w:left="0"/>
              <w:rPr>
                <w:bCs/>
              </w:rPr>
            </w:pPr>
            <w:r w:rsidRPr="00330FB4">
              <w:rPr>
                <w:bCs/>
              </w:rPr>
              <w:t xml:space="preserve">2. WSIS </w:t>
            </w:r>
          </w:p>
        </w:tc>
        <w:tc>
          <w:tcPr>
            <w:tcW w:w="4105" w:type="dxa"/>
            <w:shd w:val="clear" w:color="auto" w:fill="auto"/>
          </w:tcPr>
          <w:p w:rsidR="00511D8F" w:rsidRPr="00330FB4" w:rsidRDefault="00511D8F" w:rsidP="00221349">
            <w:pPr>
              <w:pStyle w:val="ListParagraph"/>
              <w:ind w:left="0"/>
              <w:jc w:val="both"/>
              <w:rPr>
                <w:bCs/>
              </w:rPr>
            </w:pPr>
            <w:r w:rsidRPr="00330FB4">
              <w:rPr>
                <w:bCs/>
              </w:rPr>
              <w:t>WSIS+10 review process</w:t>
            </w:r>
          </w:p>
        </w:tc>
        <w:tc>
          <w:tcPr>
            <w:tcW w:w="2479" w:type="dxa"/>
            <w:shd w:val="clear" w:color="auto" w:fill="auto"/>
          </w:tcPr>
          <w:p w:rsidR="00511D8F" w:rsidRPr="00330FB4" w:rsidRDefault="00511D8F" w:rsidP="00221349">
            <w:pPr>
              <w:pStyle w:val="ListParagraph"/>
              <w:ind w:left="0"/>
              <w:jc w:val="both"/>
              <w:rPr>
                <w:bCs/>
              </w:rPr>
            </w:pPr>
            <w:r w:rsidRPr="00330FB4">
              <w:rPr>
                <w:bCs/>
              </w:rPr>
              <w:t>Note ITU discussions</w:t>
            </w:r>
          </w:p>
        </w:tc>
      </w:tr>
      <w:tr w:rsidR="00511D8F" w:rsidRPr="00330FB4" w:rsidTr="00221349">
        <w:tc>
          <w:tcPr>
            <w:tcW w:w="2589" w:type="dxa"/>
            <w:shd w:val="clear" w:color="auto" w:fill="auto"/>
          </w:tcPr>
          <w:p w:rsidR="00511D8F" w:rsidRPr="00330FB4" w:rsidRDefault="00511D8F" w:rsidP="00221349">
            <w:pPr>
              <w:pStyle w:val="ListParagraph"/>
              <w:ind w:left="0"/>
              <w:rPr>
                <w:bCs/>
                <w:lang w:eastAsia="ko-KR"/>
              </w:rPr>
            </w:pPr>
            <w:r w:rsidRPr="00330FB4">
              <w:rPr>
                <w:bCs/>
              </w:rPr>
              <w:t>3. Int</w:t>
            </w:r>
            <w:r>
              <w:rPr>
                <w:rFonts w:hint="eastAsia"/>
                <w:bCs/>
                <w:lang w:eastAsia="ko-KR"/>
              </w:rPr>
              <w:t>ernational</w:t>
            </w:r>
            <w:r w:rsidRPr="00330FB4">
              <w:rPr>
                <w:bCs/>
              </w:rPr>
              <w:t xml:space="preserve"> Internet</w:t>
            </w:r>
            <w:r>
              <w:rPr>
                <w:rFonts w:hint="eastAsia"/>
                <w:bCs/>
                <w:lang w:eastAsia="ko-KR"/>
              </w:rPr>
              <w:t>-</w:t>
            </w:r>
            <w:r w:rsidRPr="00330FB4">
              <w:rPr>
                <w:bCs/>
              </w:rPr>
              <w:t>related public policy</w:t>
            </w:r>
            <w:r>
              <w:rPr>
                <w:rFonts w:hint="eastAsia"/>
                <w:bCs/>
                <w:lang w:eastAsia="ko-KR"/>
              </w:rPr>
              <w:t xml:space="preserve"> issues</w:t>
            </w:r>
          </w:p>
        </w:tc>
        <w:tc>
          <w:tcPr>
            <w:tcW w:w="4105" w:type="dxa"/>
            <w:shd w:val="clear" w:color="auto" w:fill="auto"/>
          </w:tcPr>
          <w:p w:rsidR="00511D8F" w:rsidRPr="00330FB4" w:rsidRDefault="00511D8F" w:rsidP="00221349">
            <w:pPr>
              <w:pStyle w:val="ListParagraph"/>
              <w:ind w:left="0"/>
              <w:jc w:val="both"/>
              <w:rPr>
                <w:bCs/>
              </w:rPr>
            </w:pPr>
            <w:r w:rsidRPr="00330FB4">
              <w:rPr>
                <w:bCs/>
              </w:rPr>
              <w:t>Resolution 101, 102, 133</w:t>
            </w:r>
          </w:p>
        </w:tc>
        <w:tc>
          <w:tcPr>
            <w:tcW w:w="2479" w:type="dxa"/>
            <w:shd w:val="clear" w:color="auto" w:fill="auto"/>
          </w:tcPr>
          <w:p w:rsidR="00511D8F" w:rsidRPr="004E4F2F" w:rsidRDefault="00511D8F" w:rsidP="00221349">
            <w:pPr>
              <w:pStyle w:val="ListParagraph"/>
              <w:ind w:left="0"/>
              <w:jc w:val="both"/>
              <w:rPr>
                <w:rFonts w:eastAsia="MS Mincho"/>
                <w:bCs/>
                <w:lang w:eastAsia="ja-JP"/>
              </w:rPr>
            </w:pPr>
            <w:r w:rsidRPr="0055770B">
              <w:rPr>
                <w:bCs/>
              </w:rPr>
              <w:t>Note ITU discussions</w:t>
            </w:r>
            <w:r w:rsidRPr="0055770B">
              <w:t>-possible APT common proposal</w:t>
            </w:r>
          </w:p>
        </w:tc>
      </w:tr>
      <w:tr w:rsidR="00511D8F" w:rsidRPr="00330FB4" w:rsidTr="00221349">
        <w:trPr>
          <w:trHeight w:val="227"/>
        </w:trPr>
        <w:tc>
          <w:tcPr>
            <w:tcW w:w="2589" w:type="dxa"/>
            <w:vMerge w:val="restart"/>
            <w:shd w:val="clear" w:color="auto" w:fill="auto"/>
          </w:tcPr>
          <w:p w:rsidR="00511D8F" w:rsidRPr="00330FB4" w:rsidRDefault="00511D8F" w:rsidP="00221349">
            <w:pPr>
              <w:pStyle w:val="ListParagraph"/>
              <w:ind w:left="0"/>
              <w:rPr>
                <w:bCs/>
              </w:rPr>
            </w:pPr>
            <w:r w:rsidRPr="00330FB4">
              <w:rPr>
                <w:bCs/>
              </w:rPr>
              <w:t>4. WCIT</w:t>
            </w:r>
          </w:p>
        </w:tc>
        <w:tc>
          <w:tcPr>
            <w:tcW w:w="4105" w:type="dxa"/>
            <w:shd w:val="clear" w:color="auto" w:fill="auto"/>
          </w:tcPr>
          <w:p w:rsidR="00511D8F" w:rsidRPr="00330FB4" w:rsidRDefault="00511D8F" w:rsidP="00221349">
            <w:pPr>
              <w:pStyle w:val="ListParagraph"/>
              <w:ind w:left="0"/>
              <w:jc w:val="both"/>
              <w:rPr>
                <w:bCs/>
              </w:rPr>
            </w:pPr>
            <w:r w:rsidRPr="00330FB4">
              <w:rPr>
                <w:bCs/>
              </w:rPr>
              <w:t>Authorized Operating Agency</w:t>
            </w:r>
          </w:p>
        </w:tc>
        <w:tc>
          <w:tcPr>
            <w:tcW w:w="2479" w:type="dxa"/>
            <w:shd w:val="clear" w:color="auto" w:fill="auto"/>
          </w:tcPr>
          <w:p w:rsidR="00511D8F" w:rsidRPr="00330FB4" w:rsidRDefault="00511D8F" w:rsidP="00221349">
            <w:pPr>
              <w:pStyle w:val="ListParagraph"/>
              <w:ind w:left="0"/>
              <w:jc w:val="both"/>
              <w:rPr>
                <w:bCs/>
              </w:rPr>
            </w:pPr>
            <w:r w:rsidRPr="00330FB4">
              <w:rPr>
                <w:bCs/>
              </w:rPr>
              <w:t>Note ITU discussions</w:t>
            </w:r>
          </w:p>
        </w:tc>
      </w:tr>
      <w:tr w:rsidR="00511D8F" w:rsidRPr="00330FB4" w:rsidTr="00221349">
        <w:trPr>
          <w:trHeight w:val="320"/>
        </w:trPr>
        <w:tc>
          <w:tcPr>
            <w:tcW w:w="2589" w:type="dxa"/>
            <w:vMerge/>
            <w:shd w:val="clear" w:color="auto" w:fill="auto"/>
          </w:tcPr>
          <w:p w:rsidR="00511D8F" w:rsidRPr="00330FB4" w:rsidDel="009C4DA1" w:rsidRDefault="00511D8F" w:rsidP="00221349">
            <w:pPr>
              <w:pStyle w:val="ListParagraph"/>
              <w:ind w:left="0"/>
              <w:rPr>
                <w:bCs/>
              </w:rPr>
            </w:pPr>
          </w:p>
        </w:tc>
        <w:tc>
          <w:tcPr>
            <w:tcW w:w="4105" w:type="dxa"/>
            <w:shd w:val="clear" w:color="auto" w:fill="auto"/>
          </w:tcPr>
          <w:p w:rsidR="00511D8F" w:rsidRPr="00330FB4" w:rsidRDefault="00511D8F" w:rsidP="00221349">
            <w:pPr>
              <w:pStyle w:val="ListParagraph"/>
              <w:ind w:left="0"/>
              <w:jc w:val="both"/>
              <w:rPr>
                <w:bCs/>
                <w:lang w:eastAsia="ko-KR"/>
              </w:rPr>
            </w:pPr>
            <w:r w:rsidRPr="00330FB4">
              <w:rPr>
                <w:bCs/>
              </w:rPr>
              <w:t xml:space="preserve">Periodic review of </w:t>
            </w:r>
            <w:r>
              <w:rPr>
                <w:rFonts w:hint="eastAsia"/>
                <w:bCs/>
                <w:lang w:eastAsia="ko-KR"/>
              </w:rPr>
              <w:t xml:space="preserve">the </w:t>
            </w:r>
            <w:r w:rsidRPr="00330FB4">
              <w:rPr>
                <w:bCs/>
              </w:rPr>
              <w:t>ITR</w:t>
            </w:r>
            <w:r>
              <w:rPr>
                <w:rFonts w:hint="eastAsia"/>
                <w:bCs/>
                <w:lang w:eastAsia="ko-KR"/>
              </w:rPr>
              <w:t>s</w:t>
            </w:r>
          </w:p>
        </w:tc>
        <w:tc>
          <w:tcPr>
            <w:tcW w:w="2479" w:type="dxa"/>
            <w:shd w:val="clear" w:color="auto" w:fill="auto"/>
          </w:tcPr>
          <w:p w:rsidR="00511D8F" w:rsidRPr="00330FB4" w:rsidRDefault="00511D8F" w:rsidP="00221349">
            <w:pPr>
              <w:pStyle w:val="ListParagraph"/>
              <w:ind w:left="0"/>
              <w:jc w:val="both"/>
              <w:rPr>
                <w:bCs/>
              </w:rPr>
            </w:pPr>
            <w:r w:rsidRPr="00330FB4">
              <w:rPr>
                <w:bCs/>
              </w:rPr>
              <w:t>Possible APT common proposal</w:t>
            </w:r>
          </w:p>
        </w:tc>
      </w:tr>
      <w:tr w:rsidR="00511D8F" w:rsidRPr="00330FB4" w:rsidTr="00221349">
        <w:tc>
          <w:tcPr>
            <w:tcW w:w="2589" w:type="dxa"/>
            <w:shd w:val="clear" w:color="auto" w:fill="auto"/>
          </w:tcPr>
          <w:p w:rsidR="00511D8F" w:rsidRPr="00330FB4" w:rsidRDefault="00511D8F" w:rsidP="00221349">
            <w:pPr>
              <w:pStyle w:val="ListParagraph"/>
              <w:ind w:left="0"/>
              <w:rPr>
                <w:bCs/>
              </w:rPr>
            </w:pPr>
            <w:r w:rsidRPr="00330FB4">
              <w:rPr>
                <w:bCs/>
              </w:rPr>
              <w:t>5. UNIDROIT</w:t>
            </w:r>
          </w:p>
        </w:tc>
        <w:tc>
          <w:tcPr>
            <w:tcW w:w="4105" w:type="dxa"/>
            <w:shd w:val="clear" w:color="auto" w:fill="auto"/>
          </w:tcPr>
          <w:p w:rsidR="00511D8F" w:rsidRPr="00330FB4" w:rsidRDefault="00511D8F" w:rsidP="00221349">
            <w:pPr>
              <w:pStyle w:val="ListParagraph"/>
              <w:ind w:left="0"/>
              <w:jc w:val="both"/>
              <w:rPr>
                <w:bCs/>
                <w:lang w:eastAsia="ko-KR"/>
              </w:rPr>
            </w:pPr>
            <w:r w:rsidRPr="00330FB4">
              <w:rPr>
                <w:bCs/>
              </w:rPr>
              <w:t>Supervisory Authority of space asset</w:t>
            </w:r>
            <w:r>
              <w:rPr>
                <w:rFonts w:hint="eastAsia"/>
                <w:bCs/>
                <w:lang w:eastAsia="ko-KR"/>
              </w:rPr>
              <w:t>s</w:t>
            </w:r>
          </w:p>
        </w:tc>
        <w:tc>
          <w:tcPr>
            <w:tcW w:w="2479" w:type="dxa"/>
            <w:shd w:val="clear" w:color="auto" w:fill="auto"/>
          </w:tcPr>
          <w:p w:rsidR="00511D8F" w:rsidRPr="00330FB4" w:rsidRDefault="00511D8F" w:rsidP="00221349">
            <w:pPr>
              <w:pStyle w:val="ListParagraph"/>
              <w:ind w:left="0"/>
              <w:jc w:val="both"/>
              <w:rPr>
                <w:bCs/>
              </w:rPr>
            </w:pPr>
            <w:r w:rsidRPr="00330FB4">
              <w:rPr>
                <w:bCs/>
              </w:rPr>
              <w:t>Note ITU discussions</w:t>
            </w:r>
          </w:p>
        </w:tc>
      </w:tr>
      <w:tr w:rsidR="00511D8F" w:rsidRPr="00330FB4" w:rsidTr="00221349">
        <w:tc>
          <w:tcPr>
            <w:tcW w:w="2589" w:type="dxa"/>
            <w:shd w:val="clear" w:color="auto" w:fill="auto"/>
          </w:tcPr>
          <w:p w:rsidR="00511D8F" w:rsidRPr="00330FB4" w:rsidRDefault="00511D8F" w:rsidP="00221349">
            <w:pPr>
              <w:pStyle w:val="ListParagraph"/>
              <w:ind w:left="0"/>
              <w:rPr>
                <w:bCs/>
              </w:rPr>
            </w:pPr>
            <w:r w:rsidRPr="00330FB4">
              <w:rPr>
                <w:bCs/>
              </w:rPr>
              <w:t>6. Building confidence and security in the use of ICT</w:t>
            </w:r>
          </w:p>
        </w:tc>
        <w:tc>
          <w:tcPr>
            <w:tcW w:w="4105" w:type="dxa"/>
            <w:shd w:val="clear" w:color="auto" w:fill="auto"/>
          </w:tcPr>
          <w:p w:rsidR="00511D8F" w:rsidRPr="00330FB4" w:rsidRDefault="00511D8F" w:rsidP="00221349">
            <w:pPr>
              <w:pStyle w:val="ListParagraph"/>
              <w:ind w:left="0"/>
              <w:jc w:val="both"/>
              <w:rPr>
                <w:bCs/>
              </w:rPr>
            </w:pPr>
            <w:r w:rsidRPr="00330FB4">
              <w:rPr>
                <w:bCs/>
              </w:rPr>
              <w:t xml:space="preserve">Mandate of ITU in </w:t>
            </w:r>
            <w:proofErr w:type="spellStart"/>
            <w:r w:rsidRPr="00330FB4">
              <w:rPr>
                <w:bCs/>
              </w:rPr>
              <w:t>cybersecurity</w:t>
            </w:r>
            <w:proofErr w:type="spellEnd"/>
          </w:p>
        </w:tc>
        <w:tc>
          <w:tcPr>
            <w:tcW w:w="2479" w:type="dxa"/>
            <w:shd w:val="clear" w:color="auto" w:fill="auto"/>
          </w:tcPr>
          <w:p w:rsidR="00511D8F" w:rsidRPr="00330FB4" w:rsidRDefault="00511D8F" w:rsidP="00221349">
            <w:pPr>
              <w:pStyle w:val="ListParagraph"/>
              <w:ind w:left="0"/>
              <w:jc w:val="both"/>
              <w:rPr>
                <w:bCs/>
              </w:rPr>
            </w:pPr>
            <w:r w:rsidRPr="00330FB4">
              <w:rPr>
                <w:bCs/>
              </w:rPr>
              <w:t xml:space="preserve">Note ITU </w:t>
            </w:r>
            <w:r w:rsidRPr="0055770B">
              <w:rPr>
                <w:bCs/>
              </w:rPr>
              <w:t>discussions</w:t>
            </w:r>
            <w:r w:rsidRPr="0055770B">
              <w:t xml:space="preserve"> -possible APT common proposal</w:t>
            </w:r>
          </w:p>
        </w:tc>
      </w:tr>
      <w:tr w:rsidR="00511D8F" w:rsidRPr="00330FB4" w:rsidTr="00221349">
        <w:tc>
          <w:tcPr>
            <w:tcW w:w="2589" w:type="dxa"/>
            <w:shd w:val="clear" w:color="auto" w:fill="auto"/>
          </w:tcPr>
          <w:p w:rsidR="00511D8F" w:rsidRPr="00330FB4" w:rsidRDefault="00511D8F" w:rsidP="00221349">
            <w:pPr>
              <w:pStyle w:val="ListParagraph"/>
              <w:ind w:left="0"/>
              <w:rPr>
                <w:bCs/>
              </w:rPr>
            </w:pPr>
            <w:r w:rsidRPr="00330FB4">
              <w:rPr>
                <w:bCs/>
              </w:rPr>
              <w:t>7. Conformance and interoperability</w:t>
            </w:r>
          </w:p>
        </w:tc>
        <w:tc>
          <w:tcPr>
            <w:tcW w:w="4105" w:type="dxa"/>
            <w:shd w:val="clear" w:color="auto" w:fill="auto"/>
          </w:tcPr>
          <w:p w:rsidR="00511D8F" w:rsidRPr="00330FB4" w:rsidRDefault="00511D8F" w:rsidP="00221349">
            <w:pPr>
              <w:pStyle w:val="ListParagraph"/>
              <w:ind w:left="0"/>
              <w:jc w:val="both"/>
              <w:rPr>
                <w:bCs/>
              </w:rPr>
            </w:pPr>
            <w:r w:rsidRPr="00330FB4">
              <w:rPr>
                <w:bCs/>
              </w:rPr>
              <w:t xml:space="preserve">How to implement </w:t>
            </w:r>
            <w:r>
              <w:rPr>
                <w:rFonts w:hint="eastAsia"/>
                <w:bCs/>
                <w:lang w:eastAsia="ko-KR"/>
              </w:rPr>
              <w:t>the four</w:t>
            </w:r>
            <w:r w:rsidRPr="00330FB4">
              <w:rPr>
                <w:bCs/>
              </w:rPr>
              <w:t xml:space="preserve"> pillars, in particular, pillar </w:t>
            </w:r>
            <w:r>
              <w:rPr>
                <w:rFonts w:hint="eastAsia"/>
                <w:bCs/>
                <w:lang w:eastAsia="ko-KR"/>
              </w:rPr>
              <w:t>(</w:t>
            </w:r>
            <w:r w:rsidRPr="00330FB4">
              <w:rPr>
                <w:bCs/>
              </w:rPr>
              <w:t>1</w:t>
            </w:r>
            <w:r>
              <w:rPr>
                <w:rFonts w:hint="eastAsia"/>
                <w:bCs/>
                <w:lang w:eastAsia="ko-KR"/>
              </w:rPr>
              <w:t>)</w:t>
            </w:r>
            <w:r w:rsidRPr="00330FB4">
              <w:rPr>
                <w:bCs/>
              </w:rPr>
              <w:t xml:space="preserve"> (conformity assessment)</w:t>
            </w:r>
          </w:p>
        </w:tc>
        <w:tc>
          <w:tcPr>
            <w:tcW w:w="2479" w:type="dxa"/>
            <w:shd w:val="clear" w:color="auto" w:fill="auto"/>
          </w:tcPr>
          <w:p w:rsidR="00511D8F" w:rsidRPr="00330FB4" w:rsidRDefault="00511D8F" w:rsidP="00221349">
            <w:pPr>
              <w:pStyle w:val="ListParagraph"/>
              <w:ind w:left="0"/>
              <w:jc w:val="both"/>
              <w:rPr>
                <w:bCs/>
              </w:rPr>
            </w:pPr>
            <w:r w:rsidRPr="00330FB4">
              <w:rPr>
                <w:bCs/>
              </w:rPr>
              <w:t xml:space="preserve">Note </w:t>
            </w:r>
            <w:r w:rsidRPr="0055770B">
              <w:rPr>
                <w:bCs/>
              </w:rPr>
              <w:t xml:space="preserve">ITU </w:t>
            </w:r>
            <w:r w:rsidRPr="0055770B">
              <w:t>discussions -possible APT common proposal</w:t>
            </w:r>
          </w:p>
        </w:tc>
      </w:tr>
      <w:tr w:rsidR="00511D8F" w:rsidRPr="00330FB4" w:rsidTr="00221349">
        <w:tc>
          <w:tcPr>
            <w:tcW w:w="2589" w:type="dxa"/>
            <w:shd w:val="clear" w:color="auto" w:fill="auto"/>
          </w:tcPr>
          <w:p w:rsidR="00511D8F" w:rsidRPr="00330FB4" w:rsidRDefault="00511D8F" w:rsidP="00221349">
            <w:pPr>
              <w:pStyle w:val="ListParagraph"/>
              <w:ind w:left="0"/>
              <w:rPr>
                <w:bCs/>
              </w:rPr>
            </w:pPr>
            <w:r w:rsidRPr="00330FB4">
              <w:rPr>
                <w:bCs/>
              </w:rPr>
              <w:t xml:space="preserve">8.  ICT convergence and </w:t>
            </w:r>
            <w:proofErr w:type="spellStart"/>
            <w:r w:rsidRPr="00330FB4">
              <w:rPr>
                <w:bCs/>
                <w:lang w:eastAsia="ko-KR"/>
              </w:rPr>
              <w:t>IoT</w:t>
            </w:r>
            <w:proofErr w:type="spellEnd"/>
            <w:r w:rsidRPr="00330FB4">
              <w:rPr>
                <w:bCs/>
              </w:rPr>
              <w:t xml:space="preserve"> deployment</w:t>
            </w:r>
          </w:p>
        </w:tc>
        <w:tc>
          <w:tcPr>
            <w:tcW w:w="4105" w:type="dxa"/>
            <w:shd w:val="clear" w:color="auto" w:fill="auto"/>
          </w:tcPr>
          <w:p w:rsidR="00511D8F" w:rsidRPr="00330FB4" w:rsidRDefault="00511D8F" w:rsidP="00221349">
            <w:pPr>
              <w:pStyle w:val="ListParagraph"/>
              <w:ind w:left="0"/>
              <w:jc w:val="both"/>
              <w:rPr>
                <w:bCs/>
              </w:rPr>
            </w:pPr>
            <w:proofErr w:type="spellStart"/>
            <w:r w:rsidRPr="00330FB4">
              <w:rPr>
                <w:bCs/>
              </w:rPr>
              <w:t>Crosssectoral</w:t>
            </w:r>
            <w:proofErr w:type="spellEnd"/>
            <w:r w:rsidRPr="00330FB4">
              <w:rPr>
                <w:bCs/>
              </w:rPr>
              <w:t xml:space="preserve"> issues to implement ICT convergence and </w:t>
            </w:r>
            <w:proofErr w:type="spellStart"/>
            <w:r w:rsidRPr="00330FB4">
              <w:rPr>
                <w:bCs/>
              </w:rPr>
              <w:t>IoT</w:t>
            </w:r>
            <w:proofErr w:type="spellEnd"/>
          </w:p>
        </w:tc>
        <w:tc>
          <w:tcPr>
            <w:tcW w:w="2479" w:type="dxa"/>
            <w:shd w:val="clear" w:color="auto" w:fill="auto"/>
          </w:tcPr>
          <w:p w:rsidR="00511D8F" w:rsidRPr="00330FB4" w:rsidRDefault="00511D8F" w:rsidP="00221349">
            <w:pPr>
              <w:pStyle w:val="ListParagraph"/>
              <w:ind w:left="0"/>
              <w:jc w:val="both"/>
              <w:rPr>
                <w:bCs/>
              </w:rPr>
            </w:pPr>
            <w:r w:rsidRPr="00330FB4">
              <w:rPr>
                <w:bCs/>
              </w:rPr>
              <w:t>Possible APT common proposals</w:t>
            </w:r>
          </w:p>
        </w:tc>
      </w:tr>
    </w:tbl>
    <w:p w:rsidR="00511D8F" w:rsidRPr="00330FB4" w:rsidRDefault="00511D8F" w:rsidP="00511D8F">
      <w:pPr>
        <w:pStyle w:val="ListParagraph"/>
        <w:ind w:left="360"/>
        <w:jc w:val="both"/>
        <w:rPr>
          <w:b/>
          <w:bCs/>
        </w:rPr>
      </w:pPr>
    </w:p>
    <w:p w:rsidR="00511D8F" w:rsidRPr="00330FB4" w:rsidRDefault="00511D8F" w:rsidP="00511D8F"/>
    <w:p w:rsidR="00511D8F" w:rsidRPr="00330FB4" w:rsidRDefault="00511D8F" w:rsidP="00511D8F">
      <w:pPr>
        <w:pStyle w:val="ListParagraph"/>
        <w:numPr>
          <w:ilvl w:val="0"/>
          <w:numId w:val="9"/>
        </w:numPr>
        <w:jc w:val="both"/>
        <w:rPr>
          <w:b/>
          <w:bCs/>
        </w:rPr>
      </w:pPr>
      <w:r w:rsidRPr="00330FB4">
        <w:rPr>
          <w:b/>
          <w:bCs/>
        </w:rPr>
        <w:t>Conclusion</w:t>
      </w:r>
    </w:p>
    <w:p w:rsidR="00511D8F" w:rsidRPr="00330FB4" w:rsidRDefault="00511D8F" w:rsidP="00511D8F">
      <w:pPr>
        <w:jc w:val="center"/>
      </w:pPr>
    </w:p>
    <w:p w:rsidR="00511D8F" w:rsidRPr="00330FB4" w:rsidRDefault="00511D8F" w:rsidP="00511D8F">
      <w:pPr>
        <w:pStyle w:val="ListParagraph"/>
        <w:numPr>
          <w:ilvl w:val="1"/>
          <w:numId w:val="9"/>
        </w:numPr>
        <w:spacing w:after="200" w:line="276" w:lineRule="auto"/>
        <w:jc w:val="both"/>
      </w:pPr>
      <w:r w:rsidRPr="00330FB4">
        <w:t xml:space="preserve">This issue paper aims to facilitate the discussion pertaining to WG2 in order to identify possible APT common proposals to change the provisions of the CS/CV and to submit candidates for PP resolutions </w:t>
      </w:r>
    </w:p>
    <w:p w:rsidR="00511D8F" w:rsidRPr="00330FB4" w:rsidRDefault="00511D8F" w:rsidP="00511D8F">
      <w:pPr>
        <w:numPr>
          <w:ilvl w:val="1"/>
          <w:numId w:val="9"/>
        </w:numPr>
        <w:spacing w:after="200" w:line="276" w:lineRule="auto"/>
        <w:ind w:left="-30" w:firstLine="0"/>
        <w:jc w:val="both"/>
      </w:pPr>
      <w:r w:rsidRPr="00330FB4">
        <w:t>Comments are welcomed through the email reflector (</w:t>
      </w:r>
      <w:hyperlink r:id="rId30" w:history="1">
        <w:r w:rsidRPr="00330FB4">
          <w:rPr>
            <w:rStyle w:val="Hyperlink"/>
          </w:rPr>
          <w:t>aptpp@apt.int</w:t>
        </w:r>
      </w:hyperlink>
      <w:r w:rsidRPr="00330FB4">
        <w:t>), and the contact information of WG2 Chairs is as follows: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66"/>
        <w:gridCol w:w="4767"/>
      </w:tblGrid>
      <w:tr w:rsidR="00511D8F" w:rsidRPr="00330FB4" w:rsidTr="00221349">
        <w:tc>
          <w:tcPr>
            <w:tcW w:w="4766" w:type="dxa"/>
          </w:tcPr>
          <w:p w:rsidR="00511D8F" w:rsidRPr="00330FB4" w:rsidRDefault="00511D8F" w:rsidP="00221349">
            <w:r w:rsidRPr="00330FB4">
              <w:t>Chairman</w:t>
            </w:r>
          </w:p>
        </w:tc>
        <w:tc>
          <w:tcPr>
            <w:tcW w:w="4767" w:type="dxa"/>
          </w:tcPr>
          <w:p w:rsidR="00511D8F" w:rsidRPr="00330FB4" w:rsidRDefault="00511D8F" w:rsidP="00221349">
            <w:r w:rsidRPr="00330FB4">
              <w:t>Vice Chairman</w:t>
            </w:r>
          </w:p>
        </w:tc>
      </w:tr>
      <w:tr w:rsidR="00511D8F" w:rsidRPr="00330FB4" w:rsidTr="00221349">
        <w:tc>
          <w:tcPr>
            <w:tcW w:w="4766" w:type="dxa"/>
          </w:tcPr>
          <w:p w:rsidR="00511D8F" w:rsidRPr="00330FB4" w:rsidRDefault="00511D8F" w:rsidP="00221349">
            <w:pPr>
              <w:rPr>
                <w:noProof/>
              </w:rPr>
            </w:pPr>
            <w:r w:rsidRPr="00330FB4">
              <w:rPr>
                <w:noProof/>
              </w:rPr>
              <w:t>Mr. Sanghak LEE</w:t>
            </w:r>
          </w:p>
          <w:p w:rsidR="00511D8F" w:rsidRPr="00330FB4" w:rsidRDefault="00511D8F" w:rsidP="00221349">
            <w:r w:rsidRPr="00330FB4">
              <w:t>Ministry</w:t>
            </w:r>
            <w:r w:rsidRPr="00330FB4">
              <w:rPr>
                <w:lang w:eastAsia="ko-KR"/>
              </w:rPr>
              <w:t xml:space="preserve"> of</w:t>
            </w:r>
            <w:r w:rsidRPr="00330FB4">
              <w:t xml:space="preserve"> Science, ICT and Future Planning, Republic of Korea </w:t>
            </w:r>
          </w:p>
          <w:p w:rsidR="00511D8F" w:rsidRPr="00330FB4" w:rsidRDefault="00511D8F" w:rsidP="00221349">
            <w:pPr>
              <w:rPr>
                <w:rFonts w:eastAsia="Malgun Gothic"/>
                <w:lang w:eastAsia="ko-KR"/>
              </w:rPr>
            </w:pPr>
            <w:r w:rsidRPr="00330FB4">
              <w:t>Tel:</w:t>
            </w:r>
            <w:r w:rsidRPr="00330FB4">
              <w:rPr>
                <w:lang w:eastAsia="ja-JP"/>
              </w:rPr>
              <w:t xml:space="preserve"> </w:t>
            </w:r>
            <w:r w:rsidRPr="00330FB4">
              <w:rPr>
                <w:rFonts w:eastAsia="Malgun Gothic"/>
                <w:lang w:eastAsia="ko-KR"/>
              </w:rPr>
              <w:t>+82 2 2110 2680</w:t>
            </w:r>
          </w:p>
          <w:p w:rsidR="00511D8F" w:rsidRPr="00330FB4" w:rsidRDefault="00511D8F" w:rsidP="00221349">
            <w:pPr>
              <w:rPr>
                <w:rFonts w:eastAsia="Malgun Gothic"/>
                <w:lang w:eastAsia="ko-KR"/>
              </w:rPr>
            </w:pPr>
            <w:r w:rsidRPr="00330FB4">
              <w:t>Fax:</w:t>
            </w:r>
            <w:r w:rsidRPr="00330FB4">
              <w:rPr>
                <w:lang w:eastAsia="ja-JP"/>
              </w:rPr>
              <w:t xml:space="preserve"> </w:t>
            </w:r>
            <w:r w:rsidRPr="00330FB4">
              <w:rPr>
                <w:rFonts w:eastAsia="Malgun Gothic"/>
                <w:lang w:eastAsia="ko-KR"/>
              </w:rPr>
              <w:t>+82 2 2110 0280</w:t>
            </w:r>
          </w:p>
          <w:p w:rsidR="00511D8F" w:rsidRPr="00330FB4" w:rsidRDefault="00511D8F" w:rsidP="00221349">
            <w:r w:rsidRPr="00330FB4">
              <w:t xml:space="preserve">Email: </w:t>
            </w:r>
            <w:hyperlink r:id="rId31" w:history="1">
              <w:r w:rsidRPr="00330FB4">
                <w:rPr>
                  <w:rStyle w:val="Hyperlink"/>
                </w:rPr>
                <w:t>leesh@msip.go.kr</w:t>
              </w:r>
            </w:hyperlink>
            <w:r w:rsidRPr="00330FB4">
              <w:t xml:space="preserve">  </w:t>
            </w:r>
          </w:p>
          <w:p w:rsidR="00511D8F" w:rsidRPr="00330FB4" w:rsidRDefault="00511D8F" w:rsidP="009C74C9">
            <w:pPr>
              <w:tabs>
                <w:tab w:val="left" w:pos="284"/>
                <w:tab w:val="left" w:pos="794"/>
                <w:tab w:val="left" w:pos="1134"/>
                <w:tab w:val="left" w:pos="1871"/>
                <w:tab w:val="left" w:pos="2268"/>
                <w:tab w:val="center" w:pos="4820"/>
                <w:tab w:val="right" w:pos="9639"/>
              </w:tabs>
              <w:overflowPunct w:val="0"/>
              <w:autoSpaceDE w:val="0"/>
              <w:autoSpaceDN w:val="0"/>
              <w:adjustRightInd w:val="0"/>
              <w:spacing w:beforeLines="50" w:before="120" w:line="240" w:lineRule="atLeast"/>
              <w:jc w:val="both"/>
              <w:textAlignment w:val="baseline"/>
            </w:pPr>
          </w:p>
        </w:tc>
        <w:tc>
          <w:tcPr>
            <w:tcW w:w="4767" w:type="dxa"/>
          </w:tcPr>
          <w:p w:rsidR="00511D8F" w:rsidRPr="00330FB4" w:rsidRDefault="00511D8F" w:rsidP="00221349">
            <w:pPr>
              <w:rPr>
                <w:lang w:val="fr-FR"/>
              </w:rPr>
            </w:pPr>
            <w:r w:rsidRPr="00330FB4">
              <w:rPr>
                <w:lang w:val="fr-FR" w:eastAsia="ja-JP"/>
              </w:rPr>
              <w:t xml:space="preserve">Ms. Mari Ichikawa </w:t>
            </w:r>
          </w:p>
          <w:p w:rsidR="00511D8F" w:rsidRPr="00330FB4" w:rsidRDefault="00511D8F" w:rsidP="00221349">
            <w:r w:rsidRPr="00330FB4">
              <w:rPr>
                <w:rFonts w:eastAsia="Malgun Gothic"/>
              </w:rPr>
              <w:t>Ministry of Internal affairs and Communications</w:t>
            </w:r>
            <w:r w:rsidRPr="00330FB4">
              <w:t>, Japan</w:t>
            </w:r>
          </w:p>
          <w:p w:rsidR="00511D8F" w:rsidRPr="00330FB4" w:rsidRDefault="00511D8F" w:rsidP="00221349">
            <w:pPr>
              <w:rPr>
                <w:lang w:eastAsia="ko-KR"/>
              </w:rPr>
            </w:pPr>
            <w:r w:rsidRPr="00330FB4">
              <w:t xml:space="preserve">Tel: </w:t>
            </w:r>
            <w:r w:rsidRPr="00330FB4">
              <w:rPr>
                <w:rFonts w:eastAsia="Malgun Gothic"/>
              </w:rPr>
              <w:t>+81 3 5253 6165</w:t>
            </w:r>
          </w:p>
          <w:p w:rsidR="00511D8F" w:rsidRPr="00330FB4" w:rsidRDefault="00511D8F" w:rsidP="00221349">
            <w:r w:rsidRPr="00330FB4">
              <w:t xml:space="preserve">Fax: </w:t>
            </w:r>
            <w:r w:rsidRPr="00330FB4">
              <w:rPr>
                <w:rFonts w:eastAsia="Malgun Gothic"/>
              </w:rPr>
              <w:t>+81 3 5253 5924</w:t>
            </w:r>
          </w:p>
          <w:p w:rsidR="00511D8F" w:rsidRPr="00330FB4" w:rsidRDefault="00511D8F" w:rsidP="00221349">
            <w:r w:rsidRPr="00330FB4">
              <w:t xml:space="preserve">Email: </w:t>
            </w:r>
            <w:hyperlink r:id="rId32" w:history="1">
              <w:r w:rsidRPr="00330FB4">
                <w:rPr>
                  <w:rFonts w:eastAsia="Malgun Gothic"/>
                  <w:color w:val="0000F1"/>
                  <w:u w:val="single" w:color="0000F1"/>
                </w:rPr>
                <w:t>m3.ichikawa@soumu.go.jp</w:t>
              </w:r>
            </w:hyperlink>
          </w:p>
          <w:p w:rsidR="00511D8F" w:rsidRPr="00330FB4" w:rsidRDefault="00511D8F" w:rsidP="009C74C9">
            <w:pPr>
              <w:tabs>
                <w:tab w:val="left" w:pos="284"/>
                <w:tab w:val="left" w:pos="794"/>
                <w:tab w:val="left" w:pos="1134"/>
                <w:tab w:val="left" w:pos="1871"/>
                <w:tab w:val="left" w:pos="2268"/>
                <w:tab w:val="center" w:pos="4820"/>
                <w:tab w:val="right" w:pos="9639"/>
              </w:tabs>
              <w:overflowPunct w:val="0"/>
              <w:autoSpaceDE w:val="0"/>
              <w:autoSpaceDN w:val="0"/>
              <w:adjustRightInd w:val="0"/>
              <w:spacing w:beforeLines="50" w:before="120" w:line="240" w:lineRule="atLeast"/>
              <w:jc w:val="both"/>
              <w:textAlignment w:val="baseline"/>
            </w:pPr>
          </w:p>
        </w:tc>
      </w:tr>
    </w:tbl>
    <w:p w:rsidR="00511D8F" w:rsidRPr="00330FB4" w:rsidRDefault="00511D8F" w:rsidP="00511D8F">
      <w:pPr>
        <w:jc w:val="center"/>
      </w:pPr>
    </w:p>
    <w:p w:rsidR="00511D8F" w:rsidRPr="00330FB4" w:rsidRDefault="00511D8F" w:rsidP="00511D8F">
      <w:pPr>
        <w:jc w:val="center"/>
      </w:pPr>
    </w:p>
    <w:p w:rsidR="00511D8F" w:rsidRPr="00330FB4" w:rsidRDefault="00511D8F" w:rsidP="00511D8F">
      <w:pPr>
        <w:jc w:val="center"/>
      </w:pPr>
    </w:p>
    <w:p w:rsidR="00511D8F" w:rsidRPr="00330FB4" w:rsidRDefault="00511D8F" w:rsidP="00511D8F">
      <w:pPr>
        <w:jc w:val="center"/>
      </w:pPr>
    </w:p>
    <w:p w:rsidR="00511D8F" w:rsidRPr="00330FB4" w:rsidRDefault="00511D8F" w:rsidP="00511D8F">
      <w:pPr>
        <w:rPr>
          <w:rFonts w:eastAsia="Malgun Gothic"/>
          <w:b/>
          <w:i/>
          <w:sz w:val="22"/>
          <w:szCs w:val="22"/>
        </w:rPr>
      </w:pPr>
      <w:r w:rsidRPr="00330FB4">
        <w:rPr>
          <w:b/>
          <w:i/>
          <w:sz w:val="22"/>
          <w:szCs w:val="22"/>
        </w:rPr>
        <w:br w:type="page"/>
      </w:r>
    </w:p>
    <w:p w:rsidR="00511D8F" w:rsidRPr="00330FB4" w:rsidRDefault="00511D8F" w:rsidP="00511D8F">
      <w:pPr>
        <w:pStyle w:val="Heading2"/>
        <w:jc w:val="center"/>
        <w:rPr>
          <w:rFonts w:ascii="Times New Roman" w:hAnsi="Times New Roman" w:cs="Times New Roman"/>
          <w:b/>
          <w:i/>
          <w:sz w:val="22"/>
          <w:szCs w:val="22"/>
        </w:rPr>
      </w:pPr>
      <w:r w:rsidRPr="00330FB4">
        <w:rPr>
          <w:rFonts w:ascii="Times New Roman" w:hAnsi="Times New Roman" w:cs="Times New Roman"/>
          <w:b/>
          <w:i/>
          <w:sz w:val="22"/>
          <w:szCs w:val="22"/>
        </w:rPr>
        <w:lastRenderedPageBreak/>
        <w:t>Annex A</w:t>
      </w:r>
    </w:p>
    <w:p w:rsidR="00511D8F" w:rsidRPr="00330FB4" w:rsidRDefault="00511D8F" w:rsidP="00511D8F">
      <w:pPr>
        <w:pStyle w:val="Heading2"/>
        <w:jc w:val="center"/>
        <w:rPr>
          <w:rFonts w:ascii="Times New Roman" w:hAnsi="Times New Roman" w:cs="Times New Roman"/>
        </w:rPr>
      </w:pPr>
      <w:r w:rsidRPr="00330FB4">
        <w:rPr>
          <w:rFonts w:ascii="Times New Roman" w:hAnsi="Times New Roman" w:cs="Times New Roman"/>
        </w:rPr>
        <w:t xml:space="preserve">Terms of Reference of </w:t>
      </w:r>
      <w:r>
        <w:rPr>
          <w:rFonts w:ascii="Times New Roman" w:hAnsi="Times New Roman" w:cs="Times New Roman" w:hint="eastAsia"/>
          <w:lang w:eastAsia="ko-KR"/>
        </w:rPr>
        <w:t>W</w:t>
      </w:r>
      <w:r w:rsidRPr="00330FB4">
        <w:rPr>
          <w:rFonts w:ascii="Times New Roman" w:hAnsi="Times New Roman" w:cs="Times New Roman"/>
        </w:rPr>
        <w:t>G 2</w:t>
      </w:r>
    </w:p>
    <w:p w:rsidR="00511D8F" w:rsidRPr="00DA46E0" w:rsidRDefault="00511D8F" w:rsidP="00511D8F">
      <w:pPr>
        <w:jc w:val="both"/>
      </w:pPr>
    </w:p>
    <w:p w:rsidR="00511D8F" w:rsidRPr="00330FB4" w:rsidRDefault="00511D8F" w:rsidP="00511D8F">
      <w:pPr>
        <w:jc w:val="both"/>
        <w:rPr>
          <w:rFonts w:eastAsia="Times New Roman"/>
        </w:rPr>
      </w:pPr>
      <w:r w:rsidRPr="00330FB4">
        <w:rPr>
          <w:rFonts w:eastAsia="Times New Roman"/>
        </w:rPr>
        <w:t>Terms of Reference of WG2 are:</w:t>
      </w:r>
    </w:p>
    <w:p w:rsidR="00511D8F" w:rsidRPr="00330FB4" w:rsidRDefault="00511D8F" w:rsidP="00511D8F">
      <w:pPr>
        <w:numPr>
          <w:ilvl w:val="0"/>
          <w:numId w:val="13"/>
        </w:numPr>
        <w:ind w:left="1080"/>
        <w:jc w:val="both"/>
        <w:rPr>
          <w:rFonts w:eastAsia="Times New Roman"/>
        </w:rPr>
      </w:pPr>
      <w:r w:rsidRPr="00330FB4">
        <w:rPr>
          <w:rFonts w:eastAsia="Times New Roman"/>
        </w:rPr>
        <w:t xml:space="preserve">Review and proposed amendments to the Council’s outcome on the Draft of Stable ITU Constitution, General Provisions and Rules including proposed consequence of changes </w:t>
      </w:r>
    </w:p>
    <w:p w:rsidR="00511D8F" w:rsidRPr="00330FB4" w:rsidRDefault="00511D8F" w:rsidP="00511D8F">
      <w:pPr>
        <w:numPr>
          <w:ilvl w:val="0"/>
          <w:numId w:val="13"/>
        </w:numPr>
        <w:tabs>
          <w:tab w:val="clear" w:pos="720"/>
        </w:tabs>
        <w:ind w:left="1080"/>
        <w:jc w:val="both"/>
        <w:rPr>
          <w:rFonts w:eastAsia="Times New Roman"/>
        </w:rPr>
      </w:pPr>
      <w:r w:rsidRPr="00330FB4">
        <w:rPr>
          <w:rFonts w:eastAsia="Times New Roman"/>
        </w:rPr>
        <w:t xml:space="preserve">Review the Report of the Council on </w:t>
      </w:r>
      <w:bookmarkStart w:id="3" w:name="res163"/>
      <w:r w:rsidRPr="00330FB4">
        <w:rPr>
          <w:rFonts w:eastAsia="Times New Roman"/>
        </w:rPr>
        <w:t xml:space="preserve">Resolution 163 (Guadalajara, 2010) </w:t>
      </w:r>
      <w:bookmarkEnd w:id="3"/>
      <w:r w:rsidRPr="00330FB4">
        <w:rPr>
          <w:rFonts w:eastAsia="Times New Roman"/>
        </w:rPr>
        <w:t xml:space="preserve"> relating to  the output of the Council Working Group on Stable Constitution</w:t>
      </w:r>
    </w:p>
    <w:p w:rsidR="00511D8F" w:rsidRPr="00330FB4" w:rsidRDefault="00511D8F" w:rsidP="00511D8F">
      <w:pPr>
        <w:numPr>
          <w:ilvl w:val="0"/>
          <w:numId w:val="13"/>
        </w:numPr>
        <w:tabs>
          <w:tab w:val="clear" w:pos="720"/>
        </w:tabs>
        <w:ind w:left="1080"/>
        <w:jc w:val="both"/>
        <w:rPr>
          <w:rFonts w:eastAsia="Times New Roman"/>
        </w:rPr>
      </w:pPr>
      <w:r w:rsidRPr="00330FB4">
        <w:rPr>
          <w:rFonts w:eastAsia="Times New Roman"/>
        </w:rPr>
        <w:t xml:space="preserve">Review, in consultation with other Working Groups and propose amendments to the Constitution (CS), and” Convention (CV)/(now provisionally labeled(General Provisions and Rules),in particular, the Draft APT Common Proposals submitted to PP-10 as an Annex to the APT Common Proposal relating to Stable Constitution  </w:t>
      </w:r>
    </w:p>
    <w:p w:rsidR="00511D8F" w:rsidRPr="00330FB4" w:rsidRDefault="00511D8F" w:rsidP="00511D8F">
      <w:pPr>
        <w:numPr>
          <w:ilvl w:val="0"/>
          <w:numId w:val="12"/>
        </w:numPr>
        <w:ind w:left="1080"/>
        <w:jc w:val="both"/>
        <w:rPr>
          <w:rFonts w:eastAsia="Times New Roman"/>
        </w:rPr>
      </w:pPr>
      <w:r w:rsidRPr="00330FB4">
        <w:rPr>
          <w:rFonts w:eastAsia="Times New Roman"/>
        </w:rPr>
        <w:t>Review PP Decisions, Resolutions and Recommendations relevant to the activities of WG2</w:t>
      </w:r>
    </w:p>
    <w:p w:rsidR="00511D8F" w:rsidRPr="00330FB4" w:rsidRDefault="00511D8F" w:rsidP="00511D8F">
      <w:pPr>
        <w:numPr>
          <w:ilvl w:val="0"/>
          <w:numId w:val="13"/>
        </w:numPr>
        <w:ind w:left="1080"/>
        <w:jc w:val="both"/>
        <w:rPr>
          <w:rFonts w:eastAsia="Times New Roman"/>
        </w:rPr>
      </w:pPr>
      <w:r w:rsidRPr="00330FB4">
        <w:rPr>
          <w:rFonts w:eastAsia="Times New Roman"/>
        </w:rPr>
        <w:t>Consider issues relating to the implementation of the outcome of WSIS.</w:t>
      </w:r>
    </w:p>
    <w:p w:rsidR="00511D8F" w:rsidRPr="00330FB4" w:rsidRDefault="00511D8F" w:rsidP="00511D8F">
      <w:pPr>
        <w:numPr>
          <w:ilvl w:val="0"/>
          <w:numId w:val="13"/>
        </w:numPr>
        <w:spacing w:before="100" w:beforeAutospacing="1" w:after="100" w:afterAutospacing="1"/>
        <w:ind w:left="1080"/>
        <w:jc w:val="both"/>
        <w:rPr>
          <w:rFonts w:eastAsia="Times New Roman"/>
        </w:rPr>
      </w:pPr>
      <w:r w:rsidRPr="00330FB4">
        <w:rPr>
          <w:rFonts w:eastAsia="Times New Roman"/>
        </w:rPr>
        <w:t xml:space="preserve">Consider the </w:t>
      </w:r>
      <w:r w:rsidRPr="00330FB4">
        <w:rPr>
          <w:rFonts w:eastAsia="Calibri"/>
        </w:rPr>
        <w:t>issue of possible role of the ITU as Supervisory Authority of the future international registration system for space assets under the Protocol to the Convention on International Interests in Mobile Equipment on Matters specific to Space Assets under preparation by UNIDROIT</w:t>
      </w:r>
    </w:p>
    <w:p w:rsidR="00511D8F" w:rsidRPr="00330FB4" w:rsidRDefault="00511D8F" w:rsidP="00511D8F">
      <w:pPr>
        <w:numPr>
          <w:ilvl w:val="0"/>
          <w:numId w:val="13"/>
        </w:numPr>
        <w:spacing w:before="100" w:beforeAutospacing="1" w:after="100" w:afterAutospacing="1"/>
        <w:ind w:left="1080"/>
        <w:jc w:val="both"/>
        <w:rPr>
          <w:rFonts w:eastAsia="Times New Roman"/>
        </w:rPr>
      </w:pPr>
      <w:r w:rsidRPr="00330FB4">
        <w:rPr>
          <w:rFonts w:eastAsia="Times New Roman"/>
        </w:rPr>
        <w:t>Review contributions and proposals to PP-14 from other regions and countries on any policy, structure, or legal issues.</w:t>
      </w:r>
    </w:p>
    <w:p w:rsidR="00511D8F" w:rsidRPr="00330FB4" w:rsidRDefault="00511D8F" w:rsidP="00511D8F">
      <w:pPr>
        <w:numPr>
          <w:ilvl w:val="0"/>
          <w:numId w:val="13"/>
        </w:numPr>
        <w:tabs>
          <w:tab w:val="clear" w:pos="720"/>
        </w:tabs>
        <w:spacing w:before="100" w:beforeAutospacing="1" w:after="100" w:afterAutospacing="1"/>
        <w:ind w:left="1080"/>
        <w:jc w:val="both"/>
        <w:rPr>
          <w:rFonts w:eastAsia="Times New Roman"/>
        </w:rPr>
      </w:pPr>
      <w:r w:rsidRPr="00330FB4">
        <w:rPr>
          <w:rFonts w:eastAsia="Times New Roman"/>
        </w:rPr>
        <w:t xml:space="preserve">Review where necessary of General Rules for ITU Conferences, Assemblies and Meetings and those of Optional Protocol, taking into account the outcome from the review of the Stable Constitution. Particular attention to be paid to the need to provide sufficient stability to the ITU Constitution </w:t>
      </w:r>
    </w:p>
    <w:p w:rsidR="00511D8F" w:rsidRPr="00330FB4" w:rsidRDefault="00511D8F" w:rsidP="00511D8F">
      <w:pPr>
        <w:numPr>
          <w:ilvl w:val="0"/>
          <w:numId w:val="13"/>
        </w:numPr>
        <w:tabs>
          <w:tab w:val="clear" w:pos="720"/>
        </w:tabs>
        <w:spacing w:before="100" w:beforeAutospacing="1" w:after="100" w:afterAutospacing="1"/>
        <w:ind w:left="1080"/>
        <w:jc w:val="both"/>
        <w:rPr>
          <w:rFonts w:eastAsia="Times New Roman"/>
        </w:rPr>
      </w:pPr>
      <w:r w:rsidRPr="00330FB4">
        <w:rPr>
          <w:rFonts w:eastAsia="Times New Roman"/>
        </w:rPr>
        <w:t xml:space="preserve">Consider holding the future World Conference on International Telecommunication with the regular interval (every 8 years) taking into account the outcome from WCIT-12 </w:t>
      </w:r>
    </w:p>
    <w:p w:rsidR="00511D8F" w:rsidRPr="00330FB4" w:rsidRDefault="00511D8F" w:rsidP="00511D8F">
      <w:pPr>
        <w:numPr>
          <w:ilvl w:val="0"/>
          <w:numId w:val="13"/>
        </w:numPr>
        <w:tabs>
          <w:tab w:val="clear" w:pos="720"/>
        </w:tabs>
        <w:spacing w:before="100" w:beforeAutospacing="1" w:after="100" w:afterAutospacing="1"/>
        <w:ind w:left="1080"/>
        <w:jc w:val="both"/>
        <w:rPr>
          <w:rFonts w:eastAsia="Times New Roman"/>
        </w:rPr>
      </w:pPr>
      <w:r w:rsidRPr="00330FB4">
        <w:rPr>
          <w:rFonts w:eastAsia="Times New Roman"/>
        </w:rPr>
        <w:t>Review contributions and proposals to PP-14 from other regions relevant to the activities of the WG</w:t>
      </w:r>
    </w:p>
    <w:p w:rsidR="00511D8F" w:rsidRPr="00330FB4" w:rsidRDefault="00511D8F" w:rsidP="00511D8F">
      <w:pPr>
        <w:numPr>
          <w:ilvl w:val="0"/>
          <w:numId w:val="13"/>
        </w:numPr>
        <w:tabs>
          <w:tab w:val="clear" w:pos="720"/>
        </w:tabs>
        <w:spacing w:before="100" w:beforeAutospacing="1" w:after="100" w:afterAutospacing="1"/>
        <w:ind w:left="1080"/>
        <w:jc w:val="both"/>
        <w:rPr>
          <w:rFonts w:eastAsia="Times New Roman"/>
        </w:rPr>
      </w:pPr>
      <w:r w:rsidRPr="00330FB4">
        <w:rPr>
          <w:rFonts w:eastAsia="Times New Roman"/>
        </w:rPr>
        <w:t>Consider any other issues determined by the Group in its work for the preparation to PP-14 or referred to the Group by the APT Preparatory Meetings</w:t>
      </w:r>
    </w:p>
    <w:p w:rsidR="00511D8F" w:rsidRPr="00330FB4" w:rsidRDefault="00511D8F" w:rsidP="00511D8F">
      <w:pPr>
        <w:jc w:val="both"/>
        <w:rPr>
          <w:rFonts w:eastAsia="Times New Roman"/>
        </w:rPr>
      </w:pPr>
      <w:r w:rsidRPr="00330FB4">
        <w:rPr>
          <w:rFonts w:eastAsia="Times New Roman"/>
        </w:rPr>
        <w:t>In relation to this work, WG2 will consider the work and outputs of the Council Working Groups with implications on policy, structure and legal issues of the ITU, if any.</w:t>
      </w:r>
    </w:p>
    <w:p w:rsidR="00511D8F" w:rsidRPr="00330FB4" w:rsidRDefault="00511D8F" w:rsidP="00511D8F">
      <w:r w:rsidRPr="00330FB4">
        <w:br w:type="page"/>
      </w:r>
    </w:p>
    <w:p w:rsidR="00511D8F" w:rsidRPr="00330FB4" w:rsidRDefault="00511D8F" w:rsidP="00511D8F">
      <w:pPr>
        <w:pStyle w:val="Heading2"/>
        <w:jc w:val="center"/>
        <w:rPr>
          <w:rFonts w:ascii="Times New Roman" w:hAnsi="Times New Roman" w:cs="Times New Roman"/>
          <w:b/>
          <w:i/>
          <w:sz w:val="22"/>
          <w:szCs w:val="22"/>
        </w:rPr>
      </w:pPr>
      <w:r w:rsidRPr="00330FB4">
        <w:rPr>
          <w:rFonts w:ascii="Times New Roman" w:hAnsi="Times New Roman" w:cs="Times New Roman"/>
          <w:b/>
          <w:i/>
          <w:sz w:val="22"/>
          <w:szCs w:val="22"/>
        </w:rPr>
        <w:lastRenderedPageBreak/>
        <w:t>Annex B</w:t>
      </w:r>
    </w:p>
    <w:p w:rsidR="00511D8F" w:rsidRPr="00330FB4" w:rsidRDefault="00511D8F" w:rsidP="00511D8F">
      <w:pPr>
        <w:pStyle w:val="Heading2"/>
        <w:jc w:val="center"/>
        <w:rPr>
          <w:rFonts w:ascii="Times New Roman" w:hAnsi="Times New Roman" w:cs="Times New Roman"/>
        </w:rPr>
      </w:pPr>
      <w:r w:rsidRPr="00330FB4">
        <w:rPr>
          <w:rFonts w:ascii="Times New Roman" w:hAnsi="Times New Roman" w:cs="Times New Roman"/>
        </w:rPr>
        <w:t>PP Resolutions for WG2</w:t>
      </w:r>
    </w:p>
    <w:p w:rsidR="00511D8F" w:rsidRPr="00330FB4" w:rsidRDefault="00511D8F" w:rsidP="00511D8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229"/>
        <w:gridCol w:w="1203"/>
      </w:tblGrid>
      <w:tr w:rsidR="00511D8F" w:rsidRPr="00330FB4" w:rsidTr="00221349">
        <w:tc>
          <w:tcPr>
            <w:tcW w:w="1101" w:type="dxa"/>
            <w:shd w:val="clear" w:color="auto" w:fill="auto"/>
          </w:tcPr>
          <w:p w:rsidR="00511D8F" w:rsidRPr="00330FB4" w:rsidRDefault="00511D8F" w:rsidP="00221349">
            <w:pPr>
              <w:jc w:val="center"/>
              <w:rPr>
                <w:sz w:val="22"/>
              </w:rPr>
            </w:pPr>
            <w:r w:rsidRPr="00330FB4">
              <w:rPr>
                <w:sz w:val="22"/>
                <w:szCs w:val="22"/>
              </w:rPr>
              <w:t xml:space="preserve">Res. No. </w:t>
            </w:r>
          </w:p>
        </w:tc>
        <w:tc>
          <w:tcPr>
            <w:tcW w:w="7229" w:type="dxa"/>
            <w:shd w:val="clear" w:color="auto" w:fill="auto"/>
          </w:tcPr>
          <w:p w:rsidR="00511D8F" w:rsidRPr="00330FB4" w:rsidRDefault="00511D8F" w:rsidP="00221349">
            <w:pPr>
              <w:jc w:val="center"/>
              <w:rPr>
                <w:sz w:val="22"/>
              </w:rPr>
            </w:pPr>
            <w:r w:rsidRPr="00330FB4">
              <w:rPr>
                <w:sz w:val="22"/>
                <w:szCs w:val="22"/>
              </w:rPr>
              <w:t>Resolution Title</w:t>
            </w:r>
          </w:p>
        </w:tc>
        <w:tc>
          <w:tcPr>
            <w:tcW w:w="1203" w:type="dxa"/>
            <w:shd w:val="clear" w:color="auto" w:fill="auto"/>
          </w:tcPr>
          <w:p w:rsidR="00511D8F" w:rsidRPr="00330FB4" w:rsidRDefault="00511D8F" w:rsidP="00221349">
            <w:pPr>
              <w:jc w:val="center"/>
              <w:rPr>
                <w:sz w:val="22"/>
              </w:rPr>
            </w:pPr>
            <w:r w:rsidRPr="00330FB4">
              <w:rPr>
                <w:sz w:val="22"/>
                <w:szCs w:val="22"/>
              </w:rPr>
              <w:t>Note</w:t>
            </w:r>
          </w:p>
        </w:tc>
      </w:tr>
      <w:tr w:rsidR="00511D8F" w:rsidRPr="00330FB4" w:rsidTr="00221349">
        <w:tc>
          <w:tcPr>
            <w:tcW w:w="1101" w:type="dxa"/>
            <w:shd w:val="clear" w:color="auto" w:fill="auto"/>
          </w:tcPr>
          <w:p w:rsidR="00511D8F" w:rsidRPr="00330FB4" w:rsidRDefault="00511D8F" w:rsidP="00221349">
            <w:pPr>
              <w:jc w:val="center"/>
              <w:rPr>
                <w:sz w:val="22"/>
              </w:rPr>
            </w:pPr>
            <w:r w:rsidRPr="00330FB4">
              <w:rPr>
                <w:sz w:val="22"/>
                <w:szCs w:val="22"/>
              </w:rPr>
              <w:t>2</w:t>
            </w:r>
          </w:p>
        </w:tc>
        <w:tc>
          <w:tcPr>
            <w:tcW w:w="7229" w:type="dxa"/>
            <w:shd w:val="clear" w:color="auto" w:fill="auto"/>
          </w:tcPr>
          <w:p w:rsidR="00511D8F" w:rsidRPr="00330FB4" w:rsidRDefault="00511D8F" w:rsidP="00221349">
            <w:pPr>
              <w:rPr>
                <w:rFonts w:eastAsia="Malgun Gothic"/>
                <w:sz w:val="22"/>
                <w:lang w:eastAsia="ko-KR"/>
              </w:rPr>
            </w:pPr>
            <w:r w:rsidRPr="00330FB4">
              <w:rPr>
                <w:rFonts w:eastAsia="YMjO12-Identity-H"/>
                <w:sz w:val="22"/>
                <w:szCs w:val="22"/>
              </w:rPr>
              <w:t>World telecommunication/information and communication</w:t>
            </w:r>
            <w:r w:rsidRPr="00330FB4">
              <w:rPr>
                <w:rFonts w:eastAsia="Malgun Gothic"/>
                <w:sz w:val="22"/>
                <w:szCs w:val="22"/>
                <w:lang w:eastAsia="ko-KR"/>
              </w:rPr>
              <w:t xml:space="preserve"> </w:t>
            </w:r>
            <w:r w:rsidRPr="00330FB4">
              <w:rPr>
                <w:rFonts w:eastAsia="YMjO12-Identity-H"/>
                <w:sz w:val="22"/>
                <w:szCs w:val="22"/>
              </w:rPr>
              <w:t>technology</w:t>
            </w:r>
          </w:p>
          <w:p w:rsidR="00511D8F" w:rsidRPr="00330FB4" w:rsidRDefault="00511D8F" w:rsidP="00221349">
            <w:pPr>
              <w:rPr>
                <w:rFonts w:eastAsia="Malgun Gothic"/>
                <w:sz w:val="22"/>
                <w:lang w:eastAsia="ko-KR"/>
              </w:rPr>
            </w:pPr>
            <w:r w:rsidRPr="00330FB4">
              <w:rPr>
                <w:rFonts w:eastAsia="YMjO12-Identity-H"/>
                <w:sz w:val="22"/>
                <w:szCs w:val="22"/>
              </w:rPr>
              <w:t>policy forum</w:t>
            </w:r>
          </w:p>
        </w:tc>
        <w:tc>
          <w:tcPr>
            <w:tcW w:w="1203" w:type="dxa"/>
            <w:shd w:val="clear" w:color="auto" w:fill="auto"/>
          </w:tcPr>
          <w:p w:rsidR="00511D8F" w:rsidRPr="00330FB4" w:rsidRDefault="00511D8F" w:rsidP="00221349">
            <w:pPr>
              <w:jc w:val="center"/>
              <w:rPr>
                <w:sz w:val="22"/>
              </w:rPr>
            </w:pPr>
          </w:p>
        </w:tc>
      </w:tr>
      <w:tr w:rsidR="00511D8F" w:rsidRPr="00330FB4" w:rsidTr="00221349">
        <w:tc>
          <w:tcPr>
            <w:tcW w:w="1101" w:type="dxa"/>
            <w:shd w:val="clear" w:color="auto" w:fill="auto"/>
          </w:tcPr>
          <w:p w:rsidR="00511D8F" w:rsidRPr="00330FB4" w:rsidRDefault="00511D8F" w:rsidP="00221349">
            <w:pPr>
              <w:jc w:val="center"/>
              <w:rPr>
                <w:sz w:val="22"/>
                <w:lang w:eastAsia="ko-KR"/>
              </w:rPr>
            </w:pPr>
            <w:r w:rsidRPr="00330FB4">
              <w:rPr>
                <w:sz w:val="22"/>
                <w:szCs w:val="22"/>
                <w:lang w:eastAsia="ko-KR"/>
              </w:rPr>
              <w:t>30</w:t>
            </w:r>
          </w:p>
        </w:tc>
        <w:tc>
          <w:tcPr>
            <w:tcW w:w="7229" w:type="dxa"/>
            <w:shd w:val="clear" w:color="auto" w:fill="auto"/>
          </w:tcPr>
          <w:p w:rsidR="00511D8F" w:rsidRPr="00330FB4" w:rsidRDefault="00511D8F" w:rsidP="00221349">
            <w:pPr>
              <w:tabs>
                <w:tab w:val="left" w:pos="1060"/>
              </w:tabs>
              <w:rPr>
                <w:rFonts w:eastAsia="Malgun Gothic"/>
                <w:sz w:val="22"/>
                <w:lang w:eastAsia="ko-KR"/>
              </w:rPr>
            </w:pPr>
            <w:r w:rsidRPr="00330FB4">
              <w:rPr>
                <w:rFonts w:eastAsia="YMjO12-Identity-H"/>
                <w:sz w:val="22"/>
                <w:szCs w:val="22"/>
              </w:rPr>
              <w:t>Special measures for the least developed countries,</w:t>
            </w:r>
            <w:r w:rsidRPr="00330FB4">
              <w:rPr>
                <w:rFonts w:eastAsia="Malgun Gothic"/>
                <w:sz w:val="22"/>
                <w:szCs w:val="22"/>
                <w:lang w:eastAsia="ko-KR"/>
              </w:rPr>
              <w:t xml:space="preserve"> </w:t>
            </w:r>
            <w:r w:rsidRPr="00330FB4">
              <w:rPr>
                <w:rFonts w:eastAsia="YMjO12-Identity-H"/>
                <w:sz w:val="22"/>
                <w:szCs w:val="22"/>
              </w:rPr>
              <w:t>small island developing states, landlocked developing</w:t>
            </w:r>
            <w:r w:rsidRPr="00330FB4">
              <w:rPr>
                <w:rFonts w:eastAsia="Malgun Gothic"/>
                <w:sz w:val="22"/>
                <w:szCs w:val="22"/>
                <w:lang w:eastAsia="ko-KR"/>
              </w:rPr>
              <w:t xml:space="preserve"> </w:t>
            </w:r>
            <w:r w:rsidRPr="00330FB4">
              <w:rPr>
                <w:rFonts w:eastAsia="YMjO12-Identity-H"/>
                <w:sz w:val="22"/>
                <w:szCs w:val="22"/>
              </w:rPr>
              <w:t>countries and countries with economies</w:t>
            </w:r>
            <w:r w:rsidRPr="00330FB4">
              <w:rPr>
                <w:rFonts w:eastAsia="Malgun Gothic"/>
                <w:sz w:val="22"/>
                <w:szCs w:val="22"/>
                <w:lang w:eastAsia="ko-KR"/>
              </w:rPr>
              <w:t xml:space="preserve"> </w:t>
            </w:r>
            <w:r w:rsidRPr="00330FB4">
              <w:rPr>
                <w:rFonts w:eastAsia="YMjO12-Identity-H"/>
                <w:sz w:val="22"/>
                <w:szCs w:val="22"/>
              </w:rPr>
              <w:t>in transition</w:t>
            </w:r>
          </w:p>
        </w:tc>
        <w:tc>
          <w:tcPr>
            <w:tcW w:w="1203" w:type="dxa"/>
            <w:shd w:val="clear" w:color="auto" w:fill="auto"/>
          </w:tcPr>
          <w:p w:rsidR="00511D8F" w:rsidRPr="00330FB4" w:rsidRDefault="00511D8F" w:rsidP="00221349">
            <w:pPr>
              <w:jc w:val="center"/>
              <w:rPr>
                <w:sz w:val="22"/>
              </w:rPr>
            </w:pPr>
            <w:r w:rsidRPr="00330FB4">
              <w:rPr>
                <w:sz w:val="22"/>
                <w:szCs w:val="22"/>
              </w:rPr>
              <w:t>w/ WG3</w:t>
            </w:r>
          </w:p>
        </w:tc>
      </w:tr>
      <w:tr w:rsidR="00511D8F" w:rsidRPr="00330FB4" w:rsidTr="00221349">
        <w:tc>
          <w:tcPr>
            <w:tcW w:w="1101" w:type="dxa"/>
            <w:shd w:val="clear" w:color="auto" w:fill="auto"/>
          </w:tcPr>
          <w:p w:rsidR="00511D8F" w:rsidRPr="00330FB4" w:rsidRDefault="00511D8F" w:rsidP="00221349">
            <w:pPr>
              <w:jc w:val="center"/>
              <w:rPr>
                <w:sz w:val="22"/>
                <w:lang w:eastAsia="ko-KR"/>
              </w:rPr>
            </w:pPr>
            <w:r w:rsidRPr="00330FB4">
              <w:rPr>
                <w:sz w:val="22"/>
                <w:szCs w:val="22"/>
                <w:lang w:eastAsia="ko-KR"/>
              </w:rPr>
              <w:t>32</w:t>
            </w:r>
          </w:p>
        </w:tc>
        <w:tc>
          <w:tcPr>
            <w:tcW w:w="7229" w:type="dxa"/>
            <w:shd w:val="clear" w:color="auto" w:fill="auto"/>
          </w:tcPr>
          <w:p w:rsidR="00511D8F" w:rsidRPr="00330FB4" w:rsidRDefault="00511D8F" w:rsidP="00221349">
            <w:pPr>
              <w:rPr>
                <w:rFonts w:eastAsia="Malgun Gothic"/>
                <w:sz w:val="22"/>
                <w:lang w:eastAsia="ko-KR"/>
              </w:rPr>
            </w:pPr>
            <w:r w:rsidRPr="00330FB4">
              <w:rPr>
                <w:rFonts w:eastAsia="YMjO12-Identity-H"/>
                <w:sz w:val="22"/>
                <w:szCs w:val="22"/>
              </w:rPr>
              <w:t>Technical assistance to the Palestinian Authority for the</w:t>
            </w:r>
            <w:r w:rsidRPr="00330FB4">
              <w:rPr>
                <w:rFonts w:eastAsia="Malgun Gothic"/>
                <w:sz w:val="22"/>
                <w:szCs w:val="22"/>
                <w:lang w:eastAsia="ko-KR"/>
              </w:rPr>
              <w:t xml:space="preserve"> </w:t>
            </w:r>
            <w:r w:rsidRPr="00330FB4">
              <w:rPr>
                <w:rFonts w:eastAsia="YMjO12-Identity-H"/>
                <w:sz w:val="22"/>
                <w:szCs w:val="22"/>
              </w:rPr>
              <w:t>development of telecommunications</w:t>
            </w:r>
          </w:p>
        </w:tc>
        <w:tc>
          <w:tcPr>
            <w:tcW w:w="1203" w:type="dxa"/>
            <w:shd w:val="clear" w:color="auto" w:fill="auto"/>
          </w:tcPr>
          <w:p w:rsidR="00511D8F" w:rsidRPr="00330FB4" w:rsidRDefault="00511D8F" w:rsidP="00221349">
            <w:pPr>
              <w:jc w:val="center"/>
              <w:rPr>
                <w:sz w:val="22"/>
              </w:rPr>
            </w:pPr>
            <w:r w:rsidRPr="00330FB4">
              <w:rPr>
                <w:sz w:val="22"/>
                <w:szCs w:val="22"/>
              </w:rPr>
              <w:t>w/ WG3</w:t>
            </w:r>
          </w:p>
        </w:tc>
      </w:tr>
      <w:tr w:rsidR="00511D8F" w:rsidRPr="00330FB4" w:rsidTr="00221349">
        <w:tc>
          <w:tcPr>
            <w:tcW w:w="1101" w:type="dxa"/>
            <w:shd w:val="clear" w:color="auto" w:fill="auto"/>
          </w:tcPr>
          <w:p w:rsidR="00511D8F" w:rsidRPr="00330FB4" w:rsidRDefault="00511D8F" w:rsidP="00221349">
            <w:pPr>
              <w:jc w:val="center"/>
              <w:rPr>
                <w:sz w:val="22"/>
                <w:lang w:eastAsia="ko-KR"/>
              </w:rPr>
            </w:pPr>
            <w:r w:rsidRPr="00330FB4">
              <w:rPr>
                <w:sz w:val="22"/>
                <w:szCs w:val="22"/>
                <w:lang w:eastAsia="ko-KR"/>
              </w:rPr>
              <w:t>33</w:t>
            </w:r>
          </w:p>
        </w:tc>
        <w:tc>
          <w:tcPr>
            <w:tcW w:w="7229" w:type="dxa"/>
            <w:shd w:val="clear" w:color="auto" w:fill="auto"/>
          </w:tcPr>
          <w:p w:rsidR="00511D8F" w:rsidRPr="00330FB4" w:rsidRDefault="00511D8F" w:rsidP="00221349">
            <w:pPr>
              <w:tabs>
                <w:tab w:val="left" w:pos="1250"/>
              </w:tabs>
              <w:rPr>
                <w:rFonts w:eastAsia="Malgun Gothic"/>
                <w:sz w:val="22"/>
                <w:lang w:eastAsia="ko-KR"/>
              </w:rPr>
            </w:pPr>
            <w:r w:rsidRPr="00330FB4">
              <w:rPr>
                <w:rFonts w:eastAsia="YMjO12-Identity-H"/>
                <w:sz w:val="22"/>
                <w:szCs w:val="22"/>
              </w:rPr>
              <w:t>Assistance and support to Bosnia and Herzegovina for</w:t>
            </w:r>
            <w:r w:rsidRPr="00330FB4">
              <w:rPr>
                <w:rFonts w:eastAsia="Malgun Gothic"/>
                <w:sz w:val="22"/>
                <w:szCs w:val="22"/>
                <w:lang w:eastAsia="ko-KR"/>
              </w:rPr>
              <w:t xml:space="preserve"> </w:t>
            </w:r>
            <w:r w:rsidRPr="00330FB4">
              <w:rPr>
                <w:rFonts w:eastAsia="YMjO12-Identity-H"/>
                <w:sz w:val="22"/>
                <w:szCs w:val="22"/>
              </w:rPr>
              <w:t>rebuilding its telecommunication network</w:t>
            </w:r>
          </w:p>
        </w:tc>
        <w:tc>
          <w:tcPr>
            <w:tcW w:w="1203" w:type="dxa"/>
            <w:shd w:val="clear" w:color="auto" w:fill="auto"/>
          </w:tcPr>
          <w:p w:rsidR="00511D8F" w:rsidRPr="00330FB4" w:rsidRDefault="00511D8F" w:rsidP="00221349">
            <w:pPr>
              <w:jc w:val="center"/>
              <w:rPr>
                <w:sz w:val="22"/>
              </w:rPr>
            </w:pPr>
            <w:r w:rsidRPr="00330FB4">
              <w:rPr>
                <w:sz w:val="22"/>
                <w:szCs w:val="22"/>
              </w:rPr>
              <w:t>w/ WG3</w:t>
            </w:r>
          </w:p>
        </w:tc>
      </w:tr>
      <w:tr w:rsidR="00511D8F" w:rsidRPr="00330FB4" w:rsidTr="00221349">
        <w:tc>
          <w:tcPr>
            <w:tcW w:w="1101" w:type="dxa"/>
            <w:shd w:val="clear" w:color="auto" w:fill="auto"/>
          </w:tcPr>
          <w:p w:rsidR="00511D8F" w:rsidRPr="00330FB4" w:rsidRDefault="00511D8F" w:rsidP="00221349">
            <w:pPr>
              <w:jc w:val="center"/>
              <w:rPr>
                <w:sz w:val="22"/>
                <w:lang w:eastAsia="ko-KR"/>
              </w:rPr>
            </w:pPr>
            <w:r w:rsidRPr="00330FB4">
              <w:rPr>
                <w:sz w:val="22"/>
                <w:szCs w:val="22"/>
                <w:lang w:eastAsia="ko-KR"/>
              </w:rPr>
              <w:t>34</w:t>
            </w:r>
          </w:p>
        </w:tc>
        <w:tc>
          <w:tcPr>
            <w:tcW w:w="7229" w:type="dxa"/>
            <w:shd w:val="clear" w:color="auto" w:fill="auto"/>
          </w:tcPr>
          <w:p w:rsidR="00511D8F" w:rsidRPr="00330FB4" w:rsidRDefault="00511D8F" w:rsidP="00221349">
            <w:pPr>
              <w:rPr>
                <w:rFonts w:eastAsia="Malgun Gothic"/>
                <w:sz w:val="22"/>
                <w:lang w:eastAsia="ko-KR"/>
              </w:rPr>
            </w:pPr>
            <w:r w:rsidRPr="00330FB4">
              <w:rPr>
                <w:rFonts w:eastAsia="YMjO12-Identity-H"/>
                <w:sz w:val="22"/>
                <w:szCs w:val="22"/>
              </w:rPr>
              <w:t>Assistance and support to countries in special need for</w:t>
            </w:r>
            <w:r w:rsidRPr="00330FB4">
              <w:rPr>
                <w:rFonts w:eastAsia="Malgun Gothic"/>
                <w:sz w:val="22"/>
                <w:szCs w:val="22"/>
                <w:lang w:eastAsia="ko-KR"/>
              </w:rPr>
              <w:t xml:space="preserve"> </w:t>
            </w:r>
            <w:r w:rsidRPr="00330FB4">
              <w:rPr>
                <w:rFonts w:eastAsia="YMjO12-Identity-H"/>
                <w:sz w:val="22"/>
                <w:szCs w:val="22"/>
              </w:rPr>
              <w:t>rebuilding their telecommunication sector</w:t>
            </w:r>
          </w:p>
        </w:tc>
        <w:tc>
          <w:tcPr>
            <w:tcW w:w="1203" w:type="dxa"/>
            <w:shd w:val="clear" w:color="auto" w:fill="auto"/>
          </w:tcPr>
          <w:p w:rsidR="00511D8F" w:rsidRPr="00330FB4" w:rsidRDefault="00511D8F" w:rsidP="00221349">
            <w:pPr>
              <w:jc w:val="center"/>
              <w:rPr>
                <w:sz w:val="22"/>
              </w:rPr>
            </w:pPr>
            <w:r w:rsidRPr="00330FB4">
              <w:rPr>
                <w:sz w:val="22"/>
                <w:szCs w:val="22"/>
              </w:rPr>
              <w:t>w/ WG3</w:t>
            </w:r>
          </w:p>
        </w:tc>
      </w:tr>
      <w:tr w:rsidR="00511D8F" w:rsidRPr="00330FB4" w:rsidTr="00221349">
        <w:tc>
          <w:tcPr>
            <w:tcW w:w="1101" w:type="dxa"/>
            <w:shd w:val="clear" w:color="auto" w:fill="auto"/>
          </w:tcPr>
          <w:p w:rsidR="00511D8F" w:rsidRPr="00330FB4" w:rsidRDefault="00511D8F" w:rsidP="00221349">
            <w:pPr>
              <w:jc w:val="center"/>
              <w:rPr>
                <w:sz w:val="22"/>
                <w:lang w:eastAsia="ko-KR"/>
              </w:rPr>
            </w:pPr>
            <w:r w:rsidRPr="00330FB4">
              <w:rPr>
                <w:sz w:val="22"/>
                <w:szCs w:val="22"/>
                <w:lang w:eastAsia="ko-KR"/>
              </w:rPr>
              <w:t>35</w:t>
            </w:r>
          </w:p>
        </w:tc>
        <w:tc>
          <w:tcPr>
            <w:tcW w:w="7229" w:type="dxa"/>
            <w:shd w:val="clear" w:color="auto" w:fill="auto"/>
          </w:tcPr>
          <w:p w:rsidR="00511D8F" w:rsidRPr="00330FB4" w:rsidRDefault="00511D8F" w:rsidP="00221349">
            <w:pPr>
              <w:rPr>
                <w:sz w:val="22"/>
              </w:rPr>
            </w:pPr>
            <w:r w:rsidRPr="00330FB4">
              <w:rPr>
                <w:rFonts w:eastAsia="YMjO12-Identity-H"/>
                <w:sz w:val="22"/>
                <w:szCs w:val="22"/>
              </w:rPr>
              <w:t>Telecommunication support for the protection of the environment</w:t>
            </w:r>
          </w:p>
        </w:tc>
        <w:tc>
          <w:tcPr>
            <w:tcW w:w="1203" w:type="dxa"/>
            <w:shd w:val="clear" w:color="auto" w:fill="auto"/>
          </w:tcPr>
          <w:p w:rsidR="00511D8F" w:rsidRPr="00330FB4" w:rsidRDefault="00511D8F" w:rsidP="00221349">
            <w:pPr>
              <w:jc w:val="center"/>
              <w:rPr>
                <w:sz w:val="22"/>
              </w:rPr>
            </w:pPr>
          </w:p>
        </w:tc>
      </w:tr>
      <w:tr w:rsidR="00511D8F" w:rsidRPr="00330FB4" w:rsidTr="00221349">
        <w:tc>
          <w:tcPr>
            <w:tcW w:w="1101" w:type="dxa"/>
            <w:shd w:val="clear" w:color="auto" w:fill="auto"/>
          </w:tcPr>
          <w:p w:rsidR="00511D8F" w:rsidRPr="00330FB4" w:rsidRDefault="00511D8F" w:rsidP="00221349">
            <w:pPr>
              <w:jc w:val="center"/>
              <w:rPr>
                <w:sz w:val="22"/>
                <w:lang w:eastAsia="ko-KR"/>
              </w:rPr>
            </w:pPr>
            <w:r w:rsidRPr="00330FB4">
              <w:rPr>
                <w:sz w:val="22"/>
                <w:szCs w:val="22"/>
                <w:lang w:eastAsia="ko-KR"/>
              </w:rPr>
              <w:t>36</w:t>
            </w:r>
          </w:p>
        </w:tc>
        <w:tc>
          <w:tcPr>
            <w:tcW w:w="7229" w:type="dxa"/>
            <w:shd w:val="clear" w:color="auto" w:fill="auto"/>
          </w:tcPr>
          <w:p w:rsidR="00511D8F" w:rsidRPr="00330FB4" w:rsidRDefault="00511D8F" w:rsidP="00221349">
            <w:pPr>
              <w:tabs>
                <w:tab w:val="left" w:pos="1570"/>
              </w:tabs>
              <w:rPr>
                <w:rFonts w:eastAsia="Malgun Gothic"/>
                <w:sz w:val="22"/>
                <w:lang w:eastAsia="ko-KR"/>
              </w:rPr>
            </w:pPr>
            <w:r w:rsidRPr="00330FB4">
              <w:rPr>
                <w:rFonts w:eastAsia="YMjO12-Identity-H"/>
                <w:sz w:val="22"/>
                <w:szCs w:val="22"/>
              </w:rPr>
              <w:t>Telecommunications/information and communication</w:t>
            </w:r>
            <w:r w:rsidRPr="00330FB4">
              <w:rPr>
                <w:rFonts w:eastAsia="Malgun Gothic"/>
                <w:sz w:val="22"/>
                <w:szCs w:val="22"/>
                <w:lang w:eastAsia="ko-KR"/>
              </w:rPr>
              <w:t xml:space="preserve"> </w:t>
            </w:r>
            <w:r w:rsidRPr="00330FB4">
              <w:rPr>
                <w:rFonts w:eastAsia="YMjO12-Identity-H"/>
                <w:sz w:val="22"/>
                <w:szCs w:val="22"/>
              </w:rPr>
              <w:t>technologies in the service of humanitarian assistance</w:t>
            </w:r>
          </w:p>
        </w:tc>
        <w:tc>
          <w:tcPr>
            <w:tcW w:w="1203" w:type="dxa"/>
            <w:shd w:val="clear" w:color="auto" w:fill="auto"/>
          </w:tcPr>
          <w:p w:rsidR="00511D8F" w:rsidRPr="00330FB4" w:rsidRDefault="00511D8F" w:rsidP="00221349">
            <w:pPr>
              <w:jc w:val="center"/>
              <w:rPr>
                <w:sz w:val="22"/>
              </w:rPr>
            </w:pPr>
            <w:r w:rsidRPr="00330FB4">
              <w:rPr>
                <w:sz w:val="22"/>
                <w:szCs w:val="22"/>
              </w:rPr>
              <w:t>w/ WG3</w:t>
            </w:r>
          </w:p>
        </w:tc>
      </w:tr>
      <w:tr w:rsidR="00511D8F" w:rsidRPr="00330FB4" w:rsidTr="00221349">
        <w:tc>
          <w:tcPr>
            <w:tcW w:w="1101" w:type="dxa"/>
            <w:shd w:val="clear" w:color="auto" w:fill="auto"/>
          </w:tcPr>
          <w:p w:rsidR="00511D8F" w:rsidRPr="00330FB4" w:rsidRDefault="00511D8F" w:rsidP="00221349">
            <w:pPr>
              <w:jc w:val="center"/>
              <w:rPr>
                <w:sz w:val="22"/>
                <w:lang w:eastAsia="ko-KR"/>
              </w:rPr>
            </w:pPr>
            <w:r w:rsidRPr="00330FB4">
              <w:rPr>
                <w:sz w:val="22"/>
                <w:szCs w:val="22"/>
                <w:lang w:eastAsia="ko-KR"/>
              </w:rPr>
              <w:t>37</w:t>
            </w:r>
          </w:p>
        </w:tc>
        <w:tc>
          <w:tcPr>
            <w:tcW w:w="7229" w:type="dxa"/>
            <w:shd w:val="clear" w:color="auto" w:fill="auto"/>
          </w:tcPr>
          <w:p w:rsidR="00511D8F" w:rsidRPr="00330FB4" w:rsidRDefault="00511D8F" w:rsidP="00221349">
            <w:pPr>
              <w:rPr>
                <w:sz w:val="22"/>
              </w:rPr>
            </w:pPr>
            <w:r w:rsidRPr="00330FB4">
              <w:rPr>
                <w:rFonts w:eastAsia="YMjO12-Identity-H"/>
                <w:sz w:val="22"/>
                <w:szCs w:val="22"/>
              </w:rPr>
              <w:t>Training of refugees</w:t>
            </w:r>
          </w:p>
        </w:tc>
        <w:tc>
          <w:tcPr>
            <w:tcW w:w="1203" w:type="dxa"/>
            <w:shd w:val="clear" w:color="auto" w:fill="auto"/>
          </w:tcPr>
          <w:p w:rsidR="00511D8F" w:rsidRPr="00330FB4" w:rsidRDefault="00511D8F" w:rsidP="00221349">
            <w:pPr>
              <w:jc w:val="center"/>
              <w:rPr>
                <w:sz w:val="22"/>
              </w:rPr>
            </w:pPr>
            <w:r w:rsidRPr="00330FB4">
              <w:rPr>
                <w:sz w:val="22"/>
                <w:szCs w:val="22"/>
              </w:rPr>
              <w:t>w/ WG3</w:t>
            </w:r>
          </w:p>
        </w:tc>
      </w:tr>
      <w:tr w:rsidR="00511D8F" w:rsidRPr="00330FB4" w:rsidTr="00221349">
        <w:tc>
          <w:tcPr>
            <w:tcW w:w="1101" w:type="dxa"/>
            <w:shd w:val="clear" w:color="auto" w:fill="auto"/>
          </w:tcPr>
          <w:p w:rsidR="00511D8F" w:rsidRPr="00330FB4" w:rsidRDefault="00511D8F" w:rsidP="00221349">
            <w:pPr>
              <w:jc w:val="center"/>
              <w:rPr>
                <w:sz w:val="22"/>
                <w:lang w:eastAsia="ko-KR"/>
              </w:rPr>
            </w:pPr>
            <w:r w:rsidRPr="00330FB4">
              <w:rPr>
                <w:sz w:val="22"/>
                <w:szCs w:val="22"/>
                <w:lang w:eastAsia="ko-KR"/>
              </w:rPr>
              <w:t>64</w:t>
            </w:r>
          </w:p>
        </w:tc>
        <w:tc>
          <w:tcPr>
            <w:tcW w:w="7229" w:type="dxa"/>
            <w:shd w:val="clear" w:color="auto" w:fill="auto"/>
          </w:tcPr>
          <w:p w:rsidR="00511D8F" w:rsidRPr="00330FB4" w:rsidRDefault="00511D8F" w:rsidP="00221349">
            <w:pPr>
              <w:widowControl w:val="0"/>
              <w:autoSpaceDE w:val="0"/>
              <w:autoSpaceDN w:val="0"/>
              <w:adjustRightInd w:val="0"/>
              <w:rPr>
                <w:rFonts w:eastAsia="YMjO12-Identity-H"/>
                <w:sz w:val="22"/>
              </w:rPr>
            </w:pPr>
            <w:r w:rsidRPr="00330FB4">
              <w:rPr>
                <w:rFonts w:eastAsia="YMjO12-Identity-H"/>
                <w:sz w:val="22"/>
                <w:szCs w:val="22"/>
              </w:rPr>
              <w:t>Non-discriminatory access to modern telecommunication/information and communication technology facilities,</w:t>
            </w:r>
            <w:r w:rsidRPr="00330FB4">
              <w:rPr>
                <w:rFonts w:eastAsia="Malgun Gothic"/>
                <w:sz w:val="22"/>
                <w:szCs w:val="22"/>
                <w:lang w:eastAsia="ko-KR"/>
              </w:rPr>
              <w:t xml:space="preserve"> </w:t>
            </w:r>
            <w:r w:rsidRPr="00330FB4">
              <w:rPr>
                <w:rFonts w:eastAsia="YMjO12-Identity-H"/>
                <w:sz w:val="22"/>
                <w:szCs w:val="22"/>
              </w:rPr>
              <w:t>services and applications, including applied research and</w:t>
            </w:r>
            <w:r w:rsidRPr="00330FB4">
              <w:rPr>
                <w:rFonts w:eastAsia="Malgun Gothic"/>
                <w:sz w:val="22"/>
                <w:szCs w:val="22"/>
                <w:lang w:eastAsia="ko-KR"/>
              </w:rPr>
              <w:t xml:space="preserve"> </w:t>
            </w:r>
            <w:r w:rsidRPr="00330FB4">
              <w:rPr>
                <w:rFonts w:eastAsia="YMjO12-Identity-H"/>
                <w:sz w:val="22"/>
                <w:szCs w:val="22"/>
              </w:rPr>
              <w:t>transfer of technology, on mutually agreed terms</w:t>
            </w:r>
          </w:p>
        </w:tc>
        <w:tc>
          <w:tcPr>
            <w:tcW w:w="1203" w:type="dxa"/>
            <w:shd w:val="clear" w:color="auto" w:fill="auto"/>
          </w:tcPr>
          <w:p w:rsidR="00511D8F" w:rsidRPr="00330FB4" w:rsidRDefault="00511D8F" w:rsidP="00221349">
            <w:pPr>
              <w:jc w:val="center"/>
              <w:rPr>
                <w:sz w:val="22"/>
              </w:rPr>
            </w:pPr>
            <w:r w:rsidRPr="00330FB4">
              <w:rPr>
                <w:sz w:val="22"/>
                <w:szCs w:val="22"/>
              </w:rPr>
              <w:t>w/ WG3</w:t>
            </w:r>
          </w:p>
        </w:tc>
      </w:tr>
      <w:tr w:rsidR="00511D8F" w:rsidRPr="00330FB4" w:rsidTr="00221349">
        <w:tc>
          <w:tcPr>
            <w:tcW w:w="1101" w:type="dxa"/>
            <w:shd w:val="clear" w:color="auto" w:fill="auto"/>
          </w:tcPr>
          <w:p w:rsidR="00511D8F" w:rsidRPr="00330FB4" w:rsidRDefault="00511D8F" w:rsidP="00221349">
            <w:pPr>
              <w:jc w:val="center"/>
              <w:rPr>
                <w:sz w:val="22"/>
                <w:lang w:eastAsia="ko-KR"/>
              </w:rPr>
            </w:pPr>
            <w:r w:rsidRPr="00330FB4">
              <w:rPr>
                <w:sz w:val="22"/>
                <w:szCs w:val="22"/>
                <w:lang w:eastAsia="ko-KR"/>
              </w:rPr>
              <w:t>68</w:t>
            </w:r>
          </w:p>
        </w:tc>
        <w:tc>
          <w:tcPr>
            <w:tcW w:w="7229" w:type="dxa"/>
            <w:shd w:val="clear" w:color="auto" w:fill="auto"/>
          </w:tcPr>
          <w:p w:rsidR="00511D8F" w:rsidRPr="00330FB4" w:rsidRDefault="00511D8F" w:rsidP="00221349">
            <w:pPr>
              <w:tabs>
                <w:tab w:val="left" w:pos="2050"/>
              </w:tabs>
              <w:rPr>
                <w:sz w:val="22"/>
              </w:rPr>
            </w:pPr>
            <w:r w:rsidRPr="00330FB4">
              <w:rPr>
                <w:rFonts w:eastAsia="YMjO12-Identity-H"/>
                <w:sz w:val="22"/>
                <w:szCs w:val="22"/>
              </w:rPr>
              <w:t>World Telecommunication and Information Society Day</w:t>
            </w:r>
          </w:p>
        </w:tc>
        <w:tc>
          <w:tcPr>
            <w:tcW w:w="1203" w:type="dxa"/>
            <w:shd w:val="clear" w:color="auto" w:fill="auto"/>
          </w:tcPr>
          <w:p w:rsidR="00511D8F" w:rsidRPr="00330FB4" w:rsidRDefault="00511D8F" w:rsidP="00221349">
            <w:pPr>
              <w:jc w:val="center"/>
              <w:rPr>
                <w:sz w:val="22"/>
              </w:rPr>
            </w:pPr>
          </w:p>
        </w:tc>
      </w:tr>
      <w:tr w:rsidR="00511D8F" w:rsidRPr="00330FB4" w:rsidTr="00221349">
        <w:tc>
          <w:tcPr>
            <w:tcW w:w="1101" w:type="dxa"/>
            <w:shd w:val="clear" w:color="auto" w:fill="auto"/>
          </w:tcPr>
          <w:p w:rsidR="00511D8F" w:rsidRPr="00330FB4" w:rsidRDefault="00511D8F" w:rsidP="00221349">
            <w:pPr>
              <w:jc w:val="center"/>
              <w:rPr>
                <w:sz w:val="22"/>
                <w:lang w:eastAsia="ko-KR"/>
              </w:rPr>
            </w:pPr>
            <w:r w:rsidRPr="00330FB4">
              <w:rPr>
                <w:sz w:val="22"/>
                <w:szCs w:val="22"/>
                <w:lang w:eastAsia="ko-KR"/>
              </w:rPr>
              <w:t>70</w:t>
            </w:r>
          </w:p>
        </w:tc>
        <w:tc>
          <w:tcPr>
            <w:tcW w:w="7229" w:type="dxa"/>
            <w:shd w:val="clear" w:color="auto" w:fill="auto"/>
          </w:tcPr>
          <w:p w:rsidR="00511D8F" w:rsidRPr="00330FB4" w:rsidRDefault="00511D8F" w:rsidP="00221349">
            <w:pPr>
              <w:widowControl w:val="0"/>
              <w:autoSpaceDE w:val="0"/>
              <w:autoSpaceDN w:val="0"/>
              <w:adjustRightInd w:val="0"/>
              <w:rPr>
                <w:rFonts w:eastAsia="YMjO12-Identity-H"/>
                <w:sz w:val="22"/>
              </w:rPr>
            </w:pPr>
            <w:r w:rsidRPr="00330FB4">
              <w:rPr>
                <w:rFonts w:eastAsia="YMjO12-Identity-H"/>
                <w:sz w:val="22"/>
                <w:szCs w:val="22"/>
              </w:rPr>
              <w:t>Gender mainstreaming in ITU and promotion of gender equality</w:t>
            </w:r>
            <w:r w:rsidRPr="00330FB4">
              <w:rPr>
                <w:rFonts w:eastAsia="Malgun Gothic"/>
                <w:sz w:val="22"/>
                <w:szCs w:val="22"/>
                <w:lang w:eastAsia="ko-KR"/>
              </w:rPr>
              <w:t xml:space="preserve"> </w:t>
            </w:r>
            <w:r w:rsidRPr="00330FB4">
              <w:rPr>
                <w:rFonts w:eastAsia="YMjO12-Identity-H"/>
                <w:sz w:val="22"/>
                <w:szCs w:val="22"/>
              </w:rPr>
              <w:t>and the empowerment of women through information and</w:t>
            </w:r>
            <w:r w:rsidRPr="00330FB4">
              <w:rPr>
                <w:rFonts w:eastAsia="Malgun Gothic"/>
                <w:sz w:val="22"/>
                <w:szCs w:val="22"/>
                <w:lang w:eastAsia="ko-KR"/>
              </w:rPr>
              <w:t xml:space="preserve"> </w:t>
            </w:r>
            <w:r w:rsidRPr="00330FB4">
              <w:rPr>
                <w:rFonts w:eastAsia="YMjO12-Identity-H"/>
                <w:sz w:val="22"/>
                <w:szCs w:val="22"/>
              </w:rPr>
              <w:t>communication technologies</w:t>
            </w:r>
          </w:p>
        </w:tc>
        <w:tc>
          <w:tcPr>
            <w:tcW w:w="1203" w:type="dxa"/>
            <w:shd w:val="clear" w:color="auto" w:fill="auto"/>
          </w:tcPr>
          <w:p w:rsidR="00511D8F" w:rsidRPr="00330FB4" w:rsidRDefault="00511D8F" w:rsidP="00221349">
            <w:pPr>
              <w:jc w:val="center"/>
              <w:rPr>
                <w:sz w:val="22"/>
              </w:rPr>
            </w:pPr>
          </w:p>
        </w:tc>
      </w:tr>
      <w:tr w:rsidR="00511D8F" w:rsidRPr="00330FB4" w:rsidTr="00221349">
        <w:tc>
          <w:tcPr>
            <w:tcW w:w="1101" w:type="dxa"/>
            <w:shd w:val="clear" w:color="auto" w:fill="auto"/>
          </w:tcPr>
          <w:p w:rsidR="00511D8F" w:rsidRPr="00330FB4" w:rsidRDefault="00511D8F" w:rsidP="00221349">
            <w:pPr>
              <w:jc w:val="center"/>
              <w:rPr>
                <w:sz w:val="22"/>
                <w:lang w:eastAsia="ko-KR"/>
              </w:rPr>
            </w:pPr>
            <w:r w:rsidRPr="00330FB4">
              <w:rPr>
                <w:sz w:val="22"/>
                <w:szCs w:val="22"/>
                <w:lang w:eastAsia="ko-KR"/>
              </w:rPr>
              <w:t>98</w:t>
            </w:r>
          </w:p>
        </w:tc>
        <w:tc>
          <w:tcPr>
            <w:tcW w:w="7229" w:type="dxa"/>
            <w:shd w:val="clear" w:color="auto" w:fill="auto"/>
          </w:tcPr>
          <w:p w:rsidR="00511D8F" w:rsidRPr="00330FB4" w:rsidRDefault="00511D8F" w:rsidP="00221349">
            <w:pPr>
              <w:rPr>
                <w:rFonts w:eastAsia="Malgun Gothic"/>
                <w:sz w:val="22"/>
                <w:lang w:eastAsia="ko-KR"/>
              </w:rPr>
            </w:pPr>
            <w:r w:rsidRPr="00330FB4">
              <w:rPr>
                <w:rFonts w:eastAsia="YMjO12-Identity-H"/>
                <w:sz w:val="22"/>
                <w:szCs w:val="22"/>
              </w:rPr>
              <w:t>The use of telecommunications for the safety and security of</w:t>
            </w:r>
            <w:r w:rsidRPr="00330FB4">
              <w:rPr>
                <w:rFonts w:eastAsia="Malgun Gothic"/>
                <w:sz w:val="22"/>
                <w:szCs w:val="22"/>
                <w:lang w:eastAsia="ko-KR"/>
              </w:rPr>
              <w:t xml:space="preserve"> </w:t>
            </w:r>
            <w:r w:rsidRPr="00330FB4">
              <w:rPr>
                <w:rFonts w:eastAsia="YMjO12-Identity-H"/>
                <w:sz w:val="22"/>
                <w:szCs w:val="22"/>
              </w:rPr>
              <w:t>humanitarian personnel in the field</w:t>
            </w:r>
          </w:p>
        </w:tc>
        <w:tc>
          <w:tcPr>
            <w:tcW w:w="1203" w:type="dxa"/>
            <w:shd w:val="clear" w:color="auto" w:fill="auto"/>
          </w:tcPr>
          <w:p w:rsidR="00511D8F" w:rsidRPr="00330FB4" w:rsidRDefault="00511D8F" w:rsidP="00221349">
            <w:pPr>
              <w:jc w:val="center"/>
              <w:rPr>
                <w:sz w:val="22"/>
              </w:rPr>
            </w:pPr>
          </w:p>
        </w:tc>
      </w:tr>
      <w:tr w:rsidR="00511D8F" w:rsidRPr="00330FB4" w:rsidTr="00221349">
        <w:tc>
          <w:tcPr>
            <w:tcW w:w="1101" w:type="dxa"/>
            <w:shd w:val="clear" w:color="auto" w:fill="auto"/>
          </w:tcPr>
          <w:p w:rsidR="00511D8F" w:rsidRPr="00330FB4" w:rsidRDefault="00511D8F" w:rsidP="00221349">
            <w:pPr>
              <w:jc w:val="center"/>
              <w:rPr>
                <w:sz w:val="22"/>
                <w:lang w:eastAsia="ko-KR"/>
              </w:rPr>
            </w:pPr>
            <w:r w:rsidRPr="00330FB4">
              <w:rPr>
                <w:sz w:val="22"/>
                <w:szCs w:val="22"/>
                <w:lang w:eastAsia="ko-KR"/>
              </w:rPr>
              <w:t>99</w:t>
            </w:r>
          </w:p>
        </w:tc>
        <w:tc>
          <w:tcPr>
            <w:tcW w:w="7229" w:type="dxa"/>
            <w:shd w:val="clear" w:color="auto" w:fill="auto"/>
          </w:tcPr>
          <w:p w:rsidR="00511D8F" w:rsidRPr="00330FB4" w:rsidRDefault="00511D8F" w:rsidP="00221349">
            <w:pPr>
              <w:rPr>
                <w:sz w:val="22"/>
              </w:rPr>
            </w:pPr>
            <w:r w:rsidRPr="00330FB4">
              <w:rPr>
                <w:rFonts w:eastAsia="YMjO12-Identity-H"/>
                <w:sz w:val="22"/>
                <w:szCs w:val="22"/>
              </w:rPr>
              <w:t>Status of Palestine in ITU</w:t>
            </w:r>
          </w:p>
        </w:tc>
        <w:tc>
          <w:tcPr>
            <w:tcW w:w="1203" w:type="dxa"/>
            <w:shd w:val="clear" w:color="auto" w:fill="auto"/>
          </w:tcPr>
          <w:p w:rsidR="00511D8F" w:rsidRPr="00330FB4" w:rsidRDefault="00511D8F" w:rsidP="00221349">
            <w:pPr>
              <w:jc w:val="center"/>
              <w:rPr>
                <w:sz w:val="22"/>
              </w:rPr>
            </w:pPr>
          </w:p>
        </w:tc>
      </w:tr>
      <w:tr w:rsidR="00511D8F" w:rsidRPr="00330FB4" w:rsidTr="00221349">
        <w:tc>
          <w:tcPr>
            <w:tcW w:w="1101" w:type="dxa"/>
            <w:shd w:val="clear" w:color="auto" w:fill="auto"/>
          </w:tcPr>
          <w:p w:rsidR="00511D8F" w:rsidRPr="00330FB4" w:rsidRDefault="00511D8F" w:rsidP="00221349">
            <w:pPr>
              <w:jc w:val="center"/>
              <w:rPr>
                <w:sz w:val="22"/>
                <w:lang w:eastAsia="ko-KR"/>
              </w:rPr>
            </w:pPr>
            <w:r w:rsidRPr="00330FB4">
              <w:rPr>
                <w:sz w:val="22"/>
                <w:szCs w:val="22"/>
                <w:lang w:eastAsia="ko-KR"/>
              </w:rPr>
              <w:t>101</w:t>
            </w:r>
          </w:p>
        </w:tc>
        <w:tc>
          <w:tcPr>
            <w:tcW w:w="7229" w:type="dxa"/>
            <w:shd w:val="clear" w:color="auto" w:fill="auto"/>
          </w:tcPr>
          <w:p w:rsidR="00511D8F" w:rsidRPr="00330FB4" w:rsidRDefault="00511D8F" w:rsidP="00221349">
            <w:pPr>
              <w:tabs>
                <w:tab w:val="left" w:pos="1820"/>
              </w:tabs>
              <w:rPr>
                <w:sz w:val="22"/>
              </w:rPr>
            </w:pPr>
            <w:r w:rsidRPr="00330FB4">
              <w:rPr>
                <w:rFonts w:eastAsia="YMjO12-Identity-H"/>
                <w:sz w:val="22"/>
                <w:szCs w:val="22"/>
              </w:rPr>
              <w:t>Internet Protocol-based networks</w:t>
            </w:r>
          </w:p>
        </w:tc>
        <w:tc>
          <w:tcPr>
            <w:tcW w:w="1203" w:type="dxa"/>
            <w:shd w:val="clear" w:color="auto" w:fill="auto"/>
          </w:tcPr>
          <w:p w:rsidR="00511D8F" w:rsidRPr="00330FB4" w:rsidRDefault="00511D8F" w:rsidP="00221349">
            <w:pPr>
              <w:jc w:val="center"/>
              <w:rPr>
                <w:sz w:val="22"/>
              </w:rPr>
            </w:pPr>
          </w:p>
        </w:tc>
      </w:tr>
      <w:tr w:rsidR="00511D8F" w:rsidRPr="00330FB4" w:rsidTr="00221349">
        <w:tc>
          <w:tcPr>
            <w:tcW w:w="1101" w:type="dxa"/>
            <w:shd w:val="clear" w:color="auto" w:fill="auto"/>
          </w:tcPr>
          <w:p w:rsidR="00511D8F" w:rsidRPr="00330FB4" w:rsidRDefault="00511D8F" w:rsidP="00221349">
            <w:pPr>
              <w:jc w:val="center"/>
              <w:rPr>
                <w:sz w:val="22"/>
                <w:lang w:eastAsia="ko-KR"/>
              </w:rPr>
            </w:pPr>
            <w:r w:rsidRPr="00330FB4">
              <w:rPr>
                <w:sz w:val="22"/>
                <w:szCs w:val="22"/>
                <w:lang w:eastAsia="ko-KR"/>
              </w:rPr>
              <w:t>102</w:t>
            </w:r>
          </w:p>
        </w:tc>
        <w:tc>
          <w:tcPr>
            <w:tcW w:w="7229" w:type="dxa"/>
            <w:shd w:val="clear" w:color="auto" w:fill="auto"/>
          </w:tcPr>
          <w:p w:rsidR="00511D8F" w:rsidRPr="00330FB4" w:rsidRDefault="00511D8F" w:rsidP="00221349">
            <w:pPr>
              <w:widowControl w:val="0"/>
              <w:autoSpaceDE w:val="0"/>
              <w:autoSpaceDN w:val="0"/>
              <w:adjustRightInd w:val="0"/>
              <w:rPr>
                <w:rFonts w:eastAsia="YMjO12-Identity-H"/>
                <w:sz w:val="22"/>
              </w:rPr>
            </w:pPr>
            <w:r w:rsidRPr="00330FB4">
              <w:rPr>
                <w:rFonts w:eastAsia="YMjO12-Identity-H"/>
                <w:sz w:val="22"/>
                <w:szCs w:val="22"/>
              </w:rPr>
              <w:t>ITU’s role with regard to international public policy issues</w:t>
            </w:r>
            <w:r w:rsidRPr="00330FB4">
              <w:rPr>
                <w:rFonts w:eastAsia="Malgun Gothic"/>
                <w:sz w:val="22"/>
                <w:szCs w:val="22"/>
                <w:lang w:eastAsia="ko-KR"/>
              </w:rPr>
              <w:t xml:space="preserve"> </w:t>
            </w:r>
            <w:r w:rsidRPr="00330FB4">
              <w:rPr>
                <w:rFonts w:eastAsia="YMjO12-Identity-H"/>
                <w:sz w:val="22"/>
                <w:szCs w:val="22"/>
              </w:rPr>
              <w:t>pertaining to the Internet and the management of Internet</w:t>
            </w:r>
            <w:r w:rsidRPr="00330FB4">
              <w:rPr>
                <w:rFonts w:eastAsia="Malgun Gothic"/>
                <w:sz w:val="22"/>
                <w:szCs w:val="22"/>
                <w:lang w:eastAsia="ko-KR"/>
              </w:rPr>
              <w:t xml:space="preserve"> </w:t>
            </w:r>
            <w:r w:rsidRPr="00330FB4">
              <w:rPr>
                <w:rFonts w:eastAsia="YMjO12-Identity-H"/>
                <w:sz w:val="22"/>
                <w:szCs w:val="22"/>
              </w:rPr>
              <w:t>resources, including domain names and addresses</w:t>
            </w:r>
          </w:p>
        </w:tc>
        <w:tc>
          <w:tcPr>
            <w:tcW w:w="1203" w:type="dxa"/>
            <w:shd w:val="clear" w:color="auto" w:fill="auto"/>
          </w:tcPr>
          <w:p w:rsidR="00511D8F" w:rsidRPr="00330FB4" w:rsidRDefault="00511D8F" w:rsidP="00221349">
            <w:pPr>
              <w:jc w:val="center"/>
              <w:rPr>
                <w:sz w:val="22"/>
              </w:rPr>
            </w:pPr>
          </w:p>
        </w:tc>
      </w:tr>
      <w:tr w:rsidR="00511D8F" w:rsidRPr="00330FB4" w:rsidTr="00221349">
        <w:tc>
          <w:tcPr>
            <w:tcW w:w="1101" w:type="dxa"/>
            <w:shd w:val="clear" w:color="auto" w:fill="auto"/>
          </w:tcPr>
          <w:p w:rsidR="00511D8F" w:rsidRPr="00330FB4" w:rsidRDefault="00511D8F" w:rsidP="00221349">
            <w:pPr>
              <w:jc w:val="center"/>
              <w:rPr>
                <w:sz w:val="22"/>
                <w:lang w:eastAsia="ko-KR"/>
              </w:rPr>
            </w:pPr>
            <w:r w:rsidRPr="00330FB4">
              <w:rPr>
                <w:sz w:val="22"/>
                <w:szCs w:val="22"/>
                <w:lang w:eastAsia="ko-KR"/>
              </w:rPr>
              <w:t>118</w:t>
            </w:r>
          </w:p>
        </w:tc>
        <w:tc>
          <w:tcPr>
            <w:tcW w:w="7229" w:type="dxa"/>
            <w:shd w:val="clear" w:color="auto" w:fill="auto"/>
          </w:tcPr>
          <w:p w:rsidR="00511D8F" w:rsidRPr="00330FB4" w:rsidRDefault="00511D8F" w:rsidP="00221349">
            <w:pPr>
              <w:tabs>
                <w:tab w:val="left" w:pos="750"/>
              </w:tabs>
              <w:rPr>
                <w:sz w:val="22"/>
              </w:rPr>
            </w:pPr>
            <w:r w:rsidRPr="00330FB4">
              <w:rPr>
                <w:rFonts w:eastAsia="YMjO12-Identity-H"/>
                <w:sz w:val="22"/>
                <w:szCs w:val="22"/>
              </w:rPr>
              <w:t>Use of spectrum at frequencies above 3 000 GHz</w:t>
            </w:r>
          </w:p>
        </w:tc>
        <w:tc>
          <w:tcPr>
            <w:tcW w:w="1203" w:type="dxa"/>
            <w:shd w:val="clear" w:color="auto" w:fill="auto"/>
          </w:tcPr>
          <w:p w:rsidR="00511D8F" w:rsidRPr="00330FB4" w:rsidRDefault="00511D8F" w:rsidP="00221349">
            <w:pPr>
              <w:jc w:val="center"/>
              <w:rPr>
                <w:sz w:val="22"/>
              </w:rPr>
            </w:pPr>
            <w:r w:rsidRPr="00330FB4">
              <w:rPr>
                <w:sz w:val="22"/>
                <w:szCs w:val="22"/>
              </w:rPr>
              <w:t>w/ WG3</w:t>
            </w:r>
          </w:p>
        </w:tc>
      </w:tr>
      <w:tr w:rsidR="00511D8F" w:rsidRPr="00330FB4" w:rsidTr="00221349">
        <w:tc>
          <w:tcPr>
            <w:tcW w:w="1101" w:type="dxa"/>
            <w:shd w:val="clear" w:color="auto" w:fill="auto"/>
          </w:tcPr>
          <w:p w:rsidR="00511D8F" w:rsidRPr="00330FB4" w:rsidRDefault="00511D8F" w:rsidP="00221349">
            <w:pPr>
              <w:jc w:val="center"/>
              <w:rPr>
                <w:sz w:val="22"/>
                <w:lang w:eastAsia="ko-KR"/>
              </w:rPr>
            </w:pPr>
            <w:r w:rsidRPr="00330FB4">
              <w:rPr>
                <w:sz w:val="22"/>
                <w:szCs w:val="22"/>
                <w:lang w:eastAsia="ko-KR"/>
              </w:rPr>
              <w:t>123</w:t>
            </w:r>
          </w:p>
        </w:tc>
        <w:tc>
          <w:tcPr>
            <w:tcW w:w="7229" w:type="dxa"/>
            <w:shd w:val="clear" w:color="auto" w:fill="auto"/>
          </w:tcPr>
          <w:p w:rsidR="00511D8F" w:rsidRPr="00330FB4" w:rsidRDefault="00511D8F" w:rsidP="00221349">
            <w:pPr>
              <w:rPr>
                <w:rFonts w:eastAsia="Malgun Gothic"/>
                <w:sz w:val="22"/>
                <w:lang w:eastAsia="ko-KR"/>
              </w:rPr>
            </w:pPr>
            <w:r w:rsidRPr="00330FB4">
              <w:rPr>
                <w:rFonts w:eastAsia="YMjO12-Identity-H"/>
                <w:sz w:val="22"/>
                <w:szCs w:val="22"/>
              </w:rPr>
              <w:t>Bridging the standardization gap between developing</w:t>
            </w:r>
            <w:r w:rsidRPr="00330FB4">
              <w:rPr>
                <w:rFonts w:eastAsia="Malgun Gothic"/>
                <w:sz w:val="22"/>
                <w:szCs w:val="22"/>
                <w:lang w:eastAsia="ko-KR"/>
              </w:rPr>
              <w:t xml:space="preserve"> </w:t>
            </w:r>
            <w:r w:rsidRPr="00330FB4">
              <w:rPr>
                <w:rFonts w:eastAsia="YMjO12-Identity-H"/>
                <w:sz w:val="22"/>
                <w:szCs w:val="22"/>
              </w:rPr>
              <w:t>and developed</w:t>
            </w:r>
            <w:r w:rsidRPr="00330FB4">
              <w:rPr>
                <w:rFonts w:eastAsia="Malgun Gothic"/>
                <w:sz w:val="22"/>
                <w:szCs w:val="22"/>
                <w:lang w:eastAsia="ko-KR"/>
              </w:rPr>
              <w:t xml:space="preserve"> </w:t>
            </w:r>
            <w:r w:rsidRPr="00330FB4">
              <w:rPr>
                <w:rFonts w:eastAsia="YMjO12-Identity-H"/>
                <w:sz w:val="22"/>
                <w:szCs w:val="22"/>
              </w:rPr>
              <w:t>countries</w:t>
            </w:r>
          </w:p>
        </w:tc>
        <w:tc>
          <w:tcPr>
            <w:tcW w:w="1203" w:type="dxa"/>
            <w:shd w:val="clear" w:color="auto" w:fill="auto"/>
          </w:tcPr>
          <w:p w:rsidR="00511D8F" w:rsidRPr="00330FB4" w:rsidRDefault="00511D8F" w:rsidP="00221349">
            <w:pPr>
              <w:jc w:val="center"/>
              <w:rPr>
                <w:sz w:val="22"/>
              </w:rPr>
            </w:pPr>
            <w:r w:rsidRPr="00330FB4">
              <w:rPr>
                <w:sz w:val="22"/>
                <w:szCs w:val="22"/>
              </w:rPr>
              <w:t>w/ WG3</w:t>
            </w:r>
          </w:p>
        </w:tc>
      </w:tr>
      <w:tr w:rsidR="00511D8F" w:rsidRPr="00330FB4" w:rsidTr="00221349">
        <w:tc>
          <w:tcPr>
            <w:tcW w:w="1101" w:type="dxa"/>
            <w:shd w:val="clear" w:color="auto" w:fill="auto"/>
          </w:tcPr>
          <w:p w:rsidR="00511D8F" w:rsidRPr="00330FB4" w:rsidRDefault="00511D8F" w:rsidP="00221349">
            <w:pPr>
              <w:jc w:val="center"/>
              <w:rPr>
                <w:sz w:val="22"/>
                <w:lang w:eastAsia="ko-KR"/>
              </w:rPr>
            </w:pPr>
            <w:r w:rsidRPr="00330FB4">
              <w:rPr>
                <w:sz w:val="22"/>
                <w:szCs w:val="22"/>
                <w:lang w:eastAsia="ko-KR"/>
              </w:rPr>
              <w:t>124</w:t>
            </w:r>
          </w:p>
        </w:tc>
        <w:tc>
          <w:tcPr>
            <w:tcW w:w="7229" w:type="dxa"/>
            <w:shd w:val="clear" w:color="auto" w:fill="auto"/>
          </w:tcPr>
          <w:p w:rsidR="00511D8F" w:rsidRPr="00330FB4" w:rsidRDefault="00511D8F" w:rsidP="00221349">
            <w:pPr>
              <w:rPr>
                <w:sz w:val="22"/>
                <w:lang w:eastAsia="ko-KR"/>
              </w:rPr>
            </w:pPr>
            <w:r w:rsidRPr="00330FB4">
              <w:rPr>
                <w:rFonts w:eastAsia="YMjO12-Identity-H"/>
                <w:sz w:val="22"/>
                <w:szCs w:val="22"/>
              </w:rPr>
              <w:t>Support for the New Partnership for Africa’s Development</w:t>
            </w:r>
          </w:p>
        </w:tc>
        <w:tc>
          <w:tcPr>
            <w:tcW w:w="1203" w:type="dxa"/>
            <w:shd w:val="clear" w:color="auto" w:fill="auto"/>
          </w:tcPr>
          <w:p w:rsidR="00511D8F" w:rsidRPr="00330FB4" w:rsidRDefault="00511D8F" w:rsidP="00221349">
            <w:pPr>
              <w:jc w:val="center"/>
              <w:rPr>
                <w:sz w:val="22"/>
              </w:rPr>
            </w:pPr>
            <w:r w:rsidRPr="00330FB4">
              <w:rPr>
                <w:sz w:val="22"/>
                <w:szCs w:val="22"/>
              </w:rPr>
              <w:t>w/ WG3</w:t>
            </w:r>
          </w:p>
        </w:tc>
      </w:tr>
      <w:tr w:rsidR="00511D8F" w:rsidRPr="00330FB4" w:rsidTr="00221349">
        <w:tc>
          <w:tcPr>
            <w:tcW w:w="1101" w:type="dxa"/>
            <w:shd w:val="clear" w:color="auto" w:fill="auto"/>
          </w:tcPr>
          <w:p w:rsidR="00511D8F" w:rsidRPr="00330FB4" w:rsidRDefault="00511D8F" w:rsidP="00221349">
            <w:pPr>
              <w:jc w:val="center"/>
              <w:rPr>
                <w:sz w:val="22"/>
                <w:lang w:eastAsia="ko-KR"/>
              </w:rPr>
            </w:pPr>
            <w:r w:rsidRPr="00330FB4">
              <w:rPr>
                <w:sz w:val="22"/>
                <w:szCs w:val="22"/>
                <w:lang w:eastAsia="ko-KR"/>
              </w:rPr>
              <w:t>125</w:t>
            </w:r>
          </w:p>
        </w:tc>
        <w:tc>
          <w:tcPr>
            <w:tcW w:w="7229" w:type="dxa"/>
            <w:shd w:val="clear" w:color="auto" w:fill="auto"/>
          </w:tcPr>
          <w:p w:rsidR="00511D8F" w:rsidRPr="00330FB4" w:rsidRDefault="00511D8F" w:rsidP="00221349">
            <w:pPr>
              <w:rPr>
                <w:rFonts w:eastAsia="Malgun Gothic"/>
                <w:sz w:val="22"/>
                <w:lang w:eastAsia="ko-KR"/>
              </w:rPr>
            </w:pPr>
            <w:r w:rsidRPr="00330FB4">
              <w:rPr>
                <w:rFonts w:eastAsia="YMjO12-Identity-H"/>
                <w:sz w:val="22"/>
                <w:szCs w:val="22"/>
              </w:rPr>
              <w:t>Assistance and support to the Palestinian Authority for</w:t>
            </w:r>
            <w:r w:rsidRPr="00330FB4">
              <w:rPr>
                <w:rFonts w:eastAsia="Malgun Gothic"/>
                <w:sz w:val="22"/>
                <w:szCs w:val="22"/>
                <w:lang w:eastAsia="ko-KR"/>
              </w:rPr>
              <w:t xml:space="preserve"> </w:t>
            </w:r>
            <w:r w:rsidRPr="00330FB4">
              <w:rPr>
                <w:rFonts w:eastAsia="YMjO12-Identity-H"/>
                <w:sz w:val="22"/>
                <w:szCs w:val="22"/>
              </w:rPr>
              <w:t>rebuilding its telecommunication networks</w:t>
            </w:r>
          </w:p>
        </w:tc>
        <w:tc>
          <w:tcPr>
            <w:tcW w:w="1203" w:type="dxa"/>
            <w:shd w:val="clear" w:color="auto" w:fill="auto"/>
          </w:tcPr>
          <w:p w:rsidR="00511D8F" w:rsidRPr="00330FB4" w:rsidRDefault="00511D8F" w:rsidP="00221349">
            <w:pPr>
              <w:jc w:val="center"/>
              <w:rPr>
                <w:sz w:val="22"/>
              </w:rPr>
            </w:pPr>
            <w:r w:rsidRPr="00330FB4">
              <w:rPr>
                <w:sz w:val="22"/>
                <w:szCs w:val="22"/>
              </w:rPr>
              <w:t>w/ WG3</w:t>
            </w:r>
          </w:p>
        </w:tc>
      </w:tr>
      <w:tr w:rsidR="00511D8F" w:rsidRPr="00330FB4" w:rsidTr="00221349">
        <w:tc>
          <w:tcPr>
            <w:tcW w:w="1101" w:type="dxa"/>
            <w:shd w:val="clear" w:color="auto" w:fill="auto"/>
          </w:tcPr>
          <w:p w:rsidR="00511D8F" w:rsidRPr="00330FB4" w:rsidRDefault="00511D8F" w:rsidP="00221349">
            <w:pPr>
              <w:jc w:val="center"/>
              <w:rPr>
                <w:sz w:val="22"/>
                <w:lang w:eastAsia="ko-KR"/>
              </w:rPr>
            </w:pPr>
            <w:r w:rsidRPr="00330FB4">
              <w:rPr>
                <w:sz w:val="22"/>
                <w:szCs w:val="22"/>
                <w:lang w:eastAsia="ko-KR"/>
              </w:rPr>
              <w:t>126</w:t>
            </w:r>
          </w:p>
        </w:tc>
        <w:tc>
          <w:tcPr>
            <w:tcW w:w="7229" w:type="dxa"/>
            <w:shd w:val="clear" w:color="auto" w:fill="auto"/>
          </w:tcPr>
          <w:p w:rsidR="00511D8F" w:rsidRPr="00330FB4" w:rsidRDefault="00511D8F" w:rsidP="00221349">
            <w:pPr>
              <w:rPr>
                <w:rFonts w:eastAsia="Malgun Gothic"/>
                <w:sz w:val="22"/>
                <w:lang w:eastAsia="ko-KR"/>
              </w:rPr>
            </w:pPr>
            <w:r w:rsidRPr="00330FB4">
              <w:rPr>
                <w:rFonts w:eastAsia="YMjO12-Identity-H"/>
                <w:sz w:val="22"/>
                <w:szCs w:val="22"/>
              </w:rPr>
              <w:t>Assistance and support to the Republic of Serbia for</w:t>
            </w:r>
            <w:r w:rsidRPr="00330FB4">
              <w:rPr>
                <w:rFonts w:eastAsia="Malgun Gothic"/>
                <w:sz w:val="22"/>
                <w:szCs w:val="22"/>
                <w:lang w:eastAsia="ko-KR"/>
              </w:rPr>
              <w:t xml:space="preserve"> </w:t>
            </w:r>
            <w:r w:rsidRPr="00330FB4">
              <w:rPr>
                <w:rFonts w:eastAsia="YMjO12-Identity-H"/>
                <w:sz w:val="22"/>
                <w:szCs w:val="22"/>
              </w:rPr>
              <w:t>rebuilding its destroyed public broadcasting system</w:t>
            </w:r>
          </w:p>
        </w:tc>
        <w:tc>
          <w:tcPr>
            <w:tcW w:w="1203" w:type="dxa"/>
            <w:shd w:val="clear" w:color="auto" w:fill="auto"/>
          </w:tcPr>
          <w:p w:rsidR="00511D8F" w:rsidRPr="00330FB4" w:rsidRDefault="00511D8F" w:rsidP="00221349">
            <w:pPr>
              <w:jc w:val="center"/>
              <w:rPr>
                <w:sz w:val="22"/>
              </w:rPr>
            </w:pPr>
            <w:r w:rsidRPr="00330FB4">
              <w:rPr>
                <w:sz w:val="22"/>
                <w:szCs w:val="22"/>
              </w:rPr>
              <w:t>w/ WG3</w:t>
            </w:r>
          </w:p>
        </w:tc>
      </w:tr>
      <w:tr w:rsidR="00511D8F" w:rsidRPr="00330FB4" w:rsidTr="00221349">
        <w:tc>
          <w:tcPr>
            <w:tcW w:w="1101" w:type="dxa"/>
            <w:shd w:val="clear" w:color="auto" w:fill="auto"/>
          </w:tcPr>
          <w:p w:rsidR="00511D8F" w:rsidRPr="00330FB4" w:rsidRDefault="00511D8F" w:rsidP="00221349">
            <w:pPr>
              <w:jc w:val="center"/>
              <w:rPr>
                <w:sz w:val="22"/>
                <w:lang w:eastAsia="ko-KR"/>
              </w:rPr>
            </w:pPr>
            <w:r w:rsidRPr="00330FB4">
              <w:rPr>
                <w:sz w:val="22"/>
                <w:szCs w:val="22"/>
                <w:lang w:eastAsia="ko-KR"/>
              </w:rPr>
              <w:t>127</w:t>
            </w:r>
          </w:p>
        </w:tc>
        <w:tc>
          <w:tcPr>
            <w:tcW w:w="7229" w:type="dxa"/>
            <w:shd w:val="clear" w:color="auto" w:fill="auto"/>
          </w:tcPr>
          <w:p w:rsidR="00511D8F" w:rsidRPr="00330FB4" w:rsidRDefault="00511D8F" w:rsidP="00221349">
            <w:pPr>
              <w:rPr>
                <w:rFonts w:eastAsia="Malgun Gothic"/>
                <w:sz w:val="22"/>
                <w:lang w:eastAsia="ko-KR"/>
              </w:rPr>
            </w:pPr>
            <w:r w:rsidRPr="00330FB4">
              <w:rPr>
                <w:rFonts w:eastAsia="YMjO12-Identity-H"/>
                <w:sz w:val="22"/>
                <w:szCs w:val="22"/>
              </w:rPr>
              <w:t>Assistance and support to the Government of Afghanistan</w:t>
            </w:r>
            <w:r w:rsidRPr="00330FB4">
              <w:rPr>
                <w:rFonts w:eastAsia="Malgun Gothic"/>
                <w:sz w:val="22"/>
                <w:szCs w:val="22"/>
                <w:lang w:eastAsia="ko-KR"/>
              </w:rPr>
              <w:t xml:space="preserve"> </w:t>
            </w:r>
            <w:r w:rsidRPr="00330FB4">
              <w:rPr>
                <w:rFonts w:eastAsia="YMjO12-Identity-H"/>
                <w:sz w:val="22"/>
                <w:szCs w:val="22"/>
              </w:rPr>
              <w:t>for rebuilding its telecommunication system</w:t>
            </w:r>
          </w:p>
        </w:tc>
        <w:tc>
          <w:tcPr>
            <w:tcW w:w="1203" w:type="dxa"/>
            <w:shd w:val="clear" w:color="auto" w:fill="auto"/>
          </w:tcPr>
          <w:p w:rsidR="00511D8F" w:rsidRPr="00330FB4" w:rsidRDefault="00511D8F" w:rsidP="00221349">
            <w:pPr>
              <w:jc w:val="center"/>
              <w:rPr>
                <w:sz w:val="22"/>
              </w:rPr>
            </w:pPr>
            <w:r w:rsidRPr="00330FB4">
              <w:rPr>
                <w:sz w:val="22"/>
                <w:szCs w:val="22"/>
              </w:rPr>
              <w:t>w/ WG3</w:t>
            </w:r>
          </w:p>
        </w:tc>
      </w:tr>
      <w:tr w:rsidR="00511D8F" w:rsidRPr="00330FB4" w:rsidTr="00221349">
        <w:tc>
          <w:tcPr>
            <w:tcW w:w="1101" w:type="dxa"/>
            <w:shd w:val="clear" w:color="auto" w:fill="auto"/>
          </w:tcPr>
          <w:p w:rsidR="00511D8F" w:rsidRPr="00330FB4" w:rsidRDefault="00511D8F" w:rsidP="00221349">
            <w:pPr>
              <w:jc w:val="center"/>
              <w:rPr>
                <w:sz w:val="22"/>
                <w:lang w:eastAsia="ko-KR"/>
              </w:rPr>
            </w:pPr>
            <w:r w:rsidRPr="00330FB4">
              <w:rPr>
                <w:sz w:val="22"/>
                <w:szCs w:val="22"/>
                <w:lang w:eastAsia="ko-KR"/>
              </w:rPr>
              <w:t>128</w:t>
            </w:r>
          </w:p>
        </w:tc>
        <w:tc>
          <w:tcPr>
            <w:tcW w:w="7229" w:type="dxa"/>
            <w:shd w:val="clear" w:color="auto" w:fill="auto"/>
          </w:tcPr>
          <w:p w:rsidR="00511D8F" w:rsidRPr="00330FB4" w:rsidRDefault="00511D8F" w:rsidP="00221349">
            <w:pPr>
              <w:rPr>
                <w:rFonts w:eastAsia="Malgun Gothic"/>
                <w:sz w:val="22"/>
                <w:lang w:eastAsia="ko-KR"/>
              </w:rPr>
            </w:pPr>
            <w:r w:rsidRPr="00330FB4">
              <w:rPr>
                <w:rFonts w:eastAsia="YMjO12-Identity-H"/>
                <w:sz w:val="22"/>
                <w:szCs w:val="22"/>
              </w:rPr>
              <w:t>Support for the Agenda for Connectivity in the Americas</w:t>
            </w:r>
            <w:r w:rsidRPr="00330FB4">
              <w:rPr>
                <w:rFonts w:eastAsia="Malgun Gothic"/>
                <w:sz w:val="22"/>
                <w:szCs w:val="22"/>
                <w:lang w:eastAsia="ko-KR"/>
              </w:rPr>
              <w:t xml:space="preserve"> </w:t>
            </w:r>
            <w:r w:rsidRPr="00330FB4">
              <w:rPr>
                <w:rFonts w:eastAsia="YMjO12-Identity-H"/>
                <w:sz w:val="22"/>
                <w:szCs w:val="22"/>
              </w:rPr>
              <w:t>and Quito Action Plan</w:t>
            </w:r>
          </w:p>
        </w:tc>
        <w:tc>
          <w:tcPr>
            <w:tcW w:w="1203" w:type="dxa"/>
            <w:shd w:val="clear" w:color="auto" w:fill="auto"/>
          </w:tcPr>
          <w:p w:rsidR="00511D8F" w:rsidRPr="00330FB4" w:rsidRDefault="00511D8F" w:rsidP="00221349">
            <w:pPr>
              <w:jc w:val="center"/>
              <w:rPr>
                <w:sz w:val="22"/>
              </w:rPr>
            </w:pPr>
            <w:r w:rsidRPr="00330FB4">
              <w:rPr>
                <w:sz w:val="22"/>
                <w:szCs w:val="22"/>
              </w:rPr>
              <w:t>w/ WG3</w:t>
            </w:r>
          </w:p>
        </w:tc>
      </w:tr>
      <w:tr w:rsidR="00511D8F" w:rsidRPr="00330FB4" w:rsidTr="00221349">
        <w:tc>
          <w:tcPr>
            <w:tcW w:w="1101" w:type="dxa"/>
            <w:shd w:val="clear" w:color="auto" w:fill="auto"/>
          </w:tcPr>
          <w:p w:rsidR="00511D8F" w:rsidRPr="00330FB4" w:rsidRDefault="00511D8F" w:rsidP="00221349">
            <w:pPr>
              <w:jc w:val="center"/>
              <w:rPr>
                <w:sz w:val="22"/>
                <w:lang w:eastAsia="ko-KR"/>
              </w:rPr>
            </w:pPr>
            <w:r w:rsidRPr="00330FB4">
              <w:rPr>
                <w:sz w:val="22"/>
                <w:szCs w:val="22"/>
                <w:lang w:eastAsia="ko-KR"/>
              </w:rPr>
              <w:t>130</w:t>
            </w:r>
          </w:p>
        </w:tc>
        <w:tc>
          <w:tcPr>
            <w:tcW w:w="7229" w:type="dxa"/>
            <w:shd w:val="clear" w:color="auto" w:fill="auto"/>
          </w:tcPr>
          <w:p w:rsidR="00511D8F" w:rsidRPr="00330FB4" w:rsidRDefault="00511D8F" w:rsidP="00221349">
            <w:pPr>
              <w:rPr>
                <w:rFonts w:eastAsia="Malgun Gothic"/>
                <w:sz w:val="22"/>
                <w:lang w:eastAsia="ko-KR"/>
              </w:rPr>
            </w:pPr>
            <w:r w:rsidRPr="00330FB4">
              <w:rPr>
                <w:rFonts w:eastAsia="YMjO12-Identity-H"/>
                <w:sz w:val="22"/>
                <w:szCs w:val="22"/>
              </w:rPr>
              <w:t>Strengthening the role of ITU in building confidence and security</w:t>
            </w:r>
            <w:r w:rsidRPr="00330FB4">
              <w:rPr>
                <w:rFonts w:eastAsia="Malgun Gothic"/>
                <w:sz w:val="22"/>
                <w:szCs w:val="22"/>
                <w:lang w:eastAsia="ko-KR"/>
              </w:rPr>
              <w:t xml:space="preserve"> </w:t>
            </w:r>
            <w:r w:rsidRPr="00330FB4">
              <w:rPr>
                <w:rFonts w:eastAsia="YMjO12-Identity-H"/>
                <w:sz w:val="22"/>
                <w:szCs w:val="22"/>
              </w:rPr>
              <w:t>in the use of information and communication technologies</w:t>
            </w:r>
          </w:p>
        </w:tc>
        <w:tc>
          <w:tcPr>
            <w:tcW w:w="1203" w:type="dxa"/>
            <w:shd w:val="clear" w:color="auto" w:fill="auto"/>
          </w:tcPr>
          <w:p w:rsidR="00511D8F" w:rsidRPr="00330FB4" w:rsidRDefault="00511D8F" w:rsidP="00221349">
            <w:pPr>
              <w:jc w:val="center"/>
              <w:rPr>
                <w:sz w:val="22"/>
              </w:rPr>
            </w:pPr>
          </w:p>
        </w:tc>
      </w:tr>
      <w:tr w:rsidR="00511D8F" w:rsidRPr="00330FB4" w:rsidTr="00221349">
        <w:tc>
          <w:tcPr>
            <w:tcW w:w="1101" w:type="dxa"/>
            <w:shd w:val="clear" w:color="auto" w:fill="auto"/>
          </w:tcPr>
          <w:p w:rsidR="00511D8F" w:rsidRPr="00330FB4" w:rsidRDefault="00511D8F" w:rsidP="00221349">
            <w:pPr>
              <w:jc w:val="center"/>
              <w:rPr>
                <w:sz w:val="22"/>
                <w:lang w:eastAsia="ko-KR"/>
              </w:rPr>
            </w:pPr>
            <w:r w:rsidRPr="00330FB4">
              <w:rPr>
                <w:sz w:val="22"/>
                <w:szCs w:val="22"/>
                <w:lang w:eastAsia="ko-KR"/>
              </w:rPr>
              <w:t>131</w:t>
            </w:r>
          </w:p>
        </w:tc>
        <w:tc>
          <w:tcPr>
            <w:tcW w:w="7229" w:type="dxa"/>
            <w:shd w:val="clear" w:color="auto" w:fill="auto"/>
          </w:tcPr>
          <w:p w:rsidR="00511D8F" w:rsidRPr="00330FB4" w:rsidRDefault="00511D8F" w:rsidP="00221349">
            <w:pPr>
              <w:rPr>
                <w:rFonts w:eastAsia="Malgun Gothic"/>
                <w:sz w:val="22"/>
                <w:lang w:eastAsia="ko-KR"/>
              </w:rPr>
            </w:pPr>
            <w:r w:rsidRPr="00330FB4">
              <w:rPr>
                <w:rFonts w:eastAsia="YMjO12-Identity-H"/>
                <w:sz w:val="22"/>
                <w:szCs w:val="22"/>
              </w:rPr>
              <w:t>Information and communication technology index and</w:t>
            </w:r>
            <w:r w:rsidRPr="00330FB4">
              <w:rPr>
                <w:rFonts w:eastAsia="Malgun Gothic"/>
                <w:sz w:val="22"/>
                <w:szCs w:val="22"/>
                <w:lang w:eastAsia="ko-KR"/>
              </w:rPr>
              <w:t xml:space="preserve"> </w:t>
            </w:r>
            <w:r w:rsidRPr="00330FB4">
              <w:rPr>
                <w:rFonts w:eastAsia="YMjO12-Identity-H"/>
                <w:sz w:val="22"/>
                <w:szCs w:val="22"/>
              </w:rPr>
              <w:t>community connectivity indicators</w:t>
            </w:r>
          </w:p>
        </w:tc>
        <w:tc>
          <w:tcPr>
            <w:tcW w:w="1203" w:type="dxa"/>
            <w:shd w:val="clear" w:color="auto" w:fill="auto"/>
          </w:tcPr>
          <w:p w:rsidR="00511D8F" w:rsidRPr="00330FB4" w:rsidRDefault="00511D8F" w:rsidP="00221349">
            <w:pPr>
              <w:jc w:val="center"/>
              <w:rPr>
                <w:sz w:val="22"/>
              </w:rPr>
            </w:pPr>
            <w:r w:rsidRPr="00330FB4">
              <w:rPr>
                <w:sz w:val="22"/>
                <w:szCs w:val="22"/>
              </w:rPr>
              <w:t>w/ WG3</w:t>
            </w:r>
          </w:p>
        </w:tc>
      </w:tr>
      <w:tr w:rsidR="00511D8F" w:rsidRPr="00330FB4" w:rsidTr="00221349">
        <w:tc>
          <w:tcPr>
            <w:tcW w:w="1101" w:type="dxa"/>
            <w:shd w:val="clear" w:color="auto" w:fill="auto"/>
          </w:tcPr>
          <w:p w:rsidR="00511D8F" w:rsidRPr="00330FB4" w:rsidRDefault="00511D8F" w:rsidP="00221349">
            <w:pPr>
              <w:jc w:val="center"/>
              <w:rPr>
                <w:sz w:val="22"/>
                <w:lang w:eastAsia="ko-KR"/>
              </w:rPr>
            </w:pPr>
            <w:r w:rsidRPr="00330FB4">
              <w:rPr>
                <w:sz w:val="22"/>
                <w:szCs w:val="22"/>
                <w:lang w:eastAsia="ko-KR"/>
              </w:rPr>
              <w:t>133</w:t>
            </w:r>
          </w:p>
        </w:tc>
        <w:tc>
          <w:tcPr>
            <w:tcW w:w="7229" w:type="dxa"/>
            <w:shd w:val="clear" w:color="auto" w:fill="auto"/>
          </w:tcPr>
          <w:p w:rsidR="00511D8F" w:rsidRPr="00330FB4" w:rsidRDefault="00511D8F" w:rsidP="00221349">
            <w:pPr>
              <w:rPr>
                <w:rFonts w:eastAsia="Malgun Gothic"/>
                <w:sz w:val="22"/>
                <w:lang w:eastAsia="ko-KR"/>
              </w:rPr>
            </w:pPr>
            <w:r w:rsidRPr="00330FB4">
              <w:rPr>
                <w:rFonts w:eastAsia="YMjO12-Identity-H"/>
                <w:sz w:val="22"/>
                <w:szCs w:val="22"/>
              </w:rPr>
              <w:t>Role of administrations of Member States in the</w:t>
            </w:r>
            <w:r w:rsidRPr="00330FB4">
              <w:rPr>
                <w:rFonts w:eastAsia="Malgun Gothic"/>
                <w:sz w:val="22"/>
                <w:szCs w:val="22"/>
                <w:lang w:eastAsia="ko-KR"/>
              </w:rPr>
              <w:t xml:space="preserve"> </w:t>
            </w:r>
            <w:r w:rsidRPr="00330FB4">
              <w:rPr>
                <w:rFonts w:eastAsia="YMjO12-Identity-H"/>
                <w:sz w:val="22"/>
                <w:szCs w:val="22"/>
              </w:rPr>
              <w:t>management of</w:t>
            </w:r>
            <w:r w:rsidRPr="00330FB4">
              <w:rPr>
                <w:rFonts w:eastAsia="Malgun Gothic"/>
                <w:sz w:val="22"/>
                <w:szCs w:val="22"/>
                <w:lang w:eastAsia="ko-KR"/>
              </w:rPr>
              <w:t xml:space="preserve"> </w:t>
            </w:r>
            <w:r w:rsidRPr="00330FB4">
              <w:rPr>
                <w:rFonts w:eastAsia="YMjO12-Identity-H"/>
                <w:sz w:val="22"/>
                <w:szCs w:val="22"/>
              </w:rPr>
              <w:t>internationalized (multilingual) domain names</w:t>
            </w:r>
          </w:p>
        </w:tc>
        <w:tc>
          <w:tcPr>
            <w:tcW w:w="1203" w:type="dxa"/>
            <w:shd w:val="clear" w:color="auto" w:fill="auto"/>
          </w:tcPr>
          <w:p w:rsidR="00511D8F" w:rsidRPr="00330FB4" w:rsidRDefault="00511D8F" w:rsidP="00221349">
            <w:pPr>
              <w:jc w:val="center"/>
              <w:rPr>
                <w:sz w:val="22"/>
              </w:rPr>
            </w:pPr>
          </w:p>
        </w:tc>
      </w:tr>
      <w:tr w:rsidR="00511D8F" w:rsidRPr="00330FB4" w:rsidTr="00221349">
        <w:tc>
          <w:tcPr>
            <w:tcW w:w="1101" w:type="dxa"/>
            <w:shd w:val="clear" w:color="auto" w:fill="auto"/>
          </w:tcPr>
          <w:p w:rsidR="00511D8F" w:rsidRPr="00330FB4" w:rsidRDefault="00511D8F" w:rsidP="00221349">
            <w:pPr>
              <w:jc w:val="center"/>
              <w:rPr>
                <w:sz w:val="22"/>
                <w:lang w:eastAsia="ko-KR"/>
              </w:rPr>
            </w:pPr>
            <w:r w:rsidRPr="00330FB4">
              <w:rPr>
                <w:sz w:val="22"/>
                <w:szCs w:val="22"/>
                <w:lang w:eastAsia="ko-KR"/>
              </w:rPr>
              <w:t>135</w:t>
            </w:r>
          </w:p>
        </w:tc>
        <w:tc>
          <w:tcPr>
            <w:tcW w:w="7229" w:type="dxa"/>
            <w:shd w:val="clear" w:color="auto" w:fill="auto"/>
          </w:tcPr>
          <w:p w:rsidR="00511D8F" w:rsidRPr="00330FB4" w:rsidRDefault="00511D8F" w:rsidP="00221349">
            <w:pPr>
              <w:widowControl w:val="0"/>
              <w:autoSpaceDE w:val="0"/>
              <w:autoSpaceDN w:val="0"/>
              <w:adjustRightInd w:val="0"/>
              <w:rPr>
                <w:rFonts w:eastAsia="YMjO12-Identity-H"/>
                <w:sz w:val="22"/>
              </w:rPr>
            </w:pPr>
            <w:r w:rsidRPr="00330FB4">
              <w:rPr>
                <w:rFonts w:eastAsia="YMjO12-Identity-H"/>
                <w:sz w:val="22"/>
                <w:szCs w:val="22"/>
              </w:rPr>
              <w:t>The role of the International Telecommunication Union in the</w:t>
            </w:r>
            <w:r w:rsidRPr="00330FB4">
              <w:rPr>
                <w:rFonts w:eastAsia="Malgun Gothic"/>
                <w:sz w:val="22"/>
                <w:szCs w:val="22"/>
                <w:lang w:eastAsia="ko-KR"/>
              </w:rPr>
              <w:t xml:space="preserve"> </w:t>
            </w:r>
            <w:r w:rsidRPr="00330FB4">
              <w:rPr>
                <w:rFonts w:eastAsia="YMjO12-Identity-H"/>
                <w:sz w:val="22"/>
                <w:szCs w:val="22"/>
              </w:rPr>
              <w:t>development of telecommunications/information and communication</w:t>
            </w:r>
            <w:r w:rsidRPr="00330FB4">
              <w:rPr>
                <w:rFonts w:eastAsia="Malgun Gothic"/>
                <w:sz w:val="22"/>
                <w:szCs w:val="22"/>
                <w:lang w:eastAsia="ko-KR"/>
              </w:rPr>
              <w:t xml:space="preserve"> </w:t>
            </w:r>
            <w:r w:rsidRPr="00330FB4">
              <w:rPr>
                <w:rFonts w:eastAsia="YMjO12-Identity-H"/>
                <w:sz w:val="22"/>
                <w:szCs w:val="22"/>
              </w:rPr>
              <w:t>technologies, in providing technical assistance and advice to developing</w:t>
            </w:r>
            <w:r w:rsidRPr="00330FB4">
              <w:rPr>
                <w:rFonts w:eastAsia="Malgun Gothic"/>
                <w:sz w:val="22"/>
                <w:szCs w:val="22"/>
                <w:lang w:eastAsia="ko-KR"/>
              </w:rPr>
              <w:t xml:space="preserve"> </w:t>
            </w:r>
            <w:r w:rsidRPr="00330FB4">
              <w:rPr>
                <w:rFonts w:eastAsia="YMjO12-Identity-H"/>
                <w:sz w:val="22"/>
                <w:szCs w:val="22"/>
              </w:rPr>
              <w:t>countries1, and in implementing relevant national, regional and</w:t>
            </w:r>
            <w:r w:rsidRPr="00330FB4">
              <w:rPr>
                <w:rFonts w:eastAsia="Malgun Gothic"/>
                <w:sz w:val="22"/>
                <w:szCs w:val="22"/>
                <w:lang w:eastAsia="ko-KR"/>
              </w:rPr>
              <w:t xml:space="preserve"> </w:t>
            </w:r>
            <w:r w:rsidRPr="00330FB4">
              <w:rPr>
                <w:rFonts w:eastAsia="YMjO12-Identity-H"/>
                <w:sz w:val="22"/>
                <w:szCs w:val="22"/>
              </w:rPr>
              <w:t>inter-regional projects</w:t>
            </w:r>
          </w:p>
        </w:tc>
        <w:tc>
          <w:tcPr>
            <w:tcW w:w="1203" w:type="dxa"/>
            <w:shd w:val="clear" w:color="auto" w:fill="auto"/>
          </w:tcPr>
          <w:p w:rsidR="00511D8F" w:rsidRPr="00330FB4" w:rsidRDefault="00511D8F" w:rsidP="00221349">
            <w:pPr>
              <w:jc w:val="center"/>
              <w:rPr>
                <w:sz w:val="22"/>
              </w:rPr>
            </w:pPr>
            <w:r w:rsidRPr="00330FB4">
              <w:rPr>
                <w:sz w:val="22"/>
                <w:szCs w:val="22"/>
              </w:rPr>
              <w:t>w/ WG3</w:t>
            </w:r>
          </w:p>
        </w:tc>
      </w:tr>
      <w:tr w:rsidR="00511D8F" w:rsidRPr="00330FB4" w:rsidTr="00221349">
        <w:tc>
          <w:tcPr>
            <w:tcW w:w="1101" w:type="dxa"/>
            <w:shd w:val="clear" w:color="auto" w:fill="auto"/>
          </w:tcPr>
          <w:p w:rsidR="00511D8F" w:rsidRPr="00330FB4" w:rsidRDefault="00511D8F" w:rsidP="00221349">
            <w:pPr>
              <w:jc w:val="center"/>
              <w:rPr>
                <w:sz w:val="22"/>
                <w:lang w:eastAsia="ko-KR"/>
              </w:rPr>
            </w:pPr>
            <w:r w:rsidRPr="00330FB4">
              <w:rPr>
                <w:sz w:val="22"/>
                <w:szCs w:val="22"/>
                <w:lang w:eastAsia="ko-KR"/>
              </w:rPr>
              <w:t>136</w:t>
            </w:r>
          </w:p>
        </w:tc>
        <w:tc>
          <w:tcPr>
            <w:tcW w:w="7229" w:type="dxa"/>
            <w:shd w:val="clear" w:color="auto" w:fill="auto"/>
          </w:tcPr>
          <w:p w:rsidR="00511D8F" w:rsidRPr="00330FB4" w:rsidRDefault="00511D8F" w:rsidP="00221349">
            <w:pPr>
              <w:widowControl w:val="0"/>
              <w:autoSpaceDE w:val="0"/>
              <w:autoSpaceDN w:val="0"/>
              <w:adjustRightInd w:val="0"/>
              <w:rPr>
                <w:rFonts w:eastAsia="YMjO12-Identity-H"/>
                <w:sz w:val="22"/>
              </w:rPr>
            </w:pPr>
            <w:r w:rsidRPr="00330FB4">
              <w:rPr>
                <w:rFonts w:eastAsia="YMjO12-Identity-H"/>
                <w:sz w:val="22"/>
                <w:szCs w:val="22"/>
              </w:rPr>
              <w:t>The use of telecommunications/information and communication</w:t>
            </w:r>
            <w:r w:rsidRPr="00330FB4">
              <w:rPr>
                <w:rFonts w:eastAsia="Malgun Gothic"/>
                <w:sz w:val="22"/>
                <w:szCs w:val="22"/>
                <w:lang w:eastAsia="ko-KR"/>
              </w:rPr>
              <w:t xml:space="preserve"> </w:t>
            </w:r>
            <w:r w:rsidRPr="00330FB4">
              <w:rPr>
                <w:rFonts w:eastAsia="YMjO12-Identity-H"/>
                <w:sz w:val="22"/>
                <w:szCs w:val="22"/>
              </w:rPr>
              <w:t xml:space="preserve">technologies for monitoring and management in emergency and disaster situations for early </w:t>
            </w:r>
            <w:r w:rsidRPr="00330FB4">
              <w:rPr>
                <w:rFonts w:eastAsia="YMjO12-Identity-H"/>
                <w:sz w:val="22"/>
                <w:szCs w:val="22"/>
              </w:rPr>
              <w:lastRenderedPageBreak/>
              <w:t>warning, prevention, mitigation and relief</w:t>
            </w:r>
          </w:p>
        </w:tc>
        <w:tc>
          <w:tcPr>
            <w:tcW w:w="1203" w:type="dxa"/>
            <w:shd w:val="clear" w:color="auto" w:fill="auto"/>
          </w:tcPr>
          <w:p w:rsidR="00511D8F" w:rsidRPr="00330FB4" w:rsidRDefault="00511D8F" w:rsidP="00221349">
            <w:pPr>
              <w:jc w:val="center"/>
              <w:rPr>
                <w:sz w:val="22"/>
              </w:rPr>
            </w:pPr>
            <w:r w:rsidRPr="00330FB4">
              <w:rPr>
                <w:sz w:val="22"/>
                <w:szCs w:val="22"/>
              </w:rPr>
              <w:lastRenderedPageBreak/>
              <w:t>w/ WG3</w:t>
            </w:r>
          </w:p>
        </w:tc>
      </w:tr>
      <w:tr w:rsidR="00511D8F" w:rsidRPr="00330FB4" w:rsidTr="00221349">
        <w:tc>
          <w:tcPr>
            <w:tcW w:w="1101" w:type="dxa"/>
            <w:shd w:val="clear" w:color="auto" w:fill="auto"/>
          </w:tcPr>
          <w:p w:rsidR="00511D8F" w:rsidRPr="00330FB4" w:rsidRDefault="00511D8F" w:rsidP="00221349">
            <w:pPr>
              <w:jc w:val="center"/>
              <w:rPr>
                <w:sz w:val="22"/>
                <w:lang w:eastAsia="ko-KR"/>
              </w:rPr>
            </w:pPr>
            <w:r w:rsidRPr="00330FB4">
              <w:rPr>
                <w:sz w:val="22"/>
                <w:szCs w:val="22"/>
                <w:lang w:eastAsia="ko-KR"/>
              </w:rPr>
              <w:lastRenderedPageBreak/>
              <w:t>137</w:t>
            </w:r>
          </w:p>
        </w:tc>
        <w:tc>
          <w:tcPr>
            <w:tcW w:w="7229" w:type="dxa"/>
            <w:shd w:val="clear" w:color="auto" w:fill="auto"/>
          </w:tcPr>
          <w:p w:rsidR="00511D8F" w:rsidRPr="00330FB4" w:rsidRDefault="00511D8F" w:rsidP="00221349">
            <w:pPr>
              <w:rPr>
                <w:sz w:val="22"/>
              </w:rPr>
            </w:pPr>
            <w:r w:rsidRPr="00330FB4">
              <w:rPr>
                <w:rFonts w:eastAsia="YMjO12-Identity-H"/>
                <w:sz w:val="22"/>
                <w:szCs w:val="22"/>
              </w:rPr>
              <w:t>Next-generation network deployment in developing countries</w:t>
            </w:r>
          </w:p>
        </w:tc>
        <w:tc>
          <w:tcPr>
            <w:tcW w:w="1203" w:type="dxa"/>
            <w:shd w:val="clear" w:color="auto" w:fill="auto"/>
          </w:tcPr>
          <w:p w:rsidR="00511D8F" w:rsidRPr="00330FB4" w:rsidRDefault="00511D8F" w:rsidP="00221349">
            <w:pPr>
              <w:jc w:val="center"/>
              <w:rPr>
                <w:sz w:val="22"/>
              </w:rPr>
            </w:pPr>
            <w:r w:rsidRPr="00330FB4">
              <w:rPr>
                <w:sz w:val="22"/>
                <w:szCs w:val="22"/>
              </w:rPr>
              <w:t>w/ WG3</w:t>
            </w:r>
          </w:p>
        </w:tc>
      </w:tr>
      <w:tr w:rsidR="00511D8F" w:rsidRPr="00330FB4" w:rsidTr="00221349">
        <w:tc>
          <w:tcPr>
            <w:tcW w:w="1101" w:type="dxa"/>
            <w:shd w:val="clear" w:color="auto" w:fill="auto"/>
          </w:tcPr>
          <w:p w:rsidR="00511D8F" w:rsidRPr="00330FB4" w:rsidRDefault="00511D8F" w:rsidP="00221349">
            <w:pPr>
              <w:jc w:val="center"/>
              <w:rPr>
                <w:sz w:val="22"/>
                <w:lang w:eastAsia="ko-KR"/>
              </w:rPr>
            </w:pPr>
            <w:r w:rsidRPr="00330FB4">
              <w:rPr>
                <w:sz w:val="22"/>
                <w:szCs w:val="22"/>
                <w:lang w:eastAsia="ko-KR"/>
              </w:rPr>
              <w:t>138</w:t>
            </w:r>
          </w:p>
        </w:tc>
        <w:tc>
          <w:tcPr>
            <w:tcW w:w="7229" w:type="dxa"/>
            <w:shd w:val="clear" w:color="auto" w:fill="auto"/>
          </w:tcPr>
          <w:p w:rsidR="00511D8F" w:rsidRPr="00330FB4" w:rsidRDefault="00511D8F" w:rsidP="00221349">
            <w:pPr>
              <w:rPr>
                <w:sz w:val="22"/>
              </w:rPr>
            </w:pPr>
            <w:r w:rsidRPr="00330FB4">
              <w:rPr>
                <w:rFonts w:eastAsia="YMjO12-Identity-H"/>
                <w:sz w:val="22"/>
                <w:szCs w:val="22"/>
              </w:rPr>
              <w:t>The Global Symposium for Regulators</w:t>
            </w:r>
          </w:p>
        </w:tc>
        <w:tc>
          <w:tcPr>
            <w:tcW w:w="1203" w:type="dxa"/>
            <w:shd w:val="clear" w:color="auto" w:fill="auto"/>
          </w:tcPr>
          <w:p w:rsidR="00511D8F" w:rsidRPr="00330FB4" w:rsidRDefault="00511D8F" w:rsidP="00221349">
            <w:pPr>
              <w:jc w:val="center"/>
              <w:rPr>
                <w:sz w:val="22"/>
              </w:rPr>
            </w:pPr>
            <w:r w:rsidRPr="00330FB4">
              <w:rPr>
                <w:sz w:val="22"/>
                <w:szCs w:val="22"/>
              </w:rPr>
              <w:t>w/ WG3</w:t>
            </w:r>
          </w:p>
        </w:tc>
      </w:tr>
      <w:tr w:rsidR="00511D8F" w:rsidRPr="00330FB4" w:rsidTr="00221349">
        <w:tc>
          <w:tcPr>
            <w:tcW w:w="1101" w:type="dxa"/>
            <w:shd w:val="clear" w:color="auto" w:fill="auto"/>
          </w:tcPr>
          <w:p w:rsidR="00511D8F" w:rsidRPr="00330FB4" w:rsidRDefault="00511D8F" w:rsidP="00221349">
            <w:pPr>
              <w:jc w:val="center"/>
              <w:rPr>
                <w:sz w:val="22"/>
                <w:lang w:eastAsia="ko-KR"/>
              </w:rPr>
            </w:pPr>
            <w:r w:rsidRPr="00330FB4">
              <w:rPr>
                <w:sz w:val="22"/>
                <w:szCs w:val="22"/>
                <w:lang w:eastAsia="ko-KR"/>
              </w:rPr>
              <w:t>139</w:t>
            </w:r>
          </w:p>
        </w:tc>
        <w:tc>
          <w:tcPr>
            <w:tcW w:w="7229" w:type="dxa"/>
            <w:shd w:val="clear" w:color="auto" w:fill="auto"/>
          </w:tcPr>
          <w:p w:rsidR="00511D8F" w:rsidRPr="00330FB4" w:rsidRDefault="00511D8F" w:rsidP="00221349">
            <w:pPr>
              <w:rPr>
                <w:rFonts w:eastAsia="Malgun Gothic"/>
                <w:sz w:val="22"/>
                <w:lang w:eastAsia="ko-KR"/>
              </w:rPr>
            </w:pPr>
            <w:r w:rsidRPr="00330FB4">
              <w:rPr>
                <w:rFonts w:eastAsia="YMjO12-Identity-H"/>
                <w:sz w:val="22"/>
                <w:szCs w:val="22"/>
              </w:rPr>
              <w:t>Telecommunications/information and communication technologies</w:t>
            </w:r>
            <w:r w:rsidRPr="00330FB4">
              <w:rPr>
                <w:rFonts w:eastAsia="Malgun Gothic"/>
                <w:sz w:val="22"/>
                <w:szCs w:val="22"/>
                <w:lang w:eastAsia="ko-KR"/>
              </w:rPr>
              <w:t xml:space="preserve"> </w:t>
            </w:r>
            <w:r w:rsidRPr="00330FB4">
              <w:rPr>
                <w:rFonts w:eastAsia="YMjO12-Identity-H"/>
                <w:sz w:val="22"/>
                <w:szCs w:val="22"/>
              </w:rPr>
              <w:t>to bridge the digital divide and build an inclusive information society</w:t>
            </w:r>
          </w:p>
        </w:tc>
        <w:tc>
          <w:tcPr>
            <w:tcW w:w="1203" w:type="dxa"/>
            <w:shd w:val="clear" w:color="auto" w:fill="auto"/>
          </w:tcPr>
          <w:p w:rsidR="00511D8F" w:rsidRPr="00330FB4" w:rsidRDefault="00511D8F" w:rsidP="00221349">
            <w:pPr>
              <w:jc w:val="center"/>
              <w:rPr>
                <w:sz w:val="22"/>
              </w:rPr>
            </w:pPr>
            <w:r w:rsidRPr="00330FB4">
              <w:rPr>
                <w:sz w:val="22"/>
                <w:szCs w:val="22"/>
              </w:rPr>
              <w:t>w/ WG3</w:t>
            </w:r>
          </w:p>
        </w:tc>
      </w:tr>
      <w:tr w:rsidR="00511D8F" w:rsidRPr="00330FB4" w:rsidTr="00221349">
        <w:tc>
          <w:tcPr>
            <w:tcW w:w="1101" w:type="dxa"/>
            <w:shd w:val="clear" w:color="auto" w:fill="auto"/>
          </w:tcPr>
          <w:p w:rsidR="00511D8F" w:rsidRPr="00330FB4" w:rsidRDefault="00511D8F" w:rsidP="00221349">
            <w:pPr>
              <w:jc w:val="center"/>
              <w:rPr>
                <w:sz w:val="22"/>
                <w:lang w:eastAsia="ko-KR"/>
              </w:rPr>
            </w:pPr>
            <w:r w:rsidRPr="00330FB4">
              <w:rPr>
                <w:sz w:val="22"/>
                <w:szCs w:val="22"/>
                <w:lang w:eastAsia="ko-KR"/>
              </w:rPr>
              <w:t>140</w:t>
            </w:r>
          </w:p>
        </w:tc>
        <w:tc>
          <w:tcPr>
            <w:tcW w:w="7229" w:type="dxa"/>
            <w:shd w:val="clear" w:color="auto" w:fill="auto"/>
          </w:tcPr>
          <w:p w:rsidR="00511D8F" w:rsidRPr="00330FB4" w:rsidRDefault="00511D8F" w:rsidP="00221349">
            <w:pPr>
              <w:tabs>
                <w:tab w:val="left" w:pos="4170"/>
              </w:tabs>
              <w:rPr>
                <w:rFonts w:eastAsia="Malgun Gothic"/>
                <w:sz w:val="22"/>
                <w:lang w:eastAsia="ko-KR"/>
              </w:rPr>
            </w:pPr>
            <w:r w:rsidRPr="00330FB4">
              <w:rPr>
                <w:rFonts w:eastAsia="YMjO12-Identity-H"/>
                <w:sz w:val="22"/>
                <w:szCs w:val="22"/>
              </w:rPr>
              <w:t>ITU’s role in implementing the outcomes of the World Summit</w:t>
            </w:r>
            <w:r w:rsidRPr="00330FB4">
              <w:rPr>
                <w:rFonts w:eastAsia="Malgun Gothic"/>
                <w:sz w:val="22"/>
                <w:szCs w:val="22"/>
                <w:lang w:eastAsia="ko-KR"/>
              </w:rPr>
              <w:t xml:space="preserve"> </w:t>
            </w:r>
            <w:r w:rsidRPr="00330FB4">
              <w:rPr>
                <w:rFonts w:eastAsia="YMjO12-Identity-H"/>
                <w:sz w:val="22"/>
                <w:szCs w:val="22"/>
              </w:rPr>
              <w:t>on the Information Society</w:t>
            </w:r>
          </w:p>
        </w:tc>
        <w:tc>
          <w:tcPr>
            <w:tcW w:w="1203" w:type="dxa"/>
            <w:shd w:val="clear" w:color="auto" w:fill="auto"/>
          </w:tcPr>
          <w:p w:rsidR="00511D8F" w:rsidRPr="00330FB4" w:rsidRDefault="00511D8F" w:rsidP="00221349">
            <w:pPr>
              <w:jc w:val="center"/>
              <w:rPr>
                <w:sz w:val="22"/>
              </w:rPr>
            </w:pPr>
            <w:r w:rsidRPr="00330FB4">
              <w:rPr>
                <w:sz w:val="22"/>
                <w:szCs w:val="22"/>
              </w:rPr>
              <w:t>w/ WG3</w:t>
            </w:r>
          </w:p>
        </w:tc>
      </w:tr>
      <w:tr w:rsidR="00511D8F" w:rsidRPr="00330FB4" w:rsidTr="00221349">
        <w:tc>
          <w:tcPr>
            <w:tcW w:w="1101" w:type="dxa"/>
            <w:shd w:val="clear" w:color="auto" w:fill="auto"/>
          </w:tcPr>
          <w:p w:rsidR="00511D8F" w:rsidRPr="00330FB4" w:rsidRDefault="00511D8F" w:rsidP="00221349">
            <w:pPr>
              <w:jc w:val="center"/>
              <w:rPr>
                <w:sz w:val="22"/>
                <w:lang w:eastAsia="ko-KR"/>
              </w:rPr>
            </w:pPr>
            <w:r w:rsidRPr="00330FB4">
              <w:rPr>
                <w:sz w:val="22"/>
                <w:szCs w:val="22"/>
                <w:lang w:eastAsia="ko-KR"/>
              </w:rPr>
              <w:t>143</w:t>
            </w:r>
          </w:p>
        </w:tc>
        <w:tc>
          <w:tcPr>
            <w:tcW w:w="7229" w:type="dxa"/>
            <w:shd w:val="clear" w:color="auto" w:fill="auto"/>
          </w:tcPr>
          <w:p w:rsidR="00511D8F" w:rsidRPr="00330FB4" w:rsidRDefault="00511D8F" w:rsidP="00221349">
            <w:pPr>
              <w:rPr>
                <w:rFonts w:eastAsia="Malgun Gothic"/>
                <w:sz w:val="22"/>
                <w:lang w:eastAsia="ko-KR"/>
              </w:rPr>
            </w:pPr>
            <w:r w:rsidRPr="00330FB4">
              <w:rPr>
                <w:rFonts w:eastAsia="YMjO12-Identity-H"/>
                <w:sz w:val="22"/>
                <w:szCs w:val="22"/>
              </w:rPr>
              <w:t>Extending the provisions in ITU documents relating to developing</w:t>
            </w:r>
            <w:r w:rsidRPr="00330FB4">
              <w:rPr>
                <w:rFonts w:eastAsia="Malgun Gothic"/>
                <w:sz w:val="22"/>
                <w:szCs w:val="22"/>
                <w:lang w:eastAsia="ko-KR"/>
              </w:rPr>
              <w:t xml:space="preserve"> </w:t>
            </w:r>
            <w:r w:rsidRPr="00330FB4">
              <w:rPr>
                <w:rFonts w:eastAsia="YMjO12-Identity-H"/>
                <w:sz w:val="22"/>
                <w:szCs w:val="22"/>
              </w:rPr>
              <w:t>countries to apply to countries with economies in transition</w:t>
            </w:r>
          </w:p>
        </w:tc>
        <w:tc>
          <w:tcPr>
            <w:tcW w:w="1203" w:type="dxa"/>
            <w:shd w:val="clear" w:color="auto" w:fill="auto"/>
          </w:tcPr>
          <w:p w:rsidR="00511D8F" w:rsidRPr="00330FB4" w:rsidRDefault="00511D8F" w:rsidP="00221349">
            <w:pPr>
              <w:jc w:val="center"/>
              <w:rPr>
                <w:sz w:val="22"/>
              </w:rPr>
            </w:pPr>
            <w:r w:rsidRPr="00330FB4">
              <w:rPr>
                <w:sz w:val="22"/>
                <w:szCs w:val="22"/>
              </w:rPr>
              <w:t>w/ WG3</w:t>
            </w:r>
          </w:p>
        </w:tc>
      </w:tr>
      <w:tr w:rsidR="00511D8F" w:rsidRPr="00330FB4" w:rsidTr="00221349">
        <w:tc>
          <w:tcPr>
            <w:tcW w:w="1101" w:type="dxa"/>
            <w:shd w:val="clear" w:color="auto" w:fill="auto"/>
          </w:tcPr>
          <w:p w:rsidR="00511D8F" w:rsidRPr="00330FB4" w:rsidRDefault="00511D8F" w:rsidP="00221349">
            <w:pPr>
              <w:jc w:val="center"/>
              <w:rPr>
                <w:sz w:val="22"/>
                <w:lang w:eastAsia="ko-KR"/>
              </w:rPr>
            </w:pPr>
            <w:r w:rsidRPr="00330FB4">
              <w:rPr>
                <w:sz w:val="22"/>
                <w:szCs w:val="22"/>
                <w:lang w:eastAsia="ko-KR"/>
              </w:rPr>
              <w:t>146</w:t>
            </w:r>
          </w:p>
        </w:tc>
        <w:tc>
          <w:tcPr>
            <w:tcW w:w="7229" w:type="dxa"/>
            <w:shd w:val="clear" w:color="auto" w:fill="auto"/>
          </w:tcPr>
          <w:p w:rsidR="00511D8F" w:rsidRPr="00330FB4" w:rsidRDefault="00511D8F" w:rsidP="00221349">
            <w:pPr>
              <w:tabs>
                <w:tab w:val="left" w:pos="2020"/>
              </w:tabs>
              <w:rPr>
                <w:sz w:val="22"/>
              </w:rPr>
            </w:pPr>
            <w:r w:rsidRPr="00330FB4">
              <w:rPr>
                <w:rFonts w:eastAsia="YMjO12-Identity-H"/>
                <w:sz w:val="22"/>
                <w:szCs w:val="22"/>
              </w:rPr>
              <w:t>Review of the International Telecommunication Regulations</w:t>
            </w:r>
          </w:p>
        </w:tc>
        <w:tc>
          <w:tcPr>
            <w:tcW w:w="1203" w:type="dxa"/>
            <w:shd w:val="clear" w:color="auto" w:fill="auto"/>
          </w:tcPr>
          <w:p w:rsidR="00511D8F" w:rsidRPr="00330FB4" w:rsidRDefault="00511D8F" w:rsidP="00221349">
            <w:pPr>
              <w:jc w:val="center"/>
              <w:rPr>
                <w:sz w:val="22"/>
              </w:rPr>
            </w:pPr>
          </w:p>
        </w:tc>
      </w:tr>
      <w:tr w:rsidR="00511D8F" w:rsidRPr="00330FB4" w:rsidTr="00221349">
        <w:tc>
          <w:tcPr>
            <w:tcW w:w="1101" w:type="dxa"/>
            <w:shd w:val="clear" w:color="auto" w:fill="auto"/>
          </w:tcPr>
          <w:p w:rsidR="00511D8F" w:rsidRPr="00330FB4" w:rsidRDefault="00511D8F" w:rsidP="00221349">
            <w:pPr>
              <w:jc w:val="center"/>
              <w:rPr>
                <w:sz w:val="22"/>
                <w:lang w:eastAsia="ko-KR"/>
              </w:rPr>
            </w:pPr>
            <w:r w:rsidRPr="00330FB4">
              <w:rPr>
                <w:sz w:val="22"/>
                <w:szCs w:val="22"/>
                <w:lang w:eastAsia="ko-KR"/>
              </w:rPr>
              <w:t>159</w:t>
            </w:r>
          </w:p>
        </w:tc>
        <w:tc>
          <w:tcPr>
            <w:tcW w:w="7229" w:type="dxa"/>
            <w:shd w:val="clear" w:color="auto" w:fill="auto"/>
          </w:tcPr>
          <w:p w:rsidR="00511D8F" w:rsidRPr="00330FB4" w:rsidRDefault="00511D8F" w:rsidP="00221349">
            <w:pPr>
              <w:rPr>
                <w:rFonts w:eastAsia="Malgun Gothic"/>
                <w:sz w:val="22"/>
                <w:lang w:eastAsia="ko-KR"/>
              </w:rPr>
            </w:pPr>
            <w:r w:rsidRPr="00330FB4">
              <w:rPr>
                <w:rFonts w:eastAsia="YMjO12-Identity-H"/>
                <w:sz w:val="22"/>
                <w:szCs w:val="22"/>
              </w:rPr>
              <w:t>Assistance and support to Lebanon for rebuilding its</w:t>
            </w:r>
            <w:r w:rsidRPr="00330FB4">
              <w:rPr>
                <w:rFonts w:eastAsia="Malgun Gothic"/>
                <w:sz w:val="22"/>
                <w:szCs w:val="22"/>
                <w:lang w:eastAsia="ko-KR"/>
              </w:rPr>
              <w:t xml:space="preserve"> </w:t>
            </w:r>
            <w:r w:rsidRPr="00330FB4">
              <w:rPr>
                <w:rFonts w:eastAsia="YMjO12-Identity-H"/>
                <w:sz w:val="22"/>
                <w:szCs w:val="22"/>
              </w:rPr>
              <w:t>telecommunication networks (fixed and mobile</w:t>
            </w:r>
            <w:r w:rsidRPr="00330FB4">
              <w:rPr>
                <w:rFonts w:eastAsia="Malgun Gothic"/>
                <w:sz w:val="22"/>
                <w:szCs w:val="22"/>
                <w:lang w:eastAsia="ko-KR"/>
              </w:rPr>
              <w:t>)</w:t>
            </w:r>
          </w:p>
        </w:tc>
        <w:tc>
          <w:tcPr>
            <w:tcW w:w="1203" w:type="dxa"/>
            <w:shd w:val="clear" w:color="auto" w:fill="auto"/>
          </w:tcPr>
          <w:p w:rsidR="00511D8F" w:rsidRPr="00330FB4" w:rsidRDefault="00511D8F" w:rsidP="00221349">
            <w:pPr>
              <w:jc w:val="center"/>
              <w:rPr>
                <w:sz w:val="22"/>
              </w:rPr>
            </w:pPr>
            <w:r w:rsidRPr="00330FB4">
              <w:rPr>
                <w:sz w:val="22"/>
                <w:szCs w:val="22"/>
              </w:rPr>
              <w:t>w/ WG3</w:t>
            </w:r>
          </w:p>
        </w:tc>
      </w:tr>
      <w:tr w:rsidR="00511D8F" w:rsidRPr="00330FB4" w:rsidTr="00221349">
        <w:tc>
          <w:tcPr>
            <w:tcW w:w="1101" w:type="dxa"/>
            <w:shd w:val="clear" w:color="auto" w:fill="auto"/>
          </w:tcPr>
          <w:p w:rsidR="00511D8F" w:rsidRPr="00330FB4" w:rsidRDefault="00511D8F" w:rsidP="00221349">
            <w:pPr>
              <w:jc w:val="center"/>
              <w:rPr>
                <w:sz w:val="22"/>
                <w:lang w:eastAsia="ko-KR"/>
              </w:rPr>
            </w:pPr>
            <w:r w:rsidRPr="00330FB4">
              <w:rPr>
                <w:sz w:val="22"/>
                <w:szCs w:val="22"/>
                <w:lang w:eastAsia="ko-KR"/>
              </w:rPr>
              <w:t>160</w:t>
            </w:r>
          </w:p>
        </w:tc>
        <w:tc>
          <w:tcPr>
            <w:tcW w:w="7229" w:type="dxa"/>
            <w:shd w:val="clear" w:color="auto" w:fill="auto"/>
          </w:tcPr>
          <w:p w:rsidR="00511D8F" w:rsidRPr="00330FB4" w:rsidRDefault="00511D8F" w:rsidP="00221349">
            <w:pPr>
              <w:rPr>
                <w:sz w:val="22"/>
              </w:rPr>
            </w:pPr>
            <w:r w:rsidRPr="00330FB4">
              <w:rPr>
                <w:rFonts w:eastAsia="YMjO12-Identity-H"/>
                <w:sz w:val="22"/>
                <w:szCs w:val="22"/>
              </w:rPr>
              <w:t>Assistance to Somalia</w:t>
            </w:r>
          </w:p>
        </w:tc>
        <w:tc>
          <w:tcPr>
            <w:tcW w:w="1203" w:type="dxa"/>
            <w:shd w:val="clear" w:color="auto" w:fill="auto"/>
          </w:tcPr>
          <w:p w:rsidR="00511D8F" w:rsidRPr="00330FB4" w:rsidRDefault="00511D8F" w:rsidP="00221349">
            <w:pPr>
              <w:jc w:val="center"/>
              <w:rPr>
                <w:sz w:val="22"/>
              </w:rPr>
            </w:pPr>
            <w:r w:rsidRPr="00330FB4">
              <w:rPr>
                <w:sz w:val="22"/>
                <w:szCs w:val="22"/>
              </w:rPr>
              <w:t>w/ WG3</w:t>
            </w:r>
          </w:p>
        </w:tc>
      </w:tr>
      <w:tr w:rsidR="00511D8F" w:rsidRPr="00330FB4" w:rsidTr="00221349">
        <w:tc>
          <w:tcPr>
            <w:tcW w:w="1101" w:type="dxa"/>
            <w:shd w:val="clear" w:color="auto" w:fill="auto"/>
          </w:tcPr>
          <w:p w:rsidR="00511D8F" w:rsidRPr="00330FB4" w:rsidRDefault="00511D8F" w:rsidP="00221349">
            <w:pPr>
              <w:jc w:val="center"/>
              <w:rPr>
                <w:sz w:val="22"/>
                <w:lang w:eastAsia="ko-KR"/>
              </w:rPr>
            </w:pPr>
            <w:r w:rsidRPr="00330FB4">
              <w:rPr>
                <w:sz w:val="22"/>
                <w:szCs w:val="22"/>
                <w:lang w:eastAsia="ko-KR"/>
              </w:rPr>
              <w:t>161</w:t>
            </w:r>
          </w:p>
        </w:tc>
        <w:tc>
          <w:tcPr>
            <w:tcW w:w="7229" w:type="dxa"/>
            <w:shd w:val="clear" w:color="auto" w:fill="auto"/>
          </w:tcPr>
          <w:p w:rsidR="00511D8F" w:rsidRPr="00330FB4" w:rsidRDefault="00511D8F" w:rsidP="00221349">
            <w:pPr>
              <w:rPr>
                <w:rFonts w:eastAsia="Malgun Gothic"/>
                <w:sz w:val="22"/>
                <w:lang w:eastAsia="ko-KR"/>
              </w:rPr>
            </w:pPr>
            <w:r w:rsidRPr="00330FB4">
              <w:rPr>
                <w:rFonts w:eastAsia="YMjO12-Identity-H"/>
                <w:sz w:val="22"/>
                <w:szCs w:val="22"/>
              </w:rPr>
              <w:t>Assistance and support for the Democratic Republic of the</w:t>
            </w:r>
            <w:r w:rsidRPr="00330FB4">
              <w:rPr>
                <w:rFonts w:eastAsia="Malgun Gothic"/>
                <w:sz w:val="22"/>
                <w:szCs w:val="22"/>
                <w:lang w:eastAsia="ko-KR"/>
              </w:rPr>
              <w:t xml:space="preserve"> </w:t>
            </w:r>
            <w:r w:rsidRPr="00330FB4">
              <w:rPr>
                <w:rFonts w:eastAsia="YMjO12-Identity-H"/>
                <w:sz w:val="22"/>
                <w:szCs w:val="22"/>
              </w:rPr>
              <w:t>Congo for rebuilding its telecommunication network</w:t>
            </w:r>
          </w:p>
        </w:tc>
        <w:tc>
          <w:tcPr>
            <w:tcW w:w="1203" w:type="dxa"/>
            <w:shd w:val="clear" w:color="auto" w:fill="auto"/>
          </w:tcPr>
          <w:p w:rsidR="00511D8F" w:rsidRPr="00330FB4" w:rsidRDefault="00511D8F" w:rsidP="00221349">
            <w:pPr>
              <w:jc w:val="center"/>
              <w:rPr>
                <w:sz w:val="22"/>
              </w:rPr>
            </w:pPr>
            <w:r w:rsidRPr="00330FB4">
              <w:rPr>
                <w:sz w:val="22"/>
                <w:szCs w:val="22"/>
              </w:rPr>
              <w:t>w/ WG3</w:t>
            </w:r>
          </w:p>
        </w:tc>
      </w:tr>
      <w:tr w:rsidR="00511D8F" w:rsidRPr="00330FB4" w:rsidTr="00221349">
        <w:tc>
          <w:tcPr>
            <w:tcW w:w="1101" w:type="dxa"/>
            <w:shd w:val="clear" w:color="auto" w:fill="auto"/>
          </w:tcPr>
          <w:p w:rsidR="00511D8F" w:rsidRPr="00330FB4" w:rsidRDefault="00511D8F" w:rsidP="00221349">
            <w:pPr>
              <w:jc w:val="center"/>
              <w:rPr>
                <w:sz w:val="22"/>
                <w:lang w:eastAsia="ko-KR"/>
              </w:rPr>
            </w:pPr>
            <w:r w:rsidRPr="00330FB4">
              <w:rPr>
                <w:sz w:val="22"/>
                <w:szCs w:val="22"/>
                <w:lang w:eastAsia="ko-KR"/>
              </w:rPr>
              <w:t>163</w:t>
            </w:r>
          </w:p>
        </w:tc>
        <w:tc>
          <w:tcPr>
            <w:tcW w:w="7229" w:type="dxa"/>
            <w:shd w:val="clear" w:color="auto" w:fill="auto"/>
          </w:tcPr>
          <w:p w:rsidR="00511D8F" w:rsidRPr="00330FB4" w:rsidRDefault="00511D8F" w:rsidP="00221349">
            <w:pPr>
              <w:rPr>
                <w:sz w:val="22"/>
              </w:rPr>
            </w:pPr>
            <w:r w:rsidRPr="00330FB4">
              <w:rPr>
                <w:rFonts w:eastAsia="YMjO12-Identity-H"/>
                <w:sz w:val="22"/>
                <w:szCs w:val="22"/>
              </w:rPr>
              <w:t>Establishment of a Council working group on a stable ITU Constitution</w:t>
            </w:r>
          </w:p>
        </w:tc>
        <w:tc>
          <w:tcPr>
            <w:tcW w:w="1203" w:type="dxa"/>
            <w:shd w:val="clear" w:color="auto" w:fill="auto"/>
          </w:tcPr>
          <w:p w:rsidR="00511D8F" w:rsidRPr="00330FB4" w:rsidRDefault="00511D8F" w:rsidP="00221349">
            <w:pPr>
              <w:jc w:val="center"/>
              <w:rPr>
                <w:sz w:val="22"/>
              </w:rPr>
            </w:pPr>
          </w:p>
        </w:tc>
      </w:tr>
      <w:tr w:rsidR="00511D8F" w:rsidRPr="00330FB4" w:rsidTr="00221349">
        <w:tc>
          <w:tcPr>
            <w:tcW w:w="1101" w:type="dxa"/>
            <w:shd w:val="clear" w:color="auto" w:fill="auto"/>
          </w:tcPr>
          <w:p w:rsidR="00511D8F" w:rsidRPr="00330FB4" w:rsidRDefault="00511D8F" w:rsidP="00221349">
            <w:pPr>
              <w:jc w:val="center"/>
              <w:rPr>
                <w:sz w:val="22"/>
                <w:lang w:eastAsia="ko-KR"/>
              </w:rPr>
            </w:pPr>
            <w:r w:rsidRPr="00330FB4">
              <w:rPr>
                <w:sz w:val="22"/>
                <w:szCs w:val="22"/>
                <w:lang w:eastAsia="ko-KR"/>
              </w:rPr>
              <w:t>171</w:t>
            </w:r>
          </w:p>
        </w:tc>
        <w:tc>
          <w:tcPr>
            <w:tcW w:w="7229" w:type="dxa"/>
            <w:shd w:val="clear" w:color="auto" w:fill="auto"/>
          </w:tcPr>
          <w:p w:rsidR="00511D8F" w:rsidRPr="00330FB4" w:rsidRDefault="00511D8F" w:rsidP="00221349">
            <w:pPr>
              <w:rPr>
                <w:rFonts w:eastAsia="Malgun Gothic"/>
                <w:sz w:val="22"/>
                <w:lang w:eastAsia="ko-KR"/>
              </w:rPr>
            </w:pPr>
            <w:r w:rsidRPr="00330FB4">
              <w:rPr>
                <w:rFonts w:eastAsia="YMjO12-Identity-H"/>
                <w:sz w:val="22"/>
                <w:szCs w:val="22"/>
              </w:rPr>
              <w:t>Preparations for the 2012 world conference on international</w:t>
            </w:r>
            <w:r w:rsidRPr="00330FB4">
              <w:rPr>
                <w:rFonts w:eastAsia="Malgun Gothic"/>
                <w:sz w:val="22"/>
                <w:szCs w:val="22"/>
                <w:lang w:eastAsia="ko-KR"/>
              </w:rPr>
              <w:t xml:space="preserve"> </w:t>
            </w:r>
            <w:r w:rsidRPr="00330FB4">
              <w:rPr>
                <w:rFonts w:eastAsia="YMjO12-Identity-H"/>
                <w:sz w:val="22"/>
                <w:szCs w:val="22"/>
              </w:rPr>
              <w:t>telecommunications</w:t>
            </w:r>
          </w:p>
        </w:tc>
        <w:tc>
          <w:tcPr>
            <w:tcW w:w="1203" w:type="dxa"/>
            <w:shd w:val="clear" w:color="auto" w:fill="auto"/>
          </w:tcPr>
          <w:p w:rsidR="00511D8F" w:rsidRPr="00330FB4" w:rsidRDefault="00511D8F" w:rsidP="00221349">
            <w:pPr>
              <w:jc w:val="center"/>
              <w:rPr>
                <w:sz w:val="22"/>
              </w:rPr>
            </w:pPr>
            <w:r w:rsidRPr="00330FB4">
              <w:rPr>
                <w:sz w:val="22"/>
                <w:szCs w:val="22"/>
              </w:rPr>
              <w:t>w/ WG3</w:t>
            </w:r>
          </w:p>
        </w:tc>
      </w:tr>
      <w:tr w:rsidR="00511D8F" w:rsidRPr="00330FB4" w:rsidTr="00221349">
        <w:tc>
          <w:tcPr>
            <w:tcW w:w="1101" w:type="dxa"/>
            <w:shd w:val="clear" w:color="auto" w:fill="auto"/>
          </w:tcPr>
          <w:p w:rsidR="00511D8F" w:rsidRPr="00330FB4" w:rsidRDefault="00511D8F" w:rsidP="00221349">
            <w:pPr>
              <w:jc w:val="center"/>
              <w:rPr>
                <w:sz w:val="22"/>
                <w:lang w:eastAsia="ko-KR"/>
              </w:rPr>
            </w:pPr>
            <w:r w:rsidRPr="00330FB4">
              <w:rPr>
                <w:sz w:val="22"/>
                <w:szCs w:val="22"/>
                <w:lang w:eastAsia="ko-KR"/>
              </w:rPr>
              <w:t>172</w:t>
            </w:r>
          </w:p>
        </w:tc>
        <w:tc>
          <w:tcPr>
            <w:tcW w:w="7229" w:type="dxa"/>
            <w:shd w:val="clear" w:color="auto" w:fill="auto"/>
          </w:tcPr>
          <w:p w:rsidR="00511D8F" w:rsidRPr="00330FB4" w:rsidRDefault="00511D8F" w:rsidP="00221349">
            <w:pPr>
              <w:rPr>
                <w:rFonts w:eastAsia="Malgun Gothic"/>
                <w:sz w:val="22"/>
                <w:lang w:eastAsia="ko-KR"/>
              </w:rPr>
            </w:pPr>
            <w:r w:rsidRPr="00330FB4">
              <w:rPr>
                <w:rFonts w:eastAsia="YMjO12-Identity-H"/>
                <w:sz w:val="22"/>
                <w:szCs w:val="22"/>
              </w:rPr>
              <w:t>Overall review of implementation of the outcomes of the World</w:t>
            </w:r>
            <w:r w:rsidRPr="00330FB4">
              <w:rPr>
                <w:rFonts w:eastAsia="Malgun Gothic"/>
                <w:sz w:val="22"/>
                <w:szCs w:val="22"/>
                <w:lang w:eastAsia="ko-KR"/>
              </w:rPr>
              <w:t xml:space="preserve"> </w:t>
            </w:r>
            <w:r w:rsidRPr="00330FB4">
              <w:rPr>
                <w:rFonts w:eastAsia="YMjO12-Identity-H"/>
                <w:sz w:val="22"/>
                <w:szCs w:val="22"/>
              </w:rPr>
              <w:t>on the Information Society</w:t>
            </w:r>
          </w:p>
        </w:tc>
        <w:tc>
          <w:tcPr>
            <w:tcW w:w="1203" w:type="dxa"/>
            <w:shd w:val="clear" w:color="auto" w:fill="auto"/>
          </w:tcPr>
          <w:p w:rsidR="00511D8F" w:rsidRPr="00330FB4" w:rsidRDefault="00511D8F" w:rsidP="00221349">
            <w:pPr>
              <w:jc w:val="center"/>
              <w:rPr>
                <w:sz w:val="22"/>
              </w:rPr>
            </w:pPr>
            <w:r w:rsidRPr="00330FB4">
              <w:rPr>
                <w:sz w:val="22"/>
                <w:szCs w:val="22"/>
              </w:rPr>
              <w:t>w/ WG3</w:t>
            </w:r>
          </w:p>
        </w:tc>
      </w:tr>
      <w:tr w:rsidR="00511D8F" w:rsidRPr="00330FB4" w:rsidTr="00221349">
        <w:tc>
          <w:tcPr>
            <w:tcW w:w="1101" w:type="dxa"/>
            <w:shd w:val="clear" w:color="auto" w:fill="auto"/>
          </w:tcPr>
          <w:p w:rsidR="00511D8F" w:rsidRPr="00330FB4" w:rsidRDefault="00511D8F" w:rsidP="00221349">
            <w:pPr>
              <w:jc w:val="center"/>
              <w:rPr>
                <w:sz w:val="22"/>
                <w:lang w:eastAsia="ko-KR"/>
              </w:rPr>
            </w:pPr>
            <w:r w:rsidRPr="00330FB4">
              <w:rPr>
                <w:sz w:val="22"/>
                <w:szCs w:val="22"/>
                <w:lang w:eastAsia="ko-KR"/>
              </w:rPr>
              <w:t>173</w:t>
            </w:r>
          </w:p>
        </w:tc>
        <w:tc>
          <w:tcPr>
            <w:tcW w:w="7229" w:type="dxa"/>
            <w:shd w:val="clear" w:color="auto" w:fill="auto"/>
          </w:tcPr>
          <w:p w:rsidR="00511D8F" w:rsidRPr="00330FB4" w:rsidRDefault="00511D8F" w:rsidP="00221349">
            <w:pPr>
              <w:rPr>
                <w:rFonts w:eastAsia="Malgun Gothic"/>
                <w:sz w:val="22"/>
                <w:lang w:eastAsia="ko-KR"/>
              </w:rPr>
            </w:pPr>
            <w:r w:rsidRPr="00330FB4">
              <w:rPr>
                <w:rFonts w:eastAsia="YMjO12-Identity-H"/>
                <w:sz w:val="22"/>
                <w:szCs w:val="22"/>
              </w:rPr>
              <w:t>Piracy and attacks against fixed and cellular telephone networks</w:t>
            </w:r>
            <w:r w:rsidRPr="00330FB4">
              <w:rPr>
                <w:rFonts w:eastAsia="Malgun Gothic"/>
                <w:sz w:val="22"/>
                <w:szCs w:val="22"/>
                <w:lang w:eastAsia="ko-KR"/>
              </w:rPr>
              <w:t xml:space="preserve"> </w:t>
            </w:r>
            <w:r w:rsidRPr="00330FB4">
              <w:rPr>
                <w:rFonts w:eastAsia="YMjO12-Identity-H"/>
                <w:sz w:val="22"/>
                <w:szCs w:val="22"/>
              </w:rPr>
              <w:t>in Lebanon</w:t>
            </w:r>
          </w:p>
        </w:tc>
        <w:tc>
          <w:tcPr>
            <w:tcW w:w="1203" w:type="dxa"/>
            <w:shd w:val="clear" w:color="auto" w:fill="auto"/>
          </w:tcPr>
          <w:p w:rsidR="00511D8F" w:rsidRPr="00330FB4" w:rsidRDefault="00511D8F" w:rsidP="00221349">
            <w:pPr>
              <w:jc w:val="center"/>
              <w:rPr>
                <w:sz w:val="22"/>
              </w:rPr>
            </w:pPr>
          </w:p>
        </w:tc>
      </w:tr>
      <w:tr w:rsidR="00511D8F" w:rsidRPr="00330FB4" w:rsidTr="00221349">
        <w:tc>
          <w:tcPr>
            <w:tcW w:w="1101" w:type="dxa"/>
            <w:shd w:val="clear" w:color="auto" w:fill="auto"/>
          </w:tcPr>
          <w:p w:rsidR="00511D8F" w:rsidRPr="00330FB4" w:rsidRDefault="00511D8F" w:rsidP="00221349">
            <w:pPr>
              <w:jc w:val="center"/>
              <w:rPr>
                <w:sz w:val="22"/>
                <w:lang w:eastAsia="ko-KR"/>
              </w:rPr>
            </w:pPr>
            <w:r w:rsidRPr="00330FB4">
              <w:rPr>
                <w:sz w:val="22"/>
                <w:szCs w:val="22"/>
                <w:lang w:eastAsia="ko-KR"/>
              </w:rPr>
              <w:t>174</w:t>
            </w:r>
          </w:p>
        </w:tc>
        <w:tc>
          <w:tcPr>
            <w:tcW w:w="7229" w:type="dxa"/>
            <w:shd w:val="clear" w:color="auto" w:fill="auto"/>
          </w:tcPr>
          <w:p w:rsidR="00511D8F" w:rsidRPr="00330FB4" w:rsidRDefault="00511D8F" w:rsidP="00221349">
            <w:pPr>
              <w:rPr>
                <w:rFonts w:eastAsia="Malgun Gothic"/>
                <w:sz w:val="22"/>
                <w:lang w:eastAsia="ko-KR"/>
              </w:rPr>
            </w:pPr>
            <w:r w:rsidRPr="00330FB4">
              <w:rPr>
                <w:rFonts w:eastAsia="YMjO12-Identity-H"/>
                <w:sz w:val="22"/>
                <w:szCs w:val="22"/>
              </w:rPr>
              <w:t>ITU's role with regard to international public policy issues relating</w:t>
            </w:r>
            <w:r w:rsidRPr="00330FB4">
              <w:rPr>
                <w:rFonts w:eastAsia="Malgun Gothic"/>
                <w:sz w:val="22"/>
                <w:szCs w:val="22"/>
                <w:lang w:eastAsia="ko-KR"/>
              </w:rPr>
              <w:t xml:space="preserve"> </w:t>
            </w:r>
            <w:r w:rsidRPr="00330FB4">
              <w:rPr>
                <w:rFonts w:eastAsia="YMjO12-Identity-H"/>
                <w:sz w:val="22"/>
                <w:szCs w:val="22"/>
              </w:rPr>
              <w:t>to the risk of illicit use of information and communication technologies</w:t>
            </w:r>
          </w:p>
        </w:tc>
        <w:tc>
          <w:tcPr>
            <w:tcW w:w="1203" w:type="dxa"/>
            <w:shd w:val="clear" w:color="auto" w:fill="auto"/>
          </w:tcPr>
          <w:p w:rsidR="00511D8F" w:rsidRPr="00330FB4" w:rsidRDefault="00511D8F" w:rsidP="00221349">
            <w:pPr>
              <w:jc w:val="center"/>
              <w:rPr>
                <w:sz w:val="22"/>
              </w:rPr>
            </w:pPr>
          </w:p>
        </w:tc>
      </w:tr>
      <w:tr w:rsidR="00511D8F" w:rsidRPr="00330FB4" w:rsidTr="00221349">
        <w:tc>
          <w:tcPr>
            <w:tcW w:w="1101" w:type="dxa"/>
            <w:shd w:val="clear" w:color="auto" w:fill="auto"/>
          </w:tcPr>
          <w:p w:rsidR="00511D8F" w:rsidRPr="00330FB4" w:rsidRDefault="00511D8F" w:rsidP="00221349">
            <w:pPr>
              <w:jc w:val="center"/>
              <w:rPr>
                <w:sz w:val="22"/>
                <w:lang w:eastAsia="ko-KR"/>
              </w:rPr>
            </w:pPr>
            <w:r w:rsidRPr="00330FB4">
              <w:rPr>
                <w:sz w:val="22"/>
                <w:szCs w:val="22"/>
                <w:lang w:eastAsia="ko-KR"/>
              </w:rPr>
              <w:t>175</w:t>
            </w:r>
          </w:p>
        </w:tc>
        <w:tc>
          <w:tcPr>
            <w:tcW w:w="7229" w:type="dxa"/>
            <w:shd w:val="clear" w:color="auto" w:fill="auto"/>
          </w:tcPr>
          <w:p w:rsidR="00511D8F" w:rsidRPr="00330FB4" w:rsidRDefault="00511D8F" w:rsidP="00221349">
            <w:pPr>
              <w:widowControl w:val="0"/>
              <w:autoSpaceDE w:val="0"/>
              <w:autoSpaceDN w:val="0"/>
              <w:adjustRightInd w:val="0"/>
              <w:rPr>
                <w:rFonts w:eastAsia="YMjO12-Identity-H"/>
                <w:sz w:val="22"/>
              </w:rPr>
            </w:pPr>
            <w:r w:rsidRPr="00330FB4">
              <w:rPr>
                <w:rFonts w:eastAsia="YMjO12-Identity-H"/>
                <w:sz w:val="22"/>
                <w:szCs w:val="22"/>
              </w:rPr>
              <w:t>Telecommunication/information and communication technology</w:t>
            </w:r>
            <w:r w:rsidRPr="00330FB4">
              <w:rPr>
                <w:rFonts w:eastAsia="Malgun Gothic"/>
                <w:sz w:val="22"/>
                <w:szCs w:val="22"/>
                <w:lang w:eastAsia="ko-KR"/>
              </w:rPr>
              <w:t xml:space="preserve"> </w:t>
            </w:r>
            <w:r w:rsidRPr="00330FB4">
              <w:rPr>
                <w:rFonts w:eastAsia="YMjO12-Identity-H"/>
                <w:sz w:val="22"/>
                <w:szCs w:val="22"/>
              </w:rPr>
              <w:t>accessibility for persons with disabilities, including age</w:t>
            </w:r>
            <w:r w:rsidRPr="00330FB4">
              <w:rPr>
                <w:rFonts w:eastAsia="Malgun Gothic"/>
                <w:sz w:val="22"/>
                <w:szCs w:val="22"/>
                <w:lang w:eastAsia="ko-KR"/>
              </w:rPr>
              <w:t>-</w:t>
            </w:r>
            <w:r w:rsidRPr="00330FB4">
              <w:rPr>
                <w:rFonts w:eastAsia="YMjO12-Identity-H"/>
                <w:sz w:val="22"/>
                <w:szCs w:val="22"/>
              </w:rPr>
              <w:t>related</w:t>
            </w:r>
          </w:p>
          <w:p w:rsidR="00511D8F" w:rsidRPr="00330FB4" w:rsidRDefault="00511D8F" w:rsidP="00221349">
            <w:pPr>
              <w:rPr>
                <w:rFonts w:eastAsia="Malgun Gothic"/>
                <w:sz w:val="22"/>
                <w:lang w:eastAsia="ko-KR"/>
              </w:rPr>
            </w:pPr>
            <w:r w:rsidRPr="00330FB4">
              <w:rPr>
                <w:rFonts w:eastAsia="YMjO12-Identity-H"/>
                <w:sz w:val="22"/>
                <w:szCs w:val="22"/>
              </w:rPr>
              <w:t>disabilities</w:t>
            </w:r>
          </w:p>
        </w:tc>
        <w:tc>
          <w:tcPr>
            <w:tcW w:w="1203" w:type="dxa"/>
            <w:shd w:val="clear" w:color="auto" w:fill="auto"/>
          </w:tcPr>
          <w:p w:rsidR="00511D8F" w:rsidRPr="00330FB4" w:rsidRDefault="00511D8F" w:rsidP="00221349">
            <w:pPr>
              <w:jc w:val="center"/>
              <w:rPr>
                <w:sz w:val="22"/>
              </w:rPr>
            </w:pPr>
            <w:r w:rsidRPr="00330FB4">
              <w:rPr>
                <w:sz w:val="22"/>
                <w:szCs w:val="22"/>
              </w:rPr>
              <w:t>w/ WG3</w:t>
            </w:r>
          </w:p>
        </w:tc>
      </w:tr>
      <w:tr w:rsidR="00511D8F" w:rsidRPr="00330FB4" w:rsidTr="00221349">
        <w:tc>
          <w:tcPr>
            <w:tcW w:w="1101" w:type="dxa"/>
            <w:shd w:val="clear" w:color="auto" w:fill="auto"/>
          </w:tcPr>
          <w:p w:rsidR="00511D8F" w:rsidRPr="00330FB4" w:rsidRDefault="00511D8F" w:rsidP="00221349">
            <w:pPr>
              <w:jc w:val="center"/>
              <w:rPr>
                <w:sz w:val="22"/>
                <w:lang w:eastAsia="ko-KR"/>
              </w:rPr>
            </w:pPr>
            <w:r w:rsidRPr="00330FB4">
              <w:rPr>
                <w:sz w:val="22"/>
                <w:szCs w:val="22"/>
                <w:lang w:eastAsia="ko-KR"/>
              </w:rPr>
              <w:t>176</w:t>
            </w:r>
          </w:p>
        </w:tc>
        <w:tc>
          <w:tcPr>
            <w:tcW w:w="7229" w:type="dxa"/>
            <w:shd w:val="clear" w:color="auto" w:fill="auto"/>
          </w:tcPr>
          <w:p w:rsidR="00511D8F" w:rsidRPr="00330FB4" w:rsidRDefault="00511D8F" w:rsidP="00221349">
            <w:pPr>
              <w:rPr>
                <w:sz w:val="22"/>
              </w:rPr>
            </w:pPr>
            <w:r w:rsidRPr="00330FB4">
              <w:rPr>
                <w:rFonts w:eastAsia="YMjO12-Identity-H"/>
                <w:sz w:val="22"/>
                <w:szCs w:val="22"/>
              </w:rPr>
              <w:t>Human exposure to and measurement of electromagnetic fields</w:t>
            </w:r>
          </w:p>
        </w:tc>
        <w:tc>
          <w:tcPr>
            <w:tcW w:w="1203" w:type="dxa"/>
            <w:shd w:val="clear" w:color="auto" w:fill="auto"/>
          </w:tcPr>
          <w:p w:rsidR="00511D8F" w:rsidRPr="00330FB4" w:rsidRDefault="00511D8F" w:rsidP="00221349">
            <w:pPr>
              <w:jc w:val="center"/>
              <w:rPr>
                <w:sz w:val="22"/>
              </w:rPr>
            </w:pPr>
            <w:r w:rsidRPr="00330FB4">
              <w:rPr>
                <w:sz w:val="22"/>
                <w:szCs w:val="22"/>
              </w:rPr>
              <w:t>w/ WG3</w:t>
            </w:r>
          </w:p>
        </w:tc>
      </w:tr>
      <w:tr w:rsidR="00511D8F" w:rsidRPr="00330FB4" w:rsidTr="00221349">
        <w:tc>
          <w:tcPr>
            <w:tcW w:w="1101" w:type="dxa"/>
            <w:shd w:val="clear" w:color="auto" w:fill="auto"/>
          </w:tcPr>
          <w:p w:rsidR="00511D8F" w:rsidRPr="00330FB4" w:rsidRDefault="00511D8F" w:rsidP="00221349">
            <w:pPr>
              <w:jc w:val="center"/>
              <w:rPr>
                <w:sz w:val="22"/>
                <w:lang w:eastAsia="ko-KR"/>
              </w:rPr>
            </w:pPr>
            <w:r w:rsidRPr="00330FB4">
              <w:rPr>
                <w:sz w:val="22"/>
                <w:szCs w:val="22"/>
                <w:lang w:eastAsia="ko-KR"/>
              </w:rPr>
              <w:t>177</w:t>
            </w:r>
          </w:p>
        </w:tc>
        <w:tc>
          <w:tcPr>
            <w:tcW w:w="7229" w:type="dxa"/>
            <w:shd w:val="clear" w:color="auto" w:fill="auto"/>
          </w:tcPr>
          <w:p w:rsidR="00511D8F" w:rsidRPr="00330FB4" w:rsidRDefault="00511D8F" w:rsidP="00221349">
            <w:pPr>
              <w:rPr>
                <w:sz w:val="22"/>
              </w:rPr>
            </w:pPr>
            <w:r w:rsidRPr="00330FB4">
              <w:rPr>
                <w:rFonts w:eastAsia="YMjO12-Identity-H"/>
                <w:sz w:val="22"/>
                <w:szCs w:val="22"/>
              </w:rPr>
              <w:t>Conformance and interoperability</w:t>
            </w:r>
          </w:p>
        </w:tc>
        <w:tc>
          <w:tcPr>
            <w:tcW w:w="1203" w:type="dxa"/>
            <w:shd w:val="clear" w:color="auto" w:fill="auto"/>
          </w:tcPr>
          <w:p w:rsidR="00511D8F" w:rsidRPr="00330FB4" w:rsidRDefault="00511D8F" w:rsidP="00221349">
            <w:pPr>
              <w:jc w:val="center"/>
              <w:rPr>
                <w:sz w:val="22"/>
              </w:rPr>
            </w:pPr>
          </w:p>
        </w:tc>
      </w:tr>
      <w:tr w:rsidR="00511D8F" w:rsidRPr="00330FB4" w:rsidTr="00221349">
        <w:tc>
          <w:tcPr>
            <w:tcW w:w="1101" w:type="dxa"/>
            <w:shd w:val="clear" w:color="auto" w:fill="auto"/>
          </w:tcPr>
          <w:p w:rsidR="00511D8F" w:rsidRPr="00330FB4" w:rsidRDefault="00511D8F" w:rsidP="00221349">
            <w:pPr>
              <w:jc w:val="center"/>
              <w:rPr>
                <w:sz w:val="22"/>
                <w:lang w:eastAsia="ko-KR"/>
              </w:rPr>
            </w:pPr>
            <w:r w:rsidRPr="00330FB4">
              <w:rPr>
                <w:sz w:val="22"/>
                <w:szCs w:val="22"/>
                <w:lang w:eastAsia="ko-KR"/>
              </w:rPr>
              <w:t>178</w:t>
            </w:r>
          </w:p>
        </w:tc>
        <w:tc>
          <w:tcPr>
            <w:tcW w:w="7229" w:type="dxa"/>
            <w:shd w:val="clear" w:color="auto" w:fill="auto"/>
          </w:tcPr>
          <w:p w:rsidR="00511D8F" w:rsidRPr="00330FB4" w:rsidRDefault="00511D8F" w:rsidP="00221349">
            <w:pPr>
              <w:rPr>
                <w:rFonts w:eastAsia="Malgun Gothic"/>
                <w:sz w:val="22"/>
                <w:lang w:eastAsia="ko-KR"/>
              </w:rPr>
            </w:pPr>
            <w:r w:rsidRPr="00330FB4">
              <w:rPr>
                <w:rFonts w:eastAsia="YMjO12-Identity-H"/>
                <w:sz w:val="22"/>
                <w:szCs w:val="22"/>
              </w:rPr>
              <w:t>ITU role in organizing the work on technical aspects</w:t>
            </w:r>
            <w:r w:rsidRPr="00330FB4">
              <w:rPr>
                <w:rFonts w:eastAsia="Malgun Gothic"/>
                <w:sz w:val="22"/>
                <w:szCs w:val="22"/>
                <w:lang w:eastAsia="ko-KR"/>
              </w:rPr>
              <w:t xml:space="preserve"> </w:t>
            </w:r>
            <w:r w:rsidRPr="00330FB4">
              <w:rPr>
                <w:rFonts w:eastAsia="YMjO12-Identity-H"/>
                <w:sz w:val="22"/>
                <w:szCs w:val="22"/>
              </w:rPr>
              <w:t>of telecommunication</w:t>
            </w:r>
            <w:r>
              <w:rPr>
                <w:rFonts w:eastAsia="Malgun Gothic" w:hint="eastAsia"/>
                <w:sz w:val="22"/>
                <w:szCs w:val="22"/>
                <w:lang w:eastAsia="ko-KR"/>
              </w:rPr>
              <w:t xml:space="preserve"> </w:t>
            </w:r>
            <w:r w:rsidRPr="00330FB4">
              <w:rPr>
                <w:rFonts w:eastAsia="YMjO12-Identity-H"/>
                <w:sz w:val="22"/>
                <w:szCs w:val="22"/>
              </w:rPr>
              <w:t>networks to support the Internet</w:t>
            </w:r>
          </w:p>
        </w:tc>
        <w:tc>
          <w:tcPr>
            <w:tcW w:w="1203" w:type="dxa"/>
            <w:shd w:val="clear" w:color="auto" w:fill="auto"/>
          </w:tcPr>
          <w:p w:rsidR="00511D8F" w:rsidRPr="00330FB4" w:rsidRDefault="00511D8F" w:rsidP="00221349">
            <w:pPr>
              <w:jc w:val="center"/>
              <w:rPr>
                <w:sz w:val="22"/>
              </w:rPr>
            </w:pPr>
          </w:p>
        </w:tc>
      </w:tr>
      <w:tr w:rsidR="00511D8F" w:rsidRPr="00330FB4" w:rsidTr="00221349">
        <w:tc>
          <w:tcPr>
            <w:tcW w:w="1101" w:type="dxa"/>
            <w:shd w:val="clear" w:color="auto" w:fill="auto"/>
          </w:tcPr>
          <w:p w:rsidR="00511D8F" w:rsidRPr="00330FB4" w:rsidRDefault="00511D8F" w:rsidP="00221349">
            <w:pPr>
              <w:jc w:val="center"/>
              <w:rPr>
                <w:sz w:val="22"/>
                <w:lang w:eastAsia="ko-KR"/>
              </w:rPr>
            </w:pPr>
            <w:r w:rsidRPr="00330FB4">
              <w:rPr>
                <w:sz w:val="22"/>
                <w:szCs w:val="22"/>
                <w:lang w:eastAsia="ko-KR"/>
              </w:rPr>
              <w:t>179</w:t>
            </w:r>
          </w:p>
        </w:tc>
        <w:tc>
          <w:tcPr>
            <w:tcW w:w="7229" w:type="dxa"/>
            <w:shd w:val="clear" w:color="auto" w:fill="auto"/>
          </w:tcPr>
          <w:p w:rsidR="00511D8F" w:rsidRPr="00330FB4" w:rsidRDefault="00511D8F" w:rsidP="00221349">
            <w:pPr>
              <w:rPr>
                <w:sz w:val="22"/>
              </w:rPr>
            </w:pPr>
            <w:r w:rsidRPr="00330FB4">
              <w:rPr>
                <w:rFonts w:eastAsia="YMjO12-Identity-H"/>
                <w:sz w:val="22"/>
                <w:szCs w:val="22"/>
              </w:rPr>
              <w:t>ITU's role in child online protection</w:t>
            </w:r>
          </w:p>
        </w:tc>
        <w:tc>
          <w:tcPr>
            <w:tcW w:w="1203" w:type="dxa"/>
            <w:shd w:val="clear" w:color="auto" w:fill="auto"/>
          </w:tcPr>
          <w:p w:rsidR="00511D8F" w:rsidRPr="00330FB4" w:rsidRDefault="00511D8F" w:rsidP="00221349">
            <w:pPr>
              <w:jc w:val="center"/>
              <w:rPr>
                <w:sz w:val="22"/>
              </w:rPr>
            </w:pPr>
          </w:p>
        </w:tc>
      </w:tr>
      <w:tr w:rsidR="00511D8F" w:rsidRPr="00330FB4" w:rsidTr="00221349">
        <w:tc>
          <w:tcPr>
            <w:tcW w:w="1101" w:type="dxa"/>
            <w:shd w:val="clear" w:color="auto" w:fill="auto"/>
          </w:tcPr>
          <w:p w:rsidR="00511D8F" w:rsidRPr="00330FB4" w:rsidRDefault="00511D8F" w:rsidP="00221349">
            <w:pPr>
              <w:jc w:val="center"/>
              <w:rPr>
                <w:sz w:val="22"/>
                <w:lang w:eastAsia="ko-KR"/>
              </w:rPr>
            </w:pPr>
            <w:r w:rsidRPr="00330FB4">
              <w:rPr>
                <w:sz w:val="22"/>
                <w:szCs w:val="22"/>
                <w:lang w:eastAsia="ko-KR"/>
              </w:rPr>
              <w:t>180</w:t>
            </w:r>
          </w:p>
        </w:tc>
        <w:tc>
          <w:tcPr>
            <w:tcW w:w="7229" w:type="dxa"/>
            <w:shd w:val="clear" w:color="auto" w:fill="auto"/>
          </w:tcPr>
          <w:p w:rsidR="00511D8F" w:rsidRPr="00330FB4" w:rsidRDefault="00511D8F" w:rsidP="00221349">
            <w:pPr>
              <w:rPr>
                <w:sz w:val="22"/>
              </w:rPr>
            </w:pPr>
            <w:r w:rsidRPr="00330FB4">
              <w:rPr>
                <w:rFonts w:eastAsia="YMjO12-Identity-H"/>
                <w:sz w:val="22"/>
                <w:szCs w:val="22"/>
              </w:rPr>
              <w:t>Facilitating the transition from IPv4 to IPv6</w:t>
            </w:r>
          </w:p>
        </w:tc>
        <w:tc>
          <w:tcPr>
            <w:tcW w:w="1203" w:type="dxa"/>
            <w:shd w:val="clear" w:color="auto" w:fill="auto"/>
          </w:tcPr>
          <w:p w:rsidR="00511D8F" w:rsidRPr="00330FB4" w:rsidRDefault="00511D8F" w:rsidP="00221349">
            <w:pPr>
              <w:jc w:val="center"/>
              <w:rPr>
                <w:sz w:val="22"/>
              </w:rPr>
            </w:pPr>
          </w:p>
        </w:tc>
      </w:tr>
      <w:tr w:rsidR="00511D8F" w:rsidRPr="00330FB4" w:rsidTr="00221349">
        <w:tc>
          <w:tcPr>
            <w:tcW w:w="1101" w:type="dxa"/>
            <w:shd w:val="clear" w:color="auto" w:fill="auto"/>
          </w:tcPr>
          <w:p w:rsidR="00511D8F" w:rsidRPr="00330FB4" w:rsidRDefault="00511D8F" w:rsidP="00221349">
            <w:pPr>
              <w:jc w:val="center"/>
              <w:rPr>
                <w:sz w:val="22"/>
                <w:lang w:eastAsia="ko-KR"/>
              </w:rPr>
            </w:pPr>
            <w:r w:rsidRPr="00330FB4">
              <w:rPr>
                <w:sz w:val="22"/>
                <w:szCs w:val="22"/>
                <w:lang w:eastAsia="ko-KR"/>
              </w:rPr>
              <w:t>181</w:t>
            </w:r>
          </w:p>
        </w:tc>
        <w:tc>
          <w:tcPr>
            <w:tcW w:w="7229" w:type="dxa"/>
            <w:shd w:val="clear" w:color="auto" w:fill="auto"/>
          </w:tcPr>
          <w:p w:rsidR="00511D8F" w:rsidRPr="00330FB4" w:rsidRDefault="00511D8F" w:rsidP="00221349">
            <w:pPr>
              <w:rPr>
                <w:rFonts w:eastAsia="Malgun Gothic"/>
                <w:sz w:val="22"/>
                <w:lang w:eastAsia="ko-KR"/>
              </w:rPr>
            </w:pPr>
            <w:r w:rsidRPr="00330FB4">
              <w:rPr>
                <w:rFonts w:eastAsia="YMjO12-Identity-H"/>
                <w:sz w:val="22"/>
                <w:szCs w:val="22"/>
              </w:rPr>
              <w:t>Definitions and terminology relating to building confidence and</w:t>
            </w:r>
            <w:r w:rsidRPr="00330FB4">
              <w:rPr>
                <w:rFonts w:eastAsia="Malgun Gothic"/>
                <w:sz w:val="22"/>
                <w:szCs w:val="22"/>
                <w:lang w:eastAsia="ko-KR"/>
              </w:rPr>
              <w:t xml:space="preserve"> </w:t>
            </w:r>
            <w:r w:rsidRPr="00330FB4">
              <w:rPr>
                <w:rFonts w:eastAsia="YMjO12-Identity-H"/>
                <w:sz w:val="22"/>
                <w:szCs w:val="22"/>
              </w:rPr>
              <w:t>security in the use of information and communication technologies</w:t>
            </w:r>
          </w:p>
        </w:tc>
        <w:tc>
          <w:tcPr>
            <w:tcW w:w="1203" w:type="dxa"/>
            <w:shd w:val="clear" w:color="auto" w:fill="auto"/>
          </w:tcPr>
          <w:p w:rsidR="00511D8F" w:rsidRPr="00330FB4" w:rsidRDefault="00511D8F" w:rsidP="00221349">
            <w:pPr>
              <w:jc w:val="center"/>
              <w:rPr>
                <w:sz w:val="22"/>
              </w:rPr>
            </w:pPr>
          </w:p>
        </w:tc>
      </w:tr>
      <w:tr w:rsidR="00511D8F" w:rsidRPr="00330FB4" w:rsidTr="00221349">
        <w:tc>
          <w:tcPr>
            <w:tcW w:w="1101" w:type="dxa"/>
            <w:shd w:val="clear" w:color="auto" w:fill="auto"/>
          </w:tcPr>
          <w:p w:rsidR="00511D8F" w:rsidRPr="00330FB4" w:rsidRDefault="00511D8F" w:rsidP="00221349">
            <w:pPr>
              <w:jc w:val="center"/>
              <w:rPr>
                <w:sz w:val="22"/>
                <w:lang w:eastAsia="ko-KR"/>
              </w:rPr>
            </w:pPr>
            <w:r w:rsidRPr="00330FB4">
              <w:rPr>
                <w:sz w:val="22"/>
                <w:szCs w:val="22"/>
                <w:lang w:eastAsia="ko-KR"/>
              </w:rPr>
              <w:t>182</w:t>
            </w:r>
          </w:p>
        </w:tc>
        <w:tc>
          <w:tcPr>
            <w:tcW w:w="7229" w:type="dxa"/>
            <w:shd w:val="clear" w:color="auto" w:fill="auto"/>
          </w:tcPr>
          <w:p w:rsidR="00511D8F" w:rsidRPr="00330FB4" w:rsidRDefault="00511D8F" w:rsidP="00221349">
            <w:pPr>
              <w:rPr>
                <w:rFonts w:eastAsia="Malgun Gothic"/>
                <w:sz w:val="22"/>
                <w:lang w:eastAsia="ko-KR"/>
              </w:rPr>
            </w:pPr>
            <w:r w:rsidRPr="00330FB4">
              <w:rPr>
                <w:rFonts w:eastAsia="YMjO12-Identity-H"/>
                <w:sz w:val="22"/>
                <w:szCs w:val="22"/>
              </w:rPr>
              <w:t>The role of telecommunications/information and communication</w:t>
            </w:r>
            <w:r w:rsidRPr="00330FB4">
              <w:rPr>
                <w:rFonts w:eastAsia="Malgun Gothic"/>
                <w:sz w:val="22"/>
                <w:szCs w:val="22"/>
                <w:lang w:eastAsia="ko-KR"/>
              </w:rPr>
              <w:t xml:space="preserve"> </w:t>
            </w:r>
            <w:r w:rsidRPr="00330FB4">
              <w:rPr>
                <w:rFonts w:eastAsia="YMjO12-Identity-H"/>
                <w:sz w:val="22"/>
                <w:szCs w:val="22"/>
              </w:rPr>
              <w:t>technologies in regard to climate change and the protection of the environment</w:t>
            </w:r>
          </w:p>
        </w:tc>
        <w:tc>
          <w:tcPr>
            <w:tcW w:w="1203" w:type="dxa"/>
            <w:shd w:val="clear" w:color="auto" w:fill="auto"/>
          </w:tcPr>
          <w:p w:rsidR="00511D8F" w:rsidRPr="00330FB4" w:rsidRDefault="00511D8F" w:rsidP="00221349">
            <w:pPr>
              <w:jc w:val="center"/>
              <w:rPr>
                <w:sz w:val="22"/>
              </w:rPr>
            </w:pPr>
          </w:p>
        </w:tc>
      </w:tr>
      <w:tr w:rsidR="00511D8F" w:rsidRPr="00330FB4" w:rsidTr="00221349">
        <w:tc>
          <w:tcPr>
            <w:tcW w:w="1101" w:type="dxa"/>
            <w:shd w:val="clear" w:color="auto" w:fill="auto"/>
          </w:tcPr>
          <w:p w:rsidR="00511D8F" w:rsidRPr="00330FB4" w:rsidRDefault="00511D8F" w:rsidP="00221349">
            <w:pPr>
              <w:jc w:val="center"/>
              <w:rPr>
                <w:sz w:val="22"/>
                <w:lang w:eastAsia="ko-KR"/>
              </w:rPr>
            </w:pPr>
            <w:r w:rsidRPr="00330FB4">
              <w:rPr>
                <w:sz w:val="22"/>
                <w:szCs w:val="22"/>
                <w:lang w:eastAsia="ko-KR"/>
              </w:rPr>
              <w:t>183</w:t>
            </w:r>
          </w:p>
        </w:tc>
        <w:tc>
          <w:tcPr>
            <w:tcW w:w="7229" w:type="dxa"/>
            <w:shd w:val="clear" w:color="auto" w:fill="auto"/>
          </w:tcPr>
          <w:p w:rsidR="00511D8F" w:rsidRPr="00330FB4" w:rsidRDefault="00511D8F" w:rsidP="00221349">
            <w:pPr>
              <w:rPr>
                <w:sz w:val="22"/>
              </w:rPr>
            </w:pPr>
            <w:r w:rsidRPr="00330FB4">
              <w:rPr>
                <w:rFonts w:eastAsia="YMjO12-Identity-H"/>
                <w:sz w:val="22"/>
                <w:szCs w:val="22"/>
              </w:rPr>
              <w:t>Telecommunication/ICT applications for e-health</w:t>
            </w:r>
          </w:p>
        </w:tc>
        <w:tc>
          <w:tcPr>
            <w:tcW w:w="1203" w:type="dxa"/>
            <w:shd w:val="clear" w:color="auto" w:fill="auto"/>
          </w:tcPr>
          <w:p w:rsidR="00511D8F" w:rsidRPr="00330FB4" w:rsidRDefault="00511D8F" w:rsidP="00221349">
            <w:pPr>
              <w:jc w:val="center"/>
              <w:rPr>
                <w:sz w:val="22"/>
              </w:rPr>
            </w:pPr>
          </w:p>
        </w:tc>
      </w:tr>
      <w:tr w:rsidR="00511D8F" w:rsidRPr="00330FB4" w:rsidTr="00221349">
        <w:tc>
          <w:tcPr>
            <w:tcW w:w="1101" w:type="dxa"/>
            <w:shd w:val="clear" w:color="auto" w:fill="auto"/>
          </w:tcPr>
          <w:p w:rsidR="00511D8F" w:rsidRPr="00330FB4" w:rsidRDefault="00511D8F" w:rsidP="00221349">
            <w:pPr>
              <w:jc w:val="center"/>
              <w:rPr>
                <w:sz w:val="22"/>
                <w:lang w:eastAsia="ko-KR"/>
              </w:rPr>
            </w:pPr>
            <w:r w:rsidRPr="00330FB4">
              <w:rPr>
                <w:sz w:val="22"/>
                <w:szCs w:val="22"/>
                <w:lang w:eastAsia="ko-KR"/>
              </w:rPr>
              <w:t>184</w:t>
            </w:r>
          </w:p>
        </w:tc>
        <w:tc>
          <w:tcPr>
            <w:tcW w:w="7229" w:type="dxa"/>
            <w:shd w:val="clear" w:color="auto" w:fill="auto"/>
          </w:tcPr>
          <w:p w:rsidR="00511D8F" w:rsidRPr="00330FB4" w:rsidRDefault="00511D8F" w:rsidP="00221349">
            <w:pPr>
              <w:rPr>
                <w:sz w:val="22"/>
              </w:rPr>
            </w:pPr>
            <w:r w:rsidRPr="00330FB4">
              <w:rPr>
                <w:rFonts w:eastAsia="YMjO12-Identity-H"/>
                <w:sz w:val="22"/>
                <w:szCs w:val="22"/>
              </w:rPr>
              <w:t>Facilitating digital inclusion initiatives for indigenous peoples</w:t>
            </w:r>
          </w:p>
        </w:tc>
        <w:tc>
          <w:tcPr>
            <w:tcW w:w="1203" w:type="dxa"/>
            <w:shd w:val="clear" w:color="auto" w:fill="auto"/>
          </w:tcPr>
          <w:p w:rsidR="00511D8F" w:rsidRPr="00330FB4" w:rsidRDefault="00511D8F" w:rsidP="00221349">
            <w:pPr>
              <w:jc w:val="center"/>
              <w:rPr>
                <w:sz w:val="22"/>
              </w:rPr>
            </w:pPr>
            <w:r w:rsidRPr="00330FB4">
              <w:rPr>
                <w:sz w:val="22"/>
                <w:szCs w:val="22"/>
              </w:rPr>
              <w:t>w/ WG3</w:t>
            </w:r>
          </w:p>
        </w:tc>
      </w:tr>
    </w:tbl>
    <w:p w:rsidR="00511D8F" w:rsidRPr="00330FB4" w:rsidRDefault="00511D8F" w:rsidP="00511D8F">
      <w:pPr>
        <w:jc w:val="center"/>
      </w:pPr>
    </w:p>
    <w:p w:rsidR="00511D8F" w:rsidRPr="00330FB4" w:rsidRDefault="00511D8F" w:rsidP="00511D8F">
      <w:pPr>
        <w:jc w:val="center"/>
      </w:pPr>
      <w:r w:rsidRPr="00330FB4">
        <w:t>___________</w:t>
      </w:r>
    </w:p>
    <w:p w:rsidR="000912CA" w:rsidRDefault="000912CA"/>
    <w:sectPr w:rsidR="000912CA" w:rsidSect="00DB0A68">
      <w:headerReference w:type="default" r:id="rId33"/>
      <w:footerReference w:type="even" r:id="rId34"/>
      <w:footerReference w:type="default" r:id="rId35"/>
      <w:footerReference w:type="first" r:id="rId36"/>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7FE" w:rsidRDefault="007507FE" w:rsidP="00511D8F">
      <w:r>
        <w:separator/>
      </w:r>
    </w:p>
  </w:endnote>
  <w:endnote w:type="continuationSeparator" w:id="0">
    <w:p w:rsidR="007507FE" w:rsidRDefault="007507FE" w:rsidP="00511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altName w:val="굴림체"/>
    <w:panose1 w:val="020B0609000101010101"/>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BatangChe">
    <w:altName w:val="바탕체"/>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
    <w:panose1 w:val="02020603060405020304"/>
    <w:charset w:val="00"/>
    <w:family w:val="roman"/>
    <w:pitch w:val="variable"/>
    <w:sig w:usb0="00000007" w:usb1="00000000" w:usb2="00000000" w:usb3="00000000" w:csb0="00000093" w:csb1="00000000"/>
  </w:font>
  <w:font w:name="Lucida Grande">
    <w:altName w:val="Arial"/>
    <w:charset w:val="00"/>
    <w:family w:val="auto"/>
    <w:pitch w:val="variable"/>
    <w:sig w:usb0="00000000" w:usb1="5000A1FF" w:usb2="00000000" w:usb3="00000000" w:csb0="000001BF" w:csb1="00000000"/>
  </w:font>
  <w:font w:name="ヒラギノ角ゴ Pro W3">
    <w:altName w:val="MS Mincho"/>
    <w:panose1 w:val="00000000000000000000"/>
    <w:charset w:val="80"/>
    <w:family w:val="auto"/>
    <w:notTrueType/>
    <w:pitch w:val="variable"/>
    <w:sig w:usb0="00000000" w:usb1="00000000" w:usb2="01000407" w:usb3="00000000" w:csb0="0002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YMjO12-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032" w:rsidRDefault="00EA1A8A" w:rsidP="002C07DA">
    <w:pPr>
      <w:pStyle w:val="Footer"/>
      <w:framePr w:wrap="around" w:vAnchor="text" w:hAnchor="margin" w:xAlign="right" w:y="1"/>
      <w:rPr>
        <w:rStyle w:val="PageNumber"/>
      </w:rPr>
    </w:pPr>
    <w:r>
      <w:rPr>
        <w:rStyle w:val="PageNumber"/>
      </w:rPr>
      <w:fldChar w:fldCharType="begin"/>
    </w:r>
    <w:r w:rsidR="002B1A6B">
      <w:rPr>
        <w:rStyle w:val="PageNumber"/>
      </w:rPr>
      <w:instrText xml:space="preserve">PAGE  </w:instrText>
    </w:r>
    <w:r>
      <w:rPr>
        <w:rStyle w:val="PageNumber"/>
      </w:rPr>
      <w:fldChar w:fldCharType="end"/>
    </w:r>
  </w:p>
  <w:p w:rsidR="008C3032" w:rsidRDefault="007507FE"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032" w:rsidRDefault="002B1A6B" w:rsidP="002C7EA9">
    <w:pPr>
      <w:pStyle w:val="Footer"/>
      <w:ind w:right="360"/>
      <w:jc w:val="right"/>
    </w:pPr>
    <w:r w:rsidRPr="002C7EA9">
      <w:rPr>
        <w:rStyle w:val="PageNumber"/>
      </w:rPr>
      <w:t xml:space="preserve">Page </w:t>
    </w:r>
    <w:r w:rsidR="00EA1A8A" w:rsidRPr="002C7EA9">
      <w:rPr>
        <w:rStyle w:val="PageNumber"/>
      </w:rPr>
      <w:fldChar w:fldCharType="begin"/>
    </w:r>
    <w:r w:rsidRPr="002C7EA9">
      <w:rPr>
        <w:rStyle w:val="PageNumber"/>
      </w:rPr>
      <w:instrText xml:space="preserve"> PAGE </w:instrText>
    </w:r>
    <w:r w:rsidR="00EA1A8A" w:rsidRPr="002C7EA9">
      <w:rPr>
        <w:rStyle w:val="PageNumber"/>
      </w:rPr>
      <w:fldChar w:fldCharType="separate"/>
    </w:r>
    <w:r w:rsidR="009C74C9">
      <w:rPr>
        <w:rStyle w:val="PageNumber"/>
        <w:noProof/>
      </w:rPr>
      <w:t>2</w:t>
    </w:r>
    <w:r w:rsidR="00EA1A8A" w:rsidRPr="002C7EA9">
      <w:rPr>
        <w:rStyle w:val="PageNumber"/>
      </w:rPr>
      <w:fldChar w:fldCharType="end"/>
    </w:r>
    <w:r w:rsidRPr="002C7EA9">
      <w:rPr>
        <w:rStyle w:val="PageNumber"/>
      </w:rPr>
      <w:t xml:space="preserve"> of </w:t>
    </w:r>
    <w:r w:rsidR="00EA1A8A" w:rsidRPr="002C7EA9">
      <w:rPr>
        <w:rStyle w:val="PageNumber"/>
      </w:rPr>
      <w:fldChar w:fldCharType="begin"/>
    </w:r>
    <w:r w:rsidRPr="002C7EA9">
      <w:rPr>
        <w:rStyle w:val="PageNumber"/>
      </w:rPr>
      <w:instrText xml:space="preserve"> NUMPAGES </w:instrText>
    </w:r>
    <w:r w:rsidR="00EA1A8A" w:rsidRPr="002C7EA9">
      <w:rPr>
        <w:rStyle w:val="PageNumber"/>
      </w:rPr>
      <w:fldChar w:fldCharType="separate"/>
    </w:r>
    <w:r w:rsidR="009C74C9">
      <w:rPr>
        <w:rStyle w:val="PageNumber"/>
        <w:noProof/>
      </w:rPr>
      <w:t>17</w:t>
    </w:r>
    <w:r w:rsidR="00EA1A8A"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8C3032">
      <w:trPr>
        <w:cantSplit/>
        <w:trHeight w:val="204"/>
        <w:jc w:val="center"/>
      </w:trPr>
      <w:tc>
        <w:tcPr>
          <w:tcW w:w="1617" w:type="dxa"/>
          <w:tcBorders>
            <w:top w:val="single" w:sz="12" w:space="0" w:color="auto"/>
          </w:tcBorders>
        </w:tcPr>
        <w:p w:rsidR="008C3032" w:rsidRDefault="002B1A6B" w:rsidP="00762576">
          <w:pPr>
            <w:rPr>
              <w:b/>
              <w:bCs/>
            </w:rPr>
          </w:pPr>
          <w:r>
            <w:rPr>
              <w:b/>
              <w:bCs/>
            </w:rPr>
            <w:t>Contact:</w:t>
          </w:r>
        </w:p>
      </w:tc>
      <w:tc>
        <w:tcPr>
          <w:tcW w:w="4394" w:type="dxa"/>
          <w:tcBorders>
            <w:top w:val="single" w:sz="12" w:space="0" w:color="auto"/>
          </w:tcBorders>
        </w:tcPr>
        <w:p w:rsidR="008C3032" w:rsidRPr="004E33D3" w:rsidRDefault="002B1A6B" w:rsidP="00762576">
          <w:pPr>
            <w:pStyle w:val="Equation"/>
            <w:tabs>
              <w:tab w:val="clear" w:pos="4820"/>
              <w:tab w:val="clear" w:pos="9639"/>
              <w:tab w:val="left" w:pos="1191"/>
              <w:tab w:val="left" w:pos="1588"/>
              <w:tab w:val="left" w:pos="1985"/>
            </w:tabs>
            <w:spacing w:beforeLines="0"/>
            <w:rPr>
              <w:rFonts w:eastAsia="Malgun Gothic"/>
              <w:sz w:val="22"/>
              <w:lang w:eastAsia="ko-KR"/>
            </w:rPr>
          </w:pPr>
          <w:r w:rsidRPr="004E33D3">
            <w:rPr>
              <w:rFonts w:eastAsia="Malgun Gothic" w:hint="eastAsia"/>
              <w:sz w:val="22"/>
              <w:lang w:eastAsia="ko-KR"/>
            </w:rPr>
            <w:t>SANGHAK LEE</w:t>
          </w:r>
        </w:p>
        <w:p w:rsidR="008C3032" w:rsidRPr="004E33D3" w:rsidRDefault="002B1A6B" w:rsidP="00762576">
          <w:pPr>
            <w:pStyle w:val="Equation"/>
            <w:tabs>
              <w:tab w:val="clear" w:pos="4820"/>
              <w:tab w:val="clear" w:pos="9639"/>
              <w:tab w:val="left" w:pos="1191"/>
              <w:tab w:val="left" w:pos="1588"/>
              <w:tab w:val="left" w:pos="1985"/>
            </w:tabs>
            <w:spacing w:beforeLines="0"/>
            <w:rPr>
              <w:rFonts w:eastAsia="Malgun Gothic"/>
              <w:sz w:val="22"/>
              <w:lang w:eastAsia="ko-KR"/>
            </w:rPr>
          </w:pPr>
          <w:r w:rsidRPr="004E33D3">
            <w:rPr>
              <w:rFonts w:eastAsia="Malgun Gothic" w:hint="eastAsia"/>
              <w:sz w:val="22"/>
              <w:lang w:eastAsia="ko-KR"/>
            </w:rPr>
            <w:t>Ministry of Science, ICT and Future Planning</w:t>
          </w:r>
          <w:r>
            <w:rPr>
              <w:rFonts w:eastAsia="Batang" w:hint="eastAsia"/>
              <w:sz w:val="22"/>
              <w:lang w:eastAsia="ko-KR"/>
            </w:rPr>
            <w:t xml:space="preserve">, </w:t>
          </w:r>
          <w:r w:rsidRPr="004E33D3">
            <w:rPr>
              <w:rFonts w:eastAsia="Malgun Gothic" w:hint="eastAsia"/>
              <w:sz w:val="22"/>
              <w:lang w:eastAsia="ko-KR"/>
            </w:rPr>
            <w:t>Republic of Korea</w:t>
          </w:r>
        </w:p>
        <w:p w:rsidR="008C3032" w:rsidRDefault="007507FE" w:rsidP="00762576">
          <w:pPr>
            <w:rPr>
              <w:rFonts w:eastAsia="Batang"/>
            </w:rPr>
          </w:pPr>
        </w:p>
      </w:tc>
      <w:tc>
        <w:tcPr>
          <w:tcW w:w="3912" w:type="dxa"/>
          <w:tcBorders>
            <w:top w:val="single" w:sz="12" w:space="0" w:color="auto"/>
          </w:tcBorders>
        </w:tcPr>
        <w:p w:rsidR="008C3032" w:rsidRPr="004E33D3" w:rsidRDefault="002B1A6B" w:rsidP="00762576">
          <w:pPr>
            <w:rPr>
              <w:rFonts w:eastAsia="Malgun Gothic"/>
              <w:lang w:eastAsia="ko-KR"/>
            </w:rPr>
          </w:pPr>
          <w:r>
            <w:t>Tel:</w:t>
          </w:r>
          <w:r>
            <w:rPr>
              <w:rFonts w:hint="eastAsia"/>
              <w:lang w:eastAsia="ja-JP"/>
            </w:rPr>
            <w:t xml:space="preserve"> </w:t>
          </w:r>
          <w:r w:rsidRPr="004E33D3">
            <w:rPr>
              <w:rFonts w:eastAsia="Malgun Gothic" w:hint="eastAsia"/>
              <w:lang w:eastAsia="ko-KR"/>
            </w:rPr>
            <w:t>+82 2 2110 2680</w:t>
          </w:r>
        </w:p>
        <w:p w:rsidR="008C3032" w:rsidRPr="004E33D3" w:rsidRDefault="002B1A6B" w:rsidP="00762576">
          <w:pPr>
            <w:rPr>
              <w:rFonts w:eastAsia="Malgun Gothic"/>
              <w:lang w:eastAsia="ko-KR"/>
            </w:rPr>
          </w:pPr>
          <w:r>
            <w:t>Fax:</w:t>
          </w:r>
          <w:r>
            <w:rPr>
              <w:rFonts w:hint="eastAsia"/>
              <w:lang w:eastAsia="ja-JP"/>
            </w:rPr>
            <w:t xml:space="preserve"> </w:t>
          </w:r>
          <w:r w:rsidRPr="004E33D3">
            <w:rPr>
              <w:rFonts w:eastAsia="Malgun Gothic" w:hint="eastAsia"/>
              <w:lang w:eastAsia="ko-KR"/>
            </w:rPr>
            <w:t>+82 2 2110 0280</w:t>
          </w:r>
        </w:p>
        <w:p w:rsidR="008C3032" w:rsidRDefault="002B1A6B" w:rsidP="00762576">
          <w:pPr>
            <w:rPr>
              <w:lang w:eastAsia="ja-JP"/>
            </w:rPr>
          </w:pPr>
          <w:r>
            <w:t>Email</w:t>
          </w:r>
          <w:r>
            <w:rPr>
              <w:rFonts w:hint="eastAsia"/>
            </w:rPr>
            <w:t xml:space="preserve">: </w:t>
          </w:r>
          <w:r w:rsidRPr="008C71A6">
            <w:t>leesh@msip.go.kr</w:t>
          </w:r>
        </w:p>
      </w:tc>
    </w:tr>
  </w:tbl>
  <w:p w:rsidR="008C3032" w:rsidRDefault="007507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7FE" w:rsidRDefault="007507FE" w:rsidP="00511D8F">
      <w:r>
        <w:separator/>
      </w:r>
    </w:p>
  </w:footnote>
  <w:footnote w:type="continuationSeparator" w:id="0">
    <w:p w:rsidR="007507FE" w:rsidRDefault="007507FE" w:rsidP="00511D8F">
      <w:r>
        <w:continuationSeparator/>
      </w:r>
    </w:p>
  </w:footnote>
  <w:footnote w:id="1">
    <w:p w:rsidR="00511D8F" w:rsidRDefault="00511D8F" w:rsidP="00511D8F">
      <w:pPr>
        <w:pStyle w:val="FootnoteText"/>
      </w:pPr>
      <w:r>
        <w:rPr>
          <w:rStyle w:val="FootnoteReference"/>
        </w:rPr>
        <w:footnoteRef/>
      </w:r>
      <w:r>
        <w:t xml:space="preserve"> Resolution 140</w:t>
      </w:r>
      <w:r>
        <w:rPr>
          <w:rFonts w:hint="eastAsia"/>
          <w:lang w:eastAsia="ko-KR"/>
        </w:rPr>
        <w:t xml:space="preserve"> </w:t>
      </w:r>
      <w:r>
        <w:t xml:space="preserve">(Rev. Guadalajara, 2010): </w:t>
      </w:r>
      <w:r w:rsidRPr="00280FFB">
        <w:rPr>
          <w:i/>
        </w:rPr>
        <w:t>“ITU’s role in implementing the outcomes of the World Su</w:t>
      </w:r>
      <w:r>
        <w:rPr>
          <w:rFonts w:hint="eastAsia"/>
          <w:i/>
          <w:lang w:eastAsia="ko-KR"/>
        </w:rPr>
        <w:t>m</w:t>
      </w:r>
      <w:r w:rsidRPr="00280FFB">
        <w:rPr>
          <w:i/>
        </w:rPr>
        <w:t>mit on the Information Society”</w:t>
      </w:r>
    </w:p>
  </w:footnote>
  <w:footnote w:id="2">
    <w:p w:rsidR="00511D8F" w:rsidRDefault="00511D8F" w:rsidP="00511D8F">
      <w:pPr>
        <w:pStyle w:val="FootnoteText"/>
      </w:pPr>
      <w:r>
        <w:rPr>
          <w:rStyle w:val="FootnoteReference"/>
        </w:rPr>
        <w:footnoteRef/>
      </w:r>
      <w:r>
        <w:t xml:space="preserve"> Resolution 142</w:t>
      </w:r>
      <w:r>
        <w:rPr>
          <w:rFonts w:hint="eastAsia"/>
          <w:lang w:eastAsia="ko-KR"/>
        </w:rPr>
        <w:t xml:space="preserve"> </w:t>
      </w:r>
      <w:r>
        <w:t>(Antalya, 2006): “</w:t>
      </w:r>
      <w:r w:rsidRPr="00A901FB">
        <w:rPr>
          <w:i/>
          <w:lang w:eastAsia="ko-KR"/>
        </w:rPr>
        <w:t>Review of terminology used in the ITU Constitution and Convention</w:t>
      </w:r>
      <w:r>
        <w:rPr>
          <w:i/>
          <w:lang w:eastAsia="ko-KR"/>
        </w:rPr>
        <w:t xml:space="preserve">” </w:t>
      </w:r>
      <w:r w:rsidRPr="00994944">
        <w:rPr>
          <w:lang w:eastAsia="ko-KR"/>
        </w:rPr>
        <w:t>(Suppressed at PP-10)</w:t>
      </w:r>
    </w:p>
  </w:footnote>
  <w:footnote w:id="3">
    <w:p w:rsidR="00511D8F" w:rsidRDefault="00511D8F" w:rsidP="00511D8F">
      <w:pPr>
        <w:pStyle w:val="FootnoteText"/>
      </w:pPr>
      <w:r>
        <w:rPr>
          <w:rStyle w:val="FootnoteReference"/>
        </w:rPr>
        <w:footnoteRef/>
      </w:r>
      <w:r>
        <w:t xml:space="preserve"> Resolution 172</w:t>
      </w:r>
      <w:r>
        <w:rPr>
          <w:rFonts w:hint="eastAsia"/>
          <w:lang w:eastAsia="ko-KR"/>
        </w:rPr>
        <w:t xml:space="preserve"> </w:t>
      </w:r>
      <w:r>
        <w:t xml:space="preserve">(Guadalajara, 2010): </w:t>
      </w:r>
      <w:r w:rsidRPr="002B4E0A">
        <w:rPr>
          <w:i/>
        </w:rPr>
        <w:t>“Overall review of implementation of the outcomes of the World Su</w:t>
      </w:r>
      <w:r>
        <w:rPr>
          <w:rFonts w:hint="eastAsia"/>
          <w:i/>
          <w:lang w:eastAsia="ko-KR"/>
        </w:rPr>
        <w:t>m</w:t>
      </w:r>
      <w:r w:rsidRPr="002B4E0A">
        <w:rPr>
          <w:i/>
        </w:rPr>
        <w:t>mit on the Information Society”</w:t>
      </w:r>
    </w:p>
  </w:footnote>
  <w:footnote w:id="4">
    <w:p w:rsidR="00511D8F" w:rsidRPr="00E95C6F" w:rsidRDefault="00511D8F" w:rsidP="00511D8F">
      <w:pPr>
        <w:rPr>
          <w:i/>
        </w:rPr>
      </w:pPr>
      <w:r w:rsidRPr="00E95C6F">
        <w:rPr>
          <w:rStyle w:val="FootnoteReference"/>
        </w:rPr>
        <w:footnoteRef/>
      </w:r>
      <w:r w:rsidRPr="00E95C6F">
        <w:t xml:space="preserve"> Council Resolution 1332: </w:t>
      </w:r>
      <w:r w:rsidRPr="00E95C6F">
        <w:rPr>
          <w:i/>
        </w:rPr>
        <w:t>“ ITU role in the implementation of the WSIS outcomes up to 2015 and future activities beyond WSIS+10</w:t>
      </w:r>
      <w:r>
        <w:rPr>
          <w:i/>
        </w:rPr>
        <w:t>”</w:t>
      </w:r>
      <w:r w:rsidRPr="00E95C6F">
        <w:rPr>
          <w:i/>
        </w:rPr>
        <w:t xml:space="preserve">    </w:t>
      </w:r>
    </w:p>
  </w:footnote>
  <w:footnote w:id="5">
    <w:p w:rsidR="00511D8F" w:rsidRPr="00881B0D" w:rsidRDefault="00511D8F" w:rsidP="00511D8F">
      <w:pPr>
        <w:spacing w:after="720"/>
        <w:rPr>
          <w:i/>
        </w:rPr>
      </w:pPr>
      <w:r>
        <w:rPr>
          <w:rStyle w:val="FootnoteReference"/>
        </w:rPr>
        <w:footnoteRef/>
      </w:r>
      <w:r>
        <w:t xml:space="preserve"> Council Resolution 1334: </w:t>
      </w:r>
      <w:r w:rsidRPr="00881B0D">
        <w:rPr>
          <w:i/>
        </w:rPr>
        <w:t>“ITU Role in the Overall Review of the Implementation of the Outcomes of the World Summit on the Information Society”</w:t>
      </w:r>
    </w:p>
    <w:p w:rsidR="00511D8F" w:rsidRDefault="00511D8F" w:rsidP="00511D8F">
      <w:pPr>
        <w:pStyle w:val="FootnoteText"/>
      </w:pPr>
    </w:p>
  </w:footnote>
  <w:footnote w:id="6">
    <w:p w:rsidR="00511D8F" w:rsidRPr="00D709E5" w:rsidRDefault="00511D8F" w:rsidP="00511D8F">
      <w:pPr>
        <w:pStyle w:val="ListParagraph"/>
        <w:ind w:left="0"/>
        <w:jc w:val="both"/>
        <w:rPr>
          <w:i/>
        </w:rPr>
      </w:pPr>
      <w:r>
        <w:rPr>
          <w:rStyle w:val="FootnoteReference"/>
        </w:rPr>
        <w:footnoteRef/>
      </w:r>
      <w:r>
        <w:t xml:space="preserve"> CS</w:t>
      </w:r>
      <w:r>
        <w:rPr>
          <w:i/>
        </w:rPr>
        <w:t xml:space="preserve">1007 </w:t>
      </w:r>
      <w:r>
        <w:rPr>
          <w:i/>
        </w:rPr>
        <w:tab/>
      </w:r>
      <w:r w:rsidRPr="00D709E5">
        <w:rPr>
          <w:i/>
        </w:rPr>
        <w:t>Operating Agency: Any individual, company, corporation or governmental agency which operates</w:t>
      </w:r>
      <w:r>
        <w:rPr>
          <w:i/>
        </w:rPr>
        <w:t xml:space="preserve"> </w:t>
      </w:r>
      <w:r w:rsidRPr="00D709E5">
        <w:rPr>
          <w:i/>
        </w:rPr>
        <w:t>a telecommunication installation intended for an international telecommunication service or</w:t>
      </w:r>
      <w:r>
        <w:rPr>
          <w:i/>
        </w:rPr>
        <w:t xml:space="preserve"> </w:t>
      </w:r>
      <w:r w:rsidRPr="00D709E5">
        <w:rPr>
          <w:i/>
        </w:rPr>
        <w:t>capable of causing harmful interference with such a service.</w:t>
      </w:r>
    </w:p>
    <w:p w:rsidR="00511D8F" w:rsidRDefault="00511D8F" w:rsidP="00511D8F">
      <w:pPr>
        <w:pStyle w:val="FootnoteText"/>
      </w:pPr>
    </w:p>
  </w:footnote>
  <w:footnote w:id="7">
    <w:p w:rsidR="00511D8F" w:rsidRPr="00D709E5" w:rsidRDefault="00511D8F" w:rsidP="00511D8F">
      <w:pPr>
        <w:pStyle w:val="ListParagraph"/>
        <w:ind w:left="0"/>
        <w:jc w:val="both"/>
        <w:rPr>
          <w:i/>
        </w:rPr>
      </w:pPr>
      <w:r>
        <w:rPr>
          <w:rStyle w:val="FootnoteReference"/>
        </w:rPr>
        <w:footnoteRef/>
      </w:r>
      <w:r>
        <w:t xml:space="preserve"> CS</w:t>
      </w:r>
      <w:r w:rsidRPr="00D709E5">
        <w:rPr>
          <w:i/>
        </w:rPr>
        <w:t xml:space="preserve">1008 </w:t>
      </w:r>
      <w:r>
        <w:rPr>
          <w:i/>
        </w:rPr>
        <w:tab/>
      </w:r>
      <w:r w:rsidRPr="00D709E5">
        <w:rPr>
          <w:i/>
        </w:rPr>
        <w:t>Recognized Operating Agency: Any operating agency, as defined above, which operates a public</w:t>
      </w:r>
      <w:r>
        <w:rPr>
          <w:i/>
        </w:rPr>
        <w:t xml:space="preserve"> </w:t>
      </w:r>
      <w:r w:rsidRPr="00D709E5">
        <w:rPr>
          <w:i/>
        </w:rPr>
        <w:t>correspondence or broadcasting service and upon which the obligations provided for in Article 6</w:t>
      </w:r>
      <w:r>
        <w:rPr>
          <w:i/>
        </w:rPr>
        <w:t xml:space="preserve"> </w:t>
      </w:r>
      <w:r w:rsidRPr="00D709E5">
        <w:rPr>
          <w:i/>
        </w:rPr>
        <w:t>of this Constitution are imposed by the Member State in whose territory the head office of the</w:t>
      </w:r>
      <w:r>
        <w:rPr>
          <w:i/>
        </w:rPr>
        <w:t xml:space="preserve"> </w:t>
      </w:r>
      <w:r w:rsidRPr="00D709E5">
        <w:rPr>
          <w:i/>
        </w:rPr>
        <w:t>agency is situated, or by the Member State which has authorized this operating agency to establish</w:t>
      </w:r>
      <w:r>
        <w:rPr>
          <w:i/>
        </w:rPr>
        <w:t xml:space="preserve"> </w:t>
      </w:r>
      <w:r w:rsidRPr="00D709E5">
        <w:rPr>
          <w:i/>
        </w:rPr>
        <w:t>and operate a telecommunication service on its territory.</w:t>
      </w:r>
    </w:p>
    <w:p w:rsidR="00511D8F" w:rsidRDefault="00511D8F" w:rsidP="00511D8F">
      <w:pPr>
        <w:pStyle w:val="FootnoteText"/>
      </w:pPr>
    </w:p>
  </w:footnote>
  <w:footnote w:id="8">
    <w:p w:rsidR="00511D8F" w:rsidRDefault="00511D8F" w:rsidP="00511D8F">
      <w:pPr>
        <w:pStyle w:val="FootnoteText"/>
      </w:pPr>
      <w:r>
        <w:rPr>
          <w:rStyle w:val="FootnoteReference"/>
        </w:rPr>
        <w:footnoteRef/>
      </w:r>
      <w:r>
        <w:t xml:space="preserve"> Resolution 130</w:t>
      </w:r>
      <w:r>
        <w:rPr>
          <w:rFonts w:hint="eastAsia"/>
          <w:lang w:eastAsia="ko-KR"/>
        </w:rPr>
        <w:t xml:space="preserve"> </w:t>
      </w:r>
      <w:r>
        <w:t xml:space="preserve">(Rev, Guadalajara, 2010): </w:t>
      </w:r>
      <w:r w:rsidRPr="00254317">
        <w:rPr>
          <w:i/>
        </w:rPr>
        <w:t>“Strengthening the role of ITU in building confidence and security in the use of information and communication technologies”</w:t>
      </w:r>
    </w:p>
  </w:footnote>
  <w:footnote w:id="9">
    <w:p w:rsidR="00511D8F" w:rsidRDefault="00511D8F" w:rsidP="00511D8F">
      <w:pPr>
        <w:pStyle w:val="FootnoteText"/>
      </w:pPr>
      <w:r>
        <w:rPr>
          <w:rStyle w:val="FootnoteReference"/>
        </w:rPr>
        <w:footnoteRef/>
      </w:r>
      <w:r>
        <w:t xml:space="preserve"> Resolution 181</w:t>
      </w:r>
      <w:r>
        <w:rPr>
          <w:rFonts w:hint="eastAsia"/>
          <w:lang w:eastAsia="ko-KR"/>
        </w:rPr>
        <w:t xml:space="preserve"> </w:t>
      </w:r>
      <w:r>
        <w:t xml:space="preserve">(Guadalajara, 2010): </w:t>
      </w:r>
      <w:r w:rsidRPr="00254317">
        <w:rPr>
          <w:i/>
        </w:rPr>
        <w:t>“Definitions and terminology relating to building confidence and security in the use of information and communication technologies”</w:t>
      </w:r>
    </w:p>
  </w:footnote>
  <w:footnote w:id="10">
    <w:p w:rsidR="00511D8F" w:rsidRDefault="00511D8F" w:rsidP="00511D8F">
      <w:pPr>
        <w:pStyle w:val="FootnoteText"/>
        <w:rPr>
          <w:lang w:eastAsia="ko-KR"/>
        </w:rPr>
      </w:pPr>
      <w:r>
        <w:rPr>
          <w:rStyle w:val="FootnoteReference"/>
        </w:rPr>
        <w:footnoteRef/>
      </w:r>
      <w:r>
        <w:t xml:space="preserve"> Resolution 177</w:t>
      </w:r>
      <w:r>
        <w:rPr>
          <w:rFonts w:hint="eastAsia"/>
          <w:lang w:eastAsia="ko-KR"/>
        </w:rPr>
        <w:t xml:space="preserve"> </w:t>
      </w:r>
      <w:r>
        <w:t>(Guadalajara, 2010)</w:t>
      </w:r>
      <w:r>
        <w:rPr>
          <w:rFonts w:hint="eastAsia"/>
          <w:lang w:eastAsia="ko-KR"/>
        </w:rPr>
        <w:t xml:space="preserve">: </w:t>
      </w:r>
      <w:r w:rsidRPr="001D1F79">
        <w:rPr>
          <w:i/>
          <w:lang w:eastAsia="ko-KR"/>
        </w:rPr>
        <w:t>“Conformance and Interoperability”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032" w:rsidRDefault="002B1A6B" w:rsidP="00C15633">
    <w:pPr>
      <w:pStyle w:val="Header"/>
      <w:tabs>
        <w:tab w:val="center" w:pos="4763"/>
        <w:tab w:val="left" w:pos="5820"/>
      </w:tabs>
      <w:rPr>
        <w:lang w:eastAsia="ko-KR"/>
      </w:rPr>
    </w:pPr>
    <w:r>
      <w:rPr>
        <w:lang w:eastAsia="ko-KR"/>
      </w:rPr>
      <w:tab/>
      <w:t>PP14-2/INP-xx</w:t>
    </w:r>
  </w:p>
  <w:p w:rsidR="008C3032" w:rsidRDefault="007507FE"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61CC"/>
    <w:multiLevelType w:val="hybridMultilevel"/>
    <w:tmpl w:val="29D08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nsid w:val="12EB01F3"/>
    <w:multiLevelType w:val="multilevel"/>
    <w:tmpl w:val="BFDCD2FE"/>
    <w:lvl w:ilvl="0">
      <w:start w:val="1"/>
      <w:numFmt w:val="decimal"/>
      <w:lvlText w:val="%1."/>
      <w:lvlJc w:val="left"/>
      <w:pPr>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
    <w:nsid w:val="190B02AB"/>
    <w:multiLevelType w:val="multilevel"/>
    <w:tmpl w:val="E39A38D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nsid w:val="24EB1039"/>
    <w:multiLevelType w:val="multilevel"/>
    <w:tmpl w:val="2FE02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nsid w:val="3B847199"/>
    <w:multiLevelType w:val="hybridMultilevel"/>
    <w:tmpl w:val="8D7681FC"/>
    <w:lvl w:ilvl="0" w:tplc="04090017">
      <w:start w:val="1"/>
      <w:numFmt w:val="lowerLetter"/>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EA5DE0"/>
    <w:multiLevelType w:val="hybridMultilevel"/>
    <w:tmpl w:val="555E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7E5AE7"/>
    <w:multiLevelType w:val="multilevel"/>
    <w:tmpl w:val="21BED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2041EC"/>
    <w:multiLevelType w:val="multilevel"/>
    <w:tmpl w:val="E39A38D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
    <w:nsid w:val="4FA24FE0"/>
    <w:multiLevelType w:val="hybridMultilevel"/>
    <w:tmpl w:val="03C0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3C4EB6"/>
    <w:multiLevelType w:val="hybridMultilevel"/>
    <w:tmpl w:val="DDACB138"/>
    <w:lvl w:ilvl="0" w:tplc="D9682DB8">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703B58BB"/>
    <w:multiLevelType w:val="multilevel"/>
    <w:tmpl w:val="733E9A3C"/>
    <w:lvl w:ilvl="0">
      <w:start w:val="1"/>
      <w:numFmt w:val="decimal"/>
      <w:lvlText w:val="%1"/>
      <w:lvlJc w:val="left"/>
      <w:pPr>
        <w:ind w:left="795" w:hanging="795"/>
      </w:pPr>
      <w:rPr>
        <w:rFonts w:hint="default"/>
      </w:rPr>
    </w:lvl>
    <w:lvl w:ilvl="1">
      <w:start w:val="1"/>
      <w:numFmt w:val="decimal"/>
      <w:isLgl/>
      <w:lvlText w:val="%1.%2"/>
      <w:lvlJc w:val="left"/>
      <w:pPr>
        <w:ind w:left="795" w:hanging="795"/>
      </w:pPr>
      <w:rPr>
        <w:rFonts w:hint="default"/>
      </w:rPr>
    </w:lvl>
    <w:lvl w:ilvl="2">
      <w:start w:val="1"/>
      <w:numFmt w:val="decimal"/>
      <w:isLgl/>
      <w:lvlText w:val="%1.%2.%3"/>
      <w:lvlJc w:val="left"/>
      <w:pPr>
        <w:ind w:left="795" w:hanging="795"/>
      </w:pPr>
      <w:rPr>
        <w:rFonts w:hint="default"/>
      </w:rPr>
    </w:lvl>
    <w:lvl w:ilvl="3">
      <w:start w:val="1"/>
      <w:numFmt w:val="decimal"/>
      <w:isLgl/>
      <w:lvlText w:val="%1.%2.%3.%4"/>
      <w:lvlJc w:val="left"/>
      <w:pPr>
        <w:ind w:left="795" w:hanging="79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9">
    <w:nsid w:val="7BDC73D0"/>
    <w:multiLevelType w:val="hybridMultilevel"/>
    <w:tmpl w:val="7E6A4B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AF3E5E"/>
    <w:multiLevelType w:val="hybridMultilevel"/>
    <w:tmpl w:val="CA28F8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7FCF0B55"/>
    <w:multiLevelType w:val="multilevel"/>
    <w:tmpl w:val="A19C8C1E"/>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9"/>
  </w:num>
  <w:num w:numId="2">
    <w:abstractNumId w:val="7"/>
  </w:num>
  <w:num w:numId="3">
    <w:abstractNumId w:val="5"/>
  </w:num>
  <w:num w:numId="4">
    <w:abstractNumId w:val="18"/>
  </w:num>
  <w:num w:numId="5">
    <w:abstractNumId w:val="8"/>
  </w:num>
  <w:num w:numId="6">
    <w:abstractNumId w:val="10"/>
  </w:num>
  <w:num w:numId="7">
    <w:abstractNumId w:val="4"/>
  </w:num>
  <w:num w:numId="8">
    <w:abstractNumId w:val="1"/>
  </w:num>
  <w:num w:numId="9">
    <w:abstractNumId w:val="14"/>
  </w:num>
  <w:num w:numId="10">
    <w:abstractNumId w:val="3"/>
  </w:num>
  <w:num w:numId="11">
    <w:abstractNumId w:val="16"/>
  </w:num>
  <w:num w:numId="12">
    <w:abstractNumId w:val="6"/>
  </w:num>
  <w:num w:numId="13">
    <w:abstractNumId w:val="13"/>
  </w:num>
  <w:num w:numId="14">
    <w:abstractNumId w:val="17"/>
  </w:num>
  <w:num w:numId="15">
    <w:abstractNumId w:val="20"/>
  </w:num>
  <w:num w:numId="16">
    <w:abstractNumId w:val="19"/>
  </w:num>
  <w:num w:numId="17">
    <w:abstractNumId w:val="2"/>
  </w:num>
  <w:num w:numId="18">
    <w:abstractNumId w:val="15"/>
  </w:num>
  <w:num w:numId="19">
    <w:abstractNumId w:val="12"/>
  </w:num>
  <w:num w:numId="20">
    <w:abstractNumId w:val="21"/>
  </w:num>
  <w:num w:numId="21">
    <w:abstractNumId w:val="1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D8F"/>
    <w:rsid w:val="000912CA"/>
    <w:rsid w:val="00091488"/>
    <w:rsid w:val="0019609A"/>
    <w:rsid w:val="002B1A6B"/>
    <w:rsid w:val="003701AE"/>
    <w:rsid w:val="003D1ECE"/>
    <w:rsid w:val="00511D8F"/>
    <w:rsid w:val="00567DD5"/>
    <w:rsid w:val="007507FE"/>
    <w:rsid w:val="008C7623"/>
    <w:rsid w:val="00926B4A"/>
    <w:rsid w:val="009C74C9"/>
    <w:rsid w:val="00EA1A8A"/>
    <w:rsid w:val="00FC5D3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D8F"/>
    <w:rPr>
      <w:rFonts w:ascii="Times New Roman" w:eastAsia="BatangChe" w:hAnsi="Times New Roman" w:cs="Times New Roman"/>
      <w:kern w:val="0"/>
      <w:sz w:val="24"/>
      <w:szCs w:val="24"/>
      <w:lang w:eastAsia="en-US"/>
    </w:rPr>
  </w:style>
  <w:style w:type="paragraph" w:styleId="Heading1">
    <w:name w:val="heading 1"/>
    <w:basedOn w:val="Normal"/>
    <w:next w:val="Normal"/>
    <w:link w:val="Heading1Char"/>
    <w:uiPriority w:val="9"/>
    <w:qFormat/>
    <w:rsid w:val="00511D8F"/>
    <w:pPr>
      <w:keepNext/>
      <w:jc w:val="center"/>
      <w:outlineLvl w:val="0"/>
    </w:pPr>
    <w:rPr>
      <w:b/>
      <w:bCs/>
      <w:u w:val="single"/>
    </w:rPr>
  </w:style>
  <w:style w:type="paragraph" w:styleId="Heading2">
    <w:name w:val="heading 2"/>
    <w:basedOn w:val="Normal"/>
    <w:next w:val="Normal"/>
    <w:link w:val="Heading2Char"/>
    <w:semiHidden/>
    <w:unhideWhenUsed/>
    <w:qFormat/>
    <w:rsid w:val="00511D8F"/>
    <w:pPr>
      <w:keepNext/>
      <w:outlineLvl w:val="1"/>
    </w:pPr>
    <w:rPr>
      <w:rFonts w:ascii="Cambria" w:eastAsia="Malgun Gothic" w:hAnsi="Cambria" w:cs="Angsana New"/>
    </w:rPr>
  </w:style>
  <w:style w:type="paragraph" w:styleId="Heading8">
    <w:name w:val="heading 8"/>
    <w:basedOn w:val="Normal"/>
    <w:next w:val="Normal"/>
    <w:link w:val="Heading8Char"/>
    <w:qFormat/>
    <w:rsid w:val="00511D8F"/>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D8F"/>
    <w:rPr>
      <w:rFonts w:ascii="Times New Roman" w:eastAsia="BatangChe" w:hAnsi="Times New Roman" w:cs="Times New Roman"/>
      <w:b/>
      <w:bCs/>
      <w:kern w:val="0"/>
      <w:sz w:val="24"/>
      <w:szCs w:val="24"/>
      <w:u w:val="single"/>
      <w:lang w:eastAsia="en-US"/>
    </w:rPr>
  </w:style>
  <w:style w:type="character" w:customStyle="1" w:styleId="Heading2Char">
    <w:name w:val="Heading 2 Char"/>
    <w:basedOn w:val="DefaultParagraphFont"/>
    <w:link w:val="Heading2"/>
    <w:semiHidden/>
    <w:rsid w:val="00511D8F"/>
    <w:rPr>
      <w:rFonts w:ascii="Cambria" w:eastAsia="Malgun Gothic" w:hAnsi="Cambria" w:cs="Angsana New"/>
      <w:kern w:val="0"/>
      <w:sz w:val="24"/>
      <w:szCs w:val="24"/>
    </w:rPr>
  </w:style>
  <w:style w:type="character" w:customStyle="1" w:styleId="Heading8Char">
    <w:name w:val="Heading 8 Char"/>
    <w:basedOn w:val="DefaultParagraphFont"/>
    <w:link w:val="Heading8"/>
    <w:rsid w:val="00511D8F"/>
    <w:rPr>
      <w:rFonts w:ascii="Times New Roman" w:eastAsia="BatangChe" w:hAnsi="Times New Roman" w:cs="Times New Roman"/>
      <w:b/>
      <w:bCs/>
      <w:szCs w:val="20"/>
    </w:rPr>
  </w:style>
  <w:style w:type="paragraph" w:styleId="Footer">
    <w:name w:val="footer"/>
    <w:basedOn w:val="Normal"/>
    <w:link w:val="FooterChar"/>
    <w:rsid w:val="00511D8F"/>
    <w:pPr>
      <w:tabs>
        <w:tab w:val="center" w:pos="4320"/>
        <w:tab w:val="right" w:pos="8640"/>
      </w:tabs>
    </w:pPr>
  </w:style>
  <w:style w:type="character" w:customStyle="1" w:styleId="FooterChar">
    <w:name w:val="Footer Char"/>
    <w:basedOn w:val="DefaultParagraphFont"/>
    <w:link w:val="Footer"/>
    <w:rsid w:val="00511D8F"/>
    <w:rPr>
      <w:rFonts w:ascii="Times New Roman" w:eastAsia="BatangChe" w:hAnsi="Times New Roman" w:cs="Times New Roman"/>
      <w:kern w:val="0"/>
      <w:sz w:val="24"/>
      <w:szCs w:val="24"/>
      <w:lang w:eastAsia="en-US"/>
    </w:rPr>
  </w:style>
  <w:style w:type="paragraph" w:customStyle="1" w:styleId="a">
    <w:name w:val="표"/>
    <w:basedOn w:val="Normal"/>
    <w:next w:val="Normal"/>
    <w:autoRedefine/>
    <w:rsid w:val="00511D8F"/>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511D8F"/>
  </w:style>
  <w:style w:type="paragraph" w:styleId="NormalIndent">
    <w:name w:val="Normal Indent"/>
    <w:basedOn w:val="Normal"/>
    <w:rsid w:val="00511D8F"/>
    <w:pPr>
      <w:widowControl w:val="0"/>
      <w:wordWrap w:val="0"/>
      <w:ind w:left="851"/>
      <w:jc w:val="both"/>
    </w:pPr>
    <w:rPr>
      <w:kern w:val="2"/>
      <w:sz w:val="20"/>
      <w:szCs w:val="20"/>
      <w:lang w:eastAsia="ko-KR"/>
    </w:rPr>
  </w:style>
  <w:style w:type="paragraph" w:customStyle="1" w:styleId="Note">
    <w:name w:val="Note"/>
    <w:basedOn w:val="Normal"/>
    <w:rsid w:val="00511D8F"/>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link w:val="HeaderChar"/>
    <w:rsid w:val="00511D8F"/>
    <w:pPr>
      <w:tabs>
        <w:tab w:val="center" w:pos="4320"/>
        <w:tab w:val="right" w:pos="8640"/>
      </w:tabs>
    </w:pPr>
  </w:style>
  <w:style w:type="character" w:customStyle="1" w:styleId="HeaderChar">
    <w:name w:val="Header Char"/>
    <w:basedOn w:val="DefaultParagraphFont"/>
    <w:link w:val="Header"/>
    <w:rsid w:val="00511D8F"/>
    <w:rPr>
      <w:rFonts w:ascii="Times New Roman" w:eastAsia="BatangChe" w:hAnsi="Times New Roman" w:cs="Times New Roman"/>
      <w:kern w:val="0"/>
      <w:sz w:val="24"/>
      <w:szCs w:val="24"/>
      <w:lang w:eastAsia="en-US"/>
    </w:rPr>
  </w:style>
  <w:style w:type="paragraph" w:customStyle="1" w:styleId="Equation">
    <w:name w:val="Equation"/>
    <w:basedOn w:val="Normal"/>
    <w:rsid w:val="00511D8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customStyle="1" w:styleId="CharCharChar">
    <w:name w:val="Char Char Char"/>
    <w:basedOn w:val="Normal"/>
    <w:rsid w:val="00511D8F"/>
    <w:pPr>
      <w:tabs>
        <w:tab w:val="left" w:pos="540"/>
        <w:tab w:val="left" w:pos="1260"/>
        <w:tab w:val="left" w:pos="1800"/>
      </w:tabs>
      <w:spacing w:before="240" w:after="160" w:line="240" w:lineRule="exact"/>
    </w:pPr>
    <w:rPr>
      <w:rFonts w:ascii="Verdana" w:eastAsia="Times New Roman" w:hAnsi="Verdana"/>
      <w:szCs w:val="20"/>
    </w:rPr>
  </w:style>
  <w:style w:type="paragraph" w:styleId="ListParagraph">
    <w:name w:val="List Paragraph"/>
    <w:basedOn w:val="Normal"/>
    <w:uiPriority w:val="99"/>
    <w:qFormat/>
    <w:rsid w:val="00511D8F"/>
    <w:pPr>
      <w:ind w:left="720"/>
      <w:contextualSpacing/>
    </w:pPr>
  </w:style>
  <w:style w:type="paragraph" w:styleId="FootnoteText">
    <w:name w:val="footnote text"/>
    <w:basedOn w:val="Normal"/>
    <w:link w:val="FootnoteTextChar"/>
    <w:rsid w:val="00511D8F"/>
  </w:style>
  <w:style w:type="character" w:customStyle="1" w:styleId="FootnoteTextChar">
    <w:name w:val="Footnote Text Char"/>
    <w:basedOn w:val="DefaultParagraphFont"/>
    <w:link w:val="FootnoteText"/>
    <w:rsid w:val="00511D8F"/>
    <w:rPr>
      <w:rFonts w:ascii="Times New Roman" w:eastAsia="BatangChe" w:hAnsi="Times New Roman" w:cs="Times New Roman"/>
      <w:kern w:val="0"/>
      <w:sz w:val="24"/>
      <w:szCs w:val="24"/>
    </w:rPr>
  </w:style>
  <w:style w:type="character" w:styleId="FootnoteReference">
    <w:name w:val="footnote reference"/>
    <w:rsid w:val="00511D8F"/>
    <w:rPr>
      <w:vertAlign w:val="superscript"/>
    </w:rPr>
  </w:style>
  <w:style w:type="table" w:styleId="TableGrid">
    <w:name w:val="Table Grid"/>
    <w:basedOn w:val="TableNormal"/>
    <w:rsid w:val="00511D8F"/>
    <w:rPr>
      <w:rFonts w:ascii="Times New Roman" w:eastAsia="Malgun Gothic"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11D8F"/>
    <w:pPr>
      <w:spacing w:before="100" w:beforeAutospacing="1" w:after="100" w:afterAutospacing="1"/>
    </w:pPr>
    <w:rPr>
      <w:rFonts w:ascii="Times" w:eastAsia="Malgun Gothic" w:hAnsi="Times"/>
      <w:sz w:val="20"/>
      <w:szCs w:val="20"/>
    </w:rPr>
  </w:style>
  <w:style w:type="character" w:customStyle="1" w:styleId="apple-converted-space">
    <w:name w:val="apple-converted-space"/>
    <w:basedOn w:val="DefaultParagraphFont"/>
    <w:rsid w:val="00511D8F"/>
  </w:style>
  <w:style w:type="paragraph" w:customStyle="1" w:styleId="Normalpv">
    <w:name w:val="Normal pv"/>
    <w:rsid w:val="00511D8F"/>
    <w:pPr>
      <w:tabs>
        <w:tab w:val="left" w:pos="794"/>
        <w:tab w:val="left" w:pos="1191"/>
        <w:tab w:val="left" w:pos="1588"/>
        <w:tab w:val="left" w:pos="1985"/>
      </w:tabs>
      <w:spacing w:before="120"/>
    </w:pPr>
    <w:rPr>
      <w:rFonts w:ascii="Lucida Grande" w:eastAsia="ヒラギノ角ゴ Pro W3" w:hAnsi="Lucida Grande" w:cs="Times New Roman"/>
      <w:color w:val="000000"/>
      <w:kern w:val="0"/>
      <w:sz w:val="24"/>
      <w:szCs w:val="20"/>
      <w:lang w:val="en-GB" w:eastAsia="zh-CN"/>
    </w:rPr>
  </w:style>
  <w:style w:type="character" w:customStyle="1" w:styleId="FontStyle21">
    <w:name w:val="Font Style21"/>
    <w:rsid w:val="00511D8F"/>
    <w:rPr>
      <w:rFonts w:ascii="Times New Roman" w:hAnsi="Times New Roman" w:cs="Times New Roman"/>
      <w:sz w:val="22"/>
      <w:szCs w:val="22"/>
    </w:rPr>
  </w:style>
  <w:style w:type="character" w:styleId="Hyperlink">
    <w:name w:val="Hyperlink"/>
    <w:rsid w:val="00511D8F"/>
    <w:rPr>
      <w:color w:val="0000FF"/>
      <w:u w:val="single"/>
    </w:rPr>
  </w:style>
  <w:style w:type="paragraph" w:styleId="TOC1">
    <w:name w:val="toc 1"/>
    <w:basedOn w:val="Normal"/>
    <w:autoRedefine/>
    <w:uiPriority w:val="39"/>
    <w:rsid w:val="00511D8F"/>
    <w:pPr>
      <w:keepLines/>
      <w:tabs>
        <w:tab w:val="left" w:pos="1418"/>
        <w:tab w:val="left" w:leader="dot" w:pos="7371"/>
        <w:tab w:val="right" w:pos="7938"/>
      </w:tabs>
      <w:overflowPunct w:val="0"/>
      <w:autoSpaceDE w:val="0"/>
      <w:autoSpaceDN w:val="0"/>
      <w:adjustRightInd w:val="0"/>
      <w:spacing w:before="120"/>
      <w:ind w:left="1418" w:right="567" w:hanging="1418"/>
      <w:jc w:val="both"/>
      <w:textAlignment w:val="baseline"/>
    </w:pPr>
    <w:rPr>
      <w:rFonts w:ascii="Calibri" w:eastAsia="Batang" w:hAnsi="Calibri"/>
      <w:szCs w:val="20"/>
      <w:lang w:val="en-GB"/>
    </w:rPr>
  </w:style>
  <w:style w:type="character" w:styleId="FollowedHyperlink">
    <w:name w:val="FollowedHyperlink"/>
    <w:rsid w:val="00511D8F"/>
    <w:rPr>
      <w:color w:val="800080"/>
      <w:u w:val="single"/>
    </w:rPr>
  </w:style>
  <w:style w:type="paragraph" w:styleId="Index7">
    <w:name w:val="index 7"/>
    <w:basedOn w:val="Normal"/>
    <w:next w:val="Normal"/>
    <w:rsid w:val="00511D8F"/>
    <w:pPr>
      <w:tabs>
        <w:tab w:val="left" w:pos="567"/>
        <w:tab w:val="left" w:pos="1134"/>
        <w:tab w:val="left" w:pos="1701"/>
        <w:tab w:val="left" w:pos="2268"/>
        <w:tab w:val="left" w:pos="2835"/>
      </w:tabs>
      <w:overflowPunct w:val="0"/>
      <w:autoSpaceDE w:val="0"/>
      <w:autoSpaceDN w:val="0"/>
      <w:adjustRightInd w:val="0"/>
      <w:spacing w:before="120"/>
      <w:ind w:left="1698"/>
      <w:textAlignment w:val="baseline"/>
    </w:pPr>
    <w:rPr>
      <w:rFonts w:ascii="Calibri" w:eastAsia="Times New Roman" w:hAnsi="Calibri"/>
      <w:szCs w:val="20"/>
      <w:lang w:val="en-GB"/>
    </w:rPr>
  </w:style>
  <w:style w:type="paragraph" w:customStyle="1" w:styleId="Appendixref">
    <w:name w:val="Appendix_ref"/>
    <w:basedOn w:val="Normal"/>
    <w:next w:val="Normal"/>
    <w:rsid w:val="00511D8F"/>
    <w:pPr>
      <w:keepNext/>
      <w:keepLines/>
      <w:tabs>
        <w:tab w:val="left" w:pos="1134"/>
        <w:tab w:val="left" w:pos="1871"/>
        <w:tab w:val="left" w:pos="2268"/>
      </w:tabs>
      <w:overflowPunct w:val="0"/>
      <w:autoSpaceDE w:val="0"/>
      <w:autoSpaceDN w:val="0"/>
      <w:adjustRightInd w:val="0"/>
      <w:spacing w:before="120" w:after="280"/>
      <w:jc w:val="center"/>
      <w:textAlignment w:val="baseline"/>
    </w:pPr>
    <w:rPr>
      <w:rFonts w:ascii="Calibri" w:eastAsia="Times New Roman" w:hAnsi="Calibri"/>
      <w:szCs w:val="20"/>
      <w:lang w:val="en-GB"/>
    </w:rPr>
  </w:style>
  <w:style w:type="character" w:customStyle="1" w:styleId="Artdef">
    <w:name w:val="Art_def"/>
    <w:rsid w:val="00511D8F"/>
    <w:rPr>
      <w:rFonts w:ascii="Calibri" w:hAnsi="Calibri"/>
      <w:b/>
    </w:rPr>
  </w:style>
  <w:style w:type="paragraph" w:customStyle="1" w:styleId="Proposal">
    <w:name w:val="Proposal"/>
    <w:basedOn w:val="Normal"/>
    <w:next w:val="Normal"/>
    <w:rsid w:val="00511D8F"/>
    <w:pPr>
      <w:keepNext/>
      <w:tabs>
        <w:tab w:val="left" w:pos="1134"/>
        <w:tab w:val="left" w:pos="1871"/>
        <w:tab w:val="left" w:pos="2268"/>
      </w:tabs>
      <w:overflowPunct w:val="0"/>
      <w:autoSpaceDE w:val="0"/>
      <w:autoSpaceDN w:val="0"/>
      <w:adjustRightInd w:val="0"/>
      <w:spacing w:before="240"/>
      <w:textAlignment w:val="baseline"/>
    </w:pPr>
    <w:rPr>
      <w:rFonts w:ascii="Calibri" w:eastAsia="Times New Roman" w:hAnsi="Times New Roman Bold"/>
      <w:szCs w:val="20"/>
      <w:lang w:val="en-GB"/>
    </w:rPr>
  </w:style>
  <w:style w:type="paragraph" w:styleId="BalloonText">
    <w:name w:val="Balloon Text"/>
    <w:basedOn w:val="Normal"/>
    <w:link w:val="BalloonTextChar"/>
    <w:rsid w:val="00511D8F"/>
    <w:rPr>
      <w:rFonts w:ascii="Lucida Grande" w:hAnsi="Lucida Grande" w:cs="Lucida Grande"/>
      <w:sz w:val="18"/>
      <w:szCs w:val="18"/>
    </w:rPr>
  </w:style>
  <w:style w:type="character" w:customStyle="1" w:styleId="BalloonTextChar">
    <w:name w:val="Balloon Text Char"/>
    <w:basedOn w:val="DefaultParagraphFont"/>
    <w:link w:val="BalloonText"/>
    <w:rsid w:val="00511D8F"/>
    <w:rPr>
      <w:rFonts w:ascii="Lucida Grande" w:eastAsia="BatangChe" w:hAnsi="Lucida Grande" w:cs="Lucida Grande"/>
      <w:kern w:val="0"/>
      <w:sz w:val="18"/>
      <w:szCs w:val="18"/>
    </w:rPr>
  </w:style>
  <w:style w:type="character" w:styleId="CommentReference">
    <w:name w:val="annotation reference"/>
    <w:rsid w:val="00511D8F"/>
    <w:rPr>
      <w:sz w:val="18"/>
      <w:szCs w:val="18"/>
    </w:rPr>
  </w:style>
  <w:style w:type="paragraph" w:styleId="CommentText">
    <w:name w:val="annotation text"/>
    <w:basedOn w:val="Normal"/>
    <w:link w:val="CommentTextChar"/>
    <w:rsid w:val="00511D8F"/>
  </w:style>
  <w:style w:type="character" w:customStyle="1" w:styleId="CommentTextChar">
    <w:name w:val="Comment Text Char"/>
    <w:basedOn w:val="DefaultParagraphFont"/>
    <w:link w:val="CommentText"/>
    <w:rsid w:val="00511D8F"/>
    <w:rPr>
      <w:rFonts w:ascii="Times New Roman" w:eastAsia="BatangChe" w:hAnsi="Times New Roman" w:cs="Times New Roman"/>
      <w:kern w:val="0"/>
      <w:sz w:val="24"/>
      <w:szCs w:val="24"/>
    </w:rPr>
  </w:style>
  <w:style w:type="paragraph" w:styleId="CommentSubject">
    <w:name w:val="annotation subject"/>
    <w:basedOn w:val="CommentText"/>
    <w:next w:val="CommentText"/>
    <w:link w:val="CommentSubjectChar"/>
    <w:rsid w:val="00511D8F"/>
    <w:rPr>
      <w:b/>
      <w:bCs/>
    </w:rPr>
  </w:style>
  <w:style w:type="character" w:customStyle="1" w:styleId="CommentSubjectChar">
    <w:name w:val="Comment Subject Char"/>
    <w:basedOn w:val="CommentTextChar"/>
    <w:link w:val="CommentSubject"/>
    <w:rsid w:val="00511D8F"/>
    <w:rPr>
      <w:rFonts w:ascii="Times New Roman" w:eastAsia="BatangChe" w:hAnsi="Times New Roman" w:cs="Times New Roman"/>
      <w:b/>
      <w:bCs/>
      <w:kern w:val="0"/>
      <w:sz w:val="24"/>
      <w:szCs w:val="24"/>
    </w:rPr>
  </w:style>
  <w:style w:type="paragraph" w:styleId="Revision">
    <w:name w:val="Revision"/>
    <w:hidden/>
    <w:uiPriority w:val="99"/>
    <w:semiHidden/>
    <w:rsid w:val="00511D8F"/>
    <w:rPr>
      <w:rFonts w:ascii="Times New Roman" w:eastAsia="BatangChe" w:hAnsi="Times New Roman" w:cs="Times New Roman"/>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D8F"/>
    <w:rPr>
      <w:rFonts w:ascii="Times New Roman" w:eastAsia="BatangChe" w:hAnsi="Times New Roman" w:cs="Times New Roman"/>
      <w:kern w:val="0"/>
      <w:sz w:val="24"/>
      <w:szCs w:val="24"/>
      <w:lang w:eastAsia="en-US"/>
    </w:rPr>
  </w:style>
  <w:style w:type="paragraph" w:styleId="Heading1">
    <w:name w:val="heading 1"/>
    <w:basedOn w:val="Normal"/>
    <w:next w:val="Normal"/>
    <w:link w:val="Heading1Char"/>
    <w:uiPriority w:val="9"/>
    <w:qFormat/>
    <w:rsid w:val="00511D8F"/>
    <w:pPr>
      <w:keepNext/>
      <w:jc w:val="center"/>
      <w:outlineLvl w:val="0"/>
    </w:pPr>
    <w:rPr>
      <w:b/>
      <w:bCs/>
      <w:u w:val="single"/>
    </w:rPr>
  </w:style>
  <w:style w:type="paragraph" w:styleId="Heading2">
    <w:name w:val="heading 2"/>
    <w:basedOn w:val="Normal"/>
    <w:next w:val="Normal"/>
    <w:link w:val="Heading2Char"/>
    <w:semiHidden/>
    <w:unhideWhenUsed/>
    <w:qFormat/>
    <w:rsid w:val="00511D8F"/>
    <w:pPr>
      <w:keepNext/>
      <w:outlineLvl w:val="1"/>
    </w:pPr>
    <w:rPr>
      <w:rFonts w:ascii="Cambria" w:eastAsia="Malgun Gothic" w:hAnsi="Cambria" w:cs="Angsana New"/>
    </w:rPr>
  </w:style>
  <w:style w:type="paragraph" w:styleId="Heading8">
    <w:name w:val="heading 8"/>
    <w:basedOn w:val="Normal"/>
    <w:next w:val="Normal"/>
    <w:link w:val="Heading8Char"/>
    <w:qFormat/>
    <w:rsid w:val="00511D8F"/>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D8F"/>
    <w:rPr>
      <w:rFonts w:ascii="Times New Roman" w:eastAsia="BatangChe" w:hAnsi="Times New Roman" w:cs="Times New Roman"/>
      <w:b/>
      <w:bCs/>
      <w:kern w:val="0"/>
      <w:sz w:val="24"/>
      <w:szCs w:val="24"/>
      <w:u w:val="single"/>
      <w:lang w:eastAsia="en-US"/>
    </w:rPr>
  </w:style>
  <w:style w:type="character" w:customStyle="1" w:styleId="Heading2Char">
    <w:name w:val="Heading 2 Char"/>
    <w:basedOn w:val="DefaultParagraphFont"/>
    <w:link w:val="Heading2"/>
    <w:semiHidden/>
    <w:rsid w:val="00511D8F"/>
    <w:rPr>
      <w:rFonts w:ascii="Cambria" w:eastAsia="Malgun Gothic" w:hAnsi="Cambria" w:cs="Angsana New"/>
      <w:kern w:val="0"/>
      <w:sz w:val="24"/>
      <w:szCs w:val="24"/>
    </w:rPr>
  </w:style>
  <w:style w:type="character" w:customStyle="1" w:styleId="Heading8Char">
    <w:name w:val="Heading 8 Char"/>
    <w:basedOn w:val="DefaultParagraphFont"/>
    <w:link w:val="Heading8"/>
    <w:rsid w:val="00511D8F"/>
    <w:rPr>
      <w:rFonts w:ascii="Times New Roman" w:eastAsia="BatangChe" w:hAnsi="Times New Roman" w:cs="Times New Roman"/>
      <w:b/>
      <w:bCs/>
      <w:szCs w:val="20"/>
    </w:rPr>
  </w:style>
  <w:style w:type="paragraph" w:styleId="Footer">
    <w:name w:val="footer"/>
    <w:basedOn w:val="Normal"/>
    <w:link w:val="FooterChar"/>
    <w:rsid w:val="00511D8F"/>
    <w:pPr>
      <w:tabs>
        <w:tab w:val="center" w:pos="4320"/>
        <w:tab w:val="right" w:pos="8640"/>
      </w:tabs>
    </w:pPr>
  </w:style>
  <w:style w:type="character" w:customStyle="1" w:styleId="FooterChar">
    <w:name w:val="Footer Char"/>
    <w:basedOn w:val="DefaultParagraphFont"/>
    <w:link w:val="Footer"/>
    <w:rsid w:val="00511D8F"/>
    <w:rPr>
      <w:rFonts w:ascii="Times New Roman" w:eastAsia="BatangChe" w:hAnsi="Times New Roman" w:cs="Times New Roman"/>
      <w:kern w:val="0"/>
      <w:sz w:val="24"/>
      <w:szCs w:val="24"/>
      <w:lang w:eastAsia="en-US"/>
    </w:rPr>
  </w:style>
  <w:style w:type="paragraph" w:customStyle="1" w:styleId="a">
    <w:name w:val="표"/>
    <w:basedOn w:val="Normal"/>
    <w:next w:val="Normal"/>
    <w:autoRedefine/>
    <w:rsid w:val="00511D8F"/>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511D8F"/>
  </w:style>
  <w:style w:type="paragraph" w:styleId="NormalIndent">
    <w:name w:val="Normal Indent"/>
    <w:basedOn w:val="Normal"/>
    <w:rsid w:val="00511D8F"/>
    <w:pPr>
      <w:widowControl w:val="0"/>
      <w:wordWrap w:val="0"/>
      <w:ind w:left="851"/>
      <w:jc w:val="both"/>
    </w:pPr>
    <w:rPr>
      <w:kern w:val="2"/>
      <w:sz w:val="20"/>
      <w:szCs w:val="20"/>
      <w:lang w:eastAsia="ko-KR"/>
    </w:rPr>
  </w:style>
  <w:style w:type="paragraph" w:customStyle="1" w:styleId="Note">
    <w:name w:val="Note"/>
    <w:basedOn w:val="Normal"/>
    <w:rsid w:val="00511D8F"/>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link w:val="HeaderChar"/>
    <w:rsid w:val="00511D8F"/>
    <w:pPr>
      <w:tabs>
        <w:tab w:val="center" w:pos="4320"/>
        <w:tab w:val="right" w:pos="8640"/>
      </w:tabs>
    </w:pPr>
  </w:style>
  <w:style w:type="character" w:customStyle="1" w:styleId="HeaderChar">
    <w:name w:val="Header Char"/>
    <w:basedOn w:val="DefaultParagraphFont"/>
    <w:link w:val="Header"/>
    <w:rsid w:val="00511D8F"/>
    <w:rPr>
      <w:rFonts w:ascii="Times New Roman" w:eastAsia="BatangChe" w:hAnsi="Times New Roman" w:cs="Times New Roman"/>
      <w:kern w:val="0"/>
      <w:sz w:val="24"/>
      <w:szCs w:val="24"/>
      <w:lang w:eastAsia="en-US"/>
    </w:rPr>
  </w:style>
  <w:style w:type="paragraph" w:customStyle="1" w:styleId="Equation">
    <w:name w:val="Equation"/>
    <w:basedOn w:val="Normal"/>
    <w:rsid w:val="00511D8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customStyle="1" w:styleId="CharCharChar">
    <w:name w:val="Char Char Char"/>
    <w:basedOn w:val="Normal"/>
    <w:rsid w:val="00511D8F"/>
    <w:pPr>
      <w:tabs>
        <w:tab w:val="left" w:pos="540"/>
        <w:tab w:val="left" w:pos="1260"/>
        <w:tab w:val="left" w:pos="1800"/>
      </w:tabs>
      <w:spacing w:before="240" w:after="160" w:line="240" w:lineRule="exact"/>
    </w:pPr>
    <w:rPr>
      <w:rFonts w:ascii="Verdana" w:eastAsia="Times New Roman" w:hAnsi="Verdana"/>
      <w:szCs w:val="20"/>
    </w:rPr>
  </w:style>
  <w:style w:type="paragraph" w:styleId="ListParagraph">
    <w:name w:val="List Paragraph"/>
    <w:basedOn w:val="Normal"/>
    <w:uiPriority w:val="99"/>
    <w:qFormat/>
    <w:rsid w:val="00511D8F"/>
    <w:pPr>
      <w:ind w:left="720"/>
      <w:contextualSpacing/>
    </w:pPr>
  </w:style>
  <w:style w:type="paragraph" w:styleId="FootnoteText">
    <w:name w:val="footnote text"/>
    <w:basedOn w:val="Normal"/>
    <w:link w:val="FootnoteTextChar"/>
    <w:rsid w:val="00511D8F"/>
  </w:style>
  <w:style w:type="character" w:customStyle="1" w:styleId="FootnoteTextChar">
    <w:name w:val="Footnote Text Char"/>
    <w:basedOn w:val="DefaultParagraphFont"/>
    <w:link w:val="FootnoteText"/>
    <w:rsid w:val="00511D8F"/>
    <w:rPr>
      <w:rFonts w:ascii="Times New Roman" w:eastAsia="BatangChe" w:hAnsi="Times New Roman" w:cs="Times New Roman"/>
      <w:kern w:val="0"/>
      <w:sz w:val="24"/>
      <w:szCs w:val="24"/>
    </w:rPr>
  </w:style>
  <w:style w:type="character" w:styleId="FootnoteReference">
    <w:name w:val="footnote reference"/>
    <w:rsid w:val="00511D8F"/>
    <w:rPr>
      <w:vertAlign w:val="superscript"/>
    </w:rPr>
  </w:style>
  <w:style w:type="table" w:styleId="TableGrid">
    <w:name w:val="Table Grid"/>
    <w:basedOn w:val="TableNormal"/>
    <w:rsid w:val="00511D8F"/>
    <w:rPr>
      <w:rFonts w:ascii="Times New Roman" w:eastAsia="Malgun Gothic"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11D8F"/>
    <w:pPr>
      <w:spacing w:before="100" w:beforeAutospacing="1" w:after="100" w:afterAutospacing="1"/>
    </w:pPr>
    <w:rPr>
      <w:rFonts w:ascii="Times" w:eastAsia="Malgun Gothic" w:hAnsi="Times"/>
      <w:sz w:val="20"/>
      <w:szCs w:val="20"/>
    </w:rPr>
  </w:style>
  <w:style w:type="character" w:customStyle="1" w:styleId="apple-converted-space">
    <w:name w:val="apple-converted-space"/>
    <w:basedOn w:val="DefaultParagraphFont"/>
    <w:rsid w:val="00511D8F"/>
  </w:style>
  <w:style w:type="paragraph" w:customStyle="1" w:styleId="Normalpv">
    <w:name w:val="Normal pv"/>
    <w:rsid w:val="00511D8F"/>
    <w:pPr>
      <w:tabs>
        <w:tab w:val="left" w:pos="794"/>
        <w:tab w:val="left" w:pos="1191"/>
        <w:tab w:val="left" w:pos="1588"/>
        <w:tab w:val="left" w:pos="1985"/>
      </w:tabs>
      <w:spacing w:before="120"/>
    </w:pPr>
    <w:rPr>
      <w:rFonts w:ascii="Lucida Grande" w:eastAsia="ヒラギノ角ゴ Pro W3" w:hAnsi="Lucida Grande" w:cs="Times New Roman"/>
      <w:color w:val="000000"/>
      <w:kern w:val="0"/>
      <w:sz w:val="24"/>
      <w:szCs w:val="20"/>
      <w:lang w:val="en-GB" w:eastAsia="zh-CN"/>
    </w:rPr>
  </w:style>
  <w:style w:type="character" w:customStyle="1" w:styleId="FontStyle21">
    <w:name w:val="Font Style21"/>
    <w:rsid w:val="00511D8F"/>
    <w:rPr>
      <w:rFonts w:ascii="Times New Roman" w:hAnsi="Times New Roman" w:cs="Times New Roman"/>
      <w:sz w:val="22"/>
      <w:szCs w:val="22"/>
    </w:rPr>
  </w:style>
  <w:style w:type="character" w:styleId="Hyperlink">
    <w:name w:val="Hyperlink"/>
    <w:rsid w:val="00511D8F"/>
    <w:rPr>
      <w:color w:val="0000FF"/>
      <w:u w:val="single"/>
    </w:rPr>
  </w:style>
  <w:style w:type="paragraph" w:styleId="TOC1">
    <w:name w:val="toc 1"/>
    <w:basedOn w:val="Normal"/>
    <w:autoRedefine/>
    <w:uiPriority w:val="39"/>
    <w:rsid w:val="00511D8F"/>
    <w:pPr>
      <w:keepLines/>
      <w:tabs>
        <w:tab w:val="left" w:pos="1418"/>
        <w:tab w:val="left" w:leader="dot" w:pos="7371"/>
        <w:tab w:val="right" w:pos="7938"/>
      </w:tabs>
      <w:overflowPunct w:val="0"/>
      <w:autoSpaceDE w:val="0"/>
      <w:autoSpaceDN w:val="0"/>
      <w:adjustRightInd w:val="0"/>
      <w:spacing w:before="120"/>
      <w:ind w:left="1418" w:right="567" w:hanging="1418"/>
      <w:jc w:val="both"/>
      <w:textAlignment w:val="baseline"/>
    </w:pPr>
    <w:rPr>
      <w:rFonts w:ascii="Calibri" w:eastAsia="Batang" w:hAnsi="Calibri"/>
      <w:szCs w:val="20"/>
      <w:lang w:val="en-GB"/>
    </w:rPr>
  </w:style>
  <w:style w:type="character" w:styleId="FollowedHyperlink">
    <w:name w:val="FollowedHyperlink"/>
    <w:rsid w:val="00511D8F"/>
    <w:rPr>
      <w:color w:val="800080"/>
      <w:u w:val="single"/>
    </w:rPr>
  </w:style>
  <w:style w:type="paragraph" w:styleId="Index7">
    <w:name w:val="index 7"/>
    <w:basedOn w:val="Normal"/>
    <w:next w:val="Normal"/>
    <w:rsid w:val="00511D8F"/>
    <w:pPr>
      <w:tabs>
        <w:tab w:val="left" w:pos="567"/>
        <w:tab w:val="left" w:pos="1134"/>
        <w:tab w:val="left" w:pos="1701"/>
        <w:tab w:val="left" w:pos="2268"/>
        <w:tab w:val="left" w:pos="2835"/>
      </w:tabs>
      <w:overflowPunct w:val="0"/>
      <w:autoSpaceDE w:val="0"/>
      <w:autoSpaceDN w:val="0"/>
      <w:adjustRightInd w:val="0"/>
      <w:spacing w:before="120"/>
      <w:ind w:left="1698"/>
      <w:textAlignment w:val="baseline"/>
    </w:pPr>
    <w:rPr>
      <w:rFonts w:ascii="Calibri" w:eastAsia="Times New Roman" w:hAnsi="Calibri"/>
      <w:szCs w:val="20"/>
      <w:lang w:val="en-GB"/>
    </w:rPr>
  </w:style>
  <w:style w:type="paragraph" w:customStyle="1" w:styleId="Appendixref">
    <w:name w:val="Appendix_ref"/>
    <w:basedOn w:val="Normal"/>
    <w:next w:val="Normal"/>
    <w:rsid w:val="00511D8F"/>
    <w:pPr>
      <w:keepNext/>
      <w:keepLines/>
      <w:tabs>
        <w:tab w:val="left" w:pos="1134"/>
        <w:tab w:val="left" w:pos="1871"/>
        <w:tab w:val="left" w:pos="2268"/>
      </w:tabs>
      <w:overflowPunct w:val="0"/>
      <w:autoSpaceDE w:val="0"/>
      <w:autoSpaceDN w:val="0"/>
      <w:adjustRightInd w:val="0"/>
      <w:spacing w:before="120" w:after="280"/>
      <w:jc w:val="center"/>
      <w:textAlignment w:val="baseline"/>
    </w:pPr>
    <w:rPr>
      <w:rFonts w:ascii="Calibri" w:eastAsia="Times New Roman" w:hAnsi="Calibri"/>
      <w:szCs w:val="20"/>
      <w:lang w:val="en-GB"/>
    </w:rPr>
  </w:style>
  <w:style w:type="character" w:customStyle="1" w:styleId="Artdef">
    <w:name w:val="Art_def"/>
    <w:rsid w:val="00511D8F"/>
    <w:rPr>
      <w:rFonts w:ascii="Calibri" w:hAnsi="Calibri"/>
      <w:b/>
    </w:rPr>
  </w:style>
  <w:style w:type="paragraph" w:customStyle="1" w:styleId="Proposal">
    <w:name w:val="Proposal"/>
    <w:basedOn w:val="Normal"/>
    <w:next w:val="Normal"/>
    <w:rsid w:val="00511D8F"/>
    <w:pPr>
      <w:keepNext/>
      <w:tabs>
        <w:tab w:val="left" w:pos="1134"/>
        <w:tab w:val="left" w:pos="1871"/>
        <w:tab w:val="left" w:pos="2268"/>
      </w:tabs>
      <w:overflowPunct w:val="0"/>
      <w:autoSpaceDE w:val="0"/>
      <w:autoSpaceDN w:val="0"/>
      <w:adjustRightInd w:val="0"/>
      <w:spacing w:before="240"/>
      <w:textAlignment w:val="baseline"/>
    </w:pPr>
    <w:rPr>
      <w:rFonts w:ascii="Calibri" w:eastAsia="Times New Roman" w:hAnsi="Times New Roman Bold"/>
      <w:szCs w:val="20"/>
      <w:lang w:val="en-GB"/>
    </w:rPr>
  </w:style>
  <w:style w:type="paragraph" w:styleId="BalloonText">
    <w:name w:val="Balloon Text"/>
    <w:basedOn w:val="Normal"/>
    <w:link w:val="BalloonTextChar"/>
    <w:rsid w:val="00511D8F"/>
    <w:rPr>
      <w:rFonts w:ascii="Lucida Grande" w:hAnsi="Lucida Grande" w:cs="Lucida Grande"/>
      <w:sz w:val="18"/>
      <w:szCs w:val="18"/>
    </w:rPr>
  </w:style>
  <w:style w:type="character" w:customStyle="1" w:styleId="BalloonTextChar">
    <w:name w:val="Balloon Text Char"/>
    <w:basedOn w:val="DefaultParagraphFont"/>
    <w:link w:val="BalloonText"/>
    <w:rsid w:val="00511D8F"/>
    <w:rPr>
      <w:rFonts w:ascii="Lucida Grande" w:eastAsia="BatangChe" w:hAnsi="Lucida Grande" w:cs="Lucida Grande"/>
      <w:kern w:val="0"/>
      <w:sz w:val="18"/>
      <w:szCs w:val="18"/>
    </w:rPr>
  </w:style>
  <w:style w:type="character" w:styleId="CommentReference">
    <w:name w:val="annotation reference"/>
    <w:rsid w:val="00511D8F"/>
    <w:rPr>
      <w:sz w:val="18"/>
      <w:szCs w:val="18"/>
    </w:rPr>
  </w:style>
  <w:style w:type="paragraph" w:styleId="CommentText">
    <w:name w:val="annotation text"/>
    <w:basedOn w:val="Normal"/>
    <w:link w:val="CommentTextChar"/>
    <w:rsid w:val="00511D8F"/>
  </w:style>
  <w:style w:type="character" w:customStyle="1" w:styleId="CommentTextChar">
    <w:name w:val="Comment Text Char"/>
    <w:basedOn w:val="DefaultParagraphFont"/>
    <w:link w:val="CommentText"/>
    <w:rsid w:val="00511D8F"/>
    <w:rPr>
      <w:rFonts w:ascii="Times New Roman" w:eastAsia="BatangChe" w:hAnsi="Times New Roman" w:cs="Times New Roman"/>
      <w:kern w:val="0"/>
      <w:sz w:val="24"/>
      <w:szCs w:val="24"/>
    </w:rPr>
  </w:style>
  <w:style w:type="paragraph" w:styleId="CommentSubject">
    <w:name w:val="annotation subject"/>
    <w:basedOn w:val="CommentText"/>
    <w:next w:val="CommentText"/>
    <w:link w:val="CommentSubjectChar"/>
    <w:rsid w:val="00511D8F"/>
    <w:rPr>
      <w:b/>
      <w:bCs/>
    </w:rPr>
  </w:style>
  <w:style w:type="character" w:customStyle="1" w:styleId="CommentSubjectChar">
    <w:name w:val="Comment Subject Char"/>
    <w:basedOn w:val="CommentTextChar"/>
    <w:link w:val="CommentSubject"/>
    <w:rsid w:val="00511D8F"/>
    <w:rPr>
      <w:rFonts w:ascii="Times New Roman" w:eastAsia="BatangChe" w:hAnsi="Times New Roman" w:cs="Times New Roman"/>
      <w:b/>
      <w:bCs/>
      <w:kern w:val="0"/>
      <w:sz w:val="24"/>
      <w:szCs w:val="24"/>
    </w:rPr>
  </w:style>
  <w:style w:type="paragraph" w:styleId="Revision">
    <w:name w:val="Revision"/>
    <w:hidden/>
    <w:uiPriority w:val="99"/>
    <w:semiHidden/>
    <w:rsid w:val="00511D8F"/>
    <w:rPr>
      <w:rFonts w:ascii="Times New Roman" w:eastAsia="BatangChe" w:hAnsi="Times New Roman" w:cs="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13-WTPF13-C-0005/en" TargetMode="External"/><Relationship Id="rId18" Type="http://schemas.openxmlformats.org/officeDocument/2006/relationships/hyperlink" Target="http://www.unidroit.org/english/conventions/mobile-equipment/main.htm" TargetMode="External"/><Relationship Id="rId26" Type="http://schemas.openxmlformats.org/officeDocument/2006/relationships/hyperlink" Target="http://www.itu.int/md/S13-CL-C-0024/en" TargetMode="External"/><Relationship Id="rId3" Type="http://schemas.microsoft.com/office/2007/relationships/stylesWithEffects" Target="stylesWithEffects.xml"/><Relationship Id="rId21" Type="http://schemas.openxmlformats.org/officeDocument/2006/relationships/hyperlink" Target="http://www.itu.int/md/S11-CL-C-0026/e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md/S13-CL-C-0108/en" TargetMode="External"/><Relationship Id="rId17" Type="http://schemas.openxmlformats.org/officeDocument/2006/relationships/hyperlink" Target="http://www.unidroit.org/english/conventions/mobile-equipment/main.htm" TargetMode="External"/><Relationship Id="rId25" Type="http://schemas.openxmlformats.org/officeDocument/2006/relationships/hyperlink" Target="http://www.itu.int/md/S12-CL-C-0037/en"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tu.int/council/C2011/link/026e_protocol.pdf" TargetMode="External"/><Relationship Id="rId20" Type="http://schemas.openxmlformats.org/officeDocument/2006/relationships/hyperlink" Target="http://www.unidroit.org/english/documents/2011/study72j/cge-session5/cge-5-report-e.pdf" TargetMode="External"/><Relationship Id="rId29" Type="http://schemas.openxmlformats.org/officeDocument/2006/relationships/hyperlink" Target="http://www.itu.int/en/ITU-T/jca/iot/Pages/default.asp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md/S11-CL-C-0095/en" TargetMode="External"/><Relationship Id="rId24" Type="http://schemas.openxmlformats.org/officeDocument/2006/relationships/hyperlink" Target="http://www.itu.int/md/S13-CL-C-0089/en" TargetMode="External"/><Relationship Id="rId32" Type="http://schemas.openxmlformats.org/officeDocument/2006/relationships/hyperlink" Target="mailto:m3.ichikawa@soumu.go.jp"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pub/S-CONF-WCIT-2012/en" TargetMode="External"/><Relationship Id="rId23" Type="http://schemas.openxmlformats.org/officeDocument/2006/relationships/hyperlink" Target="http://www.itu.int/md/S13-CL-C-0055/en" TargetMode="External"/><Relationship Id="rId28" Type="http://schemas.openxmlformats.org/officeDocument/2006/relationships/hyperlink" Target="http://www.apt.int/sites/default/files/2013/04/PP14-1-INP-09Rev.1_KOR-2.docx" TargetMode="External"/><Relationship Id="rId36" Type="http://schemas.openxmlformats.org/officeDocument/2006/relationships/footer" Target="footer3.xml"/><Relationship Id="rId10" Type="http://schemas.openxmlformats.org/officeDocument/2006/relationships/hyperlink" Target="http://www.itu.int/pub/S-CONF-WCIT-2012/en" TargetMode="External"/><Relationship Id="rId19" Type="http://schemas.openxmlformats.org/officeDocument/2006/relationships/hyperlink" Target="http://www.itu.int/council/C2011/link/026e_protocol.pdf" TargetMode="External"/><Relationship Id="rId31" Type="http://schemas.openxmlformats.org/officeDocument/2006/relationships/hyperlink" Target="mailto:leesh@msip.go.kr" TargetMode="External"/><Relationship Id="rId4" Type="http://schemas.openxmlformats.org/officeDocument/2006/relationships/settings" Target="settings.xml"/><Relationship Id="rId9" Type="http://schemas.openxmlformats.org/officeDocument/2006/relationships/hyperlink" Target="http://www.itu.int/md/S09-CL-C-0009/en" TargetMode="External"/><Relationship Id="rId14" Type="http://schemas.openxmlformats.org/officeDocument/2006/relationships/hyperlink" Target="http://www.itu.int/md/S13-CL-C-0064/en" TargetMode="External"/><Relationship Id="rId22" Type="http://schemas.openxmlformats.org/officeDocument/2006/relationships/hyperlink" Target="http://www.itu.int/md/S12-CL-C-0036/en" TargetMode="External"/><Relationship Id="rId27" Type="http://schemas.openxmlformats.org/officeDocument/2006/relationships/hyperlink" Target="http://www.apt.int/sites/default/files/2013/04/PP14-1-INP-08Rev.1_KOR-1.docx" TargetMode="External"/><Relationship Id="rId30" Type="http://schemas.openxmlformats.org/officeDocument/2006/relationships/hyperlink" Target="mailto:aptpp@apt.int" TargetMode="External"/><Relationship Id="rId35"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5904</Words>
  <Characters>33659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Forhadul Parvez</cp:lastModifiedBy>
  <cp:revision>2</cp:revision>
  <dcterms:created xsi:type="dcterms:W3CDTF">2013-09-30T02:45:00Z</dcterms:created>
  <dcterms:modified xsi:type="dcterms:W3CDTF">2013-09-30T02:45:00Z</dcterms:modified>
</cp:coreProperties>
</file>