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A3307A" w:rsidRPr="00A3307A" w14:paraId="0DA431BF" w14:textId="77777777" w:rsidTr="00FE179D">
        <w:trPr>
          <w:cantSplit/>
        </w:trPr>
        <w:tc>
          <w:tcPr>
            <w:tcW w:w="1530" w:type="dxa"/>
            <w:vMerge w:val="restart"/>
            <w:tcBorders>
              <w:top w:val="nil"/>
              <w:left w:val="nil"/>
              <w:bottom w:val="nil"/>
              <w:right w:val="nil"/>
            </w:tcBorders>
          </w:tcPr>
          <w:p w14:paraId="34A558CF" w14:textId="77777777" w:rsidR="00DA7595" w:rsidRPr="00A3307A"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r w:rsidRPr="00A3307A">
              <w:rPr>
                <w:kern w:val="2"/>
                <w:sz w:val="24"/>
                <w:szCs w:val="24"/>
                <w:lang w:eastAsia="en-US"/>
              </w:rPr>
              <w:drawing>
                <wp:inline distT="0" distB="0" distL="0" distR="0" wp14:anchorId="31641820" wp14:editId="67FE537F">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14:paraId="464CBA91" w14:textId="77777777" w:rsidR="00DA7595" w:rsidRPr="00A3307A" w:rsidRDefault="00DA7595" w:rsidP="0045458F">
            <w:pPr>
              <w:rPr>
                <w:sz w:val="22"/>
                <w:szCs w:val="22"/>
              </w:rPr>
            </w:pPr>
            <w:r w:rsidRPr="00A3307A">
              <w:rPr>
                <w:sz w:val="22"/>
                <w:szCs w:val="22"/>
              </w:rPr>
              <w:t>ASIA-PACIFIC TELECOMMUNITY</w:t>
            </w:r>
          </w:p>
        </w:tc>
        <w:tc>
          <w:tcPr>
            <w:tcW w:w="1661" w:type="dxa"/>
            <w:gridSpan w:val="2"/>
            <w:tcBorders>
              <w:top w:val="nil"/>
              <w:left w:val="nil"/>
              <w:bottom w:val="nil"/>
              <w:right w:val="nil"/>
            </w:tcBorders>
          </w:tcPr>
          <w:p w14:paraId="089E1D74" w14:textId="77777777" w:rsidR="00DA7595" w:rsidRPr="00A3307A" w:rsidRDefault="00DA7595" w:rsidP="0045458F"/>
        </w:tc>
        <w:tc>
          <w:tcPr>
            <w:tcW w:w="2229" w:type="dxa"/>
            <w:tcBorders>
              <w:top w:val="nil"/>
              <w:left w:val="nil"/>
              <w:bottom w:val="nil"/>
            </w:tcBorders>
          </w:tcPr>
          <w:p w14:paraId="34DC9746" w14:textId="77777777" w:rsidR="00DA7595" w:rsidRPr="00A3307A" w:rsidRDefault="00DA7595" w:rsidP="0045458F">
            <w:pPr>
              <w:pStyle w:val="Heading8"/>
              <w:rPr>
                <w:sz w:val="24"/>
                <w:szCs w:val="24"/>
              </w:rPr>
            </w:pPr>
          </w:p>
        </w:tc>
      </w:tr>
      <w:tr w:rsidR="00A3307A" w:rsidRPr="00A3307A" w14:paraId="24F02A79" w14:textId="77777777" w:rsidTr="00FE179D">
        <w:trPr>
          <w:cantSplit/>
        </w:trPr>
        <w:tc>
          <w:tcPr>
            <w:tcW w:w="1530" w:type="dxa"/>
            <w:vMerge/>
            <w:tcBorders>
              <w:top w:val="nil"/>
              <w:left w:val="nil"/>
              <w:bottom w:val="nil"/>
              <w:right w:val="nil"/>
            </w:tcBorders>
          </w:tcPr>
          <w:p w14:paraId="6F1533A4" w14:textId="77777777" w:rsidR="00DA7595" w:rsidRPr="00A3307A" w:rsidRDefault="00DA7595" w:rsidP="0045458F"/>
        </w:tc>
        <w:tc>
          <w:tcPr>
            <w:tcW w:w="6210" w:type="dxa"/>
            <w:gridSpan w:val="2"/>
            <w:tcBorders>
              <w:top w:val="nil"/>
              <w:left w:val="nil"/>
              <w:bottom w:val="nil"/>
              <w:right w:val="nil"/>
            </w:tcBorders>
          </w:tcPr>
          <w:p w14:paraId="1B6B10D1" w14:textId="58298C66" w:rsidR="00DA7595" w:rsidRPr="00A3307A" w:rsidRDefault="00DA7595" w:rsidP="00E425AD">
            <w:pPr>
              <w:spacing w:line="0" w:lineRule="atLeast"/>
            </w:pPr>
            <w:r w:rsidRPr="00A3307A">
              <w:rPr>
                <w:b/>
              </w:rPr>
              <w:t xml:space="preserve">The </w:t>
            </w:r>
            <w:r w:rsidR="00405A7F" w:rsidRPr="00A3307A">
              <w:rPr>
                <w:b/>
              </w:rPr>
              <w:t xml:space="preserve">APT Preparatory </w:t>
            </w:r>
            <w:r w:rsidR="00E425AD">
              <w:rPr>
                <w:b/>
              </w:rPr>
              <w:t>Group</w:t>
            </w:r>
            <w:r w:rsidR="00405A7F" w:rsidRPr="00A3307A">
              <w:rPr>
                <w:b/>
              </w:rPr>
              <w:t xml:space="preserve"> for PP-14</w:t>
            </w:r>
          </w:p>
        </w:tc>
        <w:tc>
          <w:tcPr>
            <w:tcW w:w="2340" w:type="dxa"/>
            <w:gridSpan w:val="2"/>
            <w:tcBorders>
              <w:top w:val="nil"/>
              <w:left w:val="nil"/>
              <w:bottom w:val="nil"/>
              <w:right w:val="nil"/>
            </w:tcBorders>
          </w:tcPr>
          <w:p w14:paraId="7570EDAD" w14:textId="77777777" w:rsidR="00DA7595" w:rsidRPr="00A3307A" w:rsidRDefault="00DA7595" w:rsidP="0045458F">
            <w:pPr>
              <w:rPr>
                <w:b/>
                <w:bCs/>
                <w:lang w:val="fr-FR"/>
              </w:rPr>
            </w:pPr>
            <w:r w:rsidRPr="00A3307A">
              <w:rPr>
                <w:b/>
                <w:lang w:val="fr-FR"/>
              </w:rPr>
              <w:t>Document</w:t>
            </w:r>
          </w:p>
          <w:p w14:paraId="085AF831" w14:textId="2A84F268" w:rsidR="00DA7595" w:rsidRPr="00A3307A" w:rsidRDefault="00405A7F" w:rsidP="00694369">
            <w:pPr>
              <w:rPr>
                <w:b/>
                <w:bCs/>
                <w:lang w:val="fr-FR"/>
              </w:rPr>
            </w:pPr>
            <w:r w:rsidRPr="00A3307A">
              <w:rPr>
                <w:b/>
                <w:bCs/>
                <w:lang w:val="fr-FR"/>
              </w:rPr>
              <w:t>PP14</w:t>
            </w:r>
            <w:r w:rsidR="008319BF" w:rsidRPr="00A3307A">
              <w:rPr>
                <w:b/>
                <w:bCs/>
                <w:lang w:val="fr-FR"/>
              </w:rPr>
              <w:t>-</w:t>
            </w:r>
            <w:r w:rsidR="000B6019" w:rsidRPr="00A3307A">
              <w:rPr>
                <w:b/>
                <w:bCs/>
                <w:lang w:val="fr-FR"/>
              </w:rPr>
              <w:t>4</w:t>
            </w:r>
            <w:r w:rsidR="008319BF" w:rsidRPr="00A3307A">
              <w:rPr>
                <w:b/>
                <w:bCs/>
                <w:lang w:val="fr-FR"/>
              </w:rPr>
              <w:t>/</w:t>
            </w:r>
            <w:r w:rsidR="007C65FF">
              <w:rPr>
                <w:b/>
                <w:bCs/>
                <w:lang w:val="fr-FR"/>
              </w:rPr>
              <w:t>OUT-02</w:t>
            </w:r>
          </w:p>
        </w:tc>
      </w:tr>
      <w:tr w:rsidR="00A3307A" w:rsidRPr="00A3307A" w14:paraId="17437017" w14:textId="77777777" w:rsidTr="00FE179D">
        <w:trPr>
          <w:cantSplit/>
          <w:trHeight w:val="219"/>
        </w:trPr>
        <w:tc>
          <w:tcPr>
            <w:tcW w:w="1530" w:type="dxa"/>
            <w:vMerge/>
            <w:tcBorders>
              <w:top w:val="nil"/>
              <w:left w:val="nil"/>
              <w:bottom w:val="single" w:sz="12" w:space="0" w:color="auto"/>
              <w:right w:val="nil"/>
            </w:tcBorders>
          </w:tcPr>
          <w:p w14:paraId="2C9A200D" w14:textId="77777777" w:rsidR="004B3553" w:rsidRPr="00A3307A" w:rsidRDefault="004B3553" w:rsidP="0045458F">
            <w:pPr>
              <w:rPr>
                <w:lang w:val="fr-FR"/>
              </w:rPr>
            </w:pPr>
          </w:p>
        </w:tc>
        <w:tc>
          <w:tcPr>
            <w:tcW w:w="6210" w:type="dxa"/>
            <w:gridSpan w:val="2"/>
            <w:tcBorders>
              <w:top w:val="nil"/>
              <w:left w:val="nil"/>
              <w:bottom w:val="single" w:sz="12" w:space="0" w:color="auto"/>
              <w:right w:val="nil"/>
            </w:tcBorders>
          </w:tcPr>
          <w:p w14:paraId="2FCC6020" w14:textId="4CFBFF0B" w:rsidR="004B3553" w:rsidRPr="00A3307A" w:rsidRDefault="004B3553" w:rsidP="000B6019"/>
        </w:tc>
        <w:tc>
          <w:tcPr>
            <w:tcW w:w="2340" w:type="dxa"/>
            <w:gridSpan w:val="2"/>
            <w:tcBorders>
              <w:top w:val="nil"/>
              <w:left w:val="nil"/>
              <w:bottom w:val="single" w:sz="12" w:space="0" w:color="auto"/>
              <w:right w:val="nil"/>
            </w:tcBorders>
          </w:tcPr>
          <w:p w14:paraId="4E907774" w14:textId="77777777" w:rsidR="004B3553" w:rsidRPr="00A3307A" w:rsidRDefault="00F5613F" w:rsidP="000B6019">
            <w:pPr>
              <w:rPr>
                <w:b/>
              </w:rPr>
            </w:pPr>
            <w:r>
              <w:rPr>
                <w:b/>
              </w:rPr>
              <w:t>21</w:t>
            </w:r>
            <w:r w:rsidR="00FE179D" w:rsidRPr="00A3307A">
              <w:rPr>
                <w:b/>
              </w:rPr>
              <w:t xml:space="preserve"> </w:t>
            </w:r>
            <w:r w:rsidR="000B6019" w:rsidRPr="00A3307A">
              <w:rPr>
                <w:b/>
              </w:rPr>
              <w:t xml:space="preserve">August </w:t>
            </w:r>
            <w:r w:rsidR="00291C9E" w:rsidRPr="00A3307A">
              <w:rPr>
                <w:b/>
              </w:rPr>
              <w:t>20</w:t>
            </w:r>
            <w:r w:rsidR="008319BF" w:rsidRPr="00A3307A">
              <w:rPr>
                <w:b/>
              </w:rPr>
              <w:t>1</w:t>
            </w:r>
            <w:r w:rsidR="00031DE7" w:rsidRPr="00A3307A">
              <w:rPr>
                <w:b/>
              </w:rPr>
              <w:t>4</w:t>
            </w:r>
          </w:p>
        </w:tc>
      </w:tr>
    </w:tbl>
    <w:p w14:paraId="112FD8C2" w14:textId="77777777" w:rsidR="00DA7595" w:rsidRPr="00A3307A" w:rsidRDefault="00DA7595" w:rsidP="00DA7595">
      <w:pPr>
        <w:rPr>
          <w:lang w:eastAsia="ko-KR"/>
        </w:rPr>
      </w:pPr>
    </w:p>
    <w:p w14:paraId="739B3901" w14:textId="77777777" w:rsidR="00CD775E" w:rsidRPr="00A3307A" w:rsidRDefault="00CD775E" w:rsidP="0063062B">
      <w:pPr>
        <w:jc w:val="center"/>
        <w:rPr>
          <w:b/>
          <w:bCs/>
          <w:sz w:val="28"/>
          <w:szCs w:val="28"/>
          <w:lang w:val="en-GB"/>
        </w:rPr>
      </w:pPr>
    </w:p>
    <w:p w14:paraId="070B63FD" w14:textId="51F7CD1F" w:rsidR="009A07FD" w:rsidRPr="00992FB6" w:rsidRDefault="00694369" w:rsidP="009A07FD">
      <w:pPr>
        <w:tabs>
          <w:tab w:val="left" w:pos="720"/>
        </w:tabs>
        <w:spacing w:after="200" w:line="276" w:lineRule="auto"/>
        <w:contextualSpacing/>
        <w:jc w:val="center"/>
        <w:rPr>
          <w:rFonts w:eastAsiaTheme="minorEastAsia"/>
          <w:b/>
          <w:bCs/>
          <w:strike/>
          <w:sz w:val="28"/>
          <w:szCs w:val="28"/>
          <w:lang w:eastAsia="zh-CN"/>
        </w:rPr>
      </w:pPr>
      <w:r w:rsidRPr="00E1225C">
        <w:rPr>
          <w:b/>
          <w:bCs/>
          <w:caps/>
          <w:color w:val="000000"/>
          <w:sz w:val="28"/>
          <w:szCs w:val="28"/>
        </w:rPr>
        <w:t>PRELIM</w:t>
      </w:r>
      <w:r>
        <w:rPr>
          <w:b/>
          <w:bCs/>
          <w:caps/>
          <w:color w:val="000000"/>
          <w:sz w:val="28"/>
          <w:szCs w:val="28"/>
        </w:rPr>
        <w:t xml:space="preserve">INARY </w:t>
      </w:r>
      <w:r>
        <w:rPr>
          <w:rFonts w:eastAsiaTheme="minorEastAsia"/>
          <w:b/>
          <w:bCs/>
          <w:sz w:val="28"/>
          <w:szCs w:val="28"/>
          <w:lang w:eastAsia="zh-CN"/>
        </w:rPr>
        <w:t xml:space="preserve">APT COMMON PROPOSAL: </w:t>
      </w:r>
      <w:r w:rsidR="009A07FD" w:rsidRPr="00992FB6">
        <w:rPr>
          <w:rFonts w:eastAsiaTheme="minorEastAsia"/>
          <w:b/>
          <w:bCs/>
          <w:sz w:val="28"/>
          <w:szCs w:val="28"/>
          <w:lang w:eastAsia="zh-CN"/>
        </w:rPr>
        <w:t>ACCESS TO</w:t>
      </w:r>
      <w:r w:rsidR="00943597" w:rsidRPr="00992FB6">
        <w:rPr>
          <w:rFonts w:eastAsiaTheme="minorEastAsia"/>
          <w:b/>
          <w:bCs/>
          <w:sz w:val="28"/>
          <w:szCs w:val="28"/>
          <w:lang w:eastAsia="ja-JP"/>
        </w:rPr>
        <w:t xml:space="preserve"> </w:t>
      </w:r>
      <w:r w:rsidR="00252666" w:rsidRPr="00992FB6">
        <w:rPr>
          <w:rFonts w:eastAsiaTheme="minorEastAsia"/>
          <w:b/>
          <w:bCs/>
          <w:sz w:val="28"/>
          <w:szCs w:val="28"/>
          <w:lang w:eastAsia="ja-JP"/>
        </w:rPr>
        <w:t>ITU</w:t>
      </w:r>
      <w:r w:rsidR="009A07FD" w:rsidRPr="00992FB6">
        <w:rPr>
          <w:rFonts w:eastAsiaTheme="minorEastAsia"/>
          <w:b/>
          <w:bCs/>
          <w:sz w:val="28"/>
          <w:szCs w:val="28"/>
          <w:lang w:eastAsia="zh-CN"/>
        </w:rPr>
        <w:t xml:space="preserve"> DOCUMENTS </w:t>
      </w:r>
    </w:p>
    <w:p w14:paraId="5B07888C" w14:textId="77777777" w:rsidR="009A07FD" w:rsidRPr="00992FB6" w:rsidRDefault="009A07FD" w:rsidP="009A07FD">
      <w:pPr>
        <w:tabs>
          <w:tab w:val="left" w:pos="720"/>
        </w:tabs>
        <w:spacing w:line="276" w:lineRule="auto"/>
        <w:jc w:val="both"/>
        <w:rPr>
          <w:rFonts w:eastAsiaTheme="minorEastAsia"/>
          <w:lang w:eastAsia="zh-CN"/>
        </w:rPr>
      </w:pPr>
    </w:p>
    <w:p w14:paraId="4B0E4012" w14:textId="77777777" w:rsidR="0059359B" w:rsidRPr="00992FB6" w:rsidRDefault="0059359B" w:rsidP="009A07FD">
      <w:pPr>
        <w:tabs>
          <w:tab w:val="left" w:pos="720"/>
        </w:tabs>
        <w:spacing w:line="276" w:lineRule="auto"/>
        <w:jc w:val="both"/>
        <w:rPr>
          <w:rFonts w:eastAsiaTheme="minorEastAsia"/>
          <w:b/>
          <w:lang w:eastAsia="zh-CN"/>
        </w:rPr>
      </w:pPr>
    </w:p>
    <w:p w14:paraId="7CBCCAE0" w14:textId="77777777" w:rsidR="009A07FD" w:rsidRPr="00992FB6" w:rsidRDefault="00694369" w:rsidP="009A07FD">
      <w:pPr>
        <w:tabs>
          <w:tab w:val="left" w:pos="720"/>
        </w:tabs>
        <w:spacing w:line="276" w:lineRule="auto"/>
        <w:jc w:val="both"/>
        <w:rPr>
          <w:rFonts w:eastAsiaTheme="minorEastAsia"/>
          <w:b/>
          <w:lang w:eastAsia="zh-CN"/>
        </w:rPr>
      </w:pPr>
      <w:r>
        <w:rPr>
          <w:rFonts w:eastAsiaTheme="minorEastAsia"/>
          <w:b/>
          <w:lang w:eastAsia="zh-CN"/>
        </w:rPr>
        <w:t xml:space="preserve">1. </w:t>
      </w:r>
      <w:r>
        <w:rPr>
          <w:rFonts w:eastAsiaTheme="minorEastAsia"/>
          <w:b/>
          <w:lang w:eastAsia="zh-CN"/>
        </w:rPr>
        <w:tab/>
        <w:t>INTRODUCTION</w:t>
      </w:r>
      <w:r w:rsidR="009A07FD" w:rsidRPr="00992FB6">
        <w:rPr>
          <w:rFonts w:eastAsiaTheme="minorEastAsia"/>
          <w:b/>
          <w:lang w:eastAsia="zh-CN"/>
        </w:rPr>
        <w:t xml:space="preserve"> </w:t>
      </w:r>
    </w:p>
    <w:p w14:paraId="71BFF97E" w14:textId="77777777" w:rsidR="00807FFE" w:rsidRPr="00992FB6" w:rsidRDefault="00807FFE" w:rsidP="00807FFE">
      <w:pPr>
        <w:tabs>
          <w:tab w:val="left" w:pos="720"/>
        </w:tabs>
        <w:spacing w:after="200" w:line="276" w:lineRule="auto"/>
        <w:jc w:val="both"/>
        <w:rPr>
          <w:rFonts w:eastAsiaTheme="minorEastAsia"/>
          <w:lang w:eastAsia="zh-CN"/>
        </w:rPr>
      </w:pPr>
      <w:r w:rsidRPr="00992FB6">
        <w:rPr>
          <w:rFonts w:eastAsiaTheme="minorEastAsia"/>
          <w:lang w:eastAsia="ja-JP"/>
        </w:rPr>
        <w:t>APT</w:t>
      </w:r>
      <w:r w:rsidRPr="00992FB6">
        <w:rPr>
          <w:rFonts w:eastAsiaTheme="minorEastAsia"/>
          <w:lang w:eastAsia="zh-CN"/>
        </w:rPr>
        <w:t xml:space="preserve"> members have consider</w:t>
      </w:r>
      <w:r w:rsidR="00943597" w:rsidRPr="00992FB6">
        <w:rPr>
          <w:rFonts w:eastAsiaTheme="minorEastAsia"/>
          <w:lang w:eastAsia="zh-CN"/>
        </w:rPr>
        <w:t>e</w:t>
      </w:r>
      <w:r w:rsidR="00B34EDE" w:rsidRPr="00992FB6">
        <w:rPr>
          <w:rFonts w:eastAsiaTheme="minorEastAsia"/>
          <w:lang w:eastAsia="zh-CN"/>
        </w:rPr>
        <w:t>d Access to ITU D</w:t>
      </w:r>
      <w:r w:rsidRPr="00992FB6">
        <w:rPr>
          <w:rFonts w:eastAsiaTheme="minorEastAsia"/>
          <w:lang w:eastAsia="zh-CN"/>
        </w:rPr>
        <w:t>ocumentations and taking into account the result of di</w:t>
      </w:r>
      <w:r w:rsidR="00943597" w:rsidRPr="00992FB6">
        <w:rPr>
          <w:rFonts w:eastAsiaTheme="minorEastAsia"/>
          <w:lang w:eastAsia="zh-CN"/>
        </w:rPr>
        <w:t>s</w:t>
      </w:r>
      <w:r w:rsidR="00AD7C48" w:rsidRPr="00992FB6">
        <w:rPr>
          <w:rFonts w:eastAsiaTheme="minorEastAsia"/>
          <w:lang w:eastAsia="zh-CN"/>
        </w:rPr>
        <w:t>cussions at ITU C</w:t>
      </w:r>
      <w:r w:rsidRPr="00992FB6">
        <w:rPr>
          <w:rFonts w:eastAsiaTheme="minorEastAsia"/>
          <w:lang w:eastAsia="zh-CN"/>
        </w:rPr>
        <w:t>ouncil</w:t>
      </w:r>
      <w:r w:rsidR="00AD7C48" w:rsidRPr="00992FB6">
        <w:rPr>
          <w:rFonts w:eastAsiaTheme="minorEastAsia"/>
          <w:lang w:eastAsia="zh-CN"/>
        </w:rPr>
        <w:t>,</w:t>
      </w:r>
      <w:r w:rsidRPr="00992FB6">
        <w:rPr>
          <w:rFonts w:eastAsiaTheme="minorEastAsia"/>
          <w:lang w:eastAsia="zh-CN"/>
        </w:rPr>
        <w:t xml:space="preserve"> approved the APT common proposals as </w:t>
      </w:r>
      <w:r w:rsidR="00C968E1" w:rsidRPr="00992FB6">
        <w:rPr>
          <w:rFonts w:eastAsiaTheme="minorEastAsia"/>
          <w:lang w:eastAsia="zh-CN"/>
        </w:rPr>
        <w:t>outlined below</w:t>
      </w:r>
      <w:r w:rsidR="00AD7C48" w:rsidRPr="00992FB6">
        <w:rPr>
          <w:rFonts w:eastAsiaTheme="minorEastAsia"/>
          <w:lang w:eastAsia="zh-CN"/>
        </w:rPr>
        <w:t>.</w:t>
      </w:r>
    </w:p>
    <w:p w14:paraId="6CD35C5E" w14:textId="77777777" w:rsidR="00694369" w:rsidRDefault="00694369" w:rsidP="009A07FD">
      <w:pPr>
        <w:tabs>
          <w:tab w:val="left" w:pos="720"/>
        </w:tabs>
        <w:spacing w:line="276" w:lineRule="auto"/>
        <w:jc w:val="both"/>
        <w:rPr>
          <w:rFonts w:eastAsiaTheme="minorEastAsia"/>
          <w:b/>
          <w:lang w:eastAsia="zh-CN"/>
        </w:rPr>
      </w:pPr>
    </w:p>
    <w:p w14:paraId="038B7D42" w14:textId="77777777" w:rsidR="009A07FD" w:rsidRDefault="00694369" w:rsidP="009A07FD">
      <w:pPr>
        <w:tabs>
          <w:tab w:val="left" w:pos="720"/>
        </w:tabs>
        <w:spacing w:line="276" w:lineRule="auto"/>
        <w:jc w:val="both"/>
        <w:rPr>
          <w:rFonts w:eastAsiaTheme="minorEastAsia"/>
          <w:b/>
          <w:lang w:eastAsia="zh-CN"/>
        </w:rPr>
      </w:pPr>
      <w:r>
        <w:rPr>
          <w:rFonts w:eastAsiaTheme="minorEastAsia"/>
          <w:b/>
          <w:lang w:eastAsia="zh-CN"/>
        </w:rPr>
        <w:t xml:space="preserve">2. </w:t>
      </w:r>
      <w:r>
        <w:rPr>
          <w:rFonts w:eastAsiaTheme="minorEastAsia"/>
          <w:b/>
          <w:lang w:eastAsia="zh-CN"/>
        </w:rPr>
        <w:tab/>
        <w:t>PROPOSAL</w:t>
      </w:r>
    </w:p>
    <w:p w14:paraId="1951113D" w14:textId="77777777" w:rsidR="00694369" w:rsidRDefault="00694369" w:rsidP="009A07FD">
      <w:pPr>
        <w:tabs>
          <w:tab w:val="left" w:pos="720"/>
        </w:tabs>
        <w:spacing w:line="276" w:lineRule="auto"/>
        <w:jc w:val="both"/>
        <w:rPr>
          <w:rFonts w:eastAsiaTheme="minorEastAsia"/>
          <w:b/>
          <w:lang w:eastAsia="zh-CN"/>
        </w:rPr>
      </w:pPr>
    </w:p>
    <w:p w14:paraId="268C6EF1" w14:textId="3F0020F0" w:rsidR="002528D9" w:rsidRDefault="002528D9" w:rsidP="009A07FD">
      <w:pPr>
        <w:tabs>
          <w:tab w:val="left" w:pos="720"/>
        </w:tabs>
        <w:spacing w:line="276" w:lineRule="auto"/>
        <w:jc w:val="both"/>
        <w:rPr>
          <w:rFonts w:eastAsiaTheme="minorEastAsia"/>
          <w:b/>
          <w:lang w:eastAsia="zh-CN"/>
        </w:rPr>
      </w:pPr>
      <w:r>
        <w:rPr>
          <w:rFonts w:eastAsiaTheme="minorEastAsia"/>
          <w:b/>
          <w:lang w:eastAsia="zh-CN"/>
        </w:rPr>
        <w:t>PACP/26</w:t>
      </w:r>
    </w:p>
    <w:p w14:paraId="7488CBD2" w14:textId="77777777" w:rsidR="002528D9" w:rsidRPr="00992FB6" w:rsidRDefault="002528D9" w:rsidP="009A07FD">
      <w:pPr>
        <w:tabs>
          <w:tab w:val="left" w:pos="720"/>
        </w:tabs>
        <w:spacing w:line="276" w:lineRule="auto"/>
        <w:jc w:val="both"/>
        <w:rPr>
          <w:rFonts w:eastAsiaTheme="minorEastAsia"/>
          <w:b/>
          <w:lang w:eastAsia="zh-CN"/>
        </w:rPr>
      </w:pPr>
      <w:bookmarkStart w:id="0" w:name="_GoBack"/>
      <w:bookmarkEnd w:id="0"/>
    </w:p>
    <w:p w14:paraId="560F16D8" w14:textId="77777777" w:rsidR="009A07FD" w:rsidRPr="00992FB6" w:rsidRDefault="009A07FD" w:rsidP="007C65FF">
      <w:pPr>
        <w:spacing w:line="276" w:lineRule="auto"/>
        <w:ind w:firstLineChars="50" w:firstLine="120"/>
        <w:jc w:val="both"/>
        <w:rPr>
          <w:rFonts w:eastAsiaTheme="minorEastAsia"/>
          <w:b/>
          <w:lang w:eastAsia="zh-CN"/>
        </w:rPr>
      </w:pPr>
      <w:r w:rsidRPr="00992FB6">
        <w:rPr>
          <w:rFonts w:eastAsiaTheme="minorEastAsia"/>
          <w:b/>
          <w:lang w:eastAsia="zh-CN"/>
        </w:rPr>
        <w:t>1</w:t>
      </w:r>
      <w:r w:rsidRPr="00992FB6">
        <w:rPr>
          <w:rFonts w:eastAsiaTheme="minorEastAsia"/>
          <w:b/>
          <w:lang w:eastAsia="zh-CN"/>
        </w:rPr>
        <w:tab/>
      </w:r>
      <w:r w:rsidR="00DE0A9D">
        <w:rPr>
          <w:rFonts w:eastAsiaTheme="minorEastAsia"/>
          <w:b/>
          <w:lang w:eastAsia="zh-CN"/>
        </w:rPr>
        <w:t xml:space="preserve"> </w:t>
      </w:r>
      <w:r w:rsidR="004B1945" w:rsidRPr="00992FB6">
        <w:rPr>
          <w:rFonts w:eastAsiaTheme="minorEastAsia"/>
          <w:b/>
          <w:lang w:eastAsia="zh-CN"/>
        </w:rPr>
        <w:t>General</w:t>
      </w:r>
      <w:r w:rsidR="00394766" w:rsidRPr="00992FB6">
        <w:rPr>
          <w:rFonts w:eastAsiaTheme="minorEastAsia"/>
          <w:b/>
          <w:lang w:eastAsia="zh-CN"/>
        </w:rPr>
        <w:t xml:space="preserve"> information as contained in Document 59 submit</w:t>
      </w:r>
      <w:r w:rsidR="004B1945" w:rsidRPr="00992FB6">
        <w:rPr>
          <w:rFonts w:eastAsiaTheme="minorEastAsia"/>
          <w:b/>
          <w:lang w:eastAsia="zh-CN"/>
        </w:rPr>
        <w:t>ted by the Secretary-General to the</w:t>
      </w:r>
      <w:r w:rsidR="00394766" w:rsidRPr="00992FB6">
        <w:rPr>
          <w:rFonts w:eastAsiaTheme="minorEastAsia"/>
          <w:b/>
          <w:lang w:eastAsia="zh-CN"/>
        </w:rPr>
        <w:t xml:space="preserve"> Plenipotentiary Conference </w:t>
      </w:r>
      <w:r w:rsidR="004B1945" w:rsidRPr="00992FB6">
        <w:rPr>
          <w:rFonts w:eastAsiaTheme="minorEastAsia"/>
          <w:b/>
          <w:lang w:eastAsia="zh-CN"/>
        </w:rPr>
        <w:t>2014.</w:t>
      </w:r>
    </w:p>
    <w:p w14:paraId="1BEC3377" w14:textId="77777777" w:rsidR="00252666" w:rsidRPr="00992FB6" w:rsidRDefault="009A07FD" w:rsidP="00252666">
      <w:pPr>
        <w:tabs>
          <w:tab w:val="left" w:pos="720"/>
        </w:tabs>
        <w:spacing w:line="276" w:lineRule="auto"/>
        <w:jc w:val="both"/>
        <w:rPr>
          <w:rFonts w:eastAsiaTheme="minorEastAsia"/>
          <w:lang w:eastAsia="zh-CN"/>
        </w:rPr>
      </w:pPr>
      <w:r w:rsidRPr="00992FB6">
        <w:rPr>
          <w:rFonts w:eastAsiaTheme="minorEastAsia"/>
          <w:lang w:eastAsia="zh-CN"/>
        </w:rPr>
        <w:t>.</w:t>
      </w:r>
      <w:r w:rsidR="00252666" w:rsidRPr="00992FB6">
        <w:rPr>
          <w:rFonts w:eastAsiaTheme="minorEastAsia"/>
          <w:lang w:eastAsia="zh-CN"/>
        </w:rPr>
        <w:t>.</w:t>
      </w:r>
    </w:p>
    <w:p w14:paraId="4F7F0B49" w14:textId="77777777" w:rsidR="00394766" w:rsidRPr="001620CC" w:rsidRDefault="00394766" w:rsidP="00394766">
      <w:pPr>
        <w:snapToGrid w:val="0"/>
        <w:spacing w:before="160" w:after="120"/>
        <w:rPr>
          <w:i/>
        </w:rPr>
      </w:pPr>
      <w:r w:rsidRPr="001620CC">
        <w:rPr>
          <w:i/>
        </w:rPr>
        <w:t>Information made available to the general public</w:t>
      </w:r>
    </w:p>
    <w:p w14:paraId="57E0CC0E" w14:textId="77777777" w:rsidR="00394766" w:rsidRPr="001620CC" w:rsidRDefault="00394766" w:rsidP="00394766">
      <w:pPr>
        <w:snapToGrid w:val="0"/>
        <w:spacing w:after="120"/>
        <w:rPr>
          <w:rFonts w:eastAsiaTheme="minorEastAsia"/>
          <w:i/>
          <w:lang w:eastAsia="zh-CN"/>
        </w:rPr>
      </w:pPr>
      <w:r w:rsidRPr="001620CC">
        <w:rPr>
          <w:rFonts w:eastAsiaTheme="minorEastAsia"/>
          <w:i/>
          <w:lang w:eastAsia="zh-CN"/>
        </w:rPr>
        <w:t>ITU has traditionally made a variety of information available to the public and continues to do so today. Information that is regularly provided to the public – for sale or for free – includes the following</w:t>
      </w:r>
      <w:r w:rsidRPr="001620CC">
        <w:rPr>
          <w:rStyle w:val="FootnoteReference"/>
          <w:rFonts w:eastAsiaTheme="minorEastAsia"/>
          <w:i/>
          <w:lang w:eastAsia="zh-CN"/>
        </w:rPr>
        <w:footnoteReference w:id="1"/>
      </w:r>
      <w:r w:rsidRPr="001620CC">
        <w:rPr>
          <w:rFonts w:eastAsiaTheme="minorEastAsia"/>
          <w:i/>
          <w:lang w:eastAsia="zh-CN"/>
        </w:rPr>
        <w:t>:</w:t>
      </w:r>
    </w:p>
    <w:p w14:paraId="66011B70" w14:textId="77777777" w:rsidR="00394766" w:rsidRPr="001620CC" w:rsidRDefault="00394766" w:rsidP="00394766">
      <w:pPr>
        <w:numPr>
          <w:ilvl w:val="0"/>
          <w:numId w:val="28"/>
        </w:numPr>
        <w:snapToGrid w:val="0"/>
        <w:spacing w:before="120" w:after="60"/>
        <w:ind w:left="1134" w:hanging="425"/>
        <w:rPr>
          <w:rFonts w:eastAsiaTheme="minorEastAsia"/>
          <w:i/>
          <w:lang w:eastAsia="zh-CN"/>
        </w:rPr>
      </w:pPr>
      <w:r w:rsidRPr="001620CC">
        <w:rPr>
          <w:rFonts w:eastAsiaTheme="minorEastAsia"/>
          <w:i/>
          <w:lang w:eastAsia="zh-CN"/>
        </w:rPr>
        <w:t>Press releases</w:t>
      </w:r>
    </w:p>
    <w:p w14:paraId="5386762C" w14:textId="77777777" w:rsidR="00394766" w:rsidRPr="001620CC" w:rsidRDefault="00394766" w:rsidP="00394766">
      <w:pPr>
        <w:numPr>
          <w:ilvl w:val="0"/>
          <w:numId w:val="28"/>
        </w:numPr>
        <w:snapToGrid w:val="0"/>
        <w:spacing w:before="60" w:after="60"/>
        <w:ind w:left="1134" w:hanging="425"/>
        <w:rPr>
          <w:rFonts w:eastAsiaTheme="minorEastAsia"/>
          <w:i/>
          <w:lang w:eastAsia="zh-CN"/>
        </w:rPr>
      </w:pPr>
      <w:r w:rsidRPr="001620CC">
        <w:rPr>
          <w:rFonts w:eastAsiaTheme="minorEastAsia"/>
          <w:i/>
          <w:lang w:eastAsia="zh-CN"/>
        </w:rPr>
        <w:t>Speeches</w:t>
      </w:r>
    </w:p>
    <w:p w14:paraId="687051B2" w14:textId="77777777" w:rsidR="00394766" w:rsidRPr="001620CC" w:rsidRDefault="00394766" w:rsidP="00394766">
      <w:pPr>
        <w:numPr>
          <w:ilvl w:val="0"/>
          <w:numId w:val="28"/>
        </w:numPr>
        <w:snapToGrid w:val="0"/>
        <w:spacing w:before="60" w:after="60"/>
        <w:ind w:left="1134" w:hanging="425"/>
        <w:rPr>
          <w:rFonts w:eastAsiaTheme="minorEastAsia"/>
          <w:i/>
          <w:lang w:eastAsia="zh-CN"/>
        </w:rPr>
      </w:pPr>
      <w:r w:rsidRPr="001620CC">
        <w:rPr>
          <w:rFonts w:eastAsiaTheme="minorEastAsia"/>
          <w:i/>
          <w:lang w:eastAsia="zh-CN"/>
        </w:rPr>
        <w:t>Statements</w:t>
      </w:r>
    </w:p>
    <w:p w14:paraId="37FB0018" w14:textId="77777777" w:rsidR="00394766" w:rsidRPr="001620CC" w:rsidRDefault="00394766" w:rsidP="00394766">
      <w:pPr>
        <w:numPr>
          <w:ilvl w:val="0"/>
          <w:numId w:val="28"/>
        </w:numPr>
        <w:snapToGrid w:val="0"/>
        <w:spacing w:before="60" w:after="60"/>
        <w:ind w:left="1134" w:hanging="425"/>
        <w:rPr>
          <w:rFonts w:eastAsiaTheme="minorEastAsia"/>
          <w:i/>
          <w:lang w:eastAsia="zh-CN"/>
        </w:rPr>
      </w:pPr>
      <w:r w:rsidRPr="001620CC">
        <w:rPr>
          <w:rFonts w:eastAsiaTheme="minorEastAsia"/>
          <w:i/>
          <w:lang w:eastAsia="zh-CN"/>
        </w:rPr>
        <w:t>Circulars/Circular letters</w:t>
      </w:r>
      <w:r w:rsidRPr="001620CC">
        <w:rPr>
          <w:rFonts w:eastAsiaTheme="minorEastAsia"/>
          <w:i/>
          <w:vertAlign w:val="superscript"/>
          <w:lang w:eastAsia="zh-CN"/>
        </w:rPr>
        <w:footnoteReference w:id="2"/>
      </w:r>
    </w:p>
    <w:p w14:paraId="333F57CF" w14:textId="77777777" w:rsidR="00394766" w:rsidRPr="001620CC" w:rsidRDefault="00394766" w:rsidP="00394766">
      <w:pPr>
        <w:numPr>
          <w:ilvl w:val="0"/>
          <w:numId w:val="28"/>
        </w:numPr>
        <w:snapToGrid w:val="0"/>
        <w:spacing w:before="60" w:after="60"/>
        <w:ind w:left="1134" w:hanging="425"/>
        <w:rPr>
          <w:rFonts w:eastAsiaTheme="minorEastAsia"/>
          <w:i/>
          <w:lang w:eastAsia="zh-CN"/>
        </w:rPr>
      </w:pPr>
      <w:r w:rsidRPr="001620CC">
        <w:rPr>
          <w:rFonts w:eastAsiaTheme="minorEastAsia"/>
          <w:i/>
          <w:lang w:eastAsia="zh-CN"/>
        </w:rPr>
        <w:t>General information about the organization’s activities (brochures, flyers, webpages, social media platforms)</w:t>
      </w:r>
    </w:p>
    <w:p w14:paraId="201877CB" w14:textId="77777777" w:rsidR="00394766" w:rsidRPr="001620CC" w:rsidRDefault="00394766" w:rsidP="00394766">
      <w:pPr>
        <w:numPr>
          <w:ilvl w:val="0"/>
          <w:numId w:val="28"/>
        </w:numPr>
        <w:snapToGrid w:val="0"/>
        <w:spacing w:before="60" w:after="60"/>
        <w:ind w:left="1134" w:hanging="425"/>
        <w:rPr>
          <w:rFonts w:eastAsiaTheme="minorEastAsia"/>
          <w:i/>
          <w:lang w:eastAsia="zh-CN"/>
        </w:rPr>
      </w:pPr>
      <w:r w:rsidRPr="001620CC">
        <w:rPr>
          <w:rFonts w:eastAsiaTheme="minorEastAsia"/>
          <w:i/>
          <w:lang w:eastAsia="zh-CN"/>
        </w:rPr>
        <w:t>Photographs and videos of ITU events and activities</w:t>
      </w:r>
    </w:p>
    <w:p w14:paraId="65B8672F" w14:textId="77777777" w:rsidR="00394766" w:rsidRPr="001620CC" w:rsidRDefault="00394766" w:rsidP="00394766">
      <w:pPr>
        <w:numPr>
          <w:ilvl w:val="0"/>
          <w:numId w:val="28"/>
        </w:numPr>
        <w:snapToGrid w:val="0"/>
        <w:spacing w:before="60" w:after="60"/>
        <w:ind w:left="1134" w:hanging="425"/>
        <w:rPr>
          <w:rFonts w:eastAsiaTheme="minorEastAsia"/>
          <w:i/>
          <w:lang w:eastAsia="zh-CN"/>
        </w:rPr>
      </w:pPr>
      <w:r w:rsidRPr="001620CC">
        <w:rPr>
          <w:rFonts w:eastAsiaTheme="minorEastAsia"/>
          <w:i/>
          <w:lang w:eastAsia="zh-CN"/>
        </w:rPr>
        <w:t>Documents and information related to the history of the organization (History of ITU Portal)</w:t>
      </w:r>
    </w:p>
    <w:p w14:paraId="6E5B5801" w14:textId="77777777" w:rsidR="00394766" w:rsidRPr="001620CC" w:rsidRDefault="00394766" w:rsidP="00394766">
      <w:pPr>
        <w:numPr>
          <w:ilvl w:val="0"/>
          <w:numId w:val="28"/>
        </w:numPr>
        <w:snapToGrid w:val="0"/>
        <w:spacing w:before="60" w:after="120"/>
        <w:ind w:left="1134" w:hanging="425"/>
        <w:rPr>
          <w:rFonts w:eastAsiaTheme="minorEastAsia"/>
          <w:i/>
          <w:lang w:eastAsia="zh-CN"/>
        </w:rPr>
      </w:pPr>
      <w:r w:rsidRPr="001620CC">
        <w:rPr>
          <w:rFonts w:eastAsiaTheme="minorEastAsia"/>
          <w:i/>
          <w:lang w:eastAsia="zh-CN"/>
        </w:rPr>
        <w:t>Publications, including:</w:t>
      </w:r>
    </w:p>
    <w:p w14:paraId="414C07B6" w14:textId="77777777" w:rsidR="00394766" w:rsidRPr="001620CC" w:rsidRDefault="00394766" w:rsidP="00394766">
      <w:pPr>
        <w:numPr>
          <w:ilvl w:val="0"/>
          <w:numId w:val="30"/>
        </w:numPr>
        <w:snapToGrid w:val="0"/>
        <w:spacing w:before="120" w:after="40"/>
        <w:ind w:left="1560" w:hanging="426"/>
        <w:rPr>
          <w:rFonts w:eastAsiaTheme="minorEastAsia"/>
          <w:i/>
          <w:lang w:eastAsia="zh-CN"/>
        </w:rPr>
      </w:pPr>
      <w:r w:rsidRPr="001620CC">
        <w:rPr>
          <w:rFonts w:eastAsiaTheme="minorEastAsia"/>
          <w:i/>
          <w:lang w:eastAsia="zh-CN"/>
        </w:rPr>
        <w:t>Basic texts of the organization</w:t>
      </w:r>
    </w:p>
    <w:p w14:paraId="1CD0B9F2" w14:textId="77777777" w:rsidR="00394766" w:rsidRPr="001620CC" w:rsidRDefault="00394766" w:rsidP="00394766">
      <w:pPr>
        <w:numPr>
          <w:ilvl w:val="0"/>
          <w:numId w:val="30"/>
        </w:numPr>
        <w:snapToGrid w:val="0"/>
        <w:spacing w:before="40" w:after="40"/>
        <w:ind w:left="1560" w:hanging="426"/>
        <w:rPr>
          <w:rFonts w:eastAsiaTheme="minorEastAsia"/>
          <w:i/>
          <w:lang w:eastAsia="zh-CN"/>
        </w:rPr>
      </w:pPr>
      <w:r w:rsidRPr="001620CC">
        <w:rPr>
          <w:rFonts w:eastAsiaTheme="minorEastAsia"/>
          <w:i/>
          <w:lang w:eastAsia="zh-CN"/>
        </w:rPr>
        <w:t>Administrative Regulations</w:t>
      </w:r>
    </w:p>
    <w:p w14:paraId="0E7A30D0" w14:textId="77777777" w:rsidR="00394766" w:rsidRPr="001620CC" w:rsidRDefault="00394766" w:rsidP="00394766">
      <w:pPr>
        <w:numPr>
          <w:ilvl w:val="0"/>
          <w:numId w:val="30"/>
        </w:numPr>
        <w:snapToGrid w:val="0"/>
        <w:spacing w:before="40" w:after="40"/>
        <w:ind w:left="1560" w:hanging="426"/>
        <w:rPr>
          <w:rFonts w:eastAsiaTheme="minorEastAsia"/>
          <w:i/>
          <w:lang w:eastAsia="zh-CN"/>
        </w:rPr>
      </w:pPr>
      <w:r w:rsidRPr="001620CC">
        <w:rPr>
          <w:rFonts w:eastAsiaTheme="minorEastAsia"/>
          <w:i/>
          <w:lang w:eastAsia="zh-CN"/>
        </w:rPr>
        <w:t>Final Acts of ITU conferences</w:t>
      </w:r>
    </w:p>
    <w:p w14:paraId="00AF6260" w14:textId="77777777" w:rsidR="00394766" w:rsidRPr="001620CC" w:rsidRDefault="00394766" w:rsidP="00394766">
      <w:pPr>
        <w:numPr>
          <w:ilvl w:val="0"/>
          <w:numId w:val="30"/>
        </w:numPr>
        <w:snapToGrid w:val="0"/>
        <w:spacing w:before="40" w:after="40"/>
        <w:ind w:left="1560" w:hanging="426"/>
        <w:rPr>
          <w:rFonts w:eastAsiaTheme="minorEastAsia"/>
          <w:i/>
          <w:lang w:eastAsia="zh-CN"/>
        </w:rPr>
      </w:pPr>
      <w:r w:rsidRPr="001620CC">
        <w:rPr>
          <w:rFonts w:eastAsiaTheme="minorEastAsia"/>
          <w:i/>
          <w:lang w:eastAsia="zh-CN"/>
        </w:rPr>
        <w:t>Council Resolutions and Decisions</w:t>
      </w:r>
    </w:p>
    <w:p w14:paraId="635DA2F0" w14:textId="77777777" w:rsidR="00394766" w:rsidRPr="001620CC" w:rsidRDefault="00394766" w:rsidP="00394766">
      <w:pPr>
        <w:numPr>
          <w:ilvl w:val="0"/>
          <w:numId w:val="30"/>
        </w:numPr>
        <w:snapToGrid w:val="0"/>
        <w:spacing w:before="40" w:after="40"/>
        <w:ind w:left="1560" w:hanging="426"/>
        <w:rPr>
          <w:rFonts w:eastAsiaTheme="minorEastAsia"/>
          <w:i/>
          <w:lang w:eastAsia="zh-CN"/>
        </w:rPr>
      </w:pPr>
      <w:r w:rsidRPr="001620CC">
        <w:rPr>
          <w:rFonts w:eastAsiaTheme="minorEastAsia"/>
          <w:i/>
          <w:lang w:eastAsia="zh-CN"/>
        </w:rPr>
        <w:lastRenderedPageBreak/>
        <w:t>ITU Recommendations</w:t>
      </w:r>
    </w:p>
    <w:p w14:paraId="1A40B585" w14:textId="77777777" w:rsidR="00394766" w:rsidRPr="001620CC" w:rsidRDefault="00394766" w:rsidP="00394766">
      <w:pPr>
        <w:numPr>
          <w:ilvl w:val="0"/>
          <w:numId w:val="30"/>
        </w:numPr>
        <w:snapToGrid w:val="0"/>
        <w:spacing w:before="40" w:after="40"/>
        <w:ind w:left="1560" w:hanging="426"/>
        <w:rPr>
          <w:rFonts w:eastAsiaTheme="minorEastAsia"/>
          <w:i/>
          <w:lang w:eastAsia="zh-CN"/>
        </w:rPr>
      </w:pPr>
      <w:r w:rsidRPr="001620CC">
        <w:rPr>
          <w:rFonts w:eastAsiaTheme="minorEastAsia"/>
          <w:i/>
          <w:lang w:eastAsia="zh-CN"/>
        </w:rPr>
        <w:t>Handbooks, guidelines, manuals, toolkits</w:t>
      </w:r>
    </w:p>
    <w:p w14:paraId="3F807693" w14:textId="77777777" w:rsidR="00394766" w:rsidRPr="001620CC" w:rsidRDefault="00394766" w:rsidP="00394766">
      <w:pPr>
        <w:numPr>
          <w:ilvl w:val="0"/>
          <w:numId w:val="30"/>
        </w:numPr>
        <w:snapToGrid w:val="0"/>
        <w:spacing w:before="40" w:after="40"/>
        <w:ind w:left="1560" w:hanging="426"/>
        <w:rPr>
          <w:rFonts w:eastAsiaTheme="minorEastAsia"/>
          <w:i/>
          <w:lang w:eastAsia="zh-CN"/>
        </w:rPr>
      </w:pPr>
      <w:r w:rsidRPr="001620CC">
        <w:rPr>
          <w:rFonts w:eastAsiaTheme="minorEastAsia"/>
          <w:i/>
          <w:lang w:eastAsia="zh-CN"/>
        </w:rPr>
        <w:t xml:space="preserve">Service publications (e.g. </w:t>
      </w:r>
      <w:r w:rsidRPr="001620CC">
        <w:rPr>
          <w:rFonts w:eastAsiaTheme="minorEastAsia"/>
          <w:i/>
          <w:iCs/>
          <w:lang w:eastAsia="zh-CN"/>
        </w:rPr>
        <w:t>International Frequency List</w:t>
      </w:r>
      <w:r w:rsidRPr="001620CC">
        <w:rPr>
          <w:rFonts w:eastAsiaTheme="minorEastAsia"/>
          <w:i/>
          <w:lang w:eastAsia="zh-CN"/>
        </w:rPr>
        <w:t>, lists of radio and telegraph stations)</w:t>
      </w:r>
    </w:p>
    <w:p w14:paraId="3E51B547" w14:textId="77777777" w:rsidR="00394766" w:rsidRPr="001620CC" w:rsidRDefault="00394766" w:rsidP="00394766">
      <w:pPr>
        <w:numPr>
          <w:ilvl w:val="0"/>
          <w:numId w:val="30"/>
        </w:numPr>
        <w:snapToGrid w:val="0"/>
        <w:spacing w:before="40" w:after="40"/>
        <w:ind w:left="1560" w:hanging="426"/>
        <w:jc w:val="both"/>
        <w:rPr>
          <w:rFonts w:eastAsiaTheme="minorEastAsia"/>
          <w:i/>
          <w:lang w:eastAsia="zh-CN"/>
        </w:rPr>
      </w:pPr>
      <w:r w:rsidRPr="001620CC">
        <w:rPr>
          <w:rFonts w:eastAsiaTheme="minorEastAsia"/>
          <w:i/>
          <w:lang w:eastAsia="zh-CN"/>
        </w:rPr>
        <w:t>Software and databases, especially related to management of the radio-frequency spectrum and satellite orbits as well as some ITU-T databases (e.g., International Numbering Resources)</w:t>
      </w:r>
    </w:p>
    <w:p w14:paraId="5FA43065" w14:textId="77777777" w:rsidR="00394766" w:rsidRPr="001620CC" w:rsidRDefault="00394766" w:rsidP="00394766">
      <w:pPr>
        <w:numPr>
          <w:ilvl w:val="0"/>
          <w:numId w:val="30"/>
        </w:numPr>
        <w:snapToGrid w:val="0"/>
        <w:spacing w:before="40" w:after="40"/>
        <w:ind w:left="1560" w:hanging="426"/>
        <w:jc w:val="both"/>
        <w:rPr>
          <w:rFonts w:eastAsiaTheme="minorEastAsia"/>
          <w:i/>
          <w:lang w:eastAsia="zh-CN"/>
        </w:rPr>
      </w:pPr>
      <w:r w:rsidRPr="001620CC">
        <w:rPr>
          <w:rFonts w:eastAsiaTheme="minorEastAsia"/>
          <w:i/>
          <w:lang w:eastAsia="zh-CN"/>
        </w:rPr>
        <w:t>Various reports and analyses, including reports on industry and ICT trends</w:t>
      </w:r>
    </w:p>
    <w:p w14:paraId="38E17719" w14:textId="77777777" w:rsidR="00394766" w:rsidRPr="001620CC" w:rsidRDefault="00394766" w:rsidP="00394766">
      <w:pPr>
        <w:numPr>
          <w:ilvl w:val="0"/>
          <w:numId w:val="30"/>
        </w:numPr>
        <w:snapToGrid w:val="0"/>
        <w:spacing w:before="40" w:after="40"/>
        <w:ind w:left="1560" w:hanging="426"/>
        <w:jc w:val="both"/>
        <w:rPr>
          <w:rFonts w:eastAsiaTheme="minorEastAsia"/>
          <w:i/>
          <w:lang w:eastAsia="zh-CN"/>
        </w:rPr>
      </w:pPr>
      <w:r w:rsidRPr="001620CC">
        <w:rPr>
          <w:rFonts w:eastAsiaTheme="minorEastAsia"/>
          <w:i/>
          <w:lang w:eastAsia="zh-CN"/>
        </w:rPr>
        <w:t>Proceedings of workshops, seminars and colloquia</w:t>
      </w:r>
    </w:p>
    <w:p w14:paraId="3CA2BCD8" w14:textId="77777777" w:rsidR="00394766" w:rsidRPr="001620CC" w:rsidRDefault="00394766" w:rsidP="00394766">
      <w:pPr>
        <w:numPr>
          <w:ilvl w:val="0"/>
          <w:numId w:val="30"/>
        </w:numPr>
        <w:snapToGrid w:val="0"/>
        <w:spacing w:before="40" w:after="40"/>
        <w:ind w:left="1560" w:hanging="426"/>
        <w:jc w:val="both"/>
        <w:rPr>
          <w:rFonts w:eastAsiaTheme="minorEastAsia"/>
          <w:i/>
          <w:lang w:eastAsia="zh-CN"/>
        </w:rPr>
      </w:pPr>
      <w:r w:rsidRPr="001620CC">
        <w:rPr>
          <w:rFonts w:eastAsiaTheme="minorEastAsia"/>
          <w:i/>
          <w:lang w:eastAsia="zh-CN"/>
        </w:rPr>
        <w:t>ICT data, statistics and statistical interpretations</w:t>
      </w:r>
    </w:p>
    <w:p w14:paraId="4A337E3D" w14:textId="77777777" w:rsidR="00394766" w:rsidRPr="001620CC" w:rsidRDefault="00394766" w:rsidP="00394766">
      <w:pPr>
        <w:numPr>
          <w:ilvl w:val="0"/>
          <w:numId w:val="30"/>
        </w:numPr>
        <w:snapToGrid w:val="0"/>
        <w:spacing w:before="40" w:after="40"/>
        <w:ind w:left="1560" w:hanging="426"/>
        <w:jc w:val="both"/>
        <w:rPr>
          <w:rFonts w:eastAsiaTheme="minorEastAsia"/>
          <w:i/>
          <w:lang w:eastAsia="zh-CN"/>
        </w:rPr>
      </w:pPr>
      <w:r w:rsidRPr="001620CC">
        <w:rPr>
          <w:rFonts w:eastAsiaTheme="minorEastAsia"/>
          <w:i/>
          <w:lang w:eastAsia="zh-CN"/>
        </w:rPr>
        <w:t>Terminology lists and glossaries</w:t>
      </w:r>
    </w:p>
    <w:p w14:paraId="347EC6D9" w14:textId="77777777" w:rsidR="0059359B" w:rsidRPr="001620CC" w:rsidRDefault="00394766" w:rsidP="0059359B">
      <w:pPr>
        <w:numPr>
          <w:ilvl w:val="0"/>
          <w:numId w:val="30"/>
        </w:numPr>
        <w:snapToGrid w:val="0"/>
        <w:spacing w:before="40" w:after="120"/>
        <w:ind w:left="1560" w:hanging="426"/>
        <w:jc w:val="both"/>
        <w:rPr>
          <w:rFonts w:eastAsiaTheme="minorEastAsia"/>
          <w:i/>
          <w:lang w:eastAsia="zh-CN"/>
        </w:rPr>
      </w:pPr>
      <w:r w:rsidRPr="001620CC">
        <w:rPr>
          <w:rFonts w:eastAsiaTheme="minorEastAsia"/>
          <w:i/>
          <w:iCs/>
          <w:lang w:eastAsia="zh-CN"/>
        </w:rPr>
        <w:t>ITU News</w:t>
      </w:r>
      <w:r w:rsidRPr="001620CC">
        <w:rPr>
          <w:rFonts w:eastAsiaTheme="minorEastAsia"/>
          <w:i/>
          <w:lang w:eastAsia="zh-CN"/>
        </w:rPr>
        <w:t xml:space="preserve"> (formerly </w:t>
      </w:r>
      <w:r w:rsidRPr="001620CC">
        <w:rPr>
          <w:rFonts w:eastAsiaTheme="minorEastAsia"/>
          <w:i/>
          <w:iCs/>
          <w:lang w:eastAsia="zh-CN"/>
        </w:rPr>
        <w:t xml:space="preserve">Journal </w:t>
      </w:r>
      <w:proofErr w:type="spellStart"/>
      <w:r w:rsidRPr="001620CC">
        <w:rPr>
          <w:rFonts w:eastAsiaTheme="minorEastAsia"/>
          <w:i/>
          <w:iCs/>
          <w:lang w:eastAsia="zh-CN"/>
        </w:rPr>
        <w:t>télégraphique</w:t>
      </w:r>
      <w:proofErr w:type="spellEnd"/>
      <w:r w:rsidRPr="001620CC">
        <w:rPr>
          <w:rFonts w:eastAsiaTheme="minorEastAsia"/>
          <w:i/>
          <w:lang w:eastAsia="zh-CN"/>
        </w:rPr>
        <w:t xml:space="preserve">, 1869-1933, and </w:t>
      </w:r>
      <w:r w:rsidRPr="001620CC">
        <w:rPr>
          <w:rFonts w:eastAsiaTheme="minorEastAsia"/>
          <w:i/>
          <w:iCs/>
          <w:lang w:eastAsia="zh-CN"/>
        </w:rPr>
        <w:t>Telecommunication Journal</w:t>
      </w:r>
      <w:r w:rsidRPr="001620CC">
        <w:rPr>
          <w:rFonts w:eastAsiaTheme="minorEastAsia"/>
          <w:i/>
          <w:lang w:eastAsia="zh-CN"/>
        </w:rPr>
        <w:t>, 1934-1993)</w:t>
      </w:r>
    </w:p>
    <w:p w14:paraId="7E9F40C1" w14:textId="77777777" w:rsidR="0059359B" w:rsidRPr="00992FB6" w:rsidRDefault="0059359B" w:rsidP="0059359B">
      <w:pPr>
        <w:snapToGrid w:val="0"/>
        <w:spacing w:before="40" w:after="120"/>
        <w:jc w:val="both"/>
        <w:rPr>
          <w:rFonts w:eastAsiaTheme="minorEastAsia"/>
          <w:i/>
          <w:iCs/>
          <w:lang w:eastAsia="zh-CN"/>
        </w:rPr>
      </w:pPr>
    </w:p>
    <w:p w14:paraId="3E8428B8" w14:textId="77777777" w:rsidR="009A07FD" w:rsidRPr="00992FB6" w:rsidRDefault="000F7FA1" w:rsidP="0059359B">
      <w:pPr>
        <w:snapToGrid w:val="0"/>
        <w:spacing w:before="40" w:after="120"/>
        <w:jc w:val="both"/>
        <w:rPr>
          <w:rFonts w:eastAsiaTheme="minorEastAsia"/>
          <w:lang w:eastAsia="zh-CN"/>
        </w:rPr>
      </w:pPr>
      <w:r w:rsidRPr="00992FB6">
        <w:rPr>
          <w:rFonts w:eastAsiaTheme="minorEastAsia"/>
          <w:b/>
          <w:lang w:eastAsia="zh-CN"/>
        </w:rPr>
        <w:t>2</w:t>
      </w:r>
      <w:r w:rsidRPr="00992FB6">
        <w:rPr>
          <w:rFonts w:eastAsiaTheme="minorEastAsia"/>
          <w:b/>
          <w:lang w:eastAsia="zh-CN"/>
        </w:rPr>
        <w:tab/>
      </w:r>
      <w:r w:rsidR="009A07FD" w:rsidRPr="00992FB6">
        <w:rPr>
          <w:rFonts w:eastAsiaTheme="minorEastAsia"/>
          <w:b/>
          <w:lang w:eastAsia="zh-CN"/>
        </w:rPr>
        <w:t>Document</w:t>
      </w:r>
      <w:r w:rsidRPr="00992FB6">
        <w:rPr>
          <w:rFonts w:eastAsiaTheme="minorEastAsia"/>
          <w:b/>
          <w:lang w:eastAsia="zh-CN"/>
        </w:rPr>
        <w:t xml:space="preserve"> Categories</w:t>
      </w:r>
    </w:p>
    <w:p w14:paraId="6F1AF761" w14:textId="77777777" w:rsidR="009A07FD" w:rsidRPr="00992FB6" w:rsidRDefault="009A07FD" w:rsidP="009A07FD">
      <w:pPr>
        <w:tabs>
          <w:tab w:val="left" w:pos="720"/>
        </w:tabs>
        <w:spacing w:after="200" w:line="276" w:lineRule="auto"/>
        <w:ind w:leftChars="-60" w:left="-144"/>
        <w:contextualSpacing/>
        <w:jc w:val="both"/>
        <w:rPr>
          <w:rFonts w:eastAsiaTheme="minorEastAsia"/>
          <w:b/>
          <w:lang w:eastAsia="zh-CN"/>
        </w:rPr>
      </w:pPr>
      <w:r w:rsidRPr="00992FB6">
        <w:rPr>
          <w:rFonts w:eastAsiaTheme="minorEastAsia"/>
          <w:b/>
          <w:lang w:eastAsia="zh-CN"/>
        </w:rPr>
        <w:t>2.1</w:t>
      </w:r>
      <w:r w:rsidRPr="00992FB6">
        <w:rPr>
          <w:rFonts w:eastAsiaTheme="minorEastAsia"/>
          <w:b/>
          <w:lang w:eastAsia="zh-CN"/>
        </w:rPr>
        <w:tab/>
        <w:t xml:space="preserve">Treaty-making conferences: Plenipotentiary, World Conference on International Telecommunication and World and Regional Radiocommunication Conferences </w:t>
      </w:r>
    </w:p>
    <w:p w14:paraId="78912A96" w14:textId="77777777" w:rsidR="009A07FD" w:rsidRPr="00992FB6" w:rsidRDefault="009A07FD" w:rsidP="009A07FD">
      <w:pPr>
        <w:tabs>
          <w:tab w:val="left" w:pos="720"/>
        </w:tabs>
        <w:spacing w:after="200" w:line="276" w:lineRule="auto"/>
        <w:ind w:leftChars="-60" w:left="-144"/>
        <w:contextualSpacing/>
        <w:jc w:val="both"/>
        <w:rPr>
          <w:rFonts w:eastAsiaTheme="minorEastAsia"/>
          <w:b/>
          <w:lang w:eastAsia="zh-CN"/>
        </w:rPr>
      </w:pPr>
    </w:p>
    <w:p w14:paraId="741BC17D"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r w:rsidRPr="00992FB6">
        <w:rPr>
          <w:rFonts w:eastAsiaTheme="minorEastAsia"/>
          <w:lang w:eastAsia="zh-CN"/>
        </w:rPr>
        <w:t xml:space="preserve">2.1.1 The agendas </w:t>
      </w:r>
      <w:r w:rsidR="0059359B" w:rsidRPr="00992FB6">
        <w:rPr>
          <w:rFonts w:eastAsiaTheme="minorEastAsia"/>
          <w:lang w:eastAsia="zh-CN"/>
        </w:rPr>
        <w:t xml:space="preserve">of </w:t>
      </w:r>
      <w:r w:rsidR="001B414D" w:rsidRPr="00992FB6">
        <w:rPr>
          <w:rFonts w:eastAsiaTheme="minorEastAsia"/>
          <w:lang w:eastAsia="zh-CN"/>
        </w:rPr>
        <w:t xml:space="preserve">these </w:t>
      </w:r>
      <w:r w:rsidRPr="00992FB6">
        <w:rPr>
          <w:rFonts w:eastAsiaTheme="minorEastAsia"/>
          <w:lang w:eastAsia="zh-CN"/>
        </w:rPr>
        <w:t>conferences</w:t>
      </w:r>
      <w:r w:rsidR="00B06249" w:rsidRPr="00992FB6">
        <w:rPr>
          <w:rFonts w:eastAsiaTheme="minorEastAsia"/>
          <w:lang w:eastAsia="zh-CN"/>
        </w:rPr>
        <w:t xml:space="preserve"> </w:t>
      </w:r>
      <w:r w:rsidRPr="00992FB6">
        <w:rPr>
          <w:rFonts w:eastAsiaTheme="minorEastAsia"/>
          <w:lang w:eastAsia="zh-CN"/>
        </w:rPr>
        <w:t xml:space="preserve">and </w:t>
      </w:r>
      <w:r w:rsidR="00862F8D" w:rsidRPr="00992FB6">
        <w:rPr>
          <w:rFonts w:eastAsiaTheme="minorEastAsia"/>
          <w:lang w:eastAsia="zh-CN"/>
        </w:rPr>
        <w:t xml:space="preserve">all input contributions/documents </w:t>
      </w:r>
      <w:r w:rsidRPr="00992FB6">
        <w:rPr>
          <w:rFonts w:eastAsiaTheme="minorEastAsia"/>
          <w:lang w:eastAsia="zh-CN"/>
        </w:rPr>
        <w:t>from Member States, documents submitted by the Secretariat and all information documents submitted by the observers</w:t>
      </w:r>
      <w:r w:rsidR="00FC6009" w:rsidRPr="00992FB6">
        <w:rPr>
          <w:rStyle w:val="FootnoteReference"/>
          <w:rFonts w:eastAsiaTheme="minorEastAsia"/>
          <w:lang w:eastAsia="zh-CN"/>
        </w:rPr>
        <w:footnoteReference w:id="3"/>
      </w:r>
      <w:r w:rsidRPr="00992FB6">
        <w:rPr>
          <w:rFonts w:eastAsiaTheme="minorEastAsia"/>
          <w:lang w:eastAsia="zh-CN"/>
        </w:rPr>
        <w:t xml:space="preserve"> to these conferences be made available to the public without ties password.</w:t>
      </w:r>
    </w:p>
    <w:p w14:paraId="67DAC222"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p>
    <w:p w14:paraId="4E567794" w14:textId="77777777" w:rsidR="009A07FD" w:rsidRPr="00992FB6" w:rsidRDefault="009A07FD" w:rsidP="0059359B">
      <w:pPr>
        <w:tabs>
          <w:tab w:val="left" w:pos="480"/>
        </w:tabs>
        <w:spacing w:after="200" w:line="276" w:lineRule="auto"/>
        <w:ind w:leftChars="-60" w:left="-144"/>
        <w:contextualSpacing/>
        <w:jc w:val="both"/>
        <w:rPr>
          <w:rFonts w:eastAsiaTheme="minorEastAsia"/>
          <w:lang w:eastAsia="zh-CN"/>
        </w:rPr>
      </w:pPr>
      <w:r w:rsidRPr="00992FB6">
        <w:rPr>
          <w:rFonts w:eastAsiaTheme="minorEastAsia"/>
          <w:lang w:eastAsia="zh-CN"/>
        </w:rPr>
        <w:t>2.1.2</w:t>
      </w:r>
      <w:r w:rsidRPr="00992FB6">
        <w:rPr>
          <w:rFonts w:eastAsiaTheme="minorEastAsia"/>
          <w:lang w:eastAsia="zh-CN"/>
        </w:rPr>
        <w:tab/>
        <w:t xml:space="preserve">All other documents </w:t>
      </w:r>
      <w:r w:rsidR="00C81847" w:rsidRPr="00992FB6">
        <w:rPr>
          <w:rFonts w:eastAsiaTheme="minorEastAsia"/>
          <w:lang w:eastAsia="zh-CN"/>
        </w:rPr>
        <w:t xml:space="preserve">produced during these conferences </w:t>
      </w:r>
      <w:r w:rsidRPr="00992FB6">
        <w:rPr>
          <w:rFonts w:eastAsiaTheme="minorEastAsia"/>
          <w:lang w:eastAsia="zh-CN"/>
        </w:rPr>
        <w:t xml:space="preserve">including temporary documents, documents produced with limited distributions, notes from chairmen of various committees, sub-committees and working groups </w:t>
      </w:r>
      <w:r w:rsidR="00C0185C" w:rsidRPr="00992FB6">
        <w:rPr>
          <w:rFonts w:eastAsiaTheme="minorEastAsia"/>
          <w:lang w:eastAsia="zh-CN"/>
        </w:rPr>
        <w:t>be</w:t>
      </w:r>
      <w:r w:rsidRPr="00992FB6">
        <w:rPr>
          <w:rFonts w:eastAsiaTheme="minorEastAsia"/>
          <w:lang w:eastAsia="zh-CN"/>
        </w:rPr>
        <w:t xml:space="preserve"> made available </w:t>
      </w:r>
      <w:r w:rsidR="00C0185C" w:rsidRPr="00992FB6">
        <w:rPr>
          <w:rFonts w:eastAsiaTheme="minorEastAsia"/>
          <w:lang w:eastAsia="zh-CN"/>
        </w:rPr>
        <w:t xml:space="preserve">only </w:t>
      </w:r>
      <w:r w:rsidRPr="00992FB6">
        <w:rPr>
          <w:rFonts w:eastAsiaTheme="minorEastAsia"/>
          <w:lang w:eastAsia="zh-CN"/>
        </w:rPr>
        <w:t>to I</w:t>
      </w:r>
      <w:r w:rsidR="00D65CC9" w:rsidRPr="00992FB6">
        <w:rPr>
          <w:rFonts w:eastAsiaTheme="minorEastAsia"/>
          <w:lang w:eastAsia="zh-CN"/>
        </w:rPr>
        <w:t>TU membership through ties pass</w:t>
      </w:r>
      <w:r w:rsidRPr="00992FB6">
        <w:rPr>
          <w:rFonts w:eastAsiaTheme="minorEastAsia"/>
          <w:lang w:eastAsia="zh-CN"/>
        </w:rPr>
        <w:t xml:space="preserve">word </w:t>
      </w:r>
    </w:p>
    <w:p w14:paraId="663651D0" w14:textId="77777777" w:rsidR="00C0185C" w:rsidRPr="00992FB6" w:rsidRDefault="00C0185C" w:rsidP="009A07FD">
      <w:pPr>
        <w:tabs>
          <w:tab w:val="left" w:pos="720"/>
        </w:tabs>
        <w:spacing w:after="200" w:line="276" w:lineRule="auto"/>
        <w:ind w:leftChars="-60" w:left="-144"/>
        <w:contextualSpacing/>
        <w:jc w:val="both"/>
        <w:rPr>
          <w:rFonts w:eastAsiaTheme="minorEastAsia"/>
          <w:lang w:eastAsia="zh-CN"/>
        </w:rPr>
      </w:pPr>
    </w:p>
    <w:p w14:paraId="4CED8BBA" w14:textId="77777777" w:rsidR="009A07FD" w:rsidRPr="00992FB6" w:rsidRDefault="009A07FD" w:rsidP="0059359B">
      <w:pPr>
        <w:tabs>
          <w:tab w:val="left" w:pos="480"/>
        </w:tabs>
        <w:spacing w:after="200" w:line="276" w:lineRule="auto"/>
        <w:ind w:leftChars="-60" w:left="-144"/>
        <w:contextualSpacing/>
        <w:jc w:val="both"/>
        <w:rPr>
          <w:rFonts w:eastAsiaTheme="minorEastAsia"/>
          <w:lang w:eastAsia="zh-CN"/>
        </w:rPr>
      </w:pPr>
      <w:r w:rsidRPr="00992FB6">
        <w:rPr>
          <w:rFonts w:eastAsiaTheme="minorEastAsia"/>
          <w:lang w:eastAsia="zh-CN"/>
        </w:rPr>
        <w:t>2.1.3</w:t>
      </w:r>
      <w:r w:rsidRPr="00992FB6">
        <w:rPr>
          <w:rFonts w:eastAsiaTheme="minorEastAsia"/>
          <w:lang w:eastAsia="zh-CN"/>
        </w:rPr>
        <w:tab/>
        <w:t>Output documents of these conferences, including</w:t>
      </w:r>
      <w:r w:rsidR="00CE500D" w:rsidRPr="00992FB6">
        <w:rPr>
          <w:rFonts w:eastAsiaTheme="minorEastAsia"/>
          <w:lang w:eastAsia="zh-CN"/>
        </w:rPr>
        <w:t xml:space="preserve"> </w:t>
      </w:r>
      <w:r w:rsidRPr="00992FB6">
        <w:rPr>
          <w:rFonts w:eastAsiaTheme="minorEastAsia"/>
          <w:lang w:eastAsia="zh-CN"/>
        </w:rPr>
        <w:t>their</w:t>
      </w:r>
      <w:r w:rsidR="00CE500D" w:rsidRPr="00992FB6">
        <w:rPr>
          <w:rFonts w:eastAsiaTheme="minorEastAsia"/>
          <w:lang w:eastAsia="zh-CN"/>
        </w:rPr>
        <w:t xml:space="preserve"> </w:t>
      </w:r>
      <w:r w:rsidRPr="00992FB6">
        <w:rPr>
          <w:rFonts w:eastAsiaTheme="minorEastAsia"/>
          <w:lang w:eastAsia="zh-CN"/>
        </w:rPr>
        <w:t>summary records, once agreed by the Plenary, as well as the Final Acts of these conferences, be also made available to the public</w:t>
      </w:r>
      <w:r w:rsidR="007F01E9" w:rsidRPr="00992FB6">
        <w:rPr>
          <w:rFonts w:eastAsiaTheme="minorEastAsia"/>
          <w:lang w:eastAsia="zh-CN"/>
        </w:rPr>
        <w:t xml:space="preserve"> </w:t>
      </w:r>
      <w:r w:rsidR="00D65CC9" w:rsidRPr="00992FB6">
        <w:rPr>
          <w:rFonts w:eastAsiaTheme="minorEastAsia"/>
          <w:lang w:eastAsia="zh-CN"/>
        </w:rPr>
        <w:t>without ties pass</w:t>
      </w:r>
      <w:r w:rsidR="007F01E9" w:rsidRPr="00992FB6">
        <w:rPr>
          <w:rFonts w:eastAsiaTheme="minorEastAsia"/>
          <w:lang w:eastAsia="zh-CN"/>
        </w:rPr>
        <w:t>word</w:t>
      </w:r>
      <w:r w:rsidRPr="00992FB6">
        <w:rPr>
          <w:rFonts w:eastAsiaTheme="minorEastAsia"/>
          <w:lang w:eastAsia="zh-CN"/>
        </w:rPr>
        <w:t>.</w:t>
      </w:r>
    </w:p>
    <w:p w14:paraId="50163F61"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p>
    <w:p w14:paraId="008A39CB"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r w:rsidRPr="00992FB6">
        <w:rPr>
          <w:rFonts w:eastAsiaTheme="minorEastAsia"/>
          <w:b/>
          <w:lang w:eastAsia="zh-CN"/>
        </w:rPr>
        <w:t>2.2</w:t>
      </w:r>
      <w:r w:rsidRPr="00992FB6">
        <w:rPr>
          <w:rFonts w:eastAsiaTheme="minorEastAsia"/>
          <w:b/>
          <w:lang w:eastAsia="zh-CN"/>
        </w:rPr>
        <w:tab/>
        <w:t>Non Treaty-making conference and assemblies: World Telecommunication Development Conference, World Telecommunication Standardization Assembly and Radiocommunication Assembly</w:t>
      </w:r>
      <w:r w:rsidR="000111F4" w:rsidRPr="00992FB6">
        <w:rPr>
          <w:rFonts w:eastAsiaTheme="minorEastAsia"/>
          <w:b/>
          <w:lang w:eastAsia="zh-CN"/>
        </w:rPr>
        <w:t xml:space="preserve"> including the associated study groups</w:t>
      </w:r>
      <w:r w:rsidR="00693A10" w:rsidRPr="00992FB6">
        <w:rPr>
          <w:rFonts w:eastAsiaTheme="minorEastAsia"/>
          <w:b/>
          <w:lang w:eastAsia="zh-CN"/>
        </w:rPr>
        <w:t xml:space="preserve">, </w:t>
      </w:r>
      <w:r w:rsidR="000111F4" w:rsidRPr="00992FB6">
        <w:rPr>
          <w:rFonts w:eastAsiaTheme="minorEastAsia"/>
          <w:b/>
          <w:lang w:eastAsia="zh-CN"/>
        </w:rPr>
        <w:t>wo</w:t>
      </w:r>
      <w:r w:rsidR="00693A10" w:rsidRPr="00992FB6">
        <w:rPr>
          <w:rFonts w:eastAsiaTheme="minorEastAsia"/>
          <w:b/>
          <w:lang w:eastAsia="zh-CN"/>
        </w:rPr>
        <w:t xml:space="preserve">rking parties, </w:t>
      </w:r>
      <w:r w:rsidR="000111F4" w:rsidRPr="00992FB6">
        <w:rPr>
          <w:rFonts w:eastAsiaTheme="minorEastAsia"/>
          <w:b/>
          <w:lang w:eastAsia="zh-CN"/>
        </w:rPr>
        <w:t>task group</w:t>
      </w:r>
      <w:r w:rsidR="00693A10" w:rsidRPr="00992FB6">
        <w:rPr>
          <w:rFonts w:eastAsiaTheme="minorEastAsia"/>
          <w:b/>
          <w:lang w:eastAsia="zh-CN"/>
        </w:rPr>
        <w:t>s</w:t>
      </w:r>
      <w:r w:rsidR="000111F4" w:rsidRPr="00992FB6">
        <w:rPr>
          <w:rFonts w:eastAsiaTheme="minorEastAsia"/>
          <w:b/>
          <w:lang w:eastAsia="zh-CN"/>
        </w:rPr>
        <w:t xml:space="preserve"> and joint task group</w:t>
      </w:r>
      <w:r w:rsidR="00693A10" w:rsidRPr="00992FB6">
        <w:rPr>
          <w:rFonts w:eastAsiaTheme="minorEastAsia"/>
          <w:b/>
          <w:lang w:eastAsia="zh-CN"/>
        </w:rPr>
        <w:t>s</w:t>
      </w:r>
      <w:r w:rsidRPr="00992FB6">
        <w:rPr>
          <w:rFonts w:eastAsiaTheme="minorEastAsia"/>
          <w:lang w:eastAsia="zh-CN"/>
        </w:rPr>
        <w:tab/>
      </w:r>
    </w:p>
    <w:p w14:paraId="51D7D425"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p>
    <w:p w14:paraId="5FF28082"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r w:rsidRPr="00992FB6">
        <w:rPr>
          <w:rFonts w:eastAsiaTheme="minorEastAsia"/>
          <w:lang w:eastAsia="zh-CN"/>
        </w:rPr>
        <w:t>2.2.1</w:t>
      </w:r>
      <w:r w:rsidRPr="00992FB6">
        <w:rPr>
          <w:rFonts w:eastAsiaTheme="minorEastAsia"/>
          <w:lang w:eastAsia="zh-CN"/>
        </w:rPr>
        <w:tab/>
        <w:t>All input contributions/documents  and output documents including those produced during these conference and assemblies of any type  except</w:t>
      </w:r>
      <w:r w:rsidRPr="00992FB6">
        <w:rPr>
          <w:rFonts w:eastAsiaTheme="minorEastAsia"/>
          <w:strike/>
          <w:lang w:eastAsia="zh-CN"/>
        </w:rPr>
        <w:t>s</w:t>
      </w:r>
      <w:r w:rsidRPr="00992FB6">
        <w:rPr>
          <w:rFonts w:eastAsiaTheme="minorEastAsia"/>
          <w:lang w:eastAsia="zh-CN"/>
        </w:rPr>
        <w:t xml:space="preserve"> any DT and DL type documents  be made available to the public without ties password. </w:t>
      </w:r>
    </w:p>
    <w:p w14:paraId="7538E433" w14:textId="77777777" w:rsidR="009A07FD" w:rsidRPr="00992FB6" w:rsidRDefault="009A07FD" w:rsidP="009A07FD">
      <w:pPr>
        <w:tabs>
          <w:tab w:val="left" w:pos="720"/>
        </w:tabs>
        <w:spacing w:after="200" w:line="276" w:lineRule="auto"/>
        <w:ind w:leftChars="-60" w:left="-144"/>
        <w:contextualSpacing/>
        <w:jc w:val="both"/>
        <w:rPr>
          <w:rFonts w:eastAsiaTheme="minorEastAsia"/>
          <w:b/>
          <w:lang w:eastAsia="zh-CN"/>
        </w:rPr>
      </w:pPr>
      <w:r w:rsidRPr="00992FB6">
        <w:rPr>
          <w:rFonts w:eastAsiaTheme="minorEastAsia"/>
          <w:b/>
          <w:lang w:eastAsia="zh-CN"/>
        </w:rPr>
        <w:tab/>
      </w:r>
    </w:p>
    <w:p w14:paraId="229764BA" w14:textId="77777777" w:rsidR="009A07FD" w:rsidRPr="00992FB6" w:rsidRDefault="009A07FD" w:rsidP="009A07FD">
      <w:pPr>
        <w:tabs>
          <w:tab w:val="left" w:pos="720"/>
        </w:tabs>
        <w:spacing w:after="200" w:line="276" w:lineRule="auto"/>
        <w:ind w:leftChars="-60" w:left="-144"/>
        <w:contextualSpacing/>
        <w:jc w:val="both"/>
        <w:rPr>
          <w:rFonts w:eastAsiaTheme="minorEastAsia"/>
          <w:b/>
          <w:lang w:eastAsia="zh-CN"/>
        </w:rPr>
      </w:pPr>
      <w:r w:rsidRPr="00992FB6">
        <w:rPr>
          <w:rFonts w:eastAsiaTheme="minorEastAsia"/>
          <w:b/>
          <w:lang w:eastAsia="zh-CN"/>
        </w:rPr>
        <w:t>2.3</w:t>
      </w:r>
      <w:r w:rsidRPr="00992FB6">
        <w:rPr>
          <w:rFonts w:eastAsiaTheme="minorEastAsia"/>
          <w:b/>
          <w:lang w:eastAsia="zh-CN"/>
        </w:rPr>
        <w:tab/>
        <w:t>ITU Council</w:t>
      </w:r>
      <w:r w:rsidR="007C2EC8" w:rsidRPr="00992FB6">
        <w:rPr>
          <w:rFonts w:eastAsiaTheme="minorEastAsia"/>
          <w:b/>
          <w:lang w:eastAsia="zh-CN"/>
        </w:rPr>
        <w:t xml:space="preserve"> and its working groups</w:t>
      </w:r>
    </w:p>
    <w:p w14:paraId="24FFF223"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r w:rsidRPr="00992FB6">
        <w:rPr>
          <w:rFonts w:eastAsiaTheme="minorEastAsia"/>
          <w:b/>
          <w:lang w:eastAsia="zh-CN"/>
        </w:rPr>
        <w:t>2.3.1</w:t>
      </w:r>
      <w:r w:rsidRPr="00992FB6">
        <w:rPr>
          <w:rFonts w:eastAsiaTheme="minorEastAsia"/>
          <w:b/>
          <w:lang w:eastAsia="zh-CN"/>
        </w:rPr>
        <w:tab/>
      </w:r>
      <w:r w:rsidRPr="00992FB6">
        <w:rPr>
          <w:rFonts w:eastAsiaTheme="minorEastAsia"/>
          <w:lang w:eastAsia="zh-CN"/>
        </w:rPr>
        <w:t>The agenda and input documents including proposals from Member States, documents submitted by the Secretary General, except specific documents (</w:t>
      </w:r>
      <w:r w:rsidR="00413F64" w:rsidRPr="00992FB6">
        <w:rPr>
          <w:rFonts w:eastAsiaTheme="minorEastAsia"/>
          <w:lang w:eastAsia="zh-CN"/>
        </w:rPr>
        <w:t xml:space="preserve">Summary </w:t>
      </w:r>
      <w:r w:rsidRPr="00992FB6">
        <w:rPr>
          <w:rFonts w:eastAsiaTheme="minorEastAsia"/>
          <w:lang w:eastAsia="zh-CN"/>
        </w:rPr>
        <w:t xml:space="preserve">of </w:t>
      </w:r>
      <w:r w:rsidR="00722CDF" w:rsidRPr="00992FB6">
        <w:rPr>
          <w:rFonts w:eastAsiaTheme="minorEastAsia"/>
          <w:lang w:eastAsia="zh-CN"/>
        </w:rPr>
        <w:t xml:space="preserve">annual report of </w:t>
      </w:r>
      <w:r w:rsidRPr="00992FB6">
        <w:rPr>
          <w:rFonts w:eastAsiaTheme="minorEastAsia"/>
          <w:lang w:eastAsia="zh-CN"/>
        </w:rPr>
        <w:t xml:space="preserve">the </w:t>
      </w:r>
      <w:r w:rsidRPr="00992FB6">
        <w:rPr>
          <w:rFonts w:eastAsiaTheme="minorEastAsia"/>
          <w:lang w:eastAsia="zh-CN"/>
        </w:rPr>
        <w:lastRenderedPageBreak/>
        <w:t xml:space="preserve">Internal Auditor, before being approved by </w:t>
      </w:r>
      <w:r w:rsidR="00BD208B" w:rsidRPr="00992FB6">
        <w:rPr>
          <w:rFonts w:eastAsiaTheme="minorEastAsia"/>
          <w:lang w:eastAsia="zh-CN"/>
        </w:rPr>
        <w:t>Council</w:t>
      </w:r>
      <w:r w:rsidR="00000871" w:rsidRPr="00992FB6">
        <w:rPr>
          <w:rFonts w:eastAsiaTheme="minorEastAsia"/>
          <w:lang w:eastAsia="zh-CN"/>
        </w:rPr>
        <w:t>:</w:t>
      </w:r>
      <w:r w:rsidR="00B67C43" w:rsidRPr="00992FB6">
        <w:rPr>
          <w:rFonts w:eastAsiaTheme="minorEastAsia"/>
          <w:lang w:eastAsia="zh-CN"/>
        </w:rPr>
        <w:t xml:space="preserve"> T</w:t>
      </w:r>
      <w:r w:rsidR="00000871" w:rsidRPr="00992FB6">
        <w:rPr>
          <w:rFonts w:eastAsiaTheme="minorEastAsia"/>
          <w:lang w:eastAsia="zh-CN"/>
        </w:rPr>
        <w:t>hese documents</w:t>
      </w:r>
      <w:r w:rsidR="00B7527D" w:rsidRPr="00992FB6">
        <w:rPr>
          <w:rFonts w:eastAsiaTheme="minorEastAsia"/>
          <w:lang w:eastAsia="zh-CN"/>
        </w:rPr>
        <w:t xml:space="preserve"> should</w:t>
      </w:r>
      <w:r w:rsidR="00F31FFF" w:rsidRPr="00992FB6">
        <w:rPr>
          <w:rFonts w:eastAsiaTheme="minorEastAsia"/>
          <w:lang w:eastAsia="zh-CN"/>
        </w:rPr>
        <w:t xml:space="preserve"> be made available</w:t>
      </w:r>
      <w:r w:rsidR="00000871" w:rsidRPr="00992FB6">
        <w:rPr>
          <w:rFonts w:eastAsiaTheme="minorEastAsia"/>
          <w:lang w:eastAsia="zh-CN"/>
        </w:rPr>
        <w:t xml:space="preserve"> </w:t>
      </w:r>
      <w:r w:rsidR="00B67C43" w:rsidRPr="00992FB6">
        <w:rPr>
          <w:rFonts w:eastAsiaTheme="minorEastAsia"/>
          <w:lang w:eastAsia="zh-CN"/>
        </w:rPr>
        <w:t xml:space="preserve">to </w:t>
      </w:r>
      <w:r w:rsidR="007F2DB8" w:rsidRPr="00992FB6">
        <w:rPr>
          <w:rFonts w:eastAsiaTheme="minorEastAsia"/>
          <w:lang w:eastAsia="zh-CN"/>
        </w:rPr>
        <w:t xml:space="preserve">the </w:t>
      </w:r>
      <w:r w:rsidR="00000871" w:rsidRPr="00992FB6">
        <w:rPr>
          <w:rFonts w:eastAsiaTheme="minorEastAsia"/>
          <w:lang w:eastAsia="zh-CN"/>
        </w:rPr>
        <w:t>publi</w:t>
      </w:r>
      <w:r w:rsidR="00B67C43" w:rsidRPr="00992FB6">
        <w:rPr>
          <w:rFonts w:eastAsiaTheme="minorEastAsia"/>
          <w:lang w:eastAsia="zh-CN"/>
        </w:rPr>
        <w:t>c</w:t>
      </w:r>
      <w:r w:rsidR="00000871" w:rsidRPr="00992FB6">
        <w:rPr>
          <w:rFonts w:eastAsiaTheme="minorEastAsia"/>
          <w:lang w:eastAsia="zh-CN"/>
        </w:rPr>
        <w:t xml:space="preserve"> after their consideration and approval</w:t>
      </w:r>
      <w:r w:rsidRPr="00992FB6">
        <w:rPr>
          <w:rFonts w:eastAsiaTheme="minorEastAsia"/>
          <w:lang w:eastAsia="zh-CN"/>
        </w:rPr>
        <w:t>), be made available to the public without ties password.</w:t>
      </w:r>
    </w:p>
    <w:p w14:paraId="09F8F5E5" w14:textId="77777777" w:rsidR="009A07FD" w:rsidRPr="00992FB6" w:rsidRDefault="009A07FD" w:rsidP="009A07FD">
      <w:pPr>
        <w:tabs>
          <w:tab w:val="left" w:pos="720"/>
        </w:tabs>
        <w:spacing w:after="200" w:line="276" w:lineRule="auto"/>
        <w:ind w:leftChars="-60" w:left="-144"/>
        <w:contextualSpacing/>
        <w:jc w:val="both"/>
        <w:rPr>
          <w:rFonts w:eastAsiaTheme="minorEastAsia"/>
          <w:b/>
          <w:lang w:eastAsia="zh-CN"/>
        </w:rPr>
      </w:pPr>
    </w:p>
    <w:p w14:paraId="2EFE091D"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r w:rsidRPr="00992FB6">
        <w:rPr>
          <w:rFonts w:eastAsiaTheme="minorEastAsia"/>
          <w:lang w:eastAsia="zh-CN"/>
        </w:rPr>
        <w:t>2.3.2</w:t>
      </w:r>
      <w:r w:rsidRPr="00992FB6">
        <w:rPr>
          <w:rFonts w:eastAsiaTheme="minorEastAsia"/>
          <w:lang w:eastAsia="zh-CN"/>
        </w:rPr>
        <w:tab/>
        <w:t>All other documents including temporary documents, documents produced</w:t>
      </w:r>
      <w:r w:rsidR="00D23619" w:rsidRPr="00992FB6">
        <w:rPr>
          <w:rFonts w:eastAsiaTheme="minorEastAsia"/>
          <w:lang w:eastAsia="zh-CN"/>
        </w:rPr>
        <w:t xml:space="preserve"> during</w:t>
      </w:r>
      <w:r w:rsidR="00CF6FE9" w:rsidRPr="00992FB6">
        <w:rPr>
          <w:rFonts w:eastAsiaTheme="minorEastAsia"/>
          <w:lang w:eastAsia="zh-CN"/>
        </w:rPr>
        <w:t xml:space="preserve"> the </w:t>
      </w:r>
      <w:r w:rsidR="00E53502" w:rsidRPr="00992FB6">
        <w:rPr>
          <w:rFonts w:eastAsiaTheme="minorEastAsia"/>
          <w:lang w:eastAsia="zh-CN"/>
        </w:rPr>
        <w:t>C</w:t>
      </w:r>
      <w:r w:rsidR="00CF6FE9" w:rsidRPr="00992FB6">
        <w:rPr>
          <w:rFonts w:eastAsiaTheme="minorEastAsia"/>
          <w:lang w:eastAsia="zh-CN"/>
        </w:rPr>
        <w:t>ouncil</w:t>
      </w:r>
      <w:r w:rsidR="00D23619" w:rsidRPr="00992FB6">
        <w:rPr>
          <w:rFonts w:eastAsiaTheme="minorEastAsia"/>
          <w:lang w:eastAsia="zh-CN"/>
        </w:rPr>
        <w:t xml:space="preserve"> meeting</w:t>
      </w:r>
      <w:r w:rsidRPr="00992FB6">
        <w:rPr>
          <w:rFonts w:eastAsiaTheme="minorEastAsia"/>
          <w:lang w:eastAsia="zh-CN"/>
        </w:rPr>
        <w:t xml:space="preserve"> with limited distributions</w:t>
      </w:r>
      <w:r w:rsidR="00BD208B" w:rsidRPr="00992FB6">
        <w:rPr>
          <w:rFonts w:eastAsiaTheme="minorEastAsia"/>
          <w:lang w:eastAsia="zh-CN"/>
        </w:rPr>
        <w:t>,</w:t>
      </w:r>
      <w:r w:rsidRPr="00992FB6">
        <w:rPr>
          <w:rFonts w:eastAsiaTheme="minorEastAsia"/>
          <w:lang w:eastAsia="zh-CN"/>
        </w:rPr>
        <w:t xml:space="preserve"> report of Internal Auditor and documents of Financial Nature to be made available only to I</w:t>
      </w:r>
      <w:r w:rsidR="00E53502" w:rsidRPr="00992FB6">
        <w:rPr>
          <w:rFonts w:eastAsiaTheme="minorEastAsia"/>
          <w:lang w:eastAsia="zh-CN"/>
        </w:rPr>
        <w:t>TU membership through ties pass</w:t>
      </w:r>
      <w:r w:rsidRPr="00992FB6">
        <w:rPr>
          <w:rFonts w:eastAsiaTheme="minorEastAsia"/>
          <w:lang w:eastAsia="zh-CN"/>
        </w:rPr>
        <w:t>word.</w:t>
      </w:r>
    </w:p>
    <w:p w14:paraId="62B07CD8" w14:textId="77777777" w:rsidR="009A07FD" w:rsidRPr="00992FB6" w:rsidRDefault="009A07FD" w:rsidP="009A07FD">
      <w:pPr>
        <w:tabs>
          <w:tab w:val="left" w:pos="720"/>
        </w:tabs>
        <w:spacing w:after="200" w:line="276" w:lineRule="auto"/>
        <w:ind w:leftChars="-60" w:left="-144"/>
        <w:contextualSpacing/>
        <w:jc w:val="both"/>
        <w:rPr>
          <w:rFonts w:eastAsiaTheme="minorEastAsia"/>
          <w:b/>
          <w:lang w:eastAsia="zh-CN"/>
        </w:rPr>
      </w:pPr>
    </w:p>
    <w:p w14:paraId="27B2461C"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r w:rsidRPr="00992FB6">
        <w:rPr>
          <w:rFonts w:eastAsiaTheme="minorEastAsia"/>
          <w:b/>
          <w:lang w:eastAsia="zh-CN"/>
        </w:rPr>
        <w:t>2.4</w:t>
      </w:r>
      <w:r w:rsidRPr="00992FB6">
        <w:rPr>
          <w:rFonts w:eastAsiaTheme="minorEastAsia"/>
          <w:b/>
          <w:lang w:eastAsia="zh-CN"/>
        </w:rPr>
        <w:tab/>
        <w:t>Radio Regulations Board Meeting</w:t>
      </w:r>
      <w:r w:rsidRPr="00992FB6">
        <w:rPr>
          <w:rFonts w:eastAsiaTheme="minorEastAsia"/>
          <w:lang w:eastAsia="zh-CN"/>
        </w:rPr>
        <w:tab/>
      </w:r>
    </w:p>
    <w:p w14:paraId="7D385944" w14:textId="77777777" w:rsidR="009A07FD" w:rsidRPr="00992FB6" w:rsidRDefault="009A07FD" w:rsidP="009A07FD">
      <w:pPr>
        <w:tabs>
          <w:tab w:val="left" w:pos="720"/>
        </w:tabs>
        <w:spacing w:after="200" w:line="276" w:lineRule="auto"/>
        <w:ind w:leftChars="-60" w:left="785" w:hangingChars="387" w:hanging="929"/>
        <w:contextualSpacing/>
        <w:jc w:val="both"/>
        <w:rPr>
          <w:rFonts w:eastAsiaTheme="minorEastAsia"/>
          <w:lang w:eastAsia="zh-CN"/>
        </w:rPr>
      </w:pPr>
      <w:r w:rsidRPr="00992FB6">
        <w:rPr>
          <w:rFonts w:eastAsiaTheme="minorEastAsia"/>
          <w:lang w:eastAsia="zh-CN"/>
        </w:rPr>
        <w:tab/>
      </w:r>
    </w:p>
    <w:p w14:paraId="75C56F46"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r w:rsidRPr="00992FB6">
        <w:rPr>
          <w:rFonts w:eastAsiaTheme="minorEastAsia"/>
          <w:lang w:eastAsia="zh-CN"/>
        </w:rPr>
        <w:t>2.4.1</w:t>
      </w:r>
      <w:r w:rsidRPr="00992FB6">
        <w:rPr>
          <w:rFonts w:eastAsiaTheme="minorEastAsia"/>
          <w:lang w:eastAsia="zh-CN"/>
        </w:rPr>
        <w:tab/>
        <w:t>All documents of the RRB, except those produced during meeting for discussion, to be made available to the public without ties password. However, in exceptional cases, the RRB may decide that certain documents of critical nature dealing with delicate issues, be only made available to I</w:t>
      </w:r>
      <w:r w:rsidR="00E53502" w:rsidRPr="00992FB6">
        <w:rPr>
          <w:rFonts w:eastAsiaTheme="minorEastAsia"/>
          <w:lang w:eastAsia="zh-CN"/>
        </w:rPr>
        <w:t>TU membership through ties pass</w:t>
      </w:r>
      <w:r w:rsidRPr="00992FB6">
        <w:rPr>
          <w:rFonts w:eastAsiaTheme="minorEastAsia"/>
          <w:lang w:eastAsia="zh-CN"/>
        </w:rPr>
        <w:t>word.</w:t>
      </w:r>
    </w:p>
    <w:p w14:paraId="324ACE16"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p>
    <w:p w14:paraId="7AD0ECFE" w14:textId="77777777" w:rsidR="009A07FD" w:rsidRPr="00992FB6" w:rsidRDefault="009A07FD">
      <w:pPr>
        <w:tabs>
          <w:tab w:val="left" w:pos="720"/>
        </w:tabs>
        <w:spacing w:after="200" w:line="276" w:lineRule="auto"/>
        <w:ind w:leftChars="-60" w:left="-144"/>
        <w:contextualSpacing/>
        <w:jc w:val="both"/>
        <w:rPr>
          <w:rFonts w:eastAsiaTheme="minorEastAsia"/>
          <w:b/>
          <w:lang w:eastAsia="zh-CN"/>
        </w:rPr>
      </w:pPr>
      <w:r w:rsidRPr="00992FB6">
        <w:rPr>
          <w:rFonts w:eastAsiaTheme="minorEastAsia"/>
          <w:b/>
          <w:lang w:eastAsia="zh-CN"/>
        </w:rPr>
        <w:t>2.5</w:t>
      </w:r>
      <w:r w:rsidRPr="00992FB6">
        <w:rPr>
          <w:rFonts w:eastAsiaTheme="minorEastAsia"/>
          <w:b/>
          <w:lang w:eastAsia="zh-CN"/>
        </w:rPr>
        <w:tab/>
        <w:t>Sectors, Study Groups, Working Parties, and other groups including Task G</w:t>
      </w:r>
      <w:r w:rsidR="00CE500D" w:rsidRPr="00992FB6">
        <w:rPr>
          <w:rFonts w:eastAsiaTheme="minorEastAsia"/>
          <w:b/>
          <w:lang w:eastAsia="zh-CN"/>
        </w:rPr>
        <w:t>ro</w:t>
      </w:r>
      <w:r w:rsidRPr="00992FB6">
        <w:rPr>
          <w:rFonts w:eastAsiaTheme="minorEastAsia"/>
          <w:b/>
          <w:lang w:eastAsia="zh-CN"/>
        </w:rPr>
        <w:t>ups, Joint Task Groups, Rapporteur Groups ,</w:t>
      </w:r>
      <w:r w:rsidR="00CE500D" w:rsidRPr="00992FB6">
        <w:rPr>
          <w:rFonts w:eastAsiaTheme="minorEastAsia"/>
          <w:b/>
          <w:lang w:eastAsia="zh-CN"/>
        </w:rPr>
        <w:t xml:space="preserve"> </w:t>
      </w:r>
      <w:r w:rsidRPr="00992FB6">
        <w:rPr>
          <w:rFonts w:eastAsiaTheme="minorEastAsia"/>
          <w:b/>
          <w:lang w:eastAsia="zh-CN"/>
        </w:rPr>
        <w:t>Focu</w:t>
      </w:r>
      <w:r w:rsidR="00CE500D" w:rsidRPr="00992FB6">
        <w:rPr>
          <w:rFonts w:eastAsiaTheme="minorEastAsia"/>
          <w:b/>
          <w:lang w:eastAsia="zh-CN"/>
        </w:rPr>
        <w:t>s</w:t>
      </w:r>
      <w:r w:rsidRPr="00992FB6">
        <w:rPr>
          <w:rFonts w:eastAsiaTheme="minorEastAsia"/>
          <w:b/>
          <w:lang w:eastAsia="zh-CN"/>
        </w:rPr>
        <w:t xml:space="preserve"> Group and the like </w:t>
      </w:r>
    </w:p>
    <w:p w14:paraId="3C20C5A8"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proofErr w:type="gramStart"/>
      <w:r w:rsidRPr="00992FB6">
        <w:rPr>
          <w:rFonts w:eastAsiaTheme="minorEastAsia"/>
          <w:lang w:eastAsia="zh-CN"/>
        </w:rPr>
        <w:t>All documents of these meetings without exception to be made available to the public without ties password.</w:t>
      </w:r>
      <w:proofErr w:type="gramEnd"/>
    </w:p>
    <w:p w14:paraId="504BA1C3" w14:textId="77777777" w:rsidR="009A07FD" w:rsidRPr="00992FB6" w:rsidRDefault="009A07FD" w:rsidP="009A07FD">
      <w:pPr>
        <w:tabs>
          <w:tab w:val="left" w:pos="720"/>
        </w:tabs>
        <w:spacing w:after="200" w:line="276" w:lineRule="auto"/>
        <w:ind w:leftChars="-60" w:left="-144"/>
        <w:contextualSpacing/>
        <w:jc w:val="both"/>
        <w:rPr>
          <w:rFonts w:eastAsiaTheme="minorEastAsia"/>
          <w:b/>
          <w:lang w:eastAsia="zh-CN"/>
        </w:rPr>
      </w:pPr>
    </w:p>
    <w:p w14:paraId="0089869E" w14:textId="77777777" w:rsidR="009A07FD" w:rsidRPr="00992FB6" w:rsidRDefault="00464D14" w:rsidP="00464D14">
      <w:pPr>
        <w:spacing w:after="200" w:line="276" w:lineRule="auto"/>
        <w:ind w:leftChars="-60" w:left="-144"/>
        <w:contextualSpacing/>
        <w:jc w:val="both"/>
        <w:rPr>
          <w:rFonts w:eastAsiaTheme="minorEastAsia"/>
          <w:b/>
          <w:lang w:eastAsia="zh-CN"/>
        </w:rPr>
      </w:pPr>
      <w:r w:rsidRPr="00992FB6">
        <w:rPr>
          <w:rFonts w:eastAsiaTheme="minorEastAsia"/>
          <w:b/>
          <w:lang w:eastAsia="zh-CN"/>
        </w:rPr>
        <w:t xml:space="preserve">2.6   </w:t>
      </w:r>
      <w:r w:rsidR="009A07FD" w:rsidRPr="00992FB6">
        <w:rPr>
          <w:rFonts w:eastAsiaTheme="minorEastAsia"/>
          <w:b/>
          <w:lang w:eastAsia="zh-CN"/>
        </w:rPr>
        <w:t>Circular-Letters and Circular Administrative documents</w:t>
      </w:r>
      <w:r w:rsidR="001620CC">
        <w:rPr>
          <w:rStyle w:val="FootnoteReference"/>
          <w:rFonts w:eastAsiaTheme="minorEastAsia"/>
          <w:b/>
          <w:lang w:eastAsia="zh-CN"/>
        </w:rPr>
        <w:footnoteReference w:id="4"/>
      </w:r>
      <w:r w:rsidR="009A07FD" w:rsidRPr="00992FB6">
        <w:rPr>
          <w:rFonts w:eastAsiaTheme="minorEastAsia"/>
          <w:b/>
          <w:lang w:eastAsia="zh-CN"/>
        </w:rPr>
        <w:t xml:space="preserve"> </w:t>
      </w:r>
    </w:p>
    <w:p w14:paraId="36FE0788" w14:textId="77777777" w:rsidR="009A07FD" w:rsidRPr="00992FB6" w:rsidRDefault="009A07FD" w:rsidP="009A07FD">
      <w:pPr>
        <w:tabs>
          <w:tab w:val="left" w:pos="720"/>
        </w:tabs>
        <w:spacing w:after="200" w:line="276" w:lineRule="auto"/>
        <w:ind w:leftChars="-60" w:left="-144"/>
        <w:contextualSpacing/>
        <w:jc w:val="both"/>
        <w:rPr>
          <w:rFonts w:eastAsiaTheme="minorEastAsia"/>
          <w:lang w:eastAsia="zh-CN"/>
        </w:rPr>
      </w:pPr>
    </w:p>
    <w:p w14:paraId="4A73C5B9" w14:textId="77777777" w:rsidR="0059359B" w:rsidRPr="00992FB6" w:rsidRDefault="009A07FD" w:rsidP="0059359B">
      <w:pPr>
        <w:tabs>
          <w:tab w:val="left" w:pos="720"/>
        </w:tabs>
        <w:spacing w:after="200" w:line="276" w:lineRule="auto"/>
        <w:ind w:leftChars="-60" w:left="-144"/>
        <w:contextualSpacing/>
        <w:jc w:val="both"/>
        <w:rPr>
          <w:rFonts w:eastAsia="SimSun"/>
          <w:lang w:eastAsia="zh-CN"/>
        </w:rPr>
      </w:pPr>
      <w:proofErr w:type="gramStart"/>
      <w:r w:rsidRPr="00992FB6">
        <w:rPr>
          <w:rFonts w:eastAsiaTheme="minorEastAsia"/>
          <w:lang w:eastAsia="zh-CN"/>
        </w:rPr>
        <w:t>All Circular-Letters and Circular Administrative documents of the Union without exception to be made available to the public without ties password.</w:t>
      </w:r>
      <w:proofErr w:type="gramEnd"/>
    </w:p>
    <w:p w14:paraId="56751CED" w14:textId="77777777" w:rsidR="0059359B" w:rsidRPr="00992FB6" w:rsidRDefault="0059359B" w:rsidP="0059359B">
      <w:pPr>
        <w:tabs>
          <w:tab w:val="left" w:pos="720"/>
        </w:tabs>
        <w:spacing w:after="200" w:line="276" w:lineRule="auto"/>
        <w:ind w:leftChars="-60" w:left="-144"/>
        <w:contextualSpacing/>
        <w:jc w:val="both"/>
        <w:rPr>
          <w:rFonts w:eastAsia="SimSun"/>
          <w:lang w:eastAsia="zh-CN"/>
        </w:rPr>
      </w:pPr>
    </w:p>
    <w:p w14:paraId="65E39E51" w14:textId="2E1FFAF8" w:rsidR="0059359B" w:rsidRPr="00992FB6" w:rsidRDefault="002D6CA7" w:rsidP="0059359B">
      <w:pPr>
        <w:tabs>
          <w:tab w:val="left" w:pos="720"/>
        </w:tabs>
        <w:spacing w:after="200" w:line="276" w:lineRule="auto"/>
        <w:ind w:leftChars="-60" w:left="-144"/>
        <w:contextualSpacing/>
        <w:jc w:val="both"/>
        <w:rPr>
          <w:rFonts w:eastAsia="SimSun"/>
          <w:lang w:eastAsia="zh-CN"/>
        </w:rPr>
      </w:pPr>
      <w:r w:rsidRPr="00992FB6">
        <w:rPr>
          <w:rFonts w:eastAsiaTheme="minorEastAsia"/>
          <w:b/>
          <w:lang w:eastAsia="ja-JP"/>
        </w:rPr>
        <w:t>2.7   D</w:t>
      </w:r>
      <w:r w:rsidR="00BC6F40" w:rsidRPr="00992FB6">
        <w:rPr>
          <w:rFonts w:eastAsiaTheme="minorEastAsia"/>
          <w:b/>
          <w:lang w:eastAsia="ja-JP"/>
        </w:rPr>
        <w:t xml:space="preserve">ocuments </w:t>
      </w:r>
      <w:r w:rsidR="001620CC">
        <w:rPr>
          <w:rFonts w:eastAsiaTheme="minorEastAsia"/>
          <w:b/>
          <w:lang w:eastAsia="ja-JP"/>
        </w:rPr>
        <w:t>which are of a</w:t>
      </w:r>
      <w:r w:rsidR="00BC6F40" w:rsidRPr="00992FB6">
        <w:rPr>
          <w:rFonts w:eastAsiaTheme="minorEastAsia"/>
          <w:b/>
          <w:lang w:eastAsia="ja-JP"/>
        </w:rPr>
        <w:t xml:space="preserve"> classified nature</w:t>
      </w:r>
    </w:p>
    <w:p w14:paraId="683D6AAE" w14:textId="4621F3D9" w:rsidR="0059359B" w:rsidRPr="00992FB6" w:rsidRDefault="00BC6F40" w:rsidP="0059359B">
      <w:pPr>
        <w:tabs>
          <w:tab w:val="left" w:pos="720"/>
        </w:tabs>
        <w:spacing w:after="200" w:line="276" w:lineRule="auto"/>
        <w:ind w:leftChars="-60" w:left="-144"/>
        <w:contextualSpacing/>
        <w:jc w:val="both"/>
        <w:rPr>
          <w:rFonts w:eastAsia="SimSun"/>
          <w:lang w:eastAsia="zh-CN"/>
        </w:rPr>
      </w:pPr>
      <w:r w:rsidRPr="00992FB6">
        <w:rPr>
          <w:rFonts w:eastAsiaTheme="minorEastAsia"/>
          <w:lang w:eastAsia="ja-JP"/>
        </w:rPr>
        <w:t xml:space="preserve">Plenipotentiary Conference may decide that certain documents which are </w:t>
      </w:r>
      <w:r w:rsidR="001620CC">
        <w:rPr>
          <w:rFonts w:eastAsiaTheme="minorEastAsia"/>
          <w:lang w:eastAsia="ja-JP"/>
        </w:rPr>
        <w:t xml:space="preserve">of a </w:t>
      </w:r>
      <w:r w:rsidRPr="00992FB6">
        <w:rPr>
          <w:rFonts w:eastAsiaTheme="minorEastAsia"/>
          <w:lang w:eastAsia="ja-JP"/>
        </w:rPr>
        <w:t xml:space="preserve">classified nature to be </w:t>
      </w:r>
      <w:r w:rsidR="001620CC">
        <w:rPr>
          <w:rFonts w:eastAsiaTheme="minorEastAsia"/>
          <w:lang w:eastAsia="ja-JP"/>
        </w:rPr>
        <w:t xml:space="preserve">only </w:t>
      </w:r>
      <w:r w:rsidRPr="00992FB6">
        <w:rPr>
          <w:rFonts w:eastAsiaTheme="minorEastAsia"/>
          <w:lang w:eastAsia="ja-JP"/>
        </w:rPr>
        <w:t>made available with ties password.</w:t>
      </w:r>
    </w:p>
    <w:p w14:paraId="17328C93" w14:textId="77777777" w:rsidR="0059359B" w:rsidRPr="00992FB6" w:rsidRDefault="0059359B" w:rsidP="0059359B">
      <w:pPr>
        <w:tabs>
          <w:tab w:val="left" w:pos="720"/>
        </w:tabs>
        <w:spacing w:after="200" w:line="276" w:lineRule="auto"/>
        <w:ind w:leftChars="-60" w:left="-144"/>
        <w:contextualSpacing/>
        <w:jc w:val="both"/>
        <w:rPr>
          <w:rFonts w:eastAsiaTheme="minorEastAsia"/>
          <w:b/>
          <w:lang w:eastAsia="ja-JP"/>
        </w:rPr>
      </w:pPr>
    </w:p>
    <w:p w14:paraId="0947A472" w14:textId="6AAFF9FC" w:rsidR="0059359B" w:rsidRPr="00992FB6" w:rsidRDefault="00E0107E" w:rsidP="0059359B">
      <w:pPr>
        <w:tabs>
          <w:tab w:val="left" w:pos="720"/>
        </w:tabs>
        <w:spacing w:after="200" w:line="276" w:lineRule="auto"/>
        <w:ind w:leftChars="-60" w:left="-144"/>
        <w:contextualSpacing/>
        <w:jc w:val="both"/>
        <w:rPr>
          <w:rFonts w:eastAsia="SimSun"/>
          <w:lang w:eastAsia="zh-CN"/>
        </w:rPr>
      </w:pPr>
      <w:r w:rsidRPr="00992FB6">
        <w:rPr>
          <w:rFonts w:eastAsiaTheme="minorEastAsia"/>
          <w:b/>
          <w:lang w:eastAsia="ja-JP"/>
        </w:rPr>
        <w:t xml:space="preserve">2.8 </w:t>
      </w:r>
      <w:r w:rsidR="002D6CA7" w:rsidRPr="00992FB6">
        <w:rPr>
          <w:rFonts w:eastAsiaTheme="minorEastAsia"/>
          <w:b/>
          <w:lang w:eastAsia="ja-JP"/>
        </w:rPr>
        <w:t xml:space="preserve">  </w:t>
      </w:r>
      <w:r w:rsidRPr="00992FB6">
        <w:rPr>
          <w:rFonts w:eastAsiaTheme="minorEastAsia"/>
          <w:b/>
          <w:lang w:eastAsia="ja-JP"/>
        </w:rPr>
        <w:t xml:space="preserve">Documents and outcomes of other meetings </w:t>
      </w:r>
      <w:r w:rsidR="00EE145A">
        <w:rPr>
          <w:rFonts w:eastAsiaTheme="minorEastAsia"/>
          <w:b/>
          <w:lang w:eastAsia="ja-JP"/>
        </w:rPr>
        <w:t xml:space="preserve">including </w:t>
      </w:r>
      <w:r w:rsidRPr="00992FB6">
        <w:rPr>
          <w:rFonts w:eastAsiaTheme="minorEastAsia"/>
          <w:b/>
          <w:lang w:eastAsia="ja-JP"/>
        </w:rPr>
        <w:t xml:space="preserve">seminars, workshops, GSR </w:t>
      </w:r>
    </w:p>
    <w:p w14:paraId="1C7C5001" w14:textId="7C162C3C" w:rsidR="0059359B" w:rsidRPr="00992FB6" w:rsidRDefault="00E0107E" w:rsidP="0059359B">
      <w:pPr>
        <w:tabs>
          <w:tab w:val="left" w:pos="720"/>
        </w:tabs>
        <w:spacing w:after="200" w:line="276" w:lineRule="auto"/>
        <w:ind w:leftChars="-60" w:left="-144"/>
        <w:contextualSpacing/>
        <w:jc w:val="both"/>
        <w:rPr>
          <w:rFonts w:eastAsia="SimSun"/>
          <w:lang w:eastAsia="zh-CN"/>
        </w:rPr>
      </w:pPr>
      <w:r w:rsidRPr="00992FB6">
        <w:rPr>
          <w:rFonts w:eastAsiaTheme="minorEastAsia"/>
          <w:lang w:eastAsia="ja-JP"/>
        </w:rPr>
        <w:t>Thes</w:t>
      </w:r>
      <w:r w:rsidR="00E53502" w:rsidRPr="00992FB6">
        <w:rPr>
          <w:rFonts w:eastAsiaTheme="minorEastAsia"/>
          <w:lang w:eastAsia="ja-JP"/>
        </w:rPr>
        <w:t>e documents should also be mad</w:t>
      </w:r>
      <w:r w:rsidRPr="00992FB6">
        <w:rPr>
          <w:rFonts w:eastAsiaTheme="minorEastAsia"/>
          <w:lang w:eastAsia="ja-JP"/>
        </w:rPr>
        <w:t>e available to the public with</w:t>
      </w:r>
      <w:r w:rsidR="00AB4B18" w:rsidRPr="00992FB6">
        <w:rPr>
          <w:rFonts w:eastAsiaTheme="minorEastAsia"/>
          <w:lang w:eastAsia="ja-JP"/>
        </w:rPr>
        <w:t>out</w:t>
      </w:r>
      <w:r w:rsidRPr="00992FB6">
        <w:rPr>
          <w:rFonts w:eastAsiaTheme="minorEastAsia"/>
          <w:lang w:eastAsia="ja-JP"/>
        </w:rPr>
        <w:t xml:space="preserve"> ties password.</w:t>
      </w:r>
    </w:p>
    <w:p w14:paraId="6815FEBE" w14:textId="77777777" w:rsidR="0059359B" w:rsidRPr="00992FB6" w:rsidRDefault="0059359B" w:rsidP="0059359B">
      <w:pPr>
        <w:tabs>
          <w:tab w:val="left" w:pos="720"/>
        </w:tabs>
        <w:spacing w:after="200" w:line="276" w:lineRule="auto"/>
        <w:ind w:leftChars="-60" w:left="-144"/>
        <w:contextualSpacing/>
        <w:jc w:val="both"/>
        <w:rPr>
          <w:rFonts w:eastAsiaTheme="minorEastAsia"/>
          <w:b/>
          <w:lang w:eastAsia="ja-JP"/>
        </w:rPr>
      </w:pPr>
    </w:p>
    <w:p w14:paraId="2EDAAAB2" w14:textId="77777777" w:rsidR="0059359B" w:rsidRPr="00992FB6" w:rsidRDefault="009857A1" w:rsidP="0059359B">
      <w:pPr>
        <w:tabs>
          <w:tab w:val="left" w:pos="720"/>
        </w:tabs>
        <w:spacing w:after="200" w:line="276" w:lineRule="auto"/>
        <w:ind w:leftChars="-60" w:left="-144"/>
        <w:contextualSpacing/>
        <w:jc w:val="both"/>
        <w:rPr>
          <w:rFonts w:eastAsia="SimSun"/>
          <w:lang w:eastAsia="zh-CN"/>
        </w:rPr>
      </w:pPr>
      <w:r w:rsidRPr="00992FB6">
        <w:rPr>
          <w:rFonts w:eastAsiaTheme="minorEastAsia"/>
          <w:b/>
          <w:lang w:eastAsia="ja-JP"/>
        </w:rPr>
        <w:t xml:space="preserve">2.9 </w:t>
      </w:r>
      <w:r w:rsidR="00454044" w:rsidRPr="00992FB6">
        <w:rPr>
          <w:rFonts w:eastAsiaTheme="minorEastAsia"/>
          <w:b/>
          <w:lang w:eastAsia="ja-JP"/>
        </w:rPr>
        <w:t xml:space="preserve">  </w:t>
      </w:r>
      <w:r w:rsidR="00BA04A6">
        <w:rPr>
          <w:rFonts w:eastAsiaTheme="minorEastAsia"/>
          <w:b/>
          <w:lang w:eastAsia="ja-JP"/>
        </w:rPr>
        <w:t>Other Consideration</w:t>
      </w:r>
      <w:r w:rsidR="00C86B85">
        <w:rPr>
          <w:rFonts w:eastAsiaTheme="minorEastAsia"/>
          <w:b/>
          <w:lang w:eastAsia="ja-JP"/>
        </w:rPr>
        <w:t xml:space="preserve"> relating to </w:t>
      </w:r>
      <w:r w:rsidR="005B1618" w:rsidRPr="00992FB6">
        <w:rPr>
          <w:rFonts w:eastAsiaTheme="minorEastAsia"/>
          <w:b/>
          <w:lang w:eastAsia="ja-JP"/>
        </w:rPr>
        <w:t>Information Access Policy</w:t>
      </w:r>
    </w:p>
    <w:p w14:paraId="15D3492E" w14:textId="527DC7F5" w:rsidR="009A07FD" w:rsidRPr="00992FB6" w:rsidRDefault="00E53502" w:rsidP="0059359B">
      <w:pPr>
        <w:tabs>
          <w:tab w:val="left" w:pos="720"/>
        </w:tabs>
        <w:spacing w:after="200" w:line="276" w:lineRule="auto"/>
        <w:ind w:leftChars="-60" w:left="-144"/>
        <w:contextualSpacing/>
        <w:jc w:val="both"/>
        <w:rPr>
          <w:rFonts w:eastAsiaTheme="minorEastAsia"/>
          <w:lang w:eastAsia="zh-CN"/>
        </w:rPr>
      </w:pPr>
      <w:r w:rsidRPr="00992FB6">
        <w:rPr>
          <w:rFonts w:eastAsiaTheme="minorEastAsia"/>
          <w:lang w:eastAsia="ja-JP"/>
        </w:rPr>
        <w:t>Plenipotentiary C</w:t>
      </w:r>
      <w:r w:rsidR="009857A1" w:rsidRPr="00992FB6">
        <w:rPr>
          <w:rFonts w:eastAsiaTheme="minorEastAsia"/>
          <w:lang w:eastAsia="ja-JP"/>
        </w:rPr>
        <w:t xml:space="preserve">onference </w:t>
      </w:r>
      <w:r w:rsidR="00BA04A6">
        <w:rPr>
          <w:rFonts w:eastAsiaTheme="minorEastAsia"/>
          <w:lang w:eastAsia="ja-JP"/>
        </w:rPr>
        <w:t xml:space="preserve">in considering this document </w:t>
      </w:r>
      <w:r w:rsidR="009857A1" w:rsidRPr="00992FB6">
        <w:rPr>
          <w:rFonts w:eastAsiaTheme="minorEastAsia"/>
          <w:lang w:eastAsia="ja-JP"/>
        </w:rPr>
        <w:t>may</w:t>
      </w:r>
      <w:r w:rsidR="00BA04A6">
        <w:rPr>
          <w:rFonts w:eastAsiaTheme="minorEastAsia"/>
          <w:lang w:eastAsia="ja-JP"/>
        </w:rPr>
        <w:t xml:space="preserve"> wish to </w:t>
      </w:r>
      <w:proofErr w:type="gramStart"/>
      <w:r w:rsidR="00BA04A6">
        <w:rPr>
          <w:rFonts w:eastAsiaTheme="minorEastAsia"/>
          <w:lang w:eastAsia="ja-JP"/>
        </w:rPr>
        <w:t xml:space="preserve">instruct </w:t>
      </w:r>
      <w:r w:rsidR="001F5B50" w:rsidRPr="00992FB6">
        <w:rPr>
          <w:rFonts w:eastAsiaTheme="minorEastAsia"/>
          <w:lang w:eastAsia="ja-JP"/>
        </w:rPr>
        <w:t xml:space="preserve"> Secretary</w:t>
      </w:r>
      <w:proofErr w:type="gramEnd"/>
      <w:r w:rsidR="001F5B50" w:rsidRPr="00992FB6">
        <w:rPr>
          <w:rFonts w:eastAsiaTheme="minorEastAsia"/>
          <w:lang w:eastAsia="ja-JP"/>
        </w:rPr>
        <w:t xml:space="preserve"> General </w:t>
      </w:r>
      <w:r w:rsidR="009857A1" w:rsidRPr="00992FB6">
        <w:rPr>
          <w:rFonts w:eastAsiaTheme="minorEastAsia"/>
          <w:lang w:eastAsia="ja-JP"/>
        </w:rPr>
        <w:t>to develop information access policy for ITU to encourage transparency, accountability and collaboration.</w:t>
      </w:r>
    </w:p>
    <w:p w14:paraId="65AB2D5F" w14:textId="77777777" w:rsidR="00CE500D" w:rsidRPr="00992FB6" w:rsidRDefault="00CE500D" w:rsidP="00CE500D">
      <w:pPr>
        <w:jc w:val="center"/>
      </w:pPr>
      <w:r w:rsidRPr="00992FB6">
        <w:t>___________</w:t>
      </w:r>
    </w:p>
    <w:p w14:paraId="72F8702C" w14:textId="77777777" w:rsidR="009A07FD" w:rsidRPr="00992FB6" w:rsidRDefault="009A07FD" w:rsidP="009A07FD">
      <w:pPr>
        <w:tabs>
          <w:tab w:val="left" w:pos="720"/>
        </w:tabs>
        <w:spacing w:line="276" w:lineRule="auto"/>
        <w:jc w:val="both"/>
        <w:rPr>
          <w:rFonts w:eastAsiaTheme="minorEastAsia"/>
          <w:lang w:eastAsia="zh-CN"/>
        </w:rPr>
      </w:pPr>
    </w:p>
    <w:p w14:paraId="3FF43FF2" w14:textId="77777777" w:rsidR="009A07FD" w:rsidRPr="00992FB6" w:rsidRDefault="009A07FD" w:rsidP="009A07FD">
      <w:pPr>
        <w:tabs>
          <w:tab w:val="left" w:pos="720"/>
        </w:tabs>
        <w:spacing w:line="276" w:lineRule="auto"/>
        <w:jc w:val="both"/>
        <w:rPr>
          <w:rFonts w:eastAsiaTheme="minorEastAsia"/>
          <w:lang w:eastAsia="zh-CN"/>
        </w:rPr>
      </w:pPr>
    </w:p>
    <w:p w14:paraId="1845F96A" w14:textId="77777777" w:rsidR="00AC51E3" w:rsidRPr="00992FB6" w:rsidRDefault="00AC51E3" w:rsidP="0059359B">
      <w:pPr>
        <w:rPr>
          <w:rFonts w:eastAsia="SimSun"/>
          <w:lang w:eastAsia="zh-CN"/>
        </w:rPr>
      </w:pPr>
    </w:p>
    <w:p w14:paraId="4F7E0A75" w14:textId="77777777" w:rsidR="00CD40C7" w:rsidRPr="00992FB6" w:rsidRDefault="00CD40C7" w:rsidP="00FF6F45">
      <w:pPr>
        <w:jc w:val="center"/>
        <w:rPr>
          <w:b/>
          <w:bCs/>
          <w:strike/>
          <w:snapToGrid w:val="0"/>
        </w:rPr>
      </w:pPr>
    </w:p>
    <w:sectPr w:rsidR="00CD40C7" w:rsidRPr="00992FB6"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EB202" w14:textId="77777777" w:rsidR="0028436F" w:rsidRDefault="0028436F">
      <w:r>
        <w:separator/>
      </w:r>
    </w:p>
  </w:endnote>
  <w:endnote w:type="continuationSeparator" w:id="0">
    <w:p w14:paraId="7AC54A2B" w14:textId="77777777" w:rsidR="0028436F" w:rsidRDefault="00284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panose1 w:val="020B0609000101010101"/>
    <w:charset w:val="81"/>
    <w:family w:val="modern"/>
    <w:pitch w:val="fixed"/>
    <w:sig w:usb0="B00002AF" w:usb1="69D77CFB" w:usb2="00000030" w:usb3="00000000" w:csb0="0008009F" w:csb1="00000000"/>
  </w:font>
  <w:font w:name="Verdana">
    <w:panose1 w:val="020B0604030504040204"/>
    <w:charset w:val="00"/>
    <w:family w:val="auto"/>
    <w:pitch w:val="variable"/>
    <w:sig w:usb0="A10006FF" w:usb1="4000205B" w:usb2="00000010" w:usb3="00000000" w:csb0="0000019F" w:csb1="00000000"/>
  </w:font>
  <w:font w:name="BatangChe">
    <w:altName w:val="Arial Unicode MS"/>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F9E62" w14:textId="77777777" w:rsidR="0097693B" w:rsidRDefault="008C4D21"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27EBED0B"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BBD18" w14:textId="77777777" w:rsidR="0097693B" w:rsidRDefault="0097693B" w:rsidP="00634E26">
    <w:pPr>
      <w:pStyle w:val="Footer"/>
      <w:ind w:right="360" w:firstLineChars="100" w:firstLine="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B13CA4" w14:paraId="7D22D8D4" w14:textId="77777777">
      <w:trPr>
        <w:cantSplit/>
        <w:trHeight w:val="204"/>
        <w:jc w:val="center"/>
      </w:trPr>
      <w:tc>
        <w:tcPr>
          <w:tcW w:w="1617" w:type="dxa"/>
          <w:tcBorders>
            <w:top w:val="single" w:sz="12" w:space="0" w:color="auto"/>
          </w:tcBorders>
        </w:tcPr>
        <w:p w14:paraId="0FCE5526" w14:textId="1BF86451" w:rsidR="00B13CA4" w:rsidRDefault="00B13CA4">
          <w:pPr>
            <w:rPr>
              <w:b/>
              <w:bCs/>
            </w:rPr>
          </w:pPr>
        </w:p>
      </w:tc>
      <w:tc>
        <w:tcPr>
          <w:tcW w:w="4394" w:type="dxa"/>
          <w:tcBorders>
            <w:top w:val="single" w:sz="12" w:space="0" w:color="auto"/>
          </w:tcBorders>
        </w:tcPr>
        <w:p w14:paraId="53863556" w14:textId="7FCDF9E3" w:rsidR="00694369" w:rsidRDefault="00694369">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14:paraId="5EB91336" w14:textId="5B164124" w:rsidR="00B13CA4" w:rsidRDefault="00B13CA4" w:rsidP="00CB3778">
          <w:pPr>
            <w:rPr>
              <w:lang w:eastAsia="ja-JP"/>
            </w:rPr>
          </w:pPr>
        </w:p>
      </w:tc>
    </w:tr>
  </w:tbl>
  <w:p w14:paraId="3CE53188"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E2455A" w14:textId="77777777" w:rsidR="0028436F" w:rsidRDefault="0028436F">
      <w:r>
        <w:separator/>
      </w:r>
    </w:p>
  </w:footnote>
  <w:footnote w:type="continuationSeparator" w:id="0">
    <w:p w14:paraId="42E4FD67" w14:textId="77777777" w:rsidR="0028436F" w:rsidRDefault="0028436F">
      <w:r>
        <w:continuationSeparator/>
      </w:r>
    </w:p>
  </w:footnote>
  <w:footnote w:id="1">
    <w:p w14:paraId="1F68B7F5" w14:textId="77777777" w:rsidR="00394766" w:rsidRPr="00512B34" w:rsidRDefault="00394766" w:rsidP="00394766">
      <w:pPr>
        <w:pStyle w:val="FootnoteText"/>
        <w:ind w:left="284" w:hanging="284"/>
      </w:pPr>
      <w:r>
        <w:rPr>
          <w:rStyle w:val="FootnoteReference"/>
        </w:rPr>
        <w:footnoteRef/>
      </w:r>
      <w:r>
        <w:t xml:space="preserve"> </w:t>
      </w:r>
      <w:r>
        <w:tab/>
      </w:r>
      <w:r w:rsidRPr="00512B34">
        <w:t xml:space="preserve">Note that the question of the </w:t>
      </w:r>
      <w:r w:rsidRPr="00512B34">
        <w:rPr>
          <w:i/>
          <w:iCs/>
        </w:rPr>
        <w:t>right</w:t>
      </w:r>
      <w:r w:rsidRPr="00512B34">
        <w:t xml:space="preserve"> to access information is separate from the question of the </w:t>
      </w:r>
      <w:r w:rsidRPr="00512B34">
        <w:rPr>
          <w:i/>
          <w:iCs/>
        </w:rPr>
        <w:t>cost</w:t>
      </w:r>
      <w:r w:rsidRPr="00512B34">
        <w:t xml:space="preserve"> of that access.</w:t>
      </w:r>
    </w:p>
  </w:footnote>
  <w:footnote w:id="2">
    <w:p w14:paraId="0F65E422" w14:textId="77777777" w:rsidR="00394766" w:rsidRPr="005244F5" w:rsidRDefault="00394766" w:rsidP="00394766">
      <w:pPr>
        <w:pStyle w:val="FootnoteText"/>
        <w:ind w:left="284" w:hanging="284"/>
        <w:rPr>
          <w:sz w:val="16"/>
          <w:szCs w:val="16"/>
        </w:rPr>
      </w:pPr>
      <w:r>
        <w:rPr>
          <w:rStyle w:val="FootnoteReference"/>
        </w:rPr>
        <w:footnoteRef/>
      </w:r>
      <w:r>
        <w:t xml:space="preserve"> </w:t>
      </w:r>
      <w:r>
        <w:tab/>
      </w:r>
      <w:r w:rsidRPr="00F5530D">
        <w:t>Access to SG Circular letters is restricted to TIES users, but access to all types of Circular letters in the three Sectors is open to the public.</w:t>
      </w:r>
    </w:p>
  </w:footnote>
  <w:footnote w:id="3">
    <w:p w14:paraId="52EDB3AF" w14:textId="77777777" w:rsidR="00FC6009" w:rsidRPr="00FC6009" w:rsidRDefault="00FC6009">
      <w:pPr>
        <w:pStyle w:val="FootnoteText"/>
        <w:rPr>
          <w:rFonts w:eastAsiaTheme="minorEastAsia"/>
          <w:lang w:eastAsia="ja-JP"/>
        </w:rPr>
      </w:pPr>
      <w:r>
        <w:rPr>
          <w:rStyle w:val="FootnoteReference"/>
        </w:rPr>
        <w:footnoteRef/>
      </w:r>
      <w:r>
        <w:t xml:space="preserve"> As </w:t>
      </w:r>
      <w:r w:rsidR="00E53502">
        <w:t>def</w:t>
      </w:r>
      <w:r>
        <w:t>ined in ITU CONVENTION</w:t>
      </w:r>
    </w:p>
  </w:footnote>
  <w:footnote w:id="4">
    <w:p w14:paraId="0413176C" w14:textId="77777777" w:rsidR="001620CC" w:rsidRPr="00E425AD" w:rsidRDefault="001620CC">
      <w:pPr>
        <w:pStyle w:val="FootnoteText"/>
        <w:rPr>
          <w:lang w:val="en-US"/>
        </w:rPr>
      </w:pPr>
      <w:r>
        <w:rPr>
          <w:rStyle w:val="FootnoteReference"/>
        </w:rPr>
        <w:footnoteRef/>
      </w:r>
      <w:r>
        <w:t xml:space="preserve"> The </w:t>
      </w:r>
      <w:r>
        <w:rPr>
          <w:lang w:val="en-US"/>
        </w:rPr>
        <w:t xml:space="preserve">Plenipotentiary Conference may wish to consider footnote 2 under section 1 above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0233D" w14:textId="693C5510" w:rsidR="0097693B" w:rsidRDefault="0097693B" w:rsidP="00C15633">
    <w:pPr>
      <w:pStyle w:val="Header"/>
      <w:tabs>
        <w:tab w:val="center" w:pos="4763"/>
        <w:tab w:val="left" w:pos="5820"/>
      </w:tabs>
      <w:rPr>
        <w:lang w:eastAsia="ko-KR"/>
      </w:rPr>
    </w:pPr>
    <w:r>
      <w:rPr>
        <w:lang w:eastAsia="ko-KR"/>
      </w:rPr>
      <w:tab/>
    </w:r>
    <w:r w:rsidR="00405A7F">
      <w:rPr>
        <w:lang w:eastAsia="ko-KR"/>
      </w:rPr>
      <w:t>PP14</w:t>
    </w:r>
    <w:r>
      <w:rPr>
        <w:rFonts w:hint="eastAsia"/>
        <w:lang w:eastAsia="ko-KR"/>
      </w:rPr>
      <w:t>-</w:t>
    </w:r>
    <w:r w:rsidR="000B6019">
      <w:rPr>
        <w:lang w:eastAsia="ko-KR"/>
      </w:rPr>
      <w:t>4</w:t>
    </w:r>
    <w:r w:rsidR="008E1CE7">
      <w:rPr>
        <w:lang w:eastAsia="ko-KR"/>
      </w:rPr>
      <w:t>/</w:t>
    </w:r>
    <w:r w:rsidR="007C65FF">
      <w:rPr>
        <w:lang w:eastAsia="ko-KR"/>
      </w:rPr>
      <w:t>OUT-02</w:t>
    </w:r>
  </w:p>
  <w:p w14:paraId="1CA488CB"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7781"/>
    <w:multiLevelType w:val="hybridMultilevel"/>
    <w:tmpl w:val="AFE8C4C8"/>
    <w:lvl w:ilvl="0" w:tplc="A566A8C2">
      <w:start w:val="1"/>
      <w:numFmt w:val="decimal"/>
      <w:lvlText w:val="%1"/>
      <w:lvlJc w:val="left"/>
      <w:pPr>
        <w:ind w:left="851" w:hanging="360"/>
      </w:pPr>
      <w:rPr>
        <w:rFonts w:cs="Arial" w:hint="default"/>
        <w:sz w:val="22"/>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1">
    <w:nsid w:val="07713CC0"/>
    <w:multiLevelType w:val="hybridMultilevel"/>
    <w:tmpl w:val="92DC9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nsid w:val="117A25B1"/>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D65FDD"/>
    <w:multiLevelType w:val="multilevel"/>
    <w:tmpl w:val="EC7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9D74AF"/>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7">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nsid w:val="27F33F6B"/>
    <w:multiLevelType w:val="hybridMultilevel"/>
    <w:tmpl w:val="F3AA7F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37EED86">
      <w:start w:val="11"/>
      <w:numFmt w:val="bullet"/>
      <w:lvlText w:val="-"/>
      <w:lvlJc w:val="left"/>
      <w:pPr>
        <w:ind w:left="1070" w:hanging="360"/>
      </w:pPr>
      <w:rPr>
        <w:rFonts w:ascii="Verdana" w:eastAsia="Times New Roman" w:hAnsi="Verdana" w:cs="Times New Roman" w:hint="default"/>
        <w:lang w:val="en-US"/>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nsid w:val="30863D7E"/>
    <w:multiLevelType w:val="hybridMultilevel"/>
    <w:tmpl w:val="9EE2AAB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31983FC6"/>
    <w:multiLevelType w:val="hybridMultilevel"/>
    <w:tmpl w:val="61B020DA"/>
    <w:lvl w:ilvl="0" w:tplc="77FA0CDA">
      <w:start w:val="6"/>
      <w:numFmt w:val="bullet"/>
      <w:lvlText w:val=""/>
      <w:lvlJc w:val="left"/>
      <w:pPr>
        <w:ind w:left="360" w:hanging="360"/>
      </w:pPr>
      <w:rPr>
        <w:rFonts w:ascii="Wingdings" w:eastAsia="BatangChe"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34683784"/>
    <w:multiLevelType w:val="hybridMultilevel"/>
    <w:tmpl w:val="71787C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
    <w:nsid w:val="38F01934"/>
    <w:multiLevelType w:val="hybridMultilevel"/>
    <w:tmpl w:val="88EEA19A"/>
    <w:lvl w:ilvl="0" w:tplc="71566D40">
      <w:start w:val="1"/>
      <w:numFmt w:val="decimal"/>
      <w:lvlText w:val="%1."/>
      <w:lvlJc w:val="left"/>
      <w:pPr>
        <w:ind w:left="720" w:hanging="360"/>
      </w:pPr>
      <w:rPr>
        <w:rFonts w:cs="Times New Roman"/>
        <w:b w:val="0"/>
        <w:bCs/>
      </w:rPr>
    </w:lvl>
    <w:lvl w:ilvl="1" w:tplc="04090019">
      <w:start w:val="1"/>
      <w:numFmt w:val="lowerLetter"/>
      <w:lvlText w:val="%2."/>
      <w:lvlJc w:val="left"/>
      <w:pPr>
        <w:tabs>
          <w:tab w:val="num" w:pos="1440"/>
        </w:tabs>
        <w:ind w:left="1440" w:hanging="360"/>
      </w:pPr>
      <w:rPr>
        <w:b w:val="0"/>
        <w:bCs/>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3A2B4646"/>
    <w:multiLevelType w:val="hybridMultilevel"/>
    <w:tmpl w:val="9FEE16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nsid w:val="3A470182"/>
    <w:multiLevelType w:val="hybridMultilevel"/>
    <w:tmpl w:val="6A2A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3A4C3534"/>
    <w:multiLevelType w:val="hybridMultilevel"/>
    <w:tmpl w:val="8350F82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nsid w:val="3B3056EA"/>
    <w:multiLevelType w:val="hybridMultilevel"/>
    <w:tmpl w:val="9EC6A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3CD571E7"/>
    <w:multiLevelType w:val="hybridMultilevel"/>
    <w:tmpl w:val="3872E198"/>
    <w:lvl w:ilvl="0" w:tplc="04090019">
      <w:start w:val="1"/>
      <w:numFmt w:val="lowerLetter"/>
      <w:lvlText w:val="%1."/>
      <w:lvlJc w:val="left"/>
      <w:pPr>
        <w:ind w:left="720" w:hanging="360"/>
      </w:pPr>
    </w:lvl>
    <w:lvl w:ilvl="1" w:tplc="004CD588">
      <w:start w:val="1"/>
      <w:numFmt w:val="lowerLetter"/>
      <w:lvlText w:val="%2."/>
      <w:lvlJc w:val="left"/>
      <w:pPr>
        <w:ind w:left="126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41BC7C45"/>
    <w:multiLevelType w:val="hybridMultilevel"/>
    <w:tmpl w:val="4B9E58B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42E1704D"/>
    <w:multiLevelType w:val="hybridMultilevel"/>
    <w:tmpl w:val="EE4EB6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44286CEA"/>
    <w:multiLevelType w:val="hybridMultilevel"/>
    <w:tmpl w:val="8302485A"/>
    <w:lvl w:ilvl="0" w:tplc="F44A4FE6">
      <w:start w:val="3"/>
      <w:numFmt w:val="decimal"/>
      <w:lvlText w:val="%1."/>
      <w:lvlJc w:val="left"/>
      <w:pPr>
        <w:ind w:left="1080" w:hanging="360"/>
      </w:pPr>
      <w:rPr>
        <w:rFonts w:cs="Times New Roma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2E605E"/>
    <w:multiLevelType w:val="hybridMultilevel"/>
    <w:tmpl w:val="602856E0"/>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6">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nsid w:val="58450D7D"/>
    <w:multiLevelType w:val="multilevel"/>
    <w:tmpl w:val="8856E006"/>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94043C0"/>
    <w:multiLevelType w:val="hybridMultilevel"/>
    <w:tmpl w:val="AD4A7844"/>
    <w:lvl w:ilvl="0" w:tplc="0409000F">
      <w:start w:val="1"/>
      <w:numFmt w:val="decimal"/>
      <w:lvlText w:val="%1."/>
      <w:lvlJc w:val="left"/>
      <w:pPr>
        <w:ind w:left="4050" w:hanging="360"/>
      </w:pPr>
    </w:lvl>
    <w:lvl w:ilvl="1" w:tplc="04090019">
      <w:start w:val="1"/>
      <w:numFmt w:val="lowerLetter"/>
      <w:lvlText w:val="%2."/>
      <w:lvlJc w:val="left"/>
      <w:pPr>
        <w:ind w:left="4770" w:hanging="360"/>
      </w:pPr>
    </w:lvl>
    <w:lvl w:ilvl="2" w:tplc="0409001B">
      <w:start w:val="1"/>
      <w:numFmt w:val="lowerRoman"/>
      <w:lvlText w:val="%3."/>
      <w:lvlJc w:val="right"/>
      <w:pPr>
        <w:ind w:left="5490" w:hanging="180"/>
      </w:pPr>
    </w:lvl>
    <w:lvl w:ilvl="3" w:tplc="0409000F">
      <w:start w:val="1"/>
      <w:numFmt w:val="decimal"/>
      <w:lvlText w:val="%4."/>
      <w:lvlJc w:val="left"/>
      <w:pPr>
        <w:ind w:left="6210" w:hanging="360"/>
      </w:pPr>
    </w:lvl>
    <w:lvl w:ilvl="4" w:tplc="04090019">
      <w:start w:val="1"/>
      <w:numFmt w:val="lowerLetter"/>
      <w:lvlText w:val="%5."/>
      <w:lvlJc w:val="left"/>
      <w:pPr>
        <w:ind w:left="6930" w:hanging="360"/>
      </w:pPr>
    </w:lvl>
    <w:lvl w:ilvl="5" w:tplc="0409001B">
      <w:start w:val="1"/>
      <w:numFmt w:val="lowerRoman"/>
      <w:lvlText w:val="%6."/>
      <w:lvlJc w:val="right"/>
      <w:pPr>
        <w:ind w:left="7650" w:hanging="180"/>
      </w:pPr>
    </w:lvl>
    <w:lvl w:ilvl="6" w:tplc="0409000F">
      <w:start w:val="1"/>
      <w:numFmt w:val="decimal"/>
      <w:lvlText w:val="%7."/>
      <w:lvlJc w:val="left"/>
      <w:pPr>
        <w:ind w:left="8370" w:hanging="360"/>
      </w:pPr>
    </w:lvl>
    <w:lvl w:ilvl="7" w:tplc="04090019">
      <w:start w:val="1"/>
      <w:numFmt w:val="lowerLetter"/>
      <w:lvlText w:val="%8."/>
      <w:lvlJc w:val="left"/>
      <w:pPr>
        <w:ind w:left="9090" w:hanging="360"/>
      </w:pPr>
    </w:lvl>
    <w:lvl w:ilvl="8" w:tplc="0409001B">
      <w:start w:val="1"/>
      <w:numFmt w:val="lowerRoman"/>
      <w:lvlText w:val="%9."/>
      <w:lvlJc w:val="right"/>
      <w:pPr>
        <w:ind w:left="9810" w:hanging="180"/>
      </w:pPr>
    </w:lvl>
  </w:abstractNum>
  <w:abstractNum w:abstractNumId="29">
    <w:nsid w:val="59F02534"/>
    <w:multiLevelType w:val="hybridMultilevel"/>
    <w:tmpl w:val="8EDAD924"/>
    <w:lvl w:ilvl="0" w:tplc="3E467B2A">
      <w:start w:val="2013"/>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nsid w:val="5AAE7CF1"/>
    <w:multiLevelType w:val="hybridMultilevel"/>
    <w:tmpl w:val="EB2C85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AE8442A"/>
    <w:multiLevelType w:val="hybridMultilevel"/>
    <w:tmpl w:val="686C7B52"/>
    <w:lvl w:ilvl="0" w:tplc="12D27EDE">
      <w:start w:val="6"/>
      <w:numFmt w:val="bullet"/>
      <w:lvlText w:val=""/>
      <w:lvlJc w:val="left"/>
      <w:pPr>
        <w:ind w:left="360" w:hanging="360"/>
      </w:pPr>
      <w:rPr>
        <w:rFonts w:ascii="Wingdings" w:eastAsia="BatangChe"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7073394A"/>
    <w:multiLevelType w:val="hybridMultilevel"/>
    <w:tmpl w:val="B5E2178E"/>
    <w:lvl w:ilvl="0" w:tplc="FEB874EA">
      <w:start w:val="1"/>
      <w:numFmt w:val="decimal"/>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3">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
    <w:nsid w:val="72950187"/>
    <w:multiLevelType w:val="hybridMultilevel"/>
    <w:tmpl w:val="DB70FBF4"/>
    <w:lvl w:ilvl="0" w:tplc="9B082238">
      <w:numFmt w:val="bullet"/>
      <w:lvlText w:val="•"/>
      <w:lvlJc w:val="left"/>
      <w:pPr>
        <w:ind w:left="786" w:hanging="720"/>
      </w:pPr>
      <w:rPr>
        <w:rFonts w:ascii="Calibri" w:eastAsiaTheme="minorEastAsia" w:hAnsi="Calibri" w:cs="Calibri" w:hint="default"/>
        <w:b/>
        <w:i w:val="0"/>
      </w:rPr>
    </w:lvl>
    <w:lvl w:ilvl="1" w:tplc="04090003">
      <w:start w:val="1"/>
      <w:numFmt w:val="bullet"/>
      <w:lvlText w:val="o"/>
      <w:lvlJc w:val="left"/>
      <w:pPr>
        <w:ind w:left="1146" w:hanging="360"/>
      </w:pPr>
      <w:rPr>
        <w:rFonts w:ascii="Courier New" w:hAnsi="Courier New" w:cs="Courier New" w:hint="default"/>
      </w:rPr>
    </w:lvl>
    <w:lvl w:ilvl="2" w:tplc="04090005">
      <w:start w:val="1"/>
      <w:numFmt w:val="bullet"/>
      <w:lvlText w:val=""/>
      <w:lvlJc w:val="left"/>
      <w:pPr>
        <w:ind w:left="1866" w:hanging="360"/>
      </w:pPr>
      <w:rPr>
        <w:rFonts w:ascii="Wingdings" w:hAnsi="Wingdings" w:hint="default"/>
      </w:rPr>
    </w:lvl>
    <w:lvl w:ilvl="3" w:tplc="04090001">
      <w:start w:val="1"/>
      <w:numFmt w:val="bullet"/>
      <w:lvlText w:val=""/>
      <w:lvlJc w:val="left"/>
      <w:pPr>
        <w:ind w:left="2586" w:hanging="360"/>
      </w:pPr>
      <w:rPr>
        <w:rFonts w:ascii="Symbol" w:hAnsi="Symbol" w:hint="default"/>
      </w:rPr>
    </w:lvl>
    <w:lvl w:ilvl="4" w:tplc="04090003">
      <w:start w:val="1"/>
      <w:numFmt w:val="bullet"/>
      <w:lvlText w:val="o"/>
      <w:lvlJc w:val="left"/>
      <w:pPr>
        <w:ind w:left="3306" w:hanging="360"/>
      </w:pPr>
      <w:rPr>
        <w:rFonts w:ascii="Courier New" w:hAnsi="Courier New" w:cs="Courier New" w:hint="default"/>
      </w:rPr>
    </w:lvl>
    <w:lvl w:ilvl="5" w:tplc="04090005">
      <w:start w:val="1"/>
      <w:numFmt w:val="bullet"/>
      <w:lvlText w:val=""/>
      <w:lvlJc w:val="left"/>
      <w:pPr>
        <w:ind w:left="4026" w:hanging="360"/>
      </w:pPr>
      <w:rPr>
        <w:rFonts w:ascii="Wingdings" w:hAnsi="Wingdings" w:hint="default"/>
      </w:rPr>
    </w:lvl>
    <w:lvl w:ilvl="6" w:tplc="04090001">
      <w:start w:val="1"/>
      <w:numFmt w:val="bullet"/>
      <w:lvlText w:val=""/>
      <w:lvlJc w:val="left"/>
      <w:pPr>
        <w:ind w:left="4746" w:hanging="360"/>
      </w:pPr>
      <w:rPr>
        <w:rFonts w:ascii="Symbol" w:hAnsi="Symbol" w:hint="default"/>
      </w:rPr>
    </w:lvl>
    <w:lvl w:ilvl="7" w:tplc="04090003">
      <w:start w:val="1"/>
      <w:numFmt w:val="bullet"/>
      <w:lvlText w:val="o"/>
      <w:lvlJc w:val="left"/>
      <w:pPr>
        <w:ind w:left="5466" w:hanging="360"/>
      </w:pPr>
      <w:rPr>
        <w:rFonts w:ascii="Courier New" w:hAnsi="Courier New" w:cs="Courier New" w:hint="default"/>
      </w:rPr>
    </w:lvl>
    <w:lvl w:ilvl="8" w:tplc="04090005">
      <w:start w:val="1"/>
      <w:numFmt w:val="bullet"/>
      <w:lvlText w:val=""/>
      <w:lvlJc w:val="left"/>
      <w:pPr>
        <w:ind w:left="6186" w:hanging="360"/>
      </w:pPr>
      <w:rPr>
        <w:rFonts w:ascii="Wingdings" w:hAnsi="Wingdings" w:hint="default"/>
      </w:rPr>
    </w:lvl>
  </w:abstractNum>
  <w:abstractNum w:abstractNumId="35">
    <w:nsid w:val="76E322A2"/>
    <w:multiLevelType w:val="hybridMultilevel"/>
    <w:tmpl w:val="747A006E"/>
    <w:lvl w:ilvl="0" w:tplc="034836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nsid w:val="7A961809"/>
    <w:multiLevelType w:val="multilevel"/>
    <w:tmpl w:val="978C6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8"/>
  </w:num>
  <w:num w:numId="3">
    <w:abstractNumId w:val="7"/>
  </w:num>
  <w:num w:numId="4">
    <w:abstractNumId w:val="33"/>
  </w:num>
  <w:num w:numId="5">
    <w:abstractNumId w:val="10"/>
  </w:num>
  <w:num w:numId="6">
    <w:abstractNumId w:val="15"/>
  </w:num>
  <w:num w:numId="7">
    <w:abstractNumId w:val="6"/>
  </w:num>
  <w:num w:numId="8">
    <w:abstractNumId w:val="2"/>
  </w:num>
  <w:num w:numId="9">
    <w:abstractNumId w:val="26"/>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8"/>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5"/>
  </w:num>
  <w:num w:numId="20">
    <w:abstractNumId w:val="27"/>
  </w:num>
  <w:num w:numId="21">
    <w:abstractNumId w:val="24"/>
  </w:num>
  <w:num w:numId="22">
    <w:abstractNumId w:val="17"/>
  </w:num>
  <w:num w:numId="23">
    <w:abstractNumId w:val="20"/>
  </w:num>
  <w:num w:numId="24">
    <w:abstractNumId w:val="25"/>
  </w:num>
  <w:num w:numId="25">
    <w:abstractNumId w:val="34"/>
  </w:num>
  <w:num w:numId="26">
    <w:abstractNumId w:val="5"/>
  </w:num>
  <w:num w:numId="27">
    <w:abstractNumId w:val="3"/>
  </w:num>
  <w:num w:numId="28">
    <w:abstractNumId w:val="30"/>
  </w:num>
  <w:num w:numId="29">
    <w:abstractNumId w:val="23"/>
  </w:num>
  <w:num w:numId="30">
    <w:abstractNumId w:val="19"/>
  </w:num>
  <w:num w:numId="31">
    <w:abstractNumId w:val="22"/>
  </w:num>
  <w:num w:numId="32">
    <w:abstractNumId w:val="11"/>
  </w:num>
  <w:num w:numId="33">
    <w:abstractNumId w:val="29"/>
  </w:num>
  <w:num w:numId="34">
    <w:abstractNumId w:val="32"/>
  </w:num>
  <w:num w:numId="35">
    <w:abstractNumId w:val="36"/>
  </w:num>
  <w:num w:numId="36">
    <w:abstractNumId w:val="31"/>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00871"/>
    <w:rsid w:val="000111F4"/>
    <w:rsid w:val="00016388"/>
    <w:rsid w:val="00031DE7"/>
    <w:rsid w:val="0003595B"/>
    <w:rsid w:val="00037B14"/>
    <w:rsid w:val="000713CF"/>
    <w:rsid w:val="0009175E"/>
    <w:rsid w:val="000A5418"/>
    <w:rsid w:val="000B6019"/>
    <w:rsid w:val="000F517C"/>
    <w:rsid w:val="000F5540"/>
    <w:rsid w:val="000F7FA1"/>
    <w:rsid w:val="00127635"/>
    <w:rsid w:val="00142805"/>
    <w:rsid w:val="001539DD"/>
    <w:rsid w:val="001620CC"/>
    <w:rsid w:val="00196568"/>
    <w:rsid w:val="001A2F16"/>
    <w:rsid w:val="001B18C2"/>
    <w:rsid w:val="001B414D"/>
    <w:rsid w:val="001D5D7E"/>
    <w:rsid w:val="001F3DAE"/>
    <w:rsid w:val="001F5B50"/>
    <w:rsid w:val="001F7AC6"/>
    <w:rsid w:val="002053C2"/>
    <w:rsid w:val="0020746C"/>
    <w:rsid w:val="00232095"/>
    <w:rsid w:val="00247A4D"/>
    <w:rsid w:val="00252666"/>
    <w:rsid w:val="002528D9"/>
    <w:rsid w:val="00254A1B"/>
    <w:rsid w:val="0025672E"/>
    <w:rsid w:val="00261869"/>
    <w:rsid w:val="002719AC"/>
    <w:rsid w:val="0028436F"/>
    <w:rsid w:val="0028454D"/>
    <w:rsid w:val="00290DAE"/>
    <w:rsid w:val="00291C9E"/>
    <w:rsid w:val="002926D4"/>
    <w:rsid w:val="002B670F"/>
    <w:rsid w:val="002C07DA"/>
    <w:rsid w:val="002C7EA9"/>
    <w:rsid w:val="002D6CA7"/>
    <w:rsid w:val="002F2D94"/>
    <w:rsid w:val="00342F20"/>
    <w:rsid w:val="003574EB"/>
    <w:rsid w:val="003809C7"/>
    <w:rsid w:val="00394766"/>
    <w:rsid w:val="003B6263"/>
    <w:rsid w:val="003C64A7"/>
    <w:rsid w:val="003D3FDA"/>
    <w:rsid w:val="003F2C43"/>
    <w:rsid w:val="00405A7F"/>
    <w:rsid w:val="00413F64"/>
    <w:rsid w:val="00420822"/>
    <w:rsid w:val="004378DB"/>
    <w:rsid w:val="00454044"/>
    <w:rsid w:val="0045458F"/>
    <w:rsid w:val="00455DA6"/>
    <w:rsid w:val="004633B4"/>
    <w:rsid w:val="00463E1E"/>
    <w:rsid w:val="00464D14"/>
    <w:rsid w:val="004821DE"/>
    <w:rsid w:val="004A4F26"/>
    <w:rsid w:val="004B1945"/>
    <w:rsid w:val="004B3553"/>
    <w:rsid w:val="004C4A45"/>
    <w:rsid w:val="004C52B1"/>
    <w:rsid w:val="004D4CA1"/>
    <w:rsid w:val="004D5AC3"/>
    <w:rsid w:val="004E68D0"/>
    <w:rsid w:val="00530E8C"/>
    <w:rsid w:val="00545933"/>
    <w:rsid w:val="005527DB"/>
    <w:rsid w:val="00557544"/>
    <w:rsid w:val="005613E0"/>
    <w:rsid w:val="00587875"/>
    <w:rsid w:val="0059359B"/>
    <w:rsid w:val="005B1618"/>
    <w:rsid w:val="005D4A9A"/>
    <w:rsid w:val="005E3E41"/>
    <w:rsid w:val="00607E2B"/>
    <w:rsid w:val="0061461F"/>
    <w:rsid w:val="00621981"/>
    <w:rsid w:val="00623CE1"/>
    <w:rsid w:val="0063062B"/>
    <w:rsid w:val="00634E26"/>
    <w:rsid w:val="00647158"/>
    <w:rsid w:val="00666846"/>
    <w:rsid w:val="00667229"/>
    <w:rsid w:val="00682BE5"/>
    <w:rsid w:val="00690FED"/>
    <w:rsid w:val="006939A5"/>
    <w:rsid w:val="00693A10"/>
    <w:rsid w:val="00694369"/>
    <w:rsid w:val="006F0DF7"/>
    <w:rsid w:val="006F455D"/>
    <w:rsid w:val="00712451"/>
    <w:rsid w:val="00722751"/>
    <w:rsid w:val="00722CDF"/>
    <w:rsid w:val="00726B07"/>
    <w:rsid w:val="00732F08"/>
    <w:rsid w:val="0074190C"/>
    <w:rsid w:val="0075504D"/>
    <w:rsid w:val="00762576"/>
    <w:rsid w:val="00791060"/>
    <w:rsid w:val="007A7806"/>
    <w:rsid w:val="007B5626"/>
    <w:rsid w:val="007B68C2"/>
    <w:rsid w:val="007C2EC8"/>
    <w:rsid w:val="007C65FF"/>
    <w:rsid w:val="007D2070"/>
    <w:rsid w:val="007F01E9"/>
    <w:rsid w:val="007F2DB8"/>
    <w:rsid w:val="0080570B"/>
    <w:rsid w:val="00807FFE"/>
    <w:rsid w:val="008148E1"/>
    <w:rsid w:val="008319BF"/>
    <w:rsid w:val="00853E31"/>
    <w:rsid w:val="008618CA"/>
    <w:rsid w:val="008618EE"/>
    <w:rsid w:val="00862F8D"/>
    <w:rsid w:val="008840E5"/>
    <w:rsid w:val="008855C2"/>
    <w:rsid w:val="008959A0"/>
    <w:rsid w:val="008C4D21"/>
    <w:rsid w:val="008D0E09"/>
    <w:rsid w:val="008E1CE7"/>
    <w:rsid w:val="00906EAD"/>
    <w:rsid w:val="00943597"/>
    <w:rsid w:val="009443B3"/>
    <w:rsid w:val="00947C48"/>
    <w:rsid w:val="0097693B"/>
    <w:rsid w:val="009857A1"/>
    <w:rsid w:val="00992FB6"/>
    <w:rsid w:val="00993355"/>
    <w:rsid w:val="009A07FD"/>
    <w:rsid w:val="009A331B"/>
    <w:rsid w:val="009A4A6D"/>
    <w:rsid w:val="00A13265"/>
    <w:rsid w:val="00A3307A"/>
    <w:rsid w:val="00A462DE"/>
    <w:rsid w:val="00A6339B"/>
    <w:rsid w:val="00A71136"/>
    <w:rsid w:val="00AA474C"/>
    <w:rsid w:val="00AB4B18"/>
    <w:rsid w:val="00AB6878"/>
    <w:rsid w:val="00AC51E3"/>
    <w:rsid w:val="00AD7C48"/>
    <w:rsid w:val="00AD7E5F"/>
    <w:rsid w:val="00AE5DDF"/>
    <w:rsid w:val="00B01AA1"/>
    <w:rsid w:val="00B03773"/>
    <w:rsid w:val="00B06249"/>
    <w:rsid w:val="00B13CA4"/>
    <w:rsid w:val="00B30C81"/>
    <w:rsid w:val="00B34EDE"/>
    <w:rsid w:val="00B414CD"/>
    <w:rsid w:val="00B4793B"/>
    <w:rsid w:val="00B60D5A"/>
    <w:rsid w:val="00B67C43"/>
    <w:rsid w:val="00B7527D"/>
    <w:rsid w:val="00BA04A6"/>
    <w:rsid w:val="00BB2551"/>
    <w:rsid w:val="00BC6F40"/>
    <w:rsid w:val="00BD208B"/>
    <w:rsid w:val="00BD787A"/>
    <w:rsid w:val="00BF13A6"/>
    <w:rsid w:val="00C0185C"/>
    <w:rsid w:val="00C15633"/>
    <w:rsid w:val="00C15799"/>
    <w:rsid w:val="00C357AD"/>
    <w:rsid w:val="00C6069C"/>
    <w:rsid w:val="00C779B9"/>
    <w:rsid w:val="00C81847"/>
    <w:rsid w:val="00C84FB3"/>
    <w:rsid w:val="00C86B85"/>
    <w:rsid w:val="00C968E1"/>
    <w:rsid w:val="00CB3778"/>
    <w:rsid w:val="00CD40C7"/>
    <w:rsid w:val="00CD5431"/>
    <w:rsid w:val="00CD775E"/>
    <w:rsid w:val="00CE500D"/>
    <w:rsid w:val="00CF2491"/>
    <w:rsid w:val="00CF6FE9"/>
    <w:rsid w:val="00D07078"/>
    <w:rsid w:val="00D1252E"/>
    <w:rsid w:val="00D128A6"/>
    <w:rsid w:val="00D23619"/>
    <w:rsid w:val="00D57772"/>
    <w:rsid w:val="00D65CC9"/>
    <w:rsid w:val="00D75A4D"/>
    <w:rsid w:val="00D77343"/>
    <w:rsid w:val="00D8478B"/>
    <w:rsid w:val="00D86151"/>
    <w:rsid w:val="00DA7595"/>
    <w:rsid w:val="00DB0A68"/>
    <w:rsid w:val="00DC43A3"/>
    <w:rsid w:val="00DD7C09"/>
    <w:rsid w:val="00DE0A9D"/>
    <w:rsid w:val="00DE120E"/>
    <w:rsid w:val="00E0107E"/>
    <w:rsid w:val="00E0124F"/>
    <w:rsid w:val="00E25C35"/>
    <w:rsid w:val="00E425AD"/>
    <w:rsid w:val="00E53502"/>
    <w:rsid w:val="00E674D3"/>
    <w:rsid w:val="00E70FD0"/>
    <w:rsid w:val="00E840ED"/>
    <w:rsid w:val="00E8791E"/>
    <w:rsid w:val="00EB20DC"/>
    <w:rsid w:val="00EC28CA"/>
    <w:rsid w:val="00EE145A"/>
    <w:rsid w:val="00F1585E"/>
    <w:rsid w:val="00F31FFF"/>
    <w:rsid w:val="00F5613F"/>
    <w:rsid w:val="00F71198"/>
    <w:rsid w:val="00F80B9A"/>
    <w:rsid w:val="00F84067"/>
    <w:rsid w:val="00F97FC5"/>
    <w:rsid w:val="00FB764E"/>
    <w:rsid w:val="00FC6009"/>
    <w:rsid w:val="00FE179D"/>
    <w:rsid w:val="00FF6F45"/>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0A10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styleId="EndnoteText">
    <w:name w:val="endnote text"/>
    <w:basedOn w:val="Normal"/>
    <w:link w:val="EndnoteTextChar"/>
    <w:semiHidden/>
    <w:unhideWhenUsed/>
    <w:rsid w:val="00FC6009"/>
    <w:pPr>
      <w:snapToGrid w:val="0"/>
    </w:pPr>
  </w:style>
  <w:style w:type="character" w:customStyle="1" w:styleId="EndnoteTextChar">
    <w:name w:val="Endnote Text Char"/>
    <w:basedOn w:val="DefaultParagraphFont"/>
    <w:link w:val="EndnoteText"/>
    <w:semiHidden/>
    <w:rsid w:val="00FC6009"/>
    <w:rPr>
      <w:rFonts w:eastAsia="BatangChe"/>
      <w:sz w:val="24"/>
      <w:szCs w:val="24"/>
      <w:lang w:bidi="ar-SA"/>
    </w:rPr>
  </w:style>
  <w:style w:type="character" w:styleId="EndnoteReference">
    <w:name w:val="endnote reference"/>
    <w:basedOn w:val="DefaultParagraphFont"/>
    <w:semiHidden/>
    <w:unhideWhenUsed/>
    <w:rsid w:val="00FC600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styleId="EndnoteText">
    <w:name w:val="endnote text"/>
    <w:basedOn w:val="Normal"/>
    <w:link w:val="EndnoteTextChar"/>
    <w:semiHidden/>
    <w:unhideWhenUsed/>
    <w:rsid w:val="00FC6009"/>
    <w:pPr>
      <w:snapToGrid w:val="0"/>
    </w:pPr>
  </w:style>
  <w:style w:type="character" w:customStyle="1" w:styleId="EndnoteTextChar">
    <w:name w:val="Endnote Text Char"/>
    <w:basedOn w:val="DefaultParagraphFont"/>
    <w:link w:val="EndnoteText"/>
    <w:semiHidden/>
    <w:rsid w:val="00FC6009"/>
    <w:rPr>
      <w:rFonts w:eastAsia="BatangChe"/>
      <w:sz w:val="24"/>
      <w:szCs w:val="24"/>
      <w:lang w:bidi="ar-SA"/>
    </w:rPr>
  </w:style>
  <w:style w:type="character" w:styleId="EndnoteReference">
    <w:name w:val="endnote reference"/>
    <w:basedOn w:val="DefaultParagraphFont"/>
    <w:semiHidden/>
    <w:unhideWhenUsed/>
    <w:rsid w:val="00FC60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vishi\AppData\Local\Temp\PP14-3_Document_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9C968-B3CD-4A07-80F9-74B105A5D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PP14-3_Document_Template-2.dotx</Template>
  <TotalTime>11</TotalTime>
  <Pages>3</Pages>
  <Words>821</Words>
  <Characters>4683</Characters>
  <Application>Microsoft Office Word</Application>
  <DocSecurity>0</DocSecurity>
  <Lines>39</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APT</Company>
  <LinksUpToDate>false</LinksUpToDate>
  <CharactersWithSpaces>5494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Darvishi</dc:creator>
  <cp:lastModifiedBy>Forhadul Parvez</cp:lastModifiedBy>
  <cp:revision>6</cp:revision>
  <cp:lastPrinted>2004-07-28T02:14:00Z</cp:lastPrinted>
  <dcterms:created xsi:type="dcterms:W3CDTF">2014-08-21T07:43:00Z</dcterms:created>
  <dcterms:modified xsi:type="dcterms:W3CDTF">2014-08-25T09:56:00Z</dcterms:modified>
</cp:coreProperties>
</file>