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19" w:type="dxa"/>
        <w:tblBorders>
          <w:bottom w:val="single" w:sz="4" w:space="0" w:color="auto"/>
        </w:tblBorders>
        <w:tblLayout w:type="fixed"/>
        <w:tblCellMar>
          <w:left w:w="99" w:type="dxa"/>
          <w:right w:w="99" w:type="dxa"/>
        </w:tblCellMar>
        <w:tblLook w:val="0000" w:firstRow="0" w:lastRow="0" w:firstColumn="0" w:lastColumn="0" w:noHBand="0" w:noVBand="0"/>
      </w:tblPr>
      <w:tblGrid>
        <w:gridCol w:w="1399"/>
        <w:gridCol w:w="4530"/>
        <w:gridCol w:w="1550"/>
        <w:gridCol w:w="111"/>
        <w:gridCol w:w="2229"/>
      </w:tblGrid>
      <w:tr w:rsidR="00DA7595" w:rsidRPr="00891D0B">
        <w:trPr>
          <w:cantSplit/>
        </w:trPr>
        <w:tc>
          <w:tcPr>
            <w:tcW w:w="1399" w:type="dxa"/>
            <w:vMerge w:val="restart"/>
            <w:tcBorders>
              <w:top w:val="nil"/>
              <w:left w:val="nil"/>
              <w:bottom w:val="nil"/>
              <w:right w:val="nil"/>
            </w:tcBorders>
          </w:tcPr>
          <w:p w:rsidR="00DA7595" w:rsidRPr="00891D0B" w:rsidRDefault="00FB764E" w:rsidP="0045458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74B55782" wp14:editId="6BEAFD07">
                  <wp:extent cx="762000" cy="666750"/>
                  <wp:effectExtent l="0" t="0" r="0" b="0"/>
                  <wp:docPr id="2" name="Picture 2"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APTlogogre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inline>
              </w:drawing>
            </w:r>
          </w:p>
        </w:tc>
        <w:tc>
          <w:tcPr>
            <w:tcW w:w="4530" w:type="dxa"/>
            <w:tcBorders>
              <w:top w:val="nil"/>
              <w:left w:val="nil"/>
              <w:bottom w:val="nil"/>
              <w:right w:val="nil"/>
            </w:tcBorders>
          </w:tcPr>
          <w:p w:rsidR="00DA7595" w:rsidRPr="00891D0B" w:rsidRDefault="00DA7595" w:rsidP="0045458F">
            <w:pPr>
              <w:rPr>
                <w:sz w:val="22"/>
                <w:szCs w:val="22"/>
              </w:rPr>
            </w:pPr>
            <w:r w:rsidRPr="00891D0B">
              <w:rPr>
                <w:sz w:val="22"/>
                <w:szCs w:val="22"/>
              </w:rPr>
              <w:t>ASIA-PACIFIC TELECOMMUNITY</w:t>
            </w:r>
          </w:p>
        </w:tc>
        <w:tc>
          <w:tcPr>
            <w:tcW w:w="1661" w:type="dxa"/>
            <w:gridSpan w:val="2"/>
            <w:tcBorders>
              <w:top w:val="nil"/>
              <w:left w:val="nil"/>
              <w:bottom w:val="nil"/>
              <w:right w:val="nil"/>
            </w:tcBorders>
          </w:tcPr>
          <w:p w:rsidR="00DA7595" w:rsidRPr="00891D0B" w:rsidRDefault="00DA7595" w:rsidP="0045458F"/>
        </w:tc>
        <w:tc>
          <w:tcPr>
            <w:tcW w:w="2229" w:type="dxa"/>
            <w:tcBorders>
              <w:top w:val="nil"/>
              <w:left w:val="nil"/>
              <w:bottom w:val="nil"/>
            </w:tcBorders>
          </w:tcPr>
          <w:p w:rsidR="00DA7595" w:rsidRPr="00891D0B" w:rsidRDefault="00DA7595" w:rsidP="0045458F">
            <w:pPr>
              <w:pStyle w:val="Heading8"/>
              <w:rPr>
                <w:sz w:val="24"/>
                <w:szCs w:val="24"/>
              </w:rPr>
            </w:pPr>
          </w:p>
        </w:tc>
      </w:tr>
      <w:tr w:rsidR="009A00B4" w:rsidRPr="00C15799" w:rsidTr="00F97FC5">
        <w:trPr>
          <w:cantSplit/>
        </w:trPr>
        <w:tc>
          <w:tcPr>
            <w:tcW w:w="1399" w:type="dxa"/>
            <w:vMerge/>
            <w:tcBorders>
              <w:top w:val="nil"/>
              <w:left w:val="nil"/>
              <w:bottom w:val="nil"/>
              <w:right w:val="nil"/>
            </w:tcBorders>
          </w:tcPr>
          <w:p w:rsidR="009A00B4" w:rsidRPr="00891D0B" w:rsidRDefault="009A00B4" w:rsidP="0045458F"/>
        </w:tc>
        <w:tc>
          <w:tcPr>
            <w:tcW w:w="6080" w:type="dxa"/>
            <w:gridSpan w:val="2"/>
            <w:tcBorders>
              <w:top w:val="nil"/>
              <w:left w:val="nil"/>
              <w:bottom w:val="nil"/>
              <w:right w:val="nil"/>
            </w:tcBorders>
          </w:tcPr>
          <w:p w:rsidR="009A00B4" w:rsidRPr="00891D0B" w:rsidRDefault="009A00B4" w:rsidP="002F17DC">
            <w:pPr>
              <w:spacing w:line="0" w:lineRule="atLeast"/>
            </w:pPr>
            <w:r>
              <w:rPr>
                <w:b/>
              </w:rPr>
              <w:t xml:space="preserve">The APT Preparatory </w:t>
            </w:r>
            <w:r w:rsidR="002F17DC">
              <w:rPr>
                <w:b/>
              </w:rPr>
              <w:t>Group</w:t>
            </w:r>
            <w:r>
              <w:rPr>
                <w:b/>
              </w:rPr>
              <w:t xml:space="preserve"> for PP-14   </w:t>
            </w:r>
          </w:p>
        </w:tc>
        <w:tc>
          <w:tcPr>
            <w:tcW w:w="2340" w:type="dxa"/>
            <w:gridSpan w:val="2"/>
            <w:tcBorders>
              <w:top w:val="nil"/>
              <w:left w:val="nil"/>
              <w:bottom w:val="nil"/>
              <w:right w:val="nil"/>
            </w:tcBorders>
          </w:tcPr>
          <w:p w:rsidR="009A00B4" w:rsidRPr="00C15799" w:rsidRDefault="009A00B4" w:rsidP="00A34AC3">
            <w:pPr>
              <w:rPr>
                <w:b/>
                <w:bCs/>
                <w:lang w:val="fr-FR"/>
              </w:rPr>
            </w:pPr>
            <w:r>
              <w:rPr>
                <w:b/>
                <w:lang w:val="fr-FR"/>
              </w:rPr>
              <w:t>Document</w:t>
            </w:r>
          </w:p>
          <w:p w:rsidR="009A00B4" w:rsidRPr="00C15799" w:rsidRDefault="00964B00" w:rsidP="002F17DC">
            <w:pPr>
              <w:rPr>
                <w:b/>
                <w:bCs/>
                <w:lang w:val="fr-FR"/>
              </w:rPr>
            </w:pPr>
            <w:r>
              <w:rPr>
                <w:b/>
                <w:lang w:eastAsia="ko-KR"/>
              </w:rPr>
              <w:t>PP14-3/OUT-12</w:t>
            </w:r>
          </w:p>
        </w:tc>
      </w:tr>
      <w:tr w:rsidR="009A00B4" w:rsidRPr="00891D0B" w:rsidTr="00F97FC5">
        <w:trPr>
          <w:cantSplit/>
          <w:trHeight w:val="219"/>
        </w:trPr>
        <w:tc>
          <w:tcPr>
            <w:tcW w:w="1399" w:type="dxa"/>
            <w:vMerge/>
            <w:tcBorders>
              <w:top w:val="nil"/>
              <w:left w:val="nil"/>
              <w:bottom w:val="single" w:sz="12" w:space="0" w:color="auto"/>
              <w:right w:val="nil"/>
            </w:tcBorders>
          </w:tcPr>
          <w:p w:rsidR="009A00B4" w:rsidRPr="00C15799" w:rsidRDefault="009A00B4" w:rsidP="0045458F">
            <w:pPr>
              <w:rPr>
                <w:lang w:val="fr-FR"/>
              </w:rPr>
            </w:pPr>
          </w:p>
        </w:tc>
        <w:tc>
          <w:tcPr>
            <w:tcW w:w="6080" w:type="dxa"/>
            <w:gridSpan w:val="2"/>
            <w:tcBorders>
              <w:top w:val="nil"/>
              <w:left w:val="nil"/>
              <w:bottom w:val="single" w:sz="12" w:space="0" w:color="auto"/>
              <w:right w:val="nil"/>
            </w:tcBorders>
          </w:tcPr>
          <w:p w:rsidR="009A00B4" w:rsidRPr="00891D0B" w:rsidRDefault="009A00B4" w:rsidP="007551D7"/>
        </w:tc>
        <w:tc>
          <w:tcPr>
            <w:tcW w:w="2340" w:type="dxa"/>
            <w:gridSpan w:val="2"/>
            <w:tcBorders>
              <w:top w:val="nil"/>
              <w:left w:val="nil"/>
              <w:bottom w:val="single" w:sz="12" w:space="0" w:color="auto"/>
              <w:right w:val="nil"/>
            </w:tcBorders>
          </w:tcPr>
          <w:p w:rsidR="009A00B4" w:rsidRPr="00712451" w:rsidRDefault="00964B00" w:rsidP="00A34AC3">
            <w:pPr>
              <w:rPr>
                <w:b/>
              </w:rPr>
            </w:pPr>
            <w:r>
              <w:rPr>
                <w:b/>
              </w:rPr>
              <w:t>05 June 2014</w:t>
            </w:r>
          </w:p>
        </w:tc>
      </w:tr>
    </w:tbl>
    <w:p w:rsidR="00BA4D51" w:rsidRDefault="00BA4D51" w:rsidP="002F17DC">
      <w:pPr>
        <w:rPr>
          <w:lang w:eastAsia="ko-KR"/>
        </w:rPr>
      </w:pPr>
    </w:p>
    <w:p w:rsidR="00964B00" w:rsidRDefault="00964B00" w:rsidP="002F17DC">
      <w:pPr>
        <w:rPr>
          <w:lang w:eastAsia="ko-KR"/>
        </w:rPr>
      </w:pPr>
    </w:p>
    <w:p w:rsidR="00526BD2" w:rsidRDefault="00526BD2" w:rsidP="00526BD2">
      <w:pPr>
        <w:jc w:val="center"/>
        <w:rPr>
          <w:b/>
          <w:bCs/>
          <w:iCs/>
          <w:sz w:val="28"/>
          <w:szCs w:val="28"/>
        </w:rPr>
      </w:pPr>
      <w:r>
        <w:rPr>
          <w:b/>
          <w:bCs/>
          <w:caps/>
          <w:sz w:val="28"/>
          <w:szCs w:val="28"/>
        </w:rPr>
        <w:t>preliminary apt common proposal</w:t>
      </w:r>
      <w:r>
        <w:rPr>
          <w:rStyle w:val="FootnoteReference"/>
          <w:b/>
          <w:sz w:val="28"/>
          <w:szCs w:val="28"/>
        </w:rPr>
        <w:footnoteReference w:id="1"/>
      </w:r>
      <w:r>
        <w:rPr>
          <w:b/>
          <w:bCs/>
          <w:caps/>
          <w:sz w:val="28"/>
          <w:szCs w:val="28"/>
        </w:rPr>
        <w:t>:  PROCEDUREs AND WORKING METHODS OF RRB</w:t>
      </w:r>
    </w:p>
    <w:p w:rsidR="00526BD2" w:rsidRDefault="00526BD2" w:rsidP="00526BD2">
      <w:pPr>
        <w:jc w:val="center"/>
      </w:pPr>
    </w:p>
    <w:p w:rsidR="002F17DC" w:rsidRDefault="002F17DC" w:rsidP="00526BD2">
      <w:pPr>
        <w:jc w:val="center"/>
      </w:pPr>
    </w:p>
    <w:p w:rsidR="00526BD2" w:rsidRDefault="00526BD2" w:rsidP="00526BD2">
      <w:pPr>
        <w:jc w:val="both"/>
        <w:rPr>
          <w:b/>
        </w:rPr>
      </w:pPr>
    </w:p>
    <w:p w:rsidR="00526BD2" w:rsidRDefault="00526BD2" w:rsidP="00526BD2">
      <w:pPr>
        <w:pStyle w:val="ListParagraph"/>
        <w:numPr>
          <w:ilvl w:val="0"/>
          <w:numId w:val="10"/>
        </w:numPr>
        <w:jc w:val="both"/>
        <w:rPr>
          <w:b/>
        </w:rPr>
      </w:pPr>
      <w:r>
        <w:rPr>
          <w:b/>
        </w:rPr>
        <w:t>Introduction:</w:t>
      </w:r>
    </w:p>
    <w:p w:rsidR="00526BD2" w:rsidRDefault="00526BD2" w:rsidP="00526BD2">
      <w:pPr>
        <w:pStyle w:val="ListParagraph"/>
        <w:ind w:left="360"/>
        <w:jc w:val="both"/>
        <w:rPr>
          <w:b/>
        </w:rPr>
      </w:pPr>
    </w:p>
    <w:p w:rsidR="00526BD2" w:rsidRDefault="00526BD2" w:rsidP="00526BD2">
      <w:pPr>
        <w:pStyle w:val="CEONormal"/>
        <w:jc w:val="both"/>
        <w:rPr>
          <w:rFonts w:ascii="Times New Roman" w:hAnsi="Times New Roman" w:cs="Times New Roman"/>
          <w:sz w:val="24"/>
          <w:szCs w:val="24"/>
        </w:rPr>
      </w:pPr>
      <w:r>
        <w:rPr>
          <w:rFonts w:ascii="Times New Roman" w:hAnsi="Times New Roman" w:cs="Times New Roman"/>
          <w:sz w:val="24"/>
          <w:szCs w:val="24"/>
        </w:rPr>
        <w:t>Having looked into the provisions of both Articles 14 of the ITU Constitution and Article 10 of the ITU Convention including relevant provisions in the Radio Regulations related to the activities and mandate of the Radio Regulations as well as internal</w:t>
      </w:r>
      <w:r>
        <w:rPr>
          <w:rFonts w:ascii="Times New Roman" w:eastAsia="Times New Roman" w:hAnsi="Times New Roman" w:cs="Times New Roman"/>
          <w:sz w:val="24"/>
          <w:szCs w:val="24"/>
        </w:rPr>
        <w:t xml:space="preserve"> arrangements and working methods of the Radio Regulations Board,</w:t>
      </w:r>
      <w:r>
        <w:rPr>
          <w:rFonts w:ascii="Times New Roman" w:hAnsi="Times New Roman" w:cs="Times New Roman"/>
          <w:sz w:val="24"/>
          <w:szCs w:val="24"/>
        </w:rPr>
        <w:t xml:space="preserve"> APT Members concluded that these provisions are sufficient and totally cover all possible ways and means to comment and /or object to the RRB decisions.</w:t>
      </w:r>
    </w:p>
    <w:p w:rsidR="00526BD2" w:rsidRDefault="00526BD2" w:rsidP="00526BD2">
      <w:pPr>
        <w:pStyle w:val="CEONormal"/>
        <w:jc w:val="both"/>
        <w:rPr>
          <w:rFonts w:ascii="Times New Roman" w:hAnsi="Times New Roman" w:cs="Times New Roman"/>
          <w:sz w:val="24"/>
          <w:szCs w:val="24"/>
        </w:rPr>
      </w:pPr>
      <w:r>
        <w:rPr>
          <w:rFonts w:ascii="Times New Roman" w:hAnsi="Times New Roman" w:cs="Times New Roman"/>
          <w:sz w:val="24"/>
          <w:szCs w:val="24"/>
        </w:rPr>
        <w:t xml:space="preserve">Moreover, allowing administrations to present their views in person not only would not decrease the need for reconsideration of previous decisions but, on the contrary, would increase the need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reconsideration of previous RRB decisions and also could create conflicts of interests.</w:t>
      </w:r>
    </w:p>
    <w:p w:rsidR="00526BD2" w:rsidRDefault="00526BD2" w:rsidP="00526BD2">
      <w:pPr>
        <w:pStyle w:val="CEONormal"/>
        <w:jc w:val="both"/>
        <w:rPr>
          <w:rFonts w:ascii="Times New Roman" w:hAnsi="Times New Roman" w:cs="Times New Roman"/>
          <w:sz w:val="24"/>
          <w:szCs w:val="24"/>
        </w:rPr>
      </w:pPr>
      <w:r>
        <w:rPr>
          <w:rFonts w:ascii="Times New Roman" w:hAnsi="Times New Roman" w:cs="Times New Roman"/>
          <w:sz w:val="24"/>
          <w:szCs w:val="24"/>
        </w:rPr>
        <w:t>In addition, it is to be emphasized that Plenipotentiary conferences are dealing with high level policies, dealing with the entire activities of the Union as well as the inter-</w:t>
      </w:r>
      <w:proofErr w:type="spellStart"/>
      <w:r>
        <w:rPr>
          <w:rFonts w:ascii="Times New Roman" w:hAnsi="Times New Roman" w:cs="Times New Roman"/>
          <w:sz w:val="24"/>
          <w:szCs w:val="24"/>
        </w:rPr>
        <w:t>sectoral</w:t>
      </w:r>
      <w:proofErr w:type="spellEnd"/>
      <w:r>
        <w:rPr>
          <w:rFonts w:ascii="Times New Roman" w:hAnsi="Times New Roman" w:cs="Times New Roman"/>
          <w:sz w:val="24"/>
          <w:szCs w:val="24"/>
        </w:rPr>
        <w:t xml:space="preserve"> matters and thus is not expected to deal with </w:t>
      </w:r>
      <w:proofErr w:type="spellStart"/>
      <w:r>
        <w:rPr>
          <w:rFonts w:ascii="Times New Roman" w:hAnsi="Times New Roman" w:cs="Times New Roman"/>
          <w:sz w:val="24"/>
          <w:szCs w:val="24"/>
        </w:rPr>
        <w:t>Sectoral</w:t>
      </w:r>
      <w:proofErr w:type="spellEnd"/>
      <w:r>
        <w:rPr>
          <w:rFonts w:ascii="Times New Roman" w:hAnsi="Times New Roman" w:cs="Times New Roman"/>
          <w:sz w:val="24"/>
          <w:szCs w:val="24"/>
        </w:rPr>
        <w:t xml:space="preserve"> Issues, apart from those referred in Constitution and Convention. </w:t>
      </w:r>
    </w:p>
    <w:p w:rsidR="00526BD2" w:rsidRDefault="00526BD2" w:rsidP="00526BD2">
      <w:pPr>
        <w:pStyle w:val="CEONormal"/>
        <w:jc w:val="both"/>
        <w:rPr>
          <w:rFonts w:ascii="Times New Roman" w:hAnsi="Times New Roman" w:cs="Times New Roman"/>
          <w:iCs/>
          <w:sz w:val="24"/>
          <w:szCs w:val="24"/>
        </w:rPr>
      </w:pPr>
      <w:r>
        <w:rPr>
          <w:rFonts w:ascii="Times New Roman" w:hAnsi="Times New Roman" w:cs="Times New Roman"/>
          <w:iCs/>
          <w:sz w:val="24"/>
          <w:szCs w:val="24"/>
        </w:rPr>
        <w:t xml:space="preserve">Reconsideration of the previous decisions of RRB will be based: </w:t>
      </w:r>
    </w:p>
    <w:p w:rsidR="00526BD2" w:rsidRDefault="00526BD2" w:rsidP="00526BD2">
      <w:pPr>
        <w:pStyle w:val="CEONormal"/>
        <w:jc w:val="both"/>
        <w:rPr>
          <w:rFonts w:ascii="Times New Roman" w:hAnsi="Times New Roman" w:cs="Times New Roman"/>
          <w:iCs/>
          <w:sz w:val="24"/>
          <w:szCs w:val="24"/>
        </w:rPr>
      </w:pPr>
      <w:r>
        <w:rPr>
          <w:rFonts w:ascii="Times New Roman" w:hAnsi="Times New Roman" w:cs="Times New Roman"/>
          <w:iCs/>
          <w:sz w:val="24"/>
          <w:szCs w:val="24"/>
        </w:rPr>
        <w:t xml:space="preserve">a) </w:t>
      </w:r>
      <w:proofErr w:type="gramStart"/>
      <w:r>
        <w:rPr>
          <w:rFonts w:ascii="Times New Roman" w:hAnsi="Times New Roman" w:cs="Times New Roman"/>
          <w:iCs/>
          <w:sz w:val="24"/>
          <w:szCs w:val="24"/>
        </w:rPr>
        <w:t>on</w:t>
      </w:r>
      <w:proofErr w:type="gramEnd"/>
      <w:r>
        <w:rPr>
          <w:rFonts w:ascii="Times New Roman" w:hAnsi="Times New Roman" w:cs="Times New Roman"/>
          <w:iCs/>
          <w:sz w:val="24"/>
          <w:szCs w:val="24"/>
        </w:rPr>
        <w:t xml:space="preserve"> the initiatives of RRB members</w:t>
      </w:r>
    </w:p>
    <w:p w:rsidR="00526BD2" w:rsidRDefault="00526BD2" w:rsidP="00526BD2">
      <w:pPr>
        <w:pStyle w:val="CEONormal"/>
        <w:jc w:val="both"/>
        <w:rPr>
          <w:rFonts w:ascii="Times New Roman" w:hAnsi="Times New Roman" w:cs="Times New Roman"/>
          <w:iCs/>
          <w:sz w:val="24"/>
          <w:szCs w:val="24"/>
        </w:rPr>
      </w:pPr>
      <w:r>
        <w:rPr>
          <w:rFonts w:ascii="Times New Roman" w:hAnsi="Times New Roman" w:cs="Times New Roman"/>
          <w:iCs/>
          <w:sz w:val="24"/>
          <w:szCs w:val="24"/>
        </w:rPr>
        <w:t xml:space="preserve">b) </w:t>
      </w:r>
      <w:proofErr w:type="gramStart"/>
      <w:r>
        <w:rPr>
          <w:rFonts w:ascii="Times New Roman" w:hAnsi="Times New Roman" w:cs="Times New Roman"/>
          <w:iCs/>
          <w:sz w:val="24"/>
          <w:szCs w:val="24"/>
        </w:rPr>
        <w:t>on</w:t>
      </w:r>
      <w:proofErr w:type="gramEnd"/>
      <w:r>
        <w:rPr>
          <w:rFonts w:ascii="Times New Roman" w:hAnsi="Times New Roman" w:cs="Times New Roman"/>
          <w:iCs/>
          <w:sz w:val="24"/>
          <w:szCs w:val="24"/>
        </w:rPr>
        <w:t xml:space="preserve"> the request of the Bureau</w:t>
      </w:r>
    </w:p>
    <w:p w:rsidR="00526BD2" w:rsidRDefault="00526BD2" w:rsidP="00526BD2">
      <w:pPr>
        <w:pStyle w:val="CEONormal"/>
        <w:jc w:val="both"/>
        <w:rPr>
          <w:rFonts w:ascii="Times New Roman" w:hAnsi="Times New Roman" w:cs="Times New Roman"/>
          <w:iCs/>
          <w:sz w:val="24"/>
          <w:szCs w:val="24"/>
        </w:rPr>
      </w:pPr>
      <w:r>
        <w:rPr>
          <w:rFonts w:ascii="Times New Roman" w:hAnsi="Times New Roman" w:cs="Times New Roman"/>
          <w:iCs/>
          <w:sz w:val="24"/>
          <w:szCs w:val="24"/>
        </w:rPr>
        <w:t xml:space="preserve">c) </w:t>
      </w:r>
      <w:proofErr w:type="gramStart"/>
      <w:r>
        <w:rPr>
          <w:rFonts w:ascii="Times New Roman" w:hAnsi="Times New Roman" w:cs="Times New Roman"/>
          <w:iCs/>
          <w:sz w:val="24"/>
          <w:szCs w:val="24"/>
        </w:rPr>
        <w:t>on</w:t>
      </w:r>
      <w:proofErr w:type="gramEnd"/>
      <w:r>
        <w:rPr>
          <w:rFonts w:ascii="Times New Roman" w:hAnsi="Times New Roman" w:cs="Times New Roman"/>
          <w:iCs/>
          <w:sz w:val="24"/>
          <w:szCs w:val="24"/>
        </w:rPr>
        <w:t xml:space="preserve"> the request of a Member State</w:t>
      </w:r>
    </w:p>
    <w:p w:rsidR="00526BD2" w:rsidRDefault="00526BD2" w:rsidP="00526BD2">
      <w:pPr>
        <w:pStyle w:val="CEONormal"/>
        <w:jc w:val="both"/>
        <w:rPr>
          <w:rFonts w:ascii="Times New Roman" w:hAnsi="Times New Roman" w:cs="Times New Roman"/>
          <w:iCs/>
          <w:sz w:val="24"/>
          <w:szCs w:val="24"/>
        </w:rPr>
      </w:pPr>
      <w:r>
        <w:rPr>
          <w:rFonts w:ascii="Times New Roman" w:hAnsi="Times New Roman" w:cs="Times New Roman"/>
          <w:iCs/>
          <w:sz w:val="24"/>
          <w:szCs w:val="24"/>
        </w:rPr>
        <w:t xml:space="preserve">Consequently such reconsideration are </w:t>
      </w:r>
      <w:proofErr w:type="gramStart"/>
      <w:r>
        <w:rPr>
          <w:rFonts w:ascii="Times New Roman" w:hAnsi="Times New Roman" w:cs="Times New Roman"/>
          <w:iCs/>
          <w:sz w:val="24"/>
          <w:szCs w:val="24"/>
        </w:rPr>
        <w:t>within  the</w:t>
      </w:r>
      <w:proofErr w:type="gramEnd"/>
      <w:r>
        <w:rPr>
          <w:rFonts w:ascii="Times New Roman" w:hAnsi="Times New Roman" w:cs="Times New Roman"/>
          <w:iCs/>
          <w:sz w:val="24"/>
          <w:szCs w:val="24"/>
        </w:rPr>
        <w:t xml:space="preserve"> purview of the RRB and it’s working method. </w:t>
      </w:r>
    </w:p>
    <w:p w:rsidR="00526BD2" w:rsidRDefault="00526BD2" w:rsidP="00526BD2">
      <w:pPr>
        <w:pStyle w:val="ListParagraph"/>
        <w:rPr>
          <w:b/>
        </w:rPr>
      </w:pPr>
    </w:p>
    <w:p w:rsidR="00526BD2" w:rsidRDefault="00526BD2" w:rsidP="00526BD2">
      <w:pPr>
        <w:pStyle w:val="ListParagraph"/>
        <w:numPr>
          <w:ilvl w:val="0"/>
          <w:numId w:val="10"/>
        </w:numPr>
        <w:jc w:val="both"/>
        <w:rPr>
          <w:b/>
        </w:rPr>
      </w:pPr>
      <w:r>
        <w:rPr>
          <w:b/>
        </w:rPr>
        <w:t>Proposals:</w:t>
      </w:r>
    </w:p>
    <w:p w:rsidR="00526BD2" w:rsidRDefault="00526BD2" w:rsidP="00526BD2">
      <w:pPr>
        <w:pStyle w:val="ListParagraph"/>
        <w:ind w:left="360"/>
        <w:jc w:val="both"/>
        <w:rPr>
          <w:b/>
        </w:rPr>
      </w:pPr>
    </w:p>
    <w:p w:rsidR="00290C75" w:rsidRPr="00290C75" w:rsidRDefault="00964B00" w:rsidP="00964B00">
      <w:pPr>
        <w:tabs>
          <w:tab w:val="left" w:pos="3960"/>
        </w:tabs>
        <w:jc w:val="both"/>
        <w:rPr>
          <w:b/>
        </w:rPr>
      </w:pPr>
      <w:r>
        <w:rPr>
          <w:b/>
        </w:rPr>
        <w:t>P</w:t>
      </w:r>
      <w:r w:rsidR="00290C75" w:rsidRPr="00290C75">
        <w:rPr>
          <w:b/>
        </w:rPr>
        <w:t>ACP/</w:t>
      </w:r>
      <w:r>
        <w:rPr>
          <w:b/>
        </w:rPr>
        <w:t>22</w:t>
      </w:r>
      <w:r>
        <w:rPr>
          <w:b/>
        </w:rPr>
        <w:tab/>
      </w:r>
      <w:bookmarkStart w:id="0" w:name="_GoBack"/>
      <w:bookmarkEnd w:id="0"/>
    </w:p>
    <w:p w:rsidR="00290C75" w:rsidRDefault="00290C75" w:rsidP="00C44DBD">
      <w:pPr>
        <w:jc w:val="both"/>
      </w:pPr>
    </w:p>
    <w:p w:rsidR="00526BD2" w:rsidRDefault="00526BD2" w:rsidP="00C44DBD">
      <w:pPr>
        <w:jc w:val="both"/>
      </w:pPr>
      <w:r>
        <w:t xml:space="preserve">In view of the above, APT Member States are not in </w:t>
      </w:r>
      <w:r w:rsidR="007E71E3">
        <w:t>favor</w:t>
      </w:r>
      <w:r>
        <w:t xml:space="preserve"> of any modification to </w:t>
      </w:r>
      <w:r>
        <w:rPr>
          <w:iCs/>
        </w:rPr>
        <w:t>Procedures and working methods of the RRB or adopting a new Resolution on these issues</w:t>
      </w:r>
      <w:r>
        <w:t>. These issues will be well suited to be discussed at the WRC and /or RRB as appropriate.</w:t>
      </w:r>
    </w:p>
    <w:p w:rsidR="00526BD2" w:rsidRDefault="00526BD2" w:rsidP="00526BD2">
      <w:pPr>
        <w:jc w:val="both"/>
      </w:pPr>
    </w:p>
    <w:p w:rsidR="008E1CE7" w:rsidRDefault="00526BD2" w:rsidP="00526BD2">
      <w:pPr>
        <w:jc w:val="center"/>
      </w:pPr>
      <w:r>
        <w:t>___________</w:t>
      </w:r>
    </w:p>
    <w:sectPr w:rsidR="008E1CE7" w:rsidSect="00DB0A68">
      <w:headerReference w:type="default" r:id="rId9"/>
      <w:footerReference w:type="even" r:id="rId10"/>
      <w:footerReference w:type="default" r:id="rId11"/>
      <w:footerReference w:type="first" r:id="rId12"/>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8A5" w:rsidRDefault="00CB18A5">
      <w:r>
        <w:separator/>
      </w:r>
    </w:p>
  </w:endnote>
  <w:endnote w:type="continuationSeparator" w:id="0">
    <w:p w:rsidR="00CB18A5" w:rsidRDefault="00CB1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BatangChe">
    <w:panose1 w:val="02030609000101010101"/>
    <w:charset w:val="81"/>
    <w:family w:val="modern"/>
    <w:pitch w:val="fixed"/>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4056A8" w:rsidP="002C07DA">
    <w:pPr>
      <w:pStyle w:val="Footer"/>
      <w:framePr w:wrap="around" w:vAnchor="text" w:hAnchor="margin" w:xAlign="right" w:y="1"/>
      <w:rPr>
        <w:rStyle w:val="PageNumber"/>
      </w:rPr>
    </w:pPr>
    <w:r>
      <w:rPr>
        <w:rStyle w:val="PageNumber"/>
      </w:rPr>
      <w:fldChar w:fldCharType="begin"/>
    </w:r>
    <w:r w:rsidR="0097693B">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2C7EA9" w:rsidP="002C7EA9">
    <w:pPr>
      <w:pStyle w:val="Footer"/>
      <w:ind w:right="360"/>
      <w:jc w:val="right"/>
    </w:pPr>
    <w:r w:rsidRPr="002C7EA9">
      <w:rPr>
        <w:rStyle w:val="PageNumber"/>
      </w:rPr>
      <w:t xml:space="preserve">Page </w:t>
    </w:r>
    <w:r w:rsidR="004056A8" w:rsidRPr="002C7EA9">
      <w:rPr>
        <w:rStyle w:val="PageNumber"/>
      </w:rPr>
      <w:fldChar w:fldCharType="begin"/>
    </w:r>
    <w:r w:rsidRPr="002C7EA9">
      <w:rPr>
        <w:rStyle w:val="PageNumber"/>
      </w:rPr>
      <w:instrText xml:space="preserve"> PAGE </w:instrText>
    </w:r>
    <w:r w:rsidR="004056A8" w:rsidRPr="002C7EA9">
      <w:rPr>
        <w:rStyle w:val="PageNumber"/>
      </w:rPr>
      <w:fldChar w:fldCharType="separate"/>
    </w:r>
    <w:r w:rsidR="00526BD2">
      <w:rPr>
        <w:rStyle w:val="PageNumber"/>
        <w:noProof/>
      </w:rPr>
      <w:t>2</w:t>
    </w:r>
    <w:r w:rsidR="004056A8" w:rsidRPr="002C7EA9">
      <w:rPr>
        <w:rStyle w:val="PageNumber"/>
      </w:rPr>
      <w:fldChar w:fldCharType="end"/>
    </w:r>
    <w:r w:rsidRPr="002C7EA9">
      <w:rPr>
        <w:rStyle w:val="PageNumber"/>
      </w:rPr>
      <w:t xml:space="preserve"> of </w:t>
    </w:r>
    <w:r w:rsidR="004056A8" w:rsidRPr="002C7EA9">
      <w:rPr>
        <w:rStyle w:val="PageNumber"/>
      </w:rPr>
      <w:fldChar w:fldCharType="begin"/>
    </w:r>
    <w:r w:rsidRPr="002C7EA9">
      <w:rPr>
        <w:rStyle w:val="PageNumber"/>
      </w:rPr>
      <w:instrText xml:space="preserve"> NUMPAGES </w:instrText>
    </w:r>
    <w:r w:rsidR="004056A8" w:rsidRPr="002C7EA9">
      <w:rPr>
        <w:rStyle w:val="PageNumber"/>
      </w:rPr>
      <w:fldChar w:fldCharType="separate"/>
    </w:r>
    <w:r w:rsidR="00526BD2">
      <w:rPr>
        <w:rStyle w:val="PageNumber"/>
        <w:noProof/>
      </w:rPr>
      <w:t>2</w:t>
    </w:r>
    <w:r w:rsidR="004056A8"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280382">
      <w:trPr>
        <w:cantSplit/>
        <w:trHeight w:val="204"/>
        <w:jc w:val="center"/>
      </w:trPr>
      <w:tc>
        <w:tcPr>
          <w:tcW w:w="1617" w:type="dxa"/>
          <w:tcBorders>
            <w:top w:val="single" w:sz="12" w:space="0" w:color="auto"/>
          </w:tcBorders>
        </w:tcPr>
        <w:p w:rsidR="00280382" w:rsidRDefault="00280382" w:rsidP="00437A0B">
          <w:pPr>
            <w:rPr>
              <w:b/>
              <w:bCs/>
            </w:rPr>
          </w:pPr>
        </w:p>
      </w:tc>
      <w:tc>
        <w:tcPr>
          <w:tcW w:w="4394" w:type="dxa"/>
          <w:tcBorders>
            <w:top w:val="single" w:sz="12" w:space="0" w:color="auto"/>
          </w:tcBorders>
        </w:tcPr>
        <w:p w:rsidR="00280382" w:rsidRDefault="00280382" w:rsidP="00437A0B">
          <w:pPr>
            <w:tabs>
              <w:tab w:val="left" w:pos="794"/>
              <w:tab w:val="left" w:pos="1191"/>
              <w:tab w:val="left" w:pos="1588"/>
              <w:tab w:val="left" w:pos="1985"/>
              <w:tab w:val="center" w:pos="4820"/>
              <w:tab w:val="right" w:pos="9639"/>
            </w:tabs>
            <w:overflowPunct w:val="0"/>
            <w:autoSpaceDE w:val="0"/>
            <w:autoSpaceDN w:val="0"/>
            <w:adjustRightInd w:val="0"/>
            <w:textAlignment w:val="baseline"/>
            <w:rPr>
              <w:rFonts w:eastAsia="Batang"/>
              <w:szCs w:val="22"/>
              <w:lang w:val="en-GB"/>
            </w:rPr>
          </w:pPr>
        </w:p>
      </w:tc>
      <w:tc>
        <w:tcPr>
          <w:tcW w:w="3912" w:type="dxa"/>
          <w:tcBorders>
            <w:top w:val="single" w:sz="12" w:space="0" w:color="auto"/>
          </w:tcBorders>
        </w:tcPr>
        <w:p w:rsidR="00280382" w:rsidRDefault="00280382" w:rsidP="00F900DC">
          <w:pPr>
            <w:rPr>
              <w:lang w:eastAsia="ja-JP"/>
            </w:rPr>
          </w:pPr>
        </w:p>
      </w:tc>
    </w:tr>
  </w:tbl>
  <w:p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8A5" w:rsidRDefault="00CB18A5">
      <w:r>
        <w:separator/>
      </w:r>
    </w:p>
  </w:footnote>
  <w:footnote w:type="continuationSeparator" w:id="0">
    <w:p w:rsidR="00CB18A5" w:rsidRDefault="00CB18A5">
      <w:r>
        <w:continuationSeparator/>
      </w:r>
    </w:p>
  </w:footnote>
  <w:footnote w:id="1">
    <w:p w:rsidR="00526BD2" w:rsidRDefault="00526BD2" w:rsidP="00221A6D">
      <w:pPr>
        <w:pStyle w:val="FootnoteText"/>
        <w:rPr>
          <w:rFonts w:ascii="Times New Roman" w:hAnsi="Times New Roman" w:cs="Times New Roman"/>
          <w:lang w:val="en-GB"/>
        </w:rPr>
      </w:pPr>
      <w:r>
        <w:rPr>
          <w:rStyle w:val="FootnoteReference"/>
          <w:lang w:val="en-GB"/>
        </w:rPr>
        <w:footnoteRef/>
      </w:r>
      <w:r>
        <w:rPr>
          <w:lang w:val="en-GB"/>
        </w:rPr>
        <w:t xml:space="preserve"> </w:t>
      </w:r>
      <w:r>
        <w:rPr>
          <w:rFonts w:ascii="Times New Roman" w:hAnsi="Times New Roman" w:cs="Times New Roman"/>
          <w:lang w:val="en-GB"/>
        </w:rPr>
        <w:t>This APT Common Proposal will only be submitted to the Conference if there is</w:t>
      </w:r>
      <w:r w:rsidR="00221A6D">
        <w:rPr>
          <w:rFonts w:ascii="Times New Roman" w:hAnsi="Times New Roman" w:cs="Times New Roman"/>
          <w:lang w:val="en-GB"/>
        </w:rPr>
        <w:t xml:space="preserve"> a</w:t>
      </w:r>
      <w:r>
        <w:rPr>
          <w:rFonts w:ascii="Times New Roman" w:hAnsi="Times New Roman" w:cs="Times New Roman"/>
          <w:lang w:val="en-GB"/>
        </w:rPr>
        <w:t xml:space="preserve"> proposal on this issue submitted to the Conference by other countries or regional organizations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C15633">
    <w:pPr>
      <w:pStyle w:val="Header"/>
      <w:tabs>
        <w:tab w:val="center" w:pos="4763"/>
        <w:tab w:val="left" w:pos="5820"/>
      </w:tabs>
      <w:rPr>
        <w:lang w:eastAsia="ko-KR"/>
      </w:rPr>
    </w:pPr>
    <w:r>
      <w:rPr>
        <w:lang w:eastAsia="ko-KR"/>
      </w:rPr>
      <w:tab/>
    </w:r>
    <w:r w:rsidR="00BA4D51">
      <w:rPr>
        <w:lang w:eastAsia="ko-KR"/>
      </w:rPr>
      <w:t>PP14</w:t>
    </w:r>
    <w:r>
      <w:rPr>
        <w:rFonts w:hint="eastAsia"/>
        <w:lang w:eastAsia="ko-KR"/>
      </w:rPr>
      <w:t>-</w:t>
    </w:r>
    <w:r w:rsidR="00360C93">
      <w:rPr>
        <w:lang w:eastAsia="ko-KR"/>
      </w:rPr>
      <w:t>2</w:t>
    </w:r>
    <w:r w:rsidR="008E1CE7">
      <w:rPr>
        <w:lang w:eastAsia="ko-KR"/>
      </w:rPr>
      <w:t>/</w:t>
    </w:r>
    <w:r w:rsidR="008319BF">
      <w:rPr>
        <w:lang w:eastAsia="ko-KR"/>
      </w:rPr>
      <w:t>-</w:t>
    </w:r>
    <w:r w:rsidR="008E1CE7">
      <w:rPr>
        <w:lang w:eastAsia="ko-KR"/>
      </w:rPr>
      <w:t>XX</w:t>
    </w:r>
  </w:p>
  <w:p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nsid w:val="2B202A13"/>
    <w:multiLevelType w:val="hybridMultilevel"/>
    <w:tmpl w:val="540482DA"/>
    <w:lvl w:ilvl="0" w:tplc="47E0AA3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6"/>
  </w:num>
  <w:num w:numId="2">
    <w:abstractNumId w:val="3"/>
  </w:num>
  <w:num w:numId="3">
    <w:abstractNumId w:val="2"/>
  </w:num>
  <w:num w:numId="4">
    <w:abstractNumId w:val="8"/>
  </w:num>
  <w:num w:numId="5">
    <w:abstractNumId w:val="5"/>
  </w:num>
  <w:num w:numId="6">
    <w:abstractNumId w:val="7"/>
  </w:num>
  <w:num w:numId="7">
    <w:abstractNumId w:val="1"/>
  </w:num>
  <w:num w:numId="8">
    <w:abstractNumId w:val="0"/>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1D7"/>
    <w:rsid w:val="0003595B"/>
    <w:rsid w:val="00054A1F"/>
    <w:rsid w:val="000713CF"/>
    <w:rsid w:val="0009175E"/>
    <w:rsid w:val="000A5418"/>
    <w:rsid w:val="000C2510"/>
    <w:rsid w:val="000F517C"/>
    <w:rsid w:val="000F5540"/>
    <w:rsid w:val="0014060A"/>
    <w:rsid w:val="001539DD"/>
    <w:rsid w:val="00174706"/>
    <w:rsid w:val="00196568"/>
    <w:rsid w:val="001A2F16"/>
    <w:rsid w:val="001B18C2"/>
    <w:rsid w:val="001D5D7E"/>
    <w:rsid w:val="00221A6D"/>
    <w:rsid w:val="0023409F"/>
    <w:rsid w:val="00254A1B"/>
    <w:rsid w:val="00261869"/>
    <w:rsid w:val="00270893"/>
    <w:rsid w:val="00280382"/>
    <w:rsid w:val="0028454D"/>
    <w:rsid w:val="00290C75"/>
    <w:rsid w:val="00290DAE"/>
    <w:rsid w:val="00291C9E"/>
    <w:rsid w:val="002926D4"/>
    <w:rsid w:val="002B670F"/>
    <w:rsid w:val="002C07DA"/>
    <w:rsid w:val="002C7EA9"/>
    <w:rsid w:val="002D2711"/>
    <w:rsid w:val="002F0BA3"/>
    <w:rsid w:val="002F17DC"/>
    <w:rsid w:val="00342F20"/>
    <w:rsid w:val="003574EB"/>
    <w:rsid w:val="00360C93"/>
    <w:rsid w:val="003809C7"/>
    <w:rsid w:val="0039118D"/>
    <w:rsid w:val="003B6263"/>
    <w:rsid w:val="003C64A7"/>
    <w:rsid w:val="003D3FDA"/>
    <w:rsid w:val="003F2C43"/>
    <w:rsid w:val="004056A8"/>
    <w:rsid w:val="00420822"/>
    <w:rsid w:val="0045458F"/>
    <w:rsid w:val="004633B4"/>
    <w:rsid w:val="004B3553"/>
    <w:rsid w:val="004C4A45"/>
    <w:rsid w:val="004C52B1"/>
    <w:rsid w:val="004E3616"/>
    <w:rsid w:val="00526BD2"/>
    <w:rsid w:val="00530E8C"/>
    <w:rsid w:val="005355F3"/>
    <w:rsid w:val="00545933"/>
    <w:rsid w:val="00557544"/>
    <w:rsid w:val="005613E0"/>
    <w:rsid w:val="00587875"/>
    <w:rsid w:val="005F3D7A"/>
    <w:rsid w:val="00607E2B"/>
    <w:rsid w:val="00623CE1"/>
    <w:rsid w:val="0063062B"/>
    <w:rsid w:val="00666846"/>
    <w:rsid w:val="00667229"/>
    <w:rsid w:val="00682BE5"/>
    <w:rsid w:val="00690FED"/>
    <w:rsid w:val="006939A5"/>
    <w:rsid w:val="006A294E"/>
    <w:rsid w:val="00712451"/>
    <w:rsid w:val="00732F08"/>
    <w:rsid w:val="0074190C"/>
    <w:rsid w:val="00754811"/>
    <w:rsid w:val="007551D7"/>
    <w:rsid w:val="00762576"/>
    <w:rsid w:val="00791060"/>
    <w:rsid w:val="0079384E"/>
    <w:rsid w:val="007A3CF6"/>
    <w:rsid w:val="007B5626"/>
    <w:rsid w:val="007E71E3"/>
    <w:rsid w:val="007F59E4"/>
    <w:rsid w:val="0080570B"/>
    <w:rsid w:val="008148E1"/>
    <w:rsid w:val="008319BF"/>
    <w:rsid w:val="008855C2"/>
    <w:rsid w:val="008959A0"/>
    <w:rsid w:val="008A0BC3"/>
    <w:rsid w:val="008D0E09"/>
    <w:rsid w:val="008E1CE7"/>
    <w:rsid w:val="008F03BB"/>
    <w:rsid w:val="009443B3"/>
    <w:rsid w:val="00964B00"/>
    <w:rsid w:val="009764A7"/>
    <w:rsid w:val="0097693B"/>
    <w:rsid w:val="00993355"/>
    <w:rsid w:val="009A00B4"/>
    <w:rsid w:val="009A4A6D"/>
    <w:rsid w:val="009B0BE6"/>
    <w:rsid w:val="00A13265"/>
    <w:rsid w:val="00A36822"/>
    <w:rsid w:val="00A462DE"/>
    <w:rsid w:val="00A71136"/>
    <w:rsid w:val="00AA474C"/>
    <w:rsid w:val="00AB6878"/>
    <w:rsid w:val="00AD7E5F"/>
    <w:rsid w:val="00B01AA1"/>
    <w:rsid w:val="00B30C81"/>
    <w:rsid w:val="00B4793B"/>
    <w:rsid w:val="00BA4D51"/>
    <w:rsid w:val="00BF13A6"/>
    <w:rsid w:val="00C01F1C"/>
    <w:rsid w:val="00C15633"/>
    <w:rsid w:val="00C15799"/>
    <w:rsid w:val="00C3426B"/>
    <w:rsid w:val="00C357AD"/>
    <w:rsid w:val="00C44DBD"/>
    <w:rsid w:val="00C6069C"/>
    <w:rsid w:val="00CB18A5"/>
    <w:rsid w:val="00CD5431"/>
    <w:rsid w:val="00CF2491"/>
    <w:rsid w:val="00D1252E"/>
    <w:rsid w:val="00D128A6"/>
    <w:rsid w:val="00D57772"/>
    <w:rsid w:val="00D65EAD"/>
    <w:rsid w:val="00D66F75"/>
    <w:rsid w:val="00D75A4D"/>
    <w:rsid w:val="00D8478B"/>
    <w:rsid w:val="00D86151"/>
    <w:rsid w:val="00DA7595"/>
    <w:rsid w:val="00DB0A68"/>
    <w:rsid w:val="00DC43A3"/>
    <w:rsid w:val="00DD7C09"/>
    <w:rsid w:val="00E0124F"/>
    <w:rsid w:val="00E25C35"/>
    <w:rsid w:val="00E674D3"/>
    <w:rsid w:val="00E70FD0"/>
    <w:rsid w:val="00E8015E"/>
    <w:rsid w:val="00E8791E"/>
    <w:rsid w:val="00EC1ABE"/>
    <w:rsid w:val="00F71198"/>
    <w:rsid w:val="00F83EF2"/>
    <w:rsid w:val="00F84067"/>
    <w:rsid w:val="00F900DC"/>
    <w:rsid w:val="00F97FC5"/>
    <w:rsid w:val="00FB76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ListParagraph">
    <w:name w:val="List Paragraph"/>
    <w:basedOn w:val="Normal"/>
    <w:uiPriority w:val="34"/>
    <w:qFormat/>
    <w:rsid w:val="00754811"/>
    <w:pPr>
      <w:ind w:left="720"/>
      <w:contextualSpacing/>
    </w:pPr>
  </w:style>
  <w:style w:type="paragraph" w:styleId="FootnoteText">
    <w:name w:val="footnote text"/>
    <w:basedOn w:val="Normal"/>
    <w:link w:val="FootnoteTextChar"/>
    <w:unhideWhenUsed/>
    <w:rsid w:val="00280382"/>
    <w:rPr>
      <w:rFonts w:asciiTheme="minorHAnsi" w:eastAsiaTheme="minorHAnsi" w:hAnsiTheme="minorHAnsi" w:cstheme="minorBidi"/>
      <w:sz w:val="20"/>
      <w:szCs w:val="20"/>
      <w:lang w:val="fr-CH"/>
    </w:rPr>
  </w:style>
  <w:style w:type="character" w:customStyle="1" w:styleId="FootnoteTextChar">
    <w:name w:val="Footnote Text Char"/>
    <w:basedOn w:val="DefaultParagraphFont"/>
    <w:link w:val="FootnoteText"/>
    <w:rsid w:val="00280382"/>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rsid w:val="00280382"/>
    <w:rPr>
      <w:position w:val="6"/>
      <w:sz w:val="16"/>
    </w:rPr>
  </w:style>
  <w:style w:type="character" w:customStyle="1" w:styleId="CEONormalChar">
    <w:name w:val="CEO_Normal Char"/>
    <w:link w:val="CEONormal"/>
    <w:locked/>
    <w:rsid w:val="00280382"/>
    <w:rPr>
      <w:rFonts w:ascii="Verdana" w:eastAsia="SimSun" w:hAnsi="Verdana" w:cs="Verdana"/>
      <w:sz w:val="19"/>
      <w:szCs w:val="19"/>
      <w:lang w:val="en-GB"/>
    </w:rPr>
  </w:style>
  <w:style w:type="paragraph" w:customStyle="1" w:styleId="CEONormal">
    <w:name w:val="CEO_Normal"/>
    <w:link w:val="CEONormalChar"/>
    <w:rsid w:val="00280382"/>
    <w:pPr>
      <w:spacing w:before="120" w:after="120"/>
    </w:pPr>
    <w:rPr>
      <w:rFonts w:ascii="Verdana" w:eastAsia="SimSun" w:hAnsi="Verdana" w:cs="Verdana"/>
      <w:sz w:val="19"/>
      <w:szCs w:val="19"/>
      <w:lang w:val="en-GB"/>
    </w:rPr>
  </w:style>
  <w:style w:type="character" w:styleId="Hyperlink">
    <w:name w:val="Hyperlink"/>
    <w:unhideWhenUsed/>
    <w:rsid w:val="0028038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ListParagraph">
    <w:name w:val="List Paragraph"/>
    <w:basedOn w:val="Normal"/>
    <w:uiPriority w:val="34"/>
    <w:qFormat/>
    <w:rsid w:val="00754811"/>
    <w:pPr>
      <w:ind w:left="720"/>
      <w:contextualSpacing/>
    </w:pPr>
  </w:style>
  <w:style w:type="paragraph" w:styleId="FootnoteText">
    <w:name w:val="footnote text"/>
    <w:basedOn w:val="Normal"/>
    <w:link w:val="FootnoteTextChar"/>
    <w:unhideWhenUsed/>
    <w:rsid w:val="00280382"/>
    <w:rPr>
      <w:rFonts w:asciiTheme="minorHAnsi" w:eastAsiaTheme="minorHAnsi" w:hAnsiTheme="minorHAnsi" w:cstheme="minorBidi"/>
      <w:sz w:val="20"/>
      <w:szCs w:val="20"/>
      <w:lang w:val="fr-CH"/>
    </w:rPr>
  </w:style>
  <w:style w:type="character" w:customStyle="1" w:styleId="FootnoteTextChar">
    <w:name w:val="Footnote Text Char"/>
    <w:basedOn w:val="DefaultParagraphFont"/>
    <w:link w:val="FootnoteText"/>
    <w:rsid w:val="00280382"/>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rsid w:val="00280382"/>
    <w:rPr>
      <w:position w:val="6"/>
      <w:sz w:val="16"/>
    </w:rPr>
  </w:style>
  <w:style w:type="character" w:customStyle="1" w:styleId="CEONormalChar">
    <w:name w:val="CEO_Normal Char"/>
    <w:link w:val="CEONormal"/>
    <w:locked/>
    <w:rsid w:val="00280382"/>
    <w:rPr>
      <w:rFonts w:ascii="Verdana" w:eastAsia="SimSun" w:hAnsi="Verdana" w:cs="Verdana"/>
      <w:sz w:val="19"/>
      <w:szCs w:val="19"/>
      <w:lang w:val="en-GB"/>
    </w:rPr>
  </w:style>
  <w:style w:type="paragraph" w:customStyle="1" w:styleId="CEONormal">
    <w:name w:val="CEO_Normal"/>
    <w:link w:val="CEONormalChar"/>
    <w:rsid w:val="00280382"/>
    <w:pPr>
      <w:spacing w:before="120" w:after="120"/>
    </w:pPr>
    <w:rPr>
      <w:rFonts w:ascii="Verdana" w:eastAsia="SimSun" w:hAnsi="Verdana" w:cs="Verdana"/>
      <w:sz w:val="19"/>
      <w:szCs w:val="19"/>
      <w:lang w:val="en-GB"/>
    </w:rPr>
  </w:style>
  <w:style w:type="character" w:styleId="Hyperlink">
    <w:name w:val="Hyperlink"/>
    <w:unhideWhenUsed/>
    <w:rsid w:val="002803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38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Plenitotentiary%20Conferences\PP-14\PP14-2\Output%20Document%20Forma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Output Document Format.dotx</Template>
  <TotalTime>1</TotalTime>
  <Pages>1</Pages>
  <Words>272</Words>
  <Characters>1553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1822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Forhadul Parvez</dc:creator>
  <cp:lastModifiedBy>Forhadul Parvez</cp:lastModifiedBy>
  <cp:revision>2</cp:revision>
  <cp:lastPrinted>2004-07-28T02:14:00Z</cp:lastPrinted>
  <dcterms:created xsi:type="dcterms:W3CDTF">2014-06-20T02:51:00Z</dcterms:created>
  <dcterms:modified xsi:type="dcterms:W3CDTF">2014-06-20T02:51:00Z</dcterms:modified>
</cp:coreProperties>
</file>