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19" w:type="dxa"/>
        <w:tblBorders>
          <w:bottom w:val="single" w:sz="4" w:space="0" w:color="auto"/>
        </w:tblBorders>
        <w:tblLayout w:type="fixed"/>
        <w:tblCellMar>
          <w:left w:w="99" w:type="dxa"/>
          <w:right w:w="99" w:type="dxa"/>
        </w:tblCellMar>
        <w:tblLook w:val="0000" w:firstRow="0" w:lastRow="0" w:firstColumn="0" w:lastColumn="0" w:noHBand="0" w:noVBand="0"/>
      </w:tblPr>
      <w:tblGrid>
        <w:gridCol w:w="1399"/>
        <w:gridCol w:w="4530"/>
        <w:gridCol w:w="1550"/>
        <w:gridCol w:w="111"/>
        <w:gridCol w:w="2229"/>
      </w:tblGrid>
      <w:tr w:rsidR="00DA7595" w:rsidRPr="00891D0B">
        <w:trPr>
          <w:cantSplit/>
        </w:trPr>
        <w:tc>
          <w:tcPr>
            <w:tcW w:w="1399" w:type="dxa"/>
            <w:vMerge w:val="restart"/>
            <w:tcBorders>
              <w:top w:val="nil"/>
              <w:left w:val="nil"/>
              <w:bottom w:val="nil"/>
              <w:right w:val="nil"/>
            </w:tcBorders>
          </w:tcPr>
          <w:p w:rsidR="00DA7595" w:rsidRPr="00891D0B" w:rsidRDefault="00FB764E" w:rsidP="0045458F">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en-US"/>
              </w:rPr>
              <w:drawing>
                <wp:inline distT="0" distB="0" distL="0" distR="0" wp14:anchorId="1DED6505" wp14:editId="37492CE9">
                  <wp:extent cx="762000" cy="666750"/>
                  <wp:effectExtent l="0" t="0" r="0" b="0"/>
                  <wp:docPr id="2" name="Picture 2" descr="small APTlogog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mall APTlogogree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666750"/>
                          </a:xfrm>
                          <a:prstGeom prst="rect">
                            <a:avLst/>
                          </a:prstGeom>
                          <a:noFill/>
                          <a:ln>
                            <a:noFill/>
                          </a:ln>
                        </pic:spPr>
                      </pic:pic>
                    </a:graphicData>
                  </a:graphic>
                </wp:inline>
              </w:drawing>
            </w:r>
          </w:p>
        </w:tc>
        <w:tc>
          <w:tcPr>
            <w:tcW w:w="4530" w:type="dxa"/>
            <w:tcBorders>
              <w:top w:val="nil"/>
              <w:left w:val="nil"/>
              <w:bottom w:val="nil"/>
              <w:right w:val="nil"/>
            </w:tcBorders>
          </w:tcPr>
          <w:p w:rsidR="00DA7595" w:rsidRPr="00891D0B" w:rsidRDefault="00DA7595" w:rsidP="0045458F">
            <w:pPr>
              <w:rPr>
                <w:sz w:val="22"/>
                <w:szCs w:val="22"/>
              </w:rPr>
            </w:pPr>
            <w:r w:rsidRPr="00891D0B">
              <w:rPr>
                <w:sz w:val="22"/>
                <w:szCs w:val="22"/>
              </w:rPr>
              <w:t>ASIA-PACIFIC TELECOMMUNITY</w:t>
            </w:r>
          </w:p>
        </w:tc>
        <w:tc>
          <w:tcPr>
            <w:tcW w:w="1661" w:type="dxa"/>
            <w:gridSpan w:val="2"/>
            <w:tcBorders>
              <w:top w:val="nil"/>
              <w:left w:val="nil"/>
              <w:bottom w:val="nil"/>
              <w:right w:val="nil"/>
            </w:tcBorders>
          </w:tcPr>
          <w:p w:rsidR="00DA7595" w:rsidRPr="00891D0B" w:rsidRDefault="00DA7595" w:rsidP="0045458F"/>
        </w:tc>
        <w:tc>
          <w:tcPr>
            <w:tcW w:w="2229" w:type="dxa"/>
            <w:tcBorders>
              <w:top w:val="nil"/>
              <w:left w:val="nil"/>
              <w:bottom w:val="nil"/>
            </w:tcBorders>
          </w:tcPr>
          <w:p w:rsidR="00DA7595" w:rsidRPr="00891D0B" w:rsidRDefault="00DA7595" w:rsidP="0045458F">
            <w:pPr>
              <w:pStyle w:val="Heading8"/>
              <w:rPr>
                <w:sz w:val="24"/>
                <w:szCs w:val="24"/>
              </w:rPr>
            </w:pPr>
          </w:p>
        </w:tc>
      </w:tr>
      <w:tr w:rsidR="009133A2" w:rsidRPr="00C15799" w:rsidTr="00F97FC5">
        <w:trPr>
          <w:cantSplit/>
        </w:trPr>
        <w:tc>
          <w:tcPr>
            <w:tcW w:w="1399" w:type="dxa"/>
            <w:vMerge/>
            <w:tcBorders>
              <w:top w:val="nil"/>
              <w:left w:val="nil"/>
              <w:bottom w:val="nil"/>
              <w:right w:val="nil"/>
            </w:tcBorders>
          </w:tcPr>
          <w:p w:rsidR="009133A2" w:rsidRPr="00891D0B" w:rsidRDefault="009133A2" w:rsidP="0045458F"/>
        </w:tc>
        <w:tc>
          <w:tcPr>
            <w:tcW w:w="6080" w:type="dxa"/>
            <w:gridSpan w:val="2"/>
            <w:tcBorders>
              <w:top w:val="nil"/>
              <w:left w:val="nil"/>
              <w:bottom w:val="nil"/>
              <w:right w:val="nil"/>
            </w:tcBorders>
          </w:tcPr>
          <w:p w:rsidR="009133A2" w:rsidRPr="00891D0B" w:rsidRDefault="009133A2" w:rsidP="00542C30">
            <w:pPr>
              <w:spacing w:line="0" w:lineRule="atLeast"/>
            </w:pPr>
            <w:r>
              <w:rPr>
                <w:b/>
              </w:rPr>
              <w:t xml:space="preserve">The APT Preparatory Meeting for PP-14   </w:t>
            </w:r>
          </w:p>
        </w:tc>
        <w:tc>
          <w:tcPr>
            <w:tcW w:w="2340" w:type="dxa"/>
            <w:gridSpan w:val="2"/>
            <w:tcBorders>
              <w:top w:val="nil"/>
              <w:left w:val="nil"/>
              <w:bottom w:val="nil"/>
              <w:right w:val="nil"/>
            </w:tcBorders>
          </w:tcPr>
          <w:p w:rsidR="009133A2" w:rsidRDefault="009133A2">
            <w:pPr>
              <w:rPr>
                <w:b/>
                <w:bCs/>
                <w:lang w:val="fr-FR"/>
              </w:rPr>
            </w:pPr>
            <w:r>
              <w:rPr>
                <w:b/>
                <w:lang w:val="fr-FR"/>
              </w:rPr>
              <w:t>Document</w:t>
            </w:r>
          </w:p>
          <w:p w:rsidR="009133A2" w:rsidRDefault="00213542" w:rsidP="00542C30">
            <w:pPr>
              <w:rPr>
                <w:b/>
                <w:bCs/>
                <w:lang w:val="fr-FR"/>
              </w:rPr>
            </w:pPr>
            <w:r w:rsidRPr="00542C30">
              <w:rPr>
                <w:b/>
                <w:lang w:eastAsia="ko-KR"/>
              </w:rPr>
              <w:t>PP14-3/OUT-14</w:t>
            </w:r>
          </w:p>
        </w:tc>
      </w:tr>
      <w:tr w:rsidR="009133A2" w:rsidRPr="00891D0B" w:rsidTr="00F97FC5">
        <w:trPr>
          <w:cantSplit/>
          <w:trHeight w:val="219"/>
        </w:trPr>
        <w:tc>
          <w:tcPr>
            <w:tcW w:w="1399" w:type="dxa"/>
            <w:vMerge/>
            <w:tcBorders>
              <w:top w:val="nil"/>
              <w:left w:val="nil"/>
              <w:bottom w:val="single" w:sz="12" w:space="0" w:color="auto"/>
              <w:right w:val="nil"/>
            </w:tcBorders>
          </w:tcPr>
          <w:p w:rsidR="009133A2" w:rsidRPr="00C15799" w:rsidRDefault="009133A2" w:rsidP="0045458F">
            <w:pPr>
              <w:rPr>
                <w:lang w:val="fr-FR"/>
              </w:rPr>
            </w:pPr>
          </w:p>
        </w:tc>
        <w:tc>
          <w:tcPr>
            <w:tcW w:w="6080" w:type="dxa"/>
            <w:gridSpan w:val="2"/>
            <w:tcBorders>
              <w:top w:val="nil"/>
              <w:left w:val="nil"/>
              <w:bottom w:val="single" w:sz="12" w:space="0" w:color="auto"/>
              <w:right w:val="nil"/>
            </w:tcBorders>
          </w:tcPr>
          <w:p w:rsidR="009133A2" w:rsidRPr="00891D0B" w:rsidRDefault="009133A2" w:rsidP="007551D7"/>
        </w:tc>
        <w:tc>
          <w:tcPr>
            <w:tcW w:w="2340" w:type="dxa"/>
            <w:gridSpan w:val="2"/>
            <w:tcBorders>
              <w:top w:val="nil"/>
              <w:left w:val="nil"/>
              <w:bottom w:val="single" w:sz="12" w:space="0" w:color="auto"/>
              <w:right w:val="nil"/>
            </w:tcBorders>
          </w:tcPr>
          <w:p w:rsidR="009133A2" w:rsidRDefault="00213542">
            <w:pPr>
              <w:rPr>
                <w:b/>
              </w:rPr>
            </w:pPr>
            <w:r>
              <w:rPr>
                <w:b/>
              </w:rPr>
              <w:t>05 June 2014</w:t>
            </w:r>
          </w:p>
        </w:tc>
      </w:tr>
    </w:tbl>
    <w:p w:rsidR="00DA7595" w:rsidRDefault="00DA7595" w:rsidP="00542C30">
      <w:pPr>
        <w:rPr>
          <w:b/>
          <w:sz w:val="28"/>
          <w:szCs w:val="28"/>
          <w:lang w:eastAsia="ko-KR"/>
        </w:rPr>
      </w:pPr>
    </w:p>
    <w:p w:rsidR="00BA4D51" w:rsidRDefault="00BA4D51" w:rsidP="00BA4D51">
      <w:pPr>
        <w:jc w:val="center"/>
        <w:rPr>
          <w:lang w:eastAsia="ko-KR"/>
        </w:rPr>
      </w:pPr>
    </w:p>
    <w:p w:rsidR="00280382" w:rsidRDefault="00D65EAD" w:rsidP="00280382">
      <w:pPr>
        <w:jc w:val="center"/>
        <w:rPr>
          <w:b/>
          <w:bCs/>
          <w:caps/>
          <w:sz w:val="28"/>
          <w:szCs w:val="28"/>
        </w:rPr>
      </w:pPr>
      <w:r>
        <w:rPr>
          <w:b/>
          <w:bCs/>
          <w:caps/>
          <w:sz w:val="28"/>
          <w:szCs w:val="28"/>
        </w:rPr>
        <w:t>pr</w:t>
      </w:r>
      <w:r w:rsidR="004E3616">
        <w:rPr>
          <w:b/>
          <w:bCs/>
          <w:caps/>
          <w:sz w:val="28"/>
          <w:szCs w:val="28"/>
        </w:rPr>
        <w:t xml:space="preserve">eliminary apt common proposal: </w:t>
      </w:r>
      <w:r>
        <w:rPr>
          <w:b/>
          <w:bCs/>
          <w:caps/>
          <w:sz w:val="28"/>
          <w:szCs w:val="28"/>
        </w:rPr>
        <w:t xml:space="preserve"> </w:t>
      </w:r>
    </w:p>
    <w:p w:rsidR="00952C9C" w:rsidRDefault="00952C9C" w:rsidP="003B5742">
      <w:pPr>
        <w:jc w:val="center"/>
      </w:pPr>
      <w:r>
        <w:rPr>
          <w:b/>
          <w:bCs/>
          <w:color w:val="000000"/>
          <w:sz w:val="28"/>
          <w:szCs w:val="28"/>
        </w:rPr>
        <w:t xml:space="preserve">THE </w:t>
      </w:r>
      <w:r w:rsidR="006029B2" w:rsidRPr="006029B2">
        <w:rPr>
          <w:b/>
          <w:sz w:val="28"/>
          <w:szCs w:val="28"/>
        </w:rPr>
        <w:t>NEED TO FACILITATE THE OPERATION IN COMPLEMENTING TERRESTRIAL SURVEILLANCE WITH CONTINUOUS AIRCRAFT SURVEILLANCE VIA SATELLITE</w:t>
      </w:r>
    </w:p>
    <w:p w:rsidR="00542C30" w:rsidRDefault="00542C30" w:rsidP="003B5742">
      <w:pPr>
        <w:jc w:val="center"/>
        <w:rPr>
          <w:b/>
          <w:bCs/>
          <w:color w:val="000000"/>
        </w:rPr>
      </w:pPr>
    </w:p>
    <w:p w:rsidR="00952C9C" w:rsidRPr="00952C9C" w:rsidRDefault="006029B2" w:rsidP="003B5742">
      <w:pPr>
        <w:jc w:val="center"/>
        <w:rPr>
          <w:b/>
        </w:rPr>
      </w:pPr>
      <w:r>
        <w:rPr>
          <w:b/>
          <w:bCs/>
          <w:color w:val="000000"/>
        </w:rPr>
        <w:t>New Agenda Item</w:t>
      </w:r>
      <w:r>
        <w:rPr>
          <w:b/>
        </w:rPr>
        <w:t xml:space="preserve"> to satisfy above mentioned need</w:t>
      </w:r>
    </w:p>
    <w:p w:rsidR="00DB0A68" w:rsidRDefault="00DB0A68" w:rsidP="00C357AD">
      <w:pPr>
        <w:jc w:val="center"/>
      </w:pPr>
    </w:p>
    <w:p w:rsidR="00DE3AC4" w:rsidRDefault="00DE3AC4" w:rsidP="00C357AD">
      <w:pPr>
        <w:jc w:val="center"/>
      </w:pPr>
    </w:p>
    <w:p w:rsidR="00C357AD" w:rsidRDefault="00C357AD" w:rsidP="00C357AD">
      <w:pPr>
        <w:jc w:val="both"/>
        <w:rPr>
          <w:b/>
        </w:rPr>
      </w:pPr>
    </w:p>
    <w:p w:rsidR="00F83EF2" w:rsidRDefault="00F83EF2" w:rsidP="00754811">
      <w:pPr>
        <w:pStyle w:val="ListParagraph"/>
        <w:numPr>
          <w:ilvl w:val="0"/>
          <w:numId w:val="9"/>
        </w:numPr>
        <w:jc w:val="both"/>
        <w:rPr>
          <w:b/>
        </w:rPr>
      </w:pPr>
      <w:r>
        <w:rPr>
          <w:b/>
        </w:rPr>
        <w:t>Introduction:</w:t>
      </w:r>
    </w:p>
    <w:p w:rsidR="00F83EF2" w:rsidRDefault="00F83EF2" w:rsidP="00F83EF2">
      <w:pPr>
        <w:pStyle w:val="ListParagraph"/>
        <w:ind w:left="360"/>
        <w:jc w:val="both"/>
        <w:rPr>
          <w:b/>
        </w:rPr>
      </w:pPr>
    </w:p>
    <w:p w:rsidR="00542C30" w:rsidRDefault="003B5742" w:rsidP="00DA039F">
      <w:pPr>
        <w:spacing w:before="120" w:after="120"/>
        <w:rPr>
          <w:color w:val="000000"/>
        </w:rPr>
      </w:pPr>
      <w:r>
        <w:rPr>
          <w:color w:val="000000"/>
        </w:rPr>
        <w:t>T</w:t>
      </w:r>
      <w:r w:rsidRPr="00212C7A">
        <w:rPr>
          <w:color w:val="000000"/>
        </w:rPr>
        <w:t>he Agenda Items of all WRCs are decided by a previous WRC and contained in a Resolution adopted by that WRC.</w:t>
      </w:r>
      <w:r>
        <w:rPr>
          <w:color w:val="000000"/>
        </w:rPr>
        <w:t xml:space="preserve"> </w:t>
      </w:r>
      <w:r w:rsidRPr="00212C7A">
        <w:rPr>
          <w:color w:val="000000"/>
        </w:rPr>
        <w:t xml:space="preserve">The Resolution is then sent to the Council and once approved becomes the definitive agenda of the conference and all study Groups and CPM </w:t>
      </w:r>
      <w:r w:rsidR="00F57E77">
        <w:rPr>
          <w:color w:val="000000"/>
        </w:rPr>
        <w:t xml:space="preserve">are tasked </w:t>
      </w:r>
      <w:r w:rsidRPr="00212C7A">
        <w:rPr>
          <w:color w:val="000000"/>
        </w:rPr>
        <w:t>to prepare technical</w:t>
      </w:r>
      <w:r w:rsidR="00F57E77">
        <w:rPr>
          <w:color w:val="000000"/>
        </w:rPr>
        <w:t>,</w:t>
      </w:r>
      <w:r w:rsidRPr="00212C7A">
        <w:rPr>
          <w:color w:val="000000"/>
        </w:rPr>
        <w:t xml:space="preserve"> operational</w:t>
      </w:r>
      <w:r w:rsidR="00F57E77">
        <w:rPr>
          <w:color w:val="000000"/>
        </w:rPr>
        <w:t>,</w:t>
      </w:r>
      <w:r w:rsidRPr="00212C7A">
        <w:rPr>
          <w:color w:val="000000"/>
        </w:rPr>
        <w:t xml:space="preserve"> and procedural aspects of those agenda item</w:t>
      </w:r>
      <w:r w:rsidR="00F57E77">
        <w:rPr>
          <w:color w:val="000000"/>
        </w:rPr>
        <w:t>s</w:t>
      </w:r>
      <w:r w:rsidRPr="00212C7A">
        <w:rPr>
          <w:color w:val="000000"/>
        </w:rPr>
        <w:t>.</w:t>
      </w:r>
      <w:r w:rsidRPr="00212C7A">
        <w:rPr>
          <w:color w:val="000000"/>
        </w:rPr>
        <w:br/>
      </w:r>
    </w:p>
    <w:p w:rsidR="00542C30" w:rsidRDefault="003B5742" w:rsidP="00DA039F">
      <w:pPr>
        <w:spacing w:before="120" w:after="120"/>
        <w:rPr>
          <w:color w:val="000000"/>
        </w:rPr>
      </w:pPr>
      <w:r w:rsidRPr="00212C7A">
        <w:rPr>
          <w:color w:val="000000"/>
        </w:rPr>
        <w:t>Unfortunately in the past</w:t>
      </w:r>
      <w:r w:rsidR="00F57E77">
        <w:rPr>
          <w:color w:val="000000"/>
        </w:rPr>
        <w:t>,</w:t>
      </w:r>
      <w:r w:rsidRPr="00212C7A">
        <w:rPr>
          <w:color w:val="000000"/>
        </w:rPr>
        <w:t xml:space="preserve"> at two occasions </w:t>
      </w:r>
      <w:r w:rsidR="00F57E77">
        <w:rPr>
          <w:color w:val="000000"/>
        </w:rPr>
        <w:t xml:space="preserve">in </w:t>
      </w:r>
      <w:r w:rsidRPr="00212C7A">
        <w:rPr>
          <w:color w:val="000000"/>
        </w:rPr>
        <w:t>1995 and 2012 new agenda items were added to those WRCs without being adopted by the Council or studied by the ITU-R.</w:t>
      </w:r>
      <w:r w:rsidRPr="00212C7A">
        <w:rPr>
          <w:color w:val="000000"/>
        </w:rPr>
        <w:br/>
      </w:r>
    </w:p>
    <w:p w:rsidR="00542C30" w:rsidRDefault="003B5742" w:rsidP="00DA039F">
      <w:pPr>
        <w:spacing w:before="120" w:after="120"/>
        <w:rPr>
          <w:color w:val="000000"/>
        </w:rPr>
      </w:pPr>
      <w:r w:rsidRPr="00080D3A">
        <w:rPr>
          <w:color w:val="000000"/>
        </w:rPr>
        <w:t xml:space="preserve">Such surprising and unexpected actions made the tasks of the WRC participants very difficult as the membership </w:t>
      </w:r>
      <w:r w:rsidR="00F57E77">
        <w:rPr>
          <w:color w:val="000000"/>
        </w:rPr>
        <w:t xml:space="preserve">could </w:t>
      </w:r>
      <w:r w:rsidRPr="00080D3A">
        <w:rPr>
          <w:color w:val="000000"/>
        </w:rPr>
        <w:t>not stud</w:t>
      </w:r>
      <w:r w:rsidR="00F57E77">
        <w:rPr>
          <w:color w:val="000000"/>
        </w:rPr>
        <w:t>y</w:t>
      </w:r>
      <w:r w:rsidRPr="00080D3A">
        <w:rPr>
          <w:color w:val="000000"/>
        </w:rPr>
        <w:t xml:space="preserve"> the impact of those added agenda items from th</w:t>
      </w:r>
      <w:r w:rsidR="00F57E77">
        <w:rPr>
          <w:color w:val="000000"/>
        </w:rPr>
        <w:t xml:space="preserve">e viewpoints of their impact on </w:t>
      </w:r>
      <w:r w:rsidRPr="00080D3A">
        <w:rPr>
          <w:color w:val="000000"/>
        </w:rPr>
        <w:t>existing and operational</w:t>
      </w:r>
      <w:r w:rsidR="00F57E77">
        <w:rPr>
          <w:color w:val="000000"/>
        </w:rPr>
        <w:t>,</w:t>
      </w:r>
      <w:r w:rsidRPr="00080D3A">
        <w:rPr>
          <w:color w:val="000000"/>
        </w:rPr>
        <w:t xml:space="preserve"> and</w:t>
      </w:r>
      <w:r w:rsidR="00F57E77">
        <w:rPr>
          <w:color w:val="000000"/>
        </w:rPr>
        <w:t>/</w:t>
      </w:r>
      <w:r w:rsidRPr="00080D3A">
        <w:rPr>
          <w:color w:val="000000"/>
        </w:rPr>
        <w:t>or planned service</w:t>
      </w:r>
      <w:r w:rsidR="00F57E77">
        <w:rPr>
          <w:color w:val="000000"/>
        </w:rPr>
        <w:t>s</w:t>
      </w:r>
      <w:r w:rsidRPr="00080D3A">
        <w:rPr>
          <w:color w:val="000000"/>
        </w:rPr>
        <w:t>.</w:t>
      </w:r>
      <w:r w:rsidRPr="00080D3A">
        <w:rPr>
          <w:color w:val="000000"/>
        </w:rPr>
        <w:br/>
      </w:r>
    </w:p>
    <w:p w:rsidR="00362C8F" w:rsidRDefault="003B5742" w:rsidP="00DA039F">
      <w:pPr>
        <w:spacing w:before="120" w:after="120"/>
        <w:rPr>
          <w:color w:val="000000"/>
        </w:rPr>
      </w:pPr>
      <w:r w:rsidRPr="00080D3A">
        <w:rPr>
          <w:color w:val="000000"/>
        </w:rPr>
        <w:t>Moreover, PP is the highest body of the Union dealing with top and high level policy iss</w:t>
      </w:r>
      <w:r w:rsidR="00D327CC">
        <w:rPr>
          <w:color w:val="000000"/>
        </w:rPr>
        <w:t>ues and those related to inter-</w:t>
      </w:r>
      <w:proofErr w:type="spellStart"/>
      <w:r w:rsidRPr="00080D3A">
        <w:rPr>
          <w:color w:val="000000"/>
        </w:rPr>
        <w:t>sectoral</w:t>
      </w:r>
      <w:proofErr w:type="spellEnd"/>
      <w:r w:rsidRPr="00080D3A">
        <w:rPr>
          <w:color w:val="000000"/>
        </w:rPr>
        <w:t xml:space="preserve"> issues relating to specific sector needs to be discussed </w:t>
      </w:r>
      <w:r w:rsidR="00F57E77" w:rsidRPr="00080D3A">
        <w:rPr>
          <w:color w:val="000000"/>
        </w:rPr>
        <w:t xml:space="preserve">only </w:t>
      </w:r>
      <w:r w:rsidRPr="00080D3A">
        <w:rPr>
          <w:color w:val="000000"/>
        </w:rPr>
        <w:t>at that sector through relevant procedure</w:t>
      </w:r>
      <w:r w:rsidR="00F57E77">
        <w:rPr>
          <w:color w:val="000000"/>
        </w:rPr>
        <w:t>s</w:t>
      </w:r>
      <w:r w:rsidRPr="00080D3A">
        <w:rPr>
          <w:color w:val="000000"/>
        </w:rPr>
        <w:t xml:space="preserve"> and arrangement</w:t>
      </w:r>
      <w:r w:rsidR="00F57E77">
        <w:rPr>
          <w:color w:val="000000"/>
        </w:rPr>
        <w:t>s</w:t>
      </w:r>
      <w:r w:rsidRPr="00080D3A">
        <w:rPr>
          <w:color w:val="000000"/>
        </w:rPr>
        <w:t>.</w:t>
      </w:r>
      <w:r w:rsidRPr="00080D3A">
        <w:rPr>
          <w:color w:val="000000"/>
        </w:rPr>
        <w:br/>
      </w:r>
    </w:p>
    <w:p w:rsidR="003B5742" w:rsidRPr="00080D3A" w:rsidRDefault="003B5742" w:rsidP="00F8564F">
      <w:pPr>
        <w:spacing w:before="120" w:after="120"/>
        <w:jc w:val="both"/>
        <w:rPr>
          <w:color w:val="000000"/>
        </w:rPr>
      </w:pPr>
      <w:r w:rsidRPr="00080D3A">
        <w:rPr>
          <w:color w:val="000000"/>
        </w:rPr>
        <w:t xml:space="preserve">Even though PP is the highest organ of the Union, nevertheless it would not intervene in the technical detailed issues of </w:t>
      </w:r>
      <w:r w:rsidR="00F57E77">
        <w:rPr>
          <w:color w:val="000000"/>
        </w:rPr>
        <w:t>a</w:t>
      </w:r>
      <w:r w:rsidRPr="00080D3A">
        <w:rPr>
          <w:color w:val="000000"/>
        </w:rPr>
        <w:t xml:space="preserve"> Sector due to the fact that the participants at PP are of managerial and policy making and may not be prepared to discuss technical issues. In fact PP-14 is heavily overloaded with its traditional items and we should not further overload</w:t>
      </w:r>
      <w:r w:rsidR="00F8564F">
        <w:rPr>
          <w:color w:val="000000"/>
        </w:rPr>
        <w:t>ed</w:t>
      </w:r>
      <w:r w:rsidRPr="00080D3A">
        <w:rPr>
          <w:color w:val="000000"/>
        </w:rPr>
        <w:t>.</w:t>
      </w:r>
    </w:p>
    <w:p w:rsidR="003B5742" w:rsidRDefault="003B5742" w:rsidP="00F8564F">
      <w:pPr>
        <w:jc w:val="both"/>
        <w:rPr>
          <w:lang w:val="en-CA"/>
        </w:rPr>
      </w:pPr>
      <w:r w:rsidRPr="00080D3A">
        <w:rPr>
          <w:lang w:val="en-CA"/>
        </w:rPr>
        <w:t>Such course of action</w:t>
      </w:r>
      <w:r w:rsidR="00F57E77">
        <w:rPr>
          <w:lang w:val="en-CA"/>
        </w:rPr>
        <w:t>,</w:t>
      </w:r>
      <w:r w:rsidRPr="00080D3A">
        <w:rPr>
          <w:lang w:val="en-CA"/>
        </w:rPr>
        <w:t xml:space="preserve"> if agreed </w:t>
      </w:r>
      <w:r w:rsidR="00F57E77">
        <w:rPr>
          <w:lang w:val="en-CA"/>
        </w:rPr>
        <w:t>for</w:t>
      </w:r>
      <w:r w:rsidRPr="00080D3A">
        <w:rPr>
          <w:lang w:val="en-CA"/>
        </w:rPr>
        <w:t xml:space="preserve"> WRC-15</w:t>
      </w:r>
      <w:r w:rsidR="00F57E77">
        <w:rPr>
          <w:lang w:val="en-CA"/>
        </w:rPr>
        <w:t>,</w:t>
      </w:r>
      <w:r w:rsidRPr="00080D3A">
        <w:rPr>
          <w:lang w:val="en-CA"/>
        </w:rPr>
        <w:t xml:space="preserve"> establishes a precedence that in future any Administration which either does </w:t>
      </w:r>
      <w:r w:rsidR="00F57E77">
        <w:rPr>
          <w:lang w:val="en-CA"/>
        </w:rPr>
        <w:t xml:space="preserve">not </w:t>
      </w:r>
      <w:r w:rsidRPr="00080D3A">
        <w:rPr>
          <w:lang w:val="en-CA"/>
        </w:rPr>
        <w:t xml:space="preserve">succeed to include its requirement in an agreed agenda </w:t>
      </w:r>
      <w:proofErr w:type="gramStart"/>
      <w:r w:rsidRPr="00080D3A">
        <w:rPr>
          <w:lang w:val="en-CA"/>
        </w:rPr>
        <w:t>at</w:t>
      </w:r>
      <w:r w:rsidRPr="00212C7A">
        <w:rPr>
          <w:lang w:val="en-CA"/>
        </w:rPr>
        <w:t xml:space="preserve"> </w:t>
      </w:r>
      <w:r w:rsidR="00F8564F">
        <w:rPr>
          <w:lang w:val="en-CA"/>
        </w:rPr>
        <w:t xml:space="preserve"> a</w:t>
      </w:r>
      <w:proofErr w:type="gramEnd"/>
      <w:r w:rsidR="00F8564F">
        <w:rPr>
          <w:lang w:val="en-CA"/>
        </w:rPr>
        <w:t xml:space="preserve"> </w:t>
      </w:r>
      <w:r w:rsidRPr="00212C7A">
        <w:rPr>
          <w:lang w:val="en-CA"/>
        </w:rPr>
        <w:t>previous WRC or if it decides to bring a new agenda item without being agreed by the Council and without being studied under the CPM process would be added to the agenda.</w:t>
      </w:r>
    </w:p>
    <w:p w:rsidR="00362C8F" w:rsidRDefault="00362C8F" w:rsidP="00CD3F2A">
      <w:pPr>
        <w:jc w:val="both"/>
      </w:pPr>
    </w:p>
    <w:p w:rsidR="00492C96" w:rsidRDefault="00492C96" w:rsidP="00CD3F2A">
      <w:pPr>
        <w:jc w:val="both"/>
      </w:pPr>
      <w:r>
        <w:t>On the other hand, as much of the Earth’s surface cannot be covered by aircraft surveillance radar, air traffic management is constrained to a degree by not having a complete surveillance coverage capability in oceanic, polar and remote regions</w:t>
      </w:r>
      <w:r w:rsidR="00CD3F2A">
        <w:t>.</w:t>
      </w:r>
      <w:r>
        <w:t xml:space="preserve"> </w:t>
      </w:r>
    </w:p>
    <w:p w:rsidR="00492C96" w:rsidRDefault="00CD3F2A" w:rsidP="00CD3F2A">
      <w:pPr>
        <w:jc w:val="both"/>
      </w:pPr>
      <w:r>
        <w:t>I</w:t>
      </w:r>
      <w:r w:rsidR="00492C96">
        <w:t xml:space="preserve">n order to maintain required safety standards </w:t>
      </w:r>
      <w:r w:rsidR="00492C96" w:rsidRPr="00E83DCB">
        <w:t xml:space="preserve">from the availability of satellite technology providing global </w:t>
      </w:r>
      <w:r w:rsidR="00492C96" w:rsidRPr="00894AAE">
        <w:t>aircraft surveillance</w:t>
      </w:r>
      <w:r w:rsidR="00492C96">
        <w:t xml:space="preserve"> there is a need to provide </w:t>
      </w:r>
      <w:r w:rsidR="00492C96" w:rsidRPr="00894AAE">
        <w:t xml:space="preserve">such a global </w:t>
      </w:r>
      <w:r w:rsidR="00492C96">
        <w:t>service</w:t>
      </w:r>
      <w:r w:rsidR="00492C96" w:rsidRPr="00894AAE">
        <w:t xml:space="preserve"> </w:t>
      </w:r>
      <w:r w:rsidR="00492C96">
        <w:t xml:space="preserve">through appropriate </w:t>
      </w:r>
      <w:r w:rsidR="00492C96" w:rsidRPr="00A54F1C">
        <w:t xml:space="preserve">Earth to space satellite </w:t>
      </w:r>
      <w:r w:rsidR="00492C96" w:rsidRPr="00E83DCB">
        <w:t>reception</w:t>
      </w:r>
      <w:r>
        <w:t>.</w:t>
      </w:r>
      <w:r w:rsidR="00492C96">
        <w:t xml:space="preserve"> </w:t>
      </w:r>
    </w:p>
    <w:p w:rsidR="00362C8F" w:rsidRDefault="00362C8F" w:rsidP="00CD3F2A">
      <w:pPr>
        <w:jc w:val="both"/>
      </w:pPr>
    </w:p>
    <w:p w:rsidR="00492C96" w:rsidRDefault="00492C96" w:rsidP="00CD3F2A">
      <w:pPr>
        <w:jc w:val="both"/>
      </w:pPr>
      <w:r w:rsidRPr="00E83DCB">
        <w:t xml:space="preserve">Complementing the terrestrial </w:t>
      </w:r>
      <w:r>
        <w:t xml:space="preserve">surveillance </w:t>
      </w:r>
      <w:r w:rsidRPr="00E83DCB">
        <w:t>with c</w:t>
      </w:r>
      <w:r w:rsidRPr="00894AAE">
        <w:t xml:space="preserve">ontinuous aircraft surveillance </w:t>
      </w:r>
      <w:r>
        <w:t>via satellite will provide a complete airspace surveillance coverage picture to air traffic management.</w:t>
      </w:r>
      <w:r w:rsidR="00CD3F2A">
        <w:t xml:space="preserve"> </w:t>
      </w:r>
      <w:r>
        <w:t xml:space="preserve">It will also provide a cost effective solution for remote areas without surveillance coverage, </w:t>
      </w:r>
      <w:proofErr w:type="gramStart"/>
      <w:r>
        <w:t>and  would</w:t>
      </w:r>
      <w:proofErr w:type="gramEnd"/>
      <w:r>
        <w:t xml:space="preserve"> be among the viable option for oceanic and polar areas. To this effect, all airspace users, commercial airlines and passengers will benefit from safer and more expeditious flights in oceanic, remote and polar airspace regions</w:t>
      </w:r>
    </w:p>
    <w:p w:rsidR="00492C96" w:rsidRDefault="00492C96" w:rsidP="00492C96">
      <w:r>
        <w:t xml:space="preserve"> </w:t>
      </w:r>
    </w:p>
    <w:p w:rsidR="00754811" w:rsidRPr="00754811" w:rsidRDefault="00754811" w:rsidP="00754811">
      <w:pPr>
        <w:pStyle w:val="ListParagraph"/>
        <w:rPr>
          <w:b/>
        </w:rPr>
      </w:pPr>
    </w:p>
    <w:p w:rsidR="00754811" w:rsidRDefault="00754811" w:rsidP="00754811">
      <w:pPr>
        <w:pStyle w:val="ListParagraph"/>
        <w:numPr>
          <w:ilvl w:val="0"/>
          <w:numId w:val="9"/>
        </w:numPr>
        <w:jc w:val="both"/>
        <w:rPr>
          <w:b/>
        </w:rPr>
      </w:pPr>
      <w:r>
        <w:rPr>
          <w:b/>
        </w:rPr>
        <w:t>Proposals:</w:t>
      </w:r>
    </w:p>
    <w:p w:rsidR="00542C30" w:rsidRDefault="00542C30" w:rsidP="00CD3F2A">
      <w:pPr>
        <w:jc w:val="both"/>
      </w:pPr>
    </w:p>
    <w:p w:rsidR="00492C96" w:rsidRDefault="00492C96" w:rsidP="00CD3F2A">
      <w:pPr>
        <w:jc w:val="both"/>
      </w:pPr>
      <w:r>
        <w:t>In view of the above, APT Members, while fully respecting  the procedure and course of action currently in force in regard with establishment of new agenda for World Radiocommunication Conferences as contained in the basic Instrument of the Union, invites Plenipotentiary Conference Busan, 2014, on an exceptional basis an</w:t>
      </w:r>
      <w:r w:rsidR="00CD3F2A">
        <w:t>d without setting a precedence:</w:t>
      </w:r>
    </w:p>
    <w:p w:rsidR="00542C30" w:rsidRDefault="00542C30" w:rsidP="00CD3F2A">
      <w:pPr>
        <w:jc w:val="both"/>
      </w:pPr>
    </w:p>
    <w:p w:rsidR="00542C30" w:rsidRPr="00290C75" w:rsidRDefault="00213542" w:rsidP="00542C30">
      <w:pPr>
        <w:jc w:val="both"/>
        <w:rPr>
          <w:b/>
        </w:rPr>
      </w:pPr>
      <w:r>
        <w:rPr>
          <w:b/>
        </w:rPr>
        <w:t>P</w:t>
      </w:r>
      <w:r w:rsidR="00542C30">
        <w:rPr>
          <w:b/>
        </w:rPr>
        <w:t>ACP/</w:t>
      </w:r>
      <w:r>
        <w:rPr>
          <w:b/>
        </w:rPr>
        <w:t>14</w:t>
      </w:r>
    </w:p>
    <w:p w:rsidR="00542C30" w:rsidRDefault="00542C30" w:rsidP="00CD3F2A">
      <w:pPr>
        <w:jc w:val="both"/>
      </w:pPr>
    </w:p>
    <w:p w:rsidR="00542C30" w:rsidRDefault="00492C96" w:rsidP="00542C30">
      <w:pPr>
        <w:pStyle w:val="ListParagraph"/>
        <w:numPr>
          <w:ilvl w:val="0"/>
          <w:numId w:val="10"/>
        </w:numPr>
        <w:tabs>
          <w:tab w:val="left" w:pos="1134"/>
          <w:tab w:val="left" w:pos="1871"/>
          <w:tab w:val="left" w:pos="2268"/>
        </w:tabs>
        <w:overflowPunct w:val="0"/>
        <w:autoSpaceDE w:val="0"/>
        <w:autoSpaceDN w:val="0"/>
        <w:adjustRightInd w:val="0"/>
        <w:spacing w:before="120"/>
        <w:jc w:val="both"/>
        <w:textAlignment w:val="baseline"/>
      </w:pPr>
      <w:r>
        <w:t xml:space="preserve">To recognize the need </w:t>
      </w:r>
      <w:r w:rsidR="00BF57BA">
        <w:t>to facilitate the operation in</w:t>
      </w:r>
      <w:r>
        <w:t xml:space="preserve"> c</w:t>
      </w:r>
      <w:r w:rsidRPr="00E83DCB">
        <w:t xml:space="preserve">omplementing terrestrial </w:t>
      </w:r>
      <w:r>
        <w:t xml:space="preserve">surveillance </w:t>
      </w:r>
      <w:r w:rsidRPr="00E83DCB">
        <w:t>with c</w:t>
      </w:r>
      <w:r w:rsidRPr="00894AAE">
        <w:t xml:space="preserve">ontinuous aircraft surveillance </w:t>
      </w:r>
      <w:r>
        <w:t>via satellite to provide a complete airspace surveillance coverage picture to air traffic management and ,</w:t>
      </w:r>
    </w:p>
    <w:p w:rsidR="00542C30" w:rsidRDefault="00542C30" w:rsidP="00542C30">
      <w:pPr>
        <w:pStyle w:val="ListParagraph"/>
        <w:tabs>
          <w:tab w:val="left" w:pos="1134"/>
          <w:tab w:val="left" w:pos="1871"/>
          <w:tab w:val="left" w:pos="2268"/>
        </w:tabs>
        <w:overflowPunct w:val="0"/>
        <w:autoSpaceDE w:val="0"/>
        <w:autoSpaceDN w:val="0"/>
        <w:adjustRightInd w:val="0"/>
        <w:spacing w:before="120"/>
        <w:jc w:val="both"/>
        <w:textAlignment w:val="baseline"/>
      </w:pPr>
    </w:p>
    <w:p w:rsidR="00542C30" w:rsidRPr="00542C30" w:rsidRDefault="00213542" w:rsidP="00542C30">
      <w:pPr>
        <w:tabs>
          <w:tab w:val="left" w:pos="1134"/>
          <w:tab w:val="left" w:pos="1871"/>
          <w:tab w:val="left" w:pos="2268"/>
        </w:tabs>
        <w:overflowPunct w:val="0"/>
        <w:autoSpaceDE w:val="0"/>
        <w:autoSpaceDN w:val="0"/>
        <w:adjustRightInd w:val="0"/>
        <w:spacing w:before="120"/>
        <w:jc w:val="both"/>
        <w:textAlignment w:val="baseline"/>
      </w:pPr>
      <w:r>
        <w:rPr>
          <w:b/>
        </w:rPr>
        <w:t>P</w:t>
      </w:r>
      <w:r w:rsidR="00542C30" w:rsidRPr="00542C30">
        <w:rPr>
          <w:b/>
        </w:rPr>
        <w:t>ACP/1</w:t>
      </w:r>
      <w:r>
        <w:rPr>
          <w:b/>
        </w:rPr>
        <w:t>5</w:t>
      </w:r>
      <w:bookmarkStart w:id="0" w:name="_GoBack"/>
      <w:bookmarkEnd w:id="0"/>
    </w:p>
    <w:p w:rsidR="00492C96" w:rsidRDefault="00492C96" w:rsidP="00CD3F2A">
      <w:pPr>
        <w:pStyle w:val="ListParagraph"/>
        <w:numPr>
          <w:ilvl w:val="0"/>
          <w:numId w:val="10"/>
        </w:numPr>
        <w:tabs>
          <w:tab w:val="left" w:pos="1134"/>
          <w:tab w:val="left" w:pos="1871"/>
          <w:tab w:val="left" w:pos="2268"/>
        </w:tabs>
        <w:overflowPunct w:val="0"/>
        <w:autoSpaceDE w:val="0"/>
        <w:autoSpaceDN w:val="0"/>
        <w:adjustRightInd w:val="0"/>
        <w:spacing w:before="120"/>
        <w:jc w:val="both"/>
        <w:textAlignment w:val="baseline"/>
      </w:pPr>
      <w:r>
        <w:t>To recommend WRC-15 to reflect the above-mentioned recognition in a</w:t>
      </w:r>
      <w:r w:rsidR="00BF57BA">
        <w:t xml:space="preserve">n appropriate manner in its outcome in </w:t>
      </w:r>
      <w:r>
        <w:t>urging Member States to make their utmost efforts to facilitate the operation of c</w:t>
      </w:r>
      <w:r w:rsidRPr="00E83DCB">
        <w:t>omplement</w:t>
      </w:r>
      <w:r>
        <w:t xml:space="preserve">ary </w:t>
      </w:r>
      <w:r w:rsidRPr="00E83DCB">
        <w:t xml:space="preserve">terrestrial </w:t>
      </w:r>
      <w:r>
        <w:t>surveillance using</w:t>
      </w:r>
      <w:r w:rsidRPr="00E83DCB">
        <w:t xml:space="preserve"> c</w:t>
      </w:r>
      <w:r w:rsidRPr="00894AAE">
        <w:t xml:space="preserve">ontinuous aircraft surveillance </w:t>
      </w:r>
      <w:r>
        <w:t>via satellite</w:t>
      </w:r>
      <w:r w:rsidR="00BF57BA">
        <w:t>,</w:t>
      </w:r>
      <w:r w:rsidR="00542C30">
        <w:t xml:space="preserve"> </w:t>
      </w:r>
      <w:r>
        <w:t>within the frame work of the Radio Regulations</w:t>
      </w:r>
      <w:r w:rsidR="00BF57BA">
        <w:t>,</w:t>
      </w:r>
      <w:r>
        <w:t xml:space="preserve"> until the time that a competent WRC consider the matter </w:t>
      </w:r>
      <w:r w:rsidR="00224E22">
        <w:t>and take</w:t>
      </w:r>
      <w:r>
        <w:t xml:space="preserve"> necessary action, as </w:t>
      </w:r>
      <w:r w:rsidR="00224E22">
        <w:t>appropriate.</w:t>
      </w:r>
    </w:p>
    <w:p w:rsidR="008E1CE7" w:rsidRDefault="008E1CE7" w:rsidP="003B5742">
      <w:pPr>
        <w:jc w:val="center"/>
      </w:pPr>
      <w:r>
        <w:t>___________</w:t>
      </w:r>
    </w:p>
    <w:p w:rsidR="008E1CE7" w:rsidRDefault="008E1CE7" w:rsidP="008E1CE7"/>
    <w:p w:rsidR="008E1CE7" w:rsidRDefault="008E1CE7" w:rsidP="008E1CE7"/>
    <w:sectPr w:rsidR="008E1CE7" w:rsidSect="00DB0A68">
      <w:headerReference w:type="default" r:id="rId9"/>
      <w:footerReference w:type="even" r:id="rId10"/>
      <w:footerReference w:type="default" r:id="rId11"/>
      <w:footerReference w:type="first" r:id="rId12"/>
      <w:pgSz w:w="11909" w:h="16834" w:code="9"/>
      <w:pgMar w:top="1195" w:right="1152" w:bottom="1138"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2135" w:rsidRDefault="00262135">
      <w:r>
        <w:separator/>
      </w:r>
    </w:p>
  </w:endnote>
  <w:endnote w:type="continuationSeparator" w:id="0">
    <w:p w:rsidR="00262135" w:rsidRDefault="002621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GulimChe">
    <w:altName w:val="굴림체"/>
    <w:panose1 w:val="020B0609000101010101"/>
    <w:charset w:val="81"/>
    <w:family w:val="modern"/>
    <w:pitch w:val="fixed"/>
    <w:sig w:usb0="B00002AF" w:usb1="69D77CFB" w:usb2="00000030" w:usb3="00000000" w:csb0="0008009F" w:csb1="00000000"/>
  </w:font>
  <w:font w:name="Batang">
    <w:altName w:val="바탕"/>
    <w:panose1 w:val="02030600000101010101"/>
    <w:charset w:val="81"/>
    <w:family w:val="auto"/>
    <w:notTrueType/>
    <w:pitch w:val="fixed"/>
    <w:sig w:usb0="00000001" w:usb1="09060000" w:usb2="00000010" w:usb3="00000000" w:csb0="00080000" w:csb1="00000000"/>
  </w:font>
  <w:font w:name="BatangChe">
    <w:altName w:val="Arial Unicode MS"/>
    <w:panose1 w:val="02030609000101010101"/>
    <w:charset w:val="81"/>
    <w:family w:val="modern"/>
    <w:pitch w:val="fixed"/>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93B" w:rsidRDefault="006029B2" w:rsidP="002C07DA">
    <w:pPr>
      <w:pStyle w:val="Footer"/>
      <w:framePr w:wrap="around" w:vAnchor="text" w:hAnchor="margin" w:xAlign="right" w:y="1"/>
      <w:rPr>
        <w:rStyle w:val="PageNumber"/>
      </w:rPr>
    </w:pPr>
    <w:r>
      <w:rPr>
        <w:rStyle w:val="PageNumber"/>
      </w:rPr>
      <w:fldChar w:fldCharType="begin"/>
    </w:r>
    <w:r w:rsidR="0097693B">
      <w:rPr>
        <w:rStyle w:val="PageNumber"/>
      </w:rPr>
      <w:instrText xml:space="preserve">PAGE  </w:instrText>
    </w:r>
    <w:r>
      <w:rPr>
        <w:rStyle w:val="PageNumber"/>
      </w:rPr>
      <w:fldChar w:fldCharType="end"/>
    </w:r>
  </w:p>
  <w:p w:rsidR="0097693B" w:rsidRDefault="0097693B"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93B" w:rsidRDefault="002C7EA9" w:rsidP="002C7EA9">
    <w:pPr>
      <w:pStyle w:val="Footer"/>
      <w:ind w:right="360"/>
      <w:jc w:val="right"/>
    </w:pPr>
    <w:r w:rsidRPr="002C7EA9">
      <w:rPr>
        <w:rStyle w:val="PageNumber"/>
      </w:rPr>
      <w:t xml:space="preserve">Page </w:t>
    </w:r>
    <w:r w:rsidR="006029B2" w:rsidRPr="002C7EA9">
      <w:rPr>
        <w:rStyle w:val="PageNumber"/>
      </w:rPr>
      <w:fldChar w:fldCharType="begin"/>
    </w:r>
    <w:r w:rsidRPr="002C7EA9">
      <w:rPr>
        <w:rStyle w:val="PageNumber"/>
      </w:rPr>
      <w:instrText xml:space="preserve"> PAGE </w:instrText>
    </w:r>
    <w:r w:rsidR="006029B2" w:rsidRPr="002C7EA9">
      <w:rPr>
        <w:rStyle w:val="PageNumber"/>
      </w:rPr>
      <w:fldChar w:fldCharType="separate"/>
    </w:r>
    <w:r w:rsidR="00213542">
      <w:rPr>
        <w:rStyle w:val="PageNumber"/>
        <w:noProof/>
      </w:rPr>
      <w:t>2</w:t>
    </w:r>
    <w:r w:rsidR="006029B2" w:rsidRPr="002C7EA9">
      <w:rPr>
        <w:rStyle w:val="PageNumber"/>
      </w:rPr>
      <w:fldChar w:fldCharType="end"/>
    </w:r>
    <w:r w:rsidRPr="002C7EA9">
      <w:rPr>
        <w:rStyle w:val="PageNumber"/>
      </w:rPr>
      <w:t xml:space="preserve"> of </w:t>
    </w:r>
    <w:r w:rsidR="006029B2" w:rsidRPr="002C7EA9">
      <w:rPr>
        <w:rStyle w:val="PageNumber"/>
      </w:rPr>
      <w:fldChar w:fldCharType="begin"/>
    </w:r>
    <w:r w:rsidRPr="002C7EA9">
      <w:rPr>
        <w:rStyle w:val="PageNumber"/>
      </w:rPr>
      <w:instrText xml:space="preserve"> NUMPAGES </w:instrText>
    </w:r>
    <w:r w:rsidR="006029B2" w:rsidRPr="002C7EA9">
      <w:rPr>
        <w:rStyle w:val="PageNumber"/>
      </w:rPr>
      <w:fldChar w:fldCharType="separate"/>
    </w:r>
    <w:r w:rsidR="00213542">
      <w:rPr>
        <w:rStyle w:val="PageNumber"/>
        <w:noProof/>
      </w:rPr>
      <w:t>2</w:t>
    </w:r>
    <w:r w:rsidR="006029B2" w:rsidRPr="002C7EA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23" w:type="dxa"/>
      <w:jc w:val="center"/>
      <w:tblLayout w:type="fixed"/>
      <w:tblCellMar>
        <w:left w:w="57" w:type="dxa"/>
        <w:right w:w="57" w:type="dxa"/>
      </w:tblCellMar>
      <w:tblLook w:val="0000" w:firstRow="0" w:lastRow="0" w:firstColumn="0" w:lastColumn="0" w:noHBand="0" w:noVBand="0"/>
    </w:tblPr>
    <w:tblGrid>
      <w:gridCol w:w="1617"/>
      <w:gridCol w:w="4394"/>
      <w:gridCol w:w="3912"/>
    </w:tblGrid>
    <w:tr w:rsidR="00280382">
      <w:trPr>
        <w:cantSplit/>
        <w:trHeight w:val="204"/>
        <w:jc w:val="center"/>
      </w:trPr>
      <w:tc>
        <w:tcPr>
          <w:tcW w:w="1617" w:type="dxa"/>
          <w:tcBorders>
            <w:top w:val="single" w:sz="12" w:space="0" w:color="auto"/>
          </w:tcBorders>
        </w:tcPr>
        <w:p w:rsidR="00280382" w:rsidRDefault="00280382" w:rsidP="00437A0B">
          <w:pPr>
            <w:rPr>
              <w:b/>
              <w:bCs/>
            </w:rPr>
          </w:pPr>
        </w:p>
      </w:tc>
      <w:tc>
        <w:tcPr>
          <w:tcW w:w="4394" w:type="dxa"/>
          <w:tcBorders>
            <w:top w:val="single" w:sz="12" w:space="0" w:color="auto"/>
          </w:tcBorders>
        </w:tcPr>
        <w:p w:rsidR="00280382" w:rsidRPr="0070316B" w:rsidRDefault="00280382" w:rsidP="0070316B">
          <w:pPr>
            <w:rPr>
              <w:lang w:eastAsia="ko-KR"/>
            </w:rPr>
          </w:pPr>
        </w:p>
      </w:tc>
      <w:tc>
        <w:tcPr>
          <w:tcW w:w="3912" w:type="dxa"/>
          <w:tcBorders>
            <w:top w:val="single" w:sz="12" w:space="0" w:color="auto"/>
          </w:tcBorders>
        </w:tcPr>
        <w:p w:rsidR="00280382" w:rsidRDefault="00280382" w:rsidP="00437A0B">
          <w:pPr>
            <w:rPr>
              <w:lang w:eastAsia="ja-JP"/>
            </w:rPr>
          </w:pPr>
        </w:p>
      </w:tc>
    </w:tr>
  </w:tbl>
  <w:p w:rsidR="0097693B" w:rsidRDefault="0097693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2135" w:rsidRDefault="00262135">
      <w:r>
        <w:separator/>
      </w:r>
    </w:p>
  </w:footnote>
  <w:footnote w:type="continuationSeparator" w:id="0">
    <w:p w:rsidR="00262135" w:rsidRDefault="002621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93B" w:rsidRDefault="0097693B" w:rsidP="00C15633">
    <w:pPr>
      <w:pStyle w:val="Header"/>
      <w:tabs>
        <w:tab w:val="center" w:pos="4763"/>
        <w:tab w:val="left" w:pos="5820"/>
      </w:tabs>
      <w:rPr>
        <w:lang w:eastAsia="ko-KR"/>
      </w:rPr>
    </w:pPr>
    <w:r>
      <w:rPr>
        <w:lang w:eastAsia="ko-KR"/>
      </w:rPr>
      <w:tab/>
    </w:r>
    <w:r w:rsidR="00BA4D51">
      <w:rPr>
        <w:lang w:eastAsia="ko-KR"/>
      </w:rPr>
      <w:t>PP14</w:t>
    </w:r>
    <w:r w:rsidR="00213542">
      <w:rPr>
        <w:lang w:eastAsia="ko-KR"/>
      </w:rPr>
      <w:t>-3</w:t>
    </w:r>
    <w:r w:rsidR="008E1CE7">
      <w:rPr>
        <w:lang w:eastAsia="ko-KR"/>
      </w:rPr>
      <w:t>/</w:t>
    </w:r>
    <w:r w:rsidR="00213542">
      <w:rPr>
        <w:lang w:eastAsia="ko-KR"/>
      </w:rPr>
      <w:t>OUT</w:t>
    </w:r>
    <w:r w:rsidR="00542C30">
      <w:rPr>
        <w:lang w:eastAsia="ko-KR"/>
      </w:rPr>
      <w:t>-</w:t>
    </w:r>
    <w:r w:rsidR="00213542">
      <w:rPr>
        <w:lang w:eastAsia="ko-KR"/>
      </w:rPr>
      <w:t>14</w:t>
    </w:r>
  </w:p>
  <w:p w:rsidR="0097693B" w:rsidRDefault="0097693B" w:rsidP="00AD7E5F">
    <w:pPr>
      <w:pStyle w:val="Header"/>
      <w:tabs>
        <w:tab w:val="center" w:pos="4763"/>
        <w:tab w:val="left" w:pos="5820"/>
      </w:tabs>
      <w:rPr>
        <w:lang w:eastAsia="ko-K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2">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3">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4">
    <w:nsid w:val="268B6E1B"/>
    <w:multiLevelType w:val="hybridMultilevel"/>
    <w:tmpl w:val="9DFC5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B202A13"/>
    <w:multiLevelType w:val="hybridMultilevel"/>
    <w:tmpl w:val="540482DA"/>
    <w:lvl w:ilvl="0" w:tplc="47E0AA34">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7">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8">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9">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num w:numId="1">
    <w:abstractNumId w:val="7"/>
  </w:num>
  <w:num w:numId="2">
    <w:abstractNumId w:val="3"/>
  </w:num>
  <w:num w:numId="3">
    <w:abstractNumId w:val="2"/>
  </w:num>
  <w:num w:numId="4">
    <w:abstractNumId w:val="9"/>
  </w:num>
  <w:num w:numId="5">
    <w:abstractNumId w:val="6"/>
  </w:num>
  <w:num w:numId="6">
    <w:abstractNumId w:val="8"/>
  </w:num>
  <w:num w:numId="7">
    <w:abstractNumId w:val="1"/>
  </w:num>
  <w:num w:numId="8">
    <w:abstractNumId w:val="0"/>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51D7"/>
    <w:rsid w:val="0003595B"/>
    <w:rsid w:val="00054A1F"/>
    <w:rsid w:val="000713CF"/>
    <w:rsid w:val="00071BB8"/>
    <w:rsid w:val="0009175E"/>
    <w:rsid w:val="000A5418"/>
    <w:rsid w:val="000C2510"/>
    <w:rsid w:val="000F517C"/>
    <w:rsid w:val="000F5540"/>
    <w:rsid w:val="001539DD"/>
    <w:rsid w:val="00196568"/>
    <w:rsid w:val="001A2F16"/>
    <w:rsid w:val="001B18C2"/>
    <w:rsid w:val="001D5D7E"/>
    <w:rsid w:val="001E4629"/>
    <w:rsid w:val="00213542"/>
    <w:rsid w:val="00224E22"/>
    <w:rsid w:val="00254A1B"/>
    <w:rsid w:val="00261869"/>
    <w:rsid w:val="00262135"/>
    <w:rsid w:val="00270893"/>
    <w:rsid w:val="00280382"/>
    <w:rsid w:val="0028454D"/>
    <w:rsid w:val="00290DAE"/>
    <w:rsid w:val="00291C9E"/>
    <w:rsid w:val="002926D4"/>
    <w:rsid w:val="00295215"/>
    <w:rsid w:val="002B670F"/>
    <w:rsid w:val="002C07DA"/>
    <w:rsid w:val="002C7D4A"/>
    <w:rsid w:val="002C7EA9"/>
    <w:rsid w:val="002F0BA3"/>
    <w:rsid w:val="0033452F"/>
    <w:rsid w:val="00342F20"/>
    <w:rsid w:val="003574EB"/>
    <w:rsid w:val="00360C93"/>
    <w:rsid w:val="00362824"/>
    <w:rsid w:val="00362C8F"/>
    <w:rsid w:val="003809C7"/>
    <w:rsid w:val="0039718A"/>
    <w:rsid w:val="003B1BAE"/>
    <w:rsid w:val="003B50B4"/>
    <w:rsid w:val="003B5742"/>
    <w:rsid w:val="003B6263"/>
    <w:rsid w:val="003C64A7"/>
    <w:rsid w:val="003D3FDA"/>
    <w:rsid w:val="003F22D4"/>
    <w:rsid w:val="003F2C43"/>
    <w:rsid w:val="00414601"/>
    <w:rsid w:val="00420822"/>
    <w:rsid w:val="0045458F"/>
    <w:rsid w:val="004633B4"/>
    <w:rsid w:val="00492C96"/>
    <w:rsid w:val="004B3553"/>
    <w:rsid w:val="004C4A45"/>
    <w:rsid w:val="004C52B1"/>
    <w:rsid w:val="004E3616"/>
    <w:rsid w:val="00530E8C"/>
    <w:rsid w:val="00542C30"/>
    <w:rsid w:val="00545933"/>
    <w:rsid w:val="00557544"/>
    <w:rsid w:val="005613E0"/>
    <w:rsid w:val="00587875"/>
    <w:rsid w:val="005B4C10"/>
    <w:rsid w:val="005F3D7A"/>
    <w:rsid w:val="006029B2"/>
    <w:rsid w:val="00607E2B"/>
    <w:rsid w:val="00623CE1"/>
    <w:rsid w:val="0063062B"/>
    <w:rsid w:val="00644646"/>
    <w:rsid w:val="00666846"/>
    <w:rsid w:val="00667229"/>
    <w:rsid w:val="00682BE5"/>
    <w:rsid w:val="00690FED"/>
    <w:rsid w:val="006939A5"/>
    <w:rsid w:val="006A294E"/>
    <w:rsid w:val="0070316B"/>
    <w:rsid w:val="00712451"/>
    <w:rsid w:val="00732F08"/>
    <w:rsid w:val="0074190C"/>
    <w:rsid w:val="007423CC"/>
    <w:rsid w:val="00754811"/>
    <w:rsid w:val="007551D7"/>
    <w:rsid w:val="00762576"/>
    <w:rsid w:val="00791060"/>
    <w:rsid w:val="007A3980"/>
    <w:rsid w:val="007A3CF6"/>
    <w:rsid w:val="007B5626"/>
    <w:rsid w:val="007B5656"/>
    <w:rsid w:val="007E4906"/>
    <w:rsid w:val="007F59E4"/>
    <w:rsid w:val="0080570B"/>
    <w:rsid w:val="008148E1"/>
    <w:rsid w:val="008268FB"/>
    <w:rsid w:val="008319BF"/>
    <w:rsid w:val="008855C2"/>
    <w:rsid w:val="008959A0"/>
    <w:rsid w:val="008D0E09"/>
    <w:rsid w:val="008E1CE7"/>
    <w:rsid w:val="009133A2"/>
    <w:rsid w:val="009443B3"/>
    <w:rsid w:val="00952C9C"/>
    <w:rsid w:val="009764A7"/>
    <w:rsid w:val="0097693B"/>
    <w:rsid w:val="00993355"/>
    <w:rsid w:val="009A4A6D"/>
    <w:rsid w:val="009A521A"/>
    <w:rsid w:val="009B0BE6"/>
    <w:rsid w:val="009D2C83"/>
    <w:rsid w:val="00A13265"/>
    <w:rsid w:val="00A26CC6"/>
    <w:rsid w:val="00A462DE"/>
    <w:rsid w:val="00A52165"/>
    <w:rsid w:val="00A71136"/>
    <w:rsid w:val="00A879A9"/>
    <w:rsid w:val="00AA474C"/>
    <w:rsid w:val="00AB6878"/>
    <w:rsid w:val="00AD7E5F"/>
    <w:rsid w:val="00B01AA1"/>
    <w:rsid w:val="00B30C81"/>
    <w:rsid w:val="00B4609C"/>
    <w:rsid w:val="00B4793B"/>
    <w:rsid w:val="00BA4D51"/>
    <w:rsid w:val="00BB0CFB"/>
    <w:rsid w:val="00BF13A6"/>
    <w:rsid w:val="00BF57BA"/>
    <w:rsid w:val="00C01F1C"/>
    <w:rsid w:val="00C15633"/>
    <w:rsid w:val="00C15799"/>
    <w:rsid w:val="00C357AD"/>
    <w:rsid w:val="00C426EA"/>
    <w:rsid w:val="00C6069C"/>
    <w:rsid w:val="00C940ED"/>
    <w:rsid w:val="00CB3B09"/>
    <w:rsid w:val="00CD3F2A"/>
    <w:rsid w:val="00CD5431"/>
    <w:rsid w:val="00CF2491"/>
    <w:rsid w:val="00D1252E"/>
    <w:rsid w:val="00D128A6"/>
    <w:rsid w:val="00D327CC"/>
    <w:rsid w:val="00D57772"/>
    <w:rsid w:val="00D65EAD"/>
    <w:rsid w:val="00D75A4D"/>
    <w:rsid w:val="00D8478B"/>
    <w:rsid w:val="00D86151"/>
    <w:rsid w:val="00DA039F"/>
    <w:rsid w:val="00DA7595"/>
    <w:rsid w:val="00DB0A68"/>
    <w:rsid w:val="00DC43A3"/>
    <w:rsid w:val="00DD7C09"/>
    <w:rsid w:val="00DE3AC4"/>
    <w:rsid w:val="00DE3D95"/>
    <w:rsid w:val="00E0124F"/>
    <w:rsid w:val="00E24CA7"/>
    <w:rsid w:val="00E25C35"/>
    <w:rsid w:val="00E674D3"/>
    <w:rsid w:val="00E70FD0"/>
    <w:rsid w:val="00E8015E"/>
    <w:rsid w:val="00E8791E"/>
    <w:rsid w:val="00EC1ABE"/>
    <w:rsid w:val="00F20C17"/>
    <w:rsid w:val="00F36826"/>
    <w:rsid w:val="00F57E77"/>
    <w:rsid w:val="00F71198"/>
    <w:rsid w:val="00F83EF2"/>
    <w:rsid w:val="00F84067"/>
    <w:rsid w:val="00F8564F"/>
    <w:rsid w:val="00F97FC5"/>
    <w:rsid w:val="00FB764E"/>
    <w:rsid w:val="00FF649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en-US" w:eastAsia="en-US" w:bidi="th-TH"/>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A7595"/>
    <w:rPr>
      <w:rFonts w:eastAsia="BatangChe"/>
      <w:sz w:val="24"/>
      <w:szCs w:val="24"/>
      <w:lang w:bidi="ar-SA"/>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line="240" w:lineRule="atLeast"/>
      <w:textAlignment w:val="baseline"/>
    </w:pPr>
    <w:rPr>
      <w:rFonts w:eastAsia="MS Mincho"/>
      <w:szCs w:val="22"/>
      <w:lang w:val="en-GB"/>
    </w:rPr>
  </w:style>
  <w:style w:type="paragraph" w:customStyle="1" w:styleId="CharCharChar">
    <w:name w:val="Char Char Char"/>
    <w:basedOn w:val="Normal"/>
    <w:rsid w:val="00261869"/>
    <w:pPr>
      <w:tabs>
        <w:tab w:val="left" w:pos="540"/>
        <w:tab w:val="left" w:pos="1260"/>
        <w:tab w:val="left" w:pos="1800"/>
      </w:tabs>
      <w:spacing w:before="240" w:after="160" w:line="240" w:lineRule="exact"/>
    </w:pPr>
    <w:rPr>
      <w:rFonts w:ascii="Verdana" w:eastAsia="Times New Roman" w:hAnsi="Verdana"/>
      <w:szCs w:val="20"/>
    </w:rPr>
  </w:style>
  <w:style w:type="paragraph" w:styleId="ListParagraph">
    <w:name w:val="List Paragraph"/>
    <w:basedOn w:val="Normal"/>
    <w:uiPriority w:val="34"/>
    <w:qFormat/>
    <w:rsid w:val="00754811"/>
    <w:pPr>
      <w:ind w:left="720"/>
      <w:contextualSpacing/>
    </w:pPr>
  </w:style>
  <w:style w:type="paragraph" w:styleId="FootnoteText">
    <w:name w:val="footnote text"/>
    <w:basedOn w:val="Normal"/>
    <w:link w:val="FootnoteTextChar"/>
    <w:unhideWhenUsed/>
    <w:rsid w:val="00280382"/>
    <w:rPr>
      <w:rFonts w:asciiTheme="minorHAnsi" w:eastAsiaTheme="minorHAnsi" w:hAnsiTheme="minorHAnsi" w:cstheme="minorBidi"/>
      <w:sz w:val="20"/>
      <w:szCs w:val="20"/>
      <w:lang w:val="fr-CH"/>
    </w:rPr>
  </w:style>
  <w:style w:type="character" w:customStyle="1" w:styleId="FootnoteTextChar">
    <w:name w:val="Footnote Text Char"/>
    <w:basedOn w:val="DefaultParagraphFont"/>
    <w:link w:val="FootnoteText"/>
    <w:rsid w:val="00280382"/>
    <w:rPr>
      <w:rFonts w:asciiTheme="minorHAnsi" w:eastAsiaTheme="minorHAnsi" w:hAnsiTheme="minorHAnsi" w:cstheme="minorBidi"/>
      <w:lang w:val="fr-CH" w:bidi="ar-SA"/>
    </w:rPr>
  </w:style>
  <w:style w:type="character" w:styleId="FootnoteReference">
    <w:name w:val="footnote reference"/>
    <w:aliases w:val="Appel note de bas de p"/>
    <w:basedOn w:val="DefaultParagraphFont"/>
    <w:rsid w:val="00280382"/>
    <w:rPr>
      <w:position w:val="6"/>
      <w:sz w:val="16"/>
    </w:rPr>
  </w:style>
  <w:style w:type="character" w:customStyle="1" w:styleId="CEONormalChar">
    <w:name w:val="CEO_Normal Char"/>
    <w:link w:val="CEONormal"/>
    <w:locked/>
    <w:rsid w:val="00280382"/>
    <w:rPr>
      <w:rFonts w:ascii="Verdana" w:eastAsia="SimSun" w:hAnsi="Verdana" w:cs="Verdana"/>
      <w:sz w:val="19"/>
      <w:szCs w:val="19"/>
      <w:lang w:val="en-GB"/>
    </w:rPr>
  </w:style>
  <w:style w:type="paragraph" w:customStyle="1" w:styleId="CEONormal">
    <w:name w:val="CEO_Normal"/>
    <w:link w:val="CEONormalChar"/>
    <w:rsid w:val="00280382"/>
    <w:pPr>
      <w:spacing w:before="120" w:after="120"/>
    </w:pPr>
    <w:rPr>
      <w:rFonts w:ascii="Verdana" w:eastAsia="SimSun" w:hAnsi="Verdana" w:cs="Verdana"/>
      <w:sz w:val="19"/>
      <w:szCs w:val="19"/>
      <w:lang w:val="en-GB"/>
    </w:rPr>
  </w:style>
  <w:style w:type="character" w:styleId="Hyperlink">
    <w:name w:val="Hyperlink"/>
    <w:unhideWhenUsed/>
    <w:rsid w:val="00280382"/>
    <w:rPr>
      <w:color w:val="0000FF"/>
      <w:u w:val="single"/>
    </w:rPr>
  </w:style>
  <w:style w:type="paragraph" w:customStyle="1" w:styleId="enumlev1">
    <w:name w:val="enumlev1"/>
    <w:basedOn w:val="Normal"/>
    <w:link w:val="enumlev1Char"/>
    <w:rsid w:val="00A26CC6"/>
    <w:pPr>
      <w:tabs>
        <w:tab w:val="left" w:pos="1134"/>
        <w:tab w:val="left" w:pos="1871"/>
        <w:tab w:val="left" w:pos="2608"/>
        <w:tab w:val="left" w:pos="3345"/>
      </w:tabs>
      <w:overflowPunct w:val="0"/>
      <w:autoSpaceDE w:val="0"/>
      <w:autoSpaceDN w:val="0"/>
      <w:adjustRightInd w:val="0"/>
      <w:spacing w:before="120"/>
      <w:ind w:left="454" w:hanging="454"/>
      <w:jc w:val="both"/>
      <w:textAlignment w:val="baseline"/>
    </w:pPr>
    <w:rPr>
      <w:rFonts w:ascii="Calibri" w:eastAsia="Times New Roman" w:hAnsi="Calibri"/>
      <w:szCs w:val="20"/>
      <w:lang w:val="en-GB"/>
    </w:rPr>
  </w:style>
  <w:style w:type="character" w:customStyle="1" w:styleId="enumlev1Char">
    <w:name w:val="enumlev1 Char"/>
    <w:basedOn w:val="DefaultParagraphFont"/>
    <w:link w:val="enumlev1"/>
    <w:locked/>
    <w:rsid w:val="00A26CC6"/>
    <w:rPr>
      <w:rFonts w:ascii="Calibri" w:eastAsia="Times New Roman" w:hAnsi="Calibri"/>
      <w:sz w:val="24"/>
      <w:lang w:val="en-GB"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en-US" w:eastAsia="en-US" w:bidi="th-TH"/>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A7595"/>
    <w:rPr>
      <w:rFonts w:eastAsia="BatangChe"/>
      <w:sz w:val="24"/>
      <w:szCs w:val="24"/>
      <w:lang w:bidi="ar-SA"/>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line="240" w:lineRule="atLeast"/>
      <w:textAlignment w:val="baseline"/>
    </w:pPr>
    <w:rPr>
      <w:rFonts w:eastAsia="MS Mincho"/>
      <w:szCs w:val="22"/>
      <w:lang w:val="en-GB"/>
    </w:rPr>
  </w:style>
  <w:style w:type="paragraph" w:customStyle="1" w:styleId="CharCharChar">
    <w:name w:val="Char Char Char"/>
    <w:basedOn w:val="Normal"/>
    <w:rsid w:val="00261869"/>
    <w:pPr>
      <w:tabs>
        <w:tab w:val="left" w:pos="540"/>
        <w:tab w:val="left" w:pos="1260"/>
        <w:tab w:val="left" w:pos="1800"/>
      </w:tabs>
      <w:spacing w:before="240" w:after="160" w:line="240" w:lineRule="exact"/>
    </w:pPr>
    <w:rPr>
      <w:rFonts w:ascii="Verdana" w:eastAsia="Times New Roman" w:hAnsi="Verdana"/>
      <w:szCs w:val="20"/>
    </w:rPr>
  </w:style>
  <w:style w:type="paragraph" w:styleId="ListParagraph">
    <w:name w:val="List Paragraph"/>
    <w:basedOn w:val="Normal"/>
    <w:uiPriority w:val="34"/>
    <w:qFormat/>
    <w:rsid w:val="00754811"/>
    <w:pPr>
      <w:ind w:left="720"/>
      <w:contextualSpacing/>
    </w:pPr>
  </w:style>
  <w:style w:type="paragraph" w:styleId="FootnoteText">
    <w:name w:val="footnote text"/>
    <w:basedOn w:val="Normal"/>
    <w:link w:val="FootnoteTextChar"/>
    <w:unhideWhenUsed/>
    <w:rsid w:val="00280382"/>
    <w:rPr>
      <w:rFonts w:asciiTheme="minorHAnsi" w:eastAsiaTheme="minorHAnsi" w:hAnsiTheme="minorHAnsi" w:cstheme="minorBidi"/>
      <w:sz w:val="20"/>
      <w:szCs w:val="20"/>
      <w:lang w:val="fr-CH"/>
    </w:rPr>
  </w:style>
  <w:style w:type="character" w:customStyle="1" w:styleId="FootnoteTextChar">
    <w:name w:val="Footnote Text Char"/>
    <w:basedOn w:val="DefaultParagraphFont"/>
    <w:link w:val="FootnoteText"/>
    <w:rsid w:val="00280382"/>
    <w:rPr>
      <w:rFonts w:asciiTheme="minorHAnsi" w:eastAsiaTheme="minorHAnsi" w:hAnsiTheme="minorHAnsi" w:cstheme="minorBidi"/>
      <w:lang w:val="fr-CH" w:bidi="ar-SA"/>
    </w:rPr>
  </w:style>
  <w:style w:type="character" w:styleId="FootnoteReference">
    <w:name w:val="footnote reference"/>
    <w:aliases w:val="Appel note de bas de p"/>
    <w:basedOn w:val="DefaultParagraphFont"/>
    <w:rsid w:val="00280382"/>
    <w:rPr>
      <w:position w:val="6"/>
      <w:sz w:val="16"/>
    </w:rPr>
  </w:style>
  <w:style w:type="character" w:customStyle="1" w:styleId="CEONormalChar">
    <w:name w:val="CEO_Normal Char"/>
    <w:link w:val="CEONormal"/>
    <w:locked/>
    <w:rsid w:val="00280382"/>
    <w:rPr>
      <w:rFonts w:ascii="Verdana" w:eastAsia="SimSun" w:hAnsi="Verdana" w:cs="Verdana"/>
      <w:sz w:val="19"/>
      <w:szCs w:val="19"/>
      <w:lang w:val="en-GB"/>
    </w:rPr>
  </w:style>
  <w:style w:type="paragraph" w:customStyle="1" w:styleId="CEONormal">
    <w:name w:val="CEO_Normal"/>
    <w:link w:val="CEONormalChar"/>
    <w:rsid w:val="00280382"/>
    <w:pPr>
      <w:spacing w:before="120" w:after="120"/>
    </w:pPr>
    <w:rPr>
      <w:rFonts w:ascii="Verdana" w:eastAsia="SimSun" w:hAnsi="Verdana" w:cs="Verdana"/>
      <w:sz w:val="19"/>
      <w:szCs w:val="19"/>
      <w:lang w:val="en-GB"/>
    </w:rPr>
  </w:style>
  <w:style w:type="character" w:styleId="Hyperlink">
    <w:name w:val="Hyperlink"/>
    <w:unhideWhenUsed/>
    <w:rsid w:val="00280382"/>
    <w:rPr>
      <w:color w:val="0000FF"/>
      <w:u w:val="single"/>
    </w:rPr>
  </w:style>
  <w:style w:type="paragraph" w:customStyle="1" w:styleId="enumlev1">
    <w:name w:val="enumlev1"/>
    <w:basedOn w:val="Normal"/>
    <w:link w:val="enumlev1Char"/>
    <w:rsid w:val="00A26CC6"/>
    <w:pPr>
      <w:tabs>
        <w:tab w:val="left" w:pos="1134"/>
        <w:tab w:val="left" w:pos="1871"/>
        <w:tab w:val="left" w:pos="2608"/>
        <w:tab w:val="left" w:pos="3345"/>
      </w:tabs>
      <w:overflowPunct w:val="0"/>
      <w:autoSpaceDE w:val="0"/>
      <w:autoSpaceDN w:val="0"/>
      <w:adjustRightInd w:val="0"/>
      <w:spacing w:before="120"/>
      <w:ind w:left="454" w:hanging="454"/>
      <w:jc w:val="both"/>
      <w:textAlignment w:val="baseline"/>
    </w:pPr>
    <w:rPr>
      <w:rFonts w:ascii="Calibri" w:eastAsia="Times New Roman" w:hAnsi="Calibri"/>
      <w:szCs w:val="20"/>
      <w:lang w:val="en-GB"/>
    </w:rPr>
  </w:style>
  <w:style w:type="character" w:customStyle="1" w:styleId="enumlev1Char">
    <w:name w:val="enumlev1 Char"/>
    <w:basedOn w:val="DefaultParagraphFont"/>
    <w:link w:val="enumlev1"/>
    <w:locked/>
    <w:rsid w:val="00A26CC6"/>
    <w:rPr>
      <w:rFonts w:ascii="Calibri" w:eastAsia="Times New Roman" w:hAnsi="Calibri"/>
      <w:sz w:val="24"/>
      <w:lang w:val="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APT%20Docs\Plenitotentiary%20Conferences\PP-14\PP14-2\Output%20Document%20Forma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Output Document Format.dotx</Template>
  <TotalTime>1</TotalTime>
  <Pages>2</Pages>
  <Words>620</Words>
  <Characters>3538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APT</Company>
  <LinksUpToDate>false</LinksUpToDate>
  <CharactersWithSpaces>4150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Forhadul Parvez</dc:creator>
  <cp:lastModifiedBy>Forhadul Parvez</cp:lastModifiedBy>
  <cp:revision>2</cp:revision>
  <cp:lastPrinted>2004-07-28T02:14:00Z</cp:lastPrinted>
  <dcterms:created xsi:type="dcterms:W3CDTF">2014-06-20T02:35:00Z</dcterms:created>
  <dcterms:modified xsi:type="dcterms:W3CDTF">2014-06-20T02:35:00Z</dcterms:modified>
</cp:coreProperties>
</file>