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3578AB" w:rsidRPr="00891D0B" w:rsidTr="003578AB">
        <w:trPr>
          <w:cantSplit/>
        </w:trPr>
        <w:tc>
          <w:tcPr>
            <w:tcW w:w="1399" w:type="dxa"/>
            <w:vMerge w:val="restart"/>
          </w:tcPr>
          <w:p w:rsidR="003578AB" w:rsidRPr="00891D0B" w:rsidRDefault="003F0F10"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780" w:type="dxa"/>
            <w:gridSpan w:val="2"/>
          </w:tcPr>
          <w:p w:rsidR="003578AB" w:rsidRPr="00891D0B" w:rsidRDefault="003578AB" w:rsidP="0045458F">
            <w:pPr>
              <w:pStyle w:val="Heading8"/>
              <w:rPr>
                <w:sz w:val="24"/>
                <w:szCs w:val="24"/>
              </w:rPr>
            </w:pPr>
            <w:r w:rsidRPr="00891D0B">
              <w:rPr>
                <w:sz w:val="22"/>
                <w:szCs w:val="22"/>
              </w:rPr>
              <w:t>ASIA-PACIFIC TELECOMMUNITY</w:t>
            </w:r>
          </w:p>
        </w:tc>
      </w:tr>
      <w:tr w:rsidR="00DA7595" w:rsidRPr="00891D0B" w:rsidTr="003578AB">
        <w:trPr>
          <w:cantSplit/>
        </w:trPr>
        <w:tc>
          <w:tcPr>
            <w:tcW w:w="1399" w:type="dxa"/>
            <w:vMerge/>
          </w:tcPr>
          <w:p w:rsidR="00DA7595" w:rsidRPr="00891D0B" w:rsidRDefault="00DA7595" w:rsidP="0045458F"/>
        </w:tc>
        <w:tc>
          <w:tcPr>
            <w:tcW w:w="6140" w:type="dxa"/>
          </w:tcPr>
          <w:p w:rsidR="00DA7595" w:rsidRPr="00AA33D2" w:rsidRDefault="00983939" w:rsidP="003C37B1">
            <w:pPr>
              <w:spacing w:line="0" w:lineRule="atLeast"/>
            </w:pPr>
            <w:r>
              <w:rPr>
                <w:b/>
              </w:rPr>
              <w:t>2</w:t>
            </w:r>
            <w:r w:rsidR="003C37B1">
              <w:rPr>
                <w:b/>
                <w:vertAlign w:val="superscript"/>
              </w:rPr>
              <w:t>nd</w:t>
            </w:r>
            <w:r w:rsidR="00AA33D2" w:rsidRPr="00AA33D2">
              <w:rPr>
                <w:b/>
              </w:rPr>
              <w:t xml:space="preserve"> Meeting of SATRC Working Group on Spectrum in SAP-IV</w:t>
            </w:r>
          </w:p>
        </w:tc>
        <w:tc>
          <w:tcPr>
            <w:tcW w:w="2640" w:type="dxa"/>
          </w:tcPr>
          <w:p w:rsidR="00DA7595" w:rsidRPr="004D7A60" w:rsidRDefault="00DA7595" w:rsidP="0045458F">
            <w:pPr>
              <w:rPr>
                <w:b/>
                <w:bCs/>
              </w:rPr>
            </w:pPr>
            <w:r w:rsidRPr="004D7A60">
              <w:rPr>
                <w:b/>
              </w:rPr>
              <w:t>Document</w:t>
            </w:r>
          </w:p>
          <w:p w:rsidR="00DA7595" w:rsidRPr="004D7A60" w:rsidRDefault="00AA33D2" w:rsidP="00CD5BD2">
            <w:pPr>
              <w:rPr>
                <w:b/>
                <w:bCs/>
              </w:rPr>
            </w:pPr>
            <w:r>
              <w:rPr>
                <w:b/>
                <w:bCs/>
              </w:rPr>
              <w:t>WG</w:t>
            </w:r>
            <w:r w:rsidR="0072279B">
              <w:rPr>
                <w:b/>
                <w:bCs/>
              </w:rPr>
              <w:t>S</w:t>
            </w:r>
            <w:r w:rsidR="008D6D9C">
              <w:rPr>
                <w:b/>
                <w:bCs/>
              </w:rPr>
              <w:t>PEC-02</w:t>
            </w:r>
            <w:bookmarkStart w:id="0" w:name="_GoBack"/>
            <w:bookmarkEnd w:id="0"/>
            <w:r>
              <w:rPr>
                <w:b/>
                <w:bCs/>
              </w:rPr>
              <w:t>/</w:t>
            </w:r>
            <w:r w:rsidR="003F0F10">
              <w:rPr>
                <w:b/>
                <w:bCs/>
              </w:rPr>
              <w:t>INP-01</w:t>
            </w:r>
          </w:p>
        </w:tc>
      </w:tr>
      <w:tr w:rsidR="003578AB" w:rsidRPr="00891D0B" w:rsidTr="003578AB">
        <w:trPr>
          <w:cantSplit/>
          <w:trHeight w:val="219"/>
        </w:trPr>
        <w:tc>
          <w:tcPr>
            <w:tcW w:w="1399" w:type="dxa"/>
            <w:vMerge/>
          </w:tcPr>
          <w:p w:rsidR="003578AB" w:rsidRPr="00891D0B" w:rsidRDefault="003578AB" w:rsidP="0045458F"/>
        </w:tc>
        <w:tc>
          <w:tcPr>
            <w:tcW w:w="6140" w:type="dxa"/>
          </w:tcPr>
          <w:p w:rsidR="003578AB" w:rsidRPr="00891D0B" w:rsidRDefault="00CD5BD2" w:rsidP="00660A4E">
            <w:r>
              <w:t>11-12 March</w:t>
            </w:r>
            <w:r w:rsidR="003578AB">
              <w:t xml:space="preserve"> 201</w:t>
            </w:r>
            <w:r w:rsidR="00983939">
              <w:t>4</w:t>
            </w:r>
            <w:r w:rsidR="003578AB" w:rsidRPr="00891D0B">
              <w:t xml:space="preserve">, </w:t>
            </w:r>
            <w:r w:rsidR="00983939">
              <w:t>Tehran</w:t>
            </w:r>
            <w:r w:rsidR="003578AB">
              <w:t xml:space="preserve">, </w:t>
            </w:r>
            <w:r w:rsidR="00983939">
              <w:t>Iran</w:t>
            </w:r>
          </w:p>
        </w:tc>
        <w:tc>
          <w:tcPr>
            <w:tcW w:w="2640" w:type="dxa"/>
          </w:tcPr>
          <w:p w:rsidR="003578AB" w:rsidRPr="00D86151" w:rsidRDefault="00CD5BD2" w:rsidP="00CD5BD2">
            <w:pPr>
              <w:pStyle w:val="Heading1"/>
              <w:jc w:val="left"/>
            </w:pPr>
            <w:r>
              <w:rPr>
                <w:bCs w:val="0"/>
                <w:u w:val="none"/>
              </w:rPr>
              <w:t xml:space="preserve">11 March </w:t>
            </w:r>
            <w:r w:rsidR="003578AB" w:rsidRPr="004D7A60">
              <w:rPr>
                <w:bCs w:val="0"/>
                <w:u w:val="none"/>
              </w:rPr>
              <w:t>20</w:t>
            </w:r>
            <w:r w:rsidR="003578AB">
              <w:rPr>
                <w:bCs w:val="0"/>
                <w:u w:val="none"/>
              </w:rPr>
              <w:t>1</w:t>
            </w:r>
            <w:r w:rsidR="00983939">
              <w:rPr>
                <w:bCs w:val="0"/>
                <w:u w:val="none"/>
              </w:rPr>
              <w:t>4</w:t>
            </w:r>
          </w:p>
        </w:tc>
      </w:tr>
    </w:tbl>
    <w:p w:rsidR="00CF30B3" w:rsidRDefault="00CF30B3" w:rsidP="00DA7595">
      <w:pPr>
        <w:jc w:val="center"/>
        <w:rPr>
          <w:b/>
          <w:sz w:val="28"/>
          <w:szCs w:val="28"/>
          <w:lang w:eastAsia="ko-KR"/>
        </w:rPr>
      </w:pPr>
    </w:p>
    <w:p w:rsidR="00CF30B3" w:rsidRDefault="00CF30B3" w:rsidP="00DA7595">
      <w:pPr>
        <w:jc w:val="center"/>
        <w:rPr>
          <w:b/>
          <w:sz w:val="28"/>
          <w:szCs w:val="28"/>
          <w:lang w:eastAsia="ko-KR"/>
        </w:rPr>
      </w:pPr>
    </w:p>
    <w:p w:rsidR="00CF30B3" w:rsidRDefault="00CF30B3" w:rsidP="00DA7595">
      <w:pPr>
        <w:jc w:val="center"/>
        <w:rPr>
          <w:b/>
          <w:sz w:val="28"/>
          <w:szCs w:val="28"/>
          <w:lang w:eastAsia="ko-KR"/>
        </w:rPr>
      </w:pPr>
    </w:p>
    <w:p w:rsidR="00DA7595" w:rsidRDefault="00CF30B3" w:rsidP="00DA7595">
      <w:pPr>
        <w:jc w:val="center"/>
        <w:rPr>
          <w:b/>
          <w:sz w:val="28"/>
          <w:szCs w:val="28"/>
          <w:lang w:eastAsia="ko-KR"/>
        </w:rPr>
      </w:pPr>
      <w:r>
        <w:rPr>
          <w:b/>
          <w:sz w:val="28"/>
          <w:szCs w:val="28"/>
          <w:lang w:eastAsia="ko-KR"/>
        </w:rPr>
        <w:t>Telecom Regulatory Authority of India</w:t>
      </w:r>
    </w:p>
    <w:p w:rsidR="00CF30B3" w:rsidRDefault="00CF30B3" w:rsidP="004A5868">
      <w:pPr>
        <w:jc w:val="center"/>
        <w:rPr>
          <w:b/>
          <w:bCs/>
          <w:caps/>
          <w:sz w:val="28"/>
          <w:szCs w:val="28"/>
        </w:rPr>
      </w:pPr>
    </w:p>
    <w:p w:rsidR="00C357AD" w:rsidRPr="00607E2B" w:rsidRDefault="00355827" w:rsidP="004A5868">
      <w:pPr>
        <w:jc w:val="center"/>
        <w:rPr>
          <w:b/>
          <w:bCs/>
          <w:caps/>
          <w:sz w:val="28"/>
          <w:szCs w:val="28"/>
        </w:rPr>
      </w:pPr>
      <w:r>
        <w:rPr>
          <w:b/>
          <w:bCs/>
          <w:caps/>
          <w:sz w:val="28"/>
          <w:szCs w:val="28"/>
        </w:rPr>
        <w:t>RE</w:t>
      </w:r>
      <w:r w:rsidR="004A5868">
        <w:rPr>
          <w:b/>
          <w:bCs/>
          <w:caps/>
          <w:sz w:val="28"/>
          <w:szCs w:val="28"/>
        </w:rPr>
        <w:t xml:space="preserve">port on </w:t>
      </w:r>
      <w:r w:rsidR="004A5868" w:rsidRPr="004A5868">
        <w:rPr>
          <w:b/>
          <w:bCs/>
          <w:caps/>
          <w:sz w:val="28"/>
          <w:szCs w:val="28"/>
        </w:rPr>
        <w:t>Market Based Methods of Spectrum Allocation in SATRC Countries</w:t>
      </w:r>
      <w:r w:rsidR="004A5868" w:rsidRPr="00607E2B">
        <w:rPr>
          <w:b/>
          <w:bCs/>
          <w:caps/>
          <w:sz w:val="28"/>
          <w:szCs w:val="28"/>
        </w:rPr>
        <w:t xml:space="preserve"> </w:t>
      </w:r>
    </w:p>
    <w:p w:rsidR="00DB0A68" w:rsidRDefault="00DB0A68" w:rsidP="00C357AD">
      <w:pPr>
        <w:jc w:val="center"/>
      </w:pPr>
    </w:p>
    <w:p w:rsidR="00C357AD" w:rsidRDefault="00C357AD" w:rsidP="00C357AD">
      <w:pPr>
        <w:jc w:val="both"/>
        <w:rPr>
          <w:b/>
        </w:rPr>
      </w:pPr>
    </w:p>
    <w:p w:rsidR="002C7EA9" w:rsidRPr="008D4826" w:rsidRDefault="002C7EA9" w:rsidP="00C357AD">
      <w:pPr>
        <w:jc w:val="both"/>
        <w:rPr>
          <w:b/>
        </w:rPr>
      </w:pPr>
    </w:p>
    <w:p w:rsidR="00FD592E" w:rsidRPr="00FD592E" w:rsidRDefault="008D4826" w:rsidP="008D4826">
      <w:pPr>
        <w:autoSpaceDE w:val="0"/>
        <w:autoSpaceDN w:val="0"/>
        <w:adjustRightInd w:val="0"/>
      </w:pPr>
      <w:r w:rsidRPr="008D4826">
        <w:rPr>
          <w:rFonts w:eastAsia="Batang"/>
        </w:rPr>
        <w:t xml:space="preserve">In general, the objective of the spectrum manager is to </w:t>
      </w:r>
      <w:r w:rsidR="00A3438A" w:rsidRPr="008D4826">
        <w:rPr>
          <w:rFonts w:eastAsia="Batang"/>
        </w:rPr>
        <w:t>maximize</w:t>
      </w:r>
      <w:r w:rsidRPr="008D4826">
        <w:rPr>
          <w:rFonts w:eastAsia="Batang"/>
        </w:rPr>
        <w:t xml:space="preserve"> the net benefits to society that can be</w:t>
      </w:r>
      <w:r>
        <w:rPr>
          <w:rFonts w:eastAsia="Batang"/>
        </w:rPr>
        <w:t xml:space="preserve"> </w:t>
      </w:r>
      <w:r w:rsidR="00A3438A" w:rsidRPr="008D4826">
        <w:rPr>
          <w:rFonts w:eastAsia="Batang"/>
        </w:rPr>
        <w:t>realized</w:t>
      </w:r>
      <w:r w:rsidRPr="008D4826">
        <w:rPr>
          <w:rFonts w:eastAsia="Batang"/>
        </w:rPr>
        <w:t xml:space="preserve"> from spectrum resources. According to economic theory, this objective can be facilitated through the</w:t>
      </w:r>
      <w:r>
        <w:rPr>
          <w:rFonts w:eastAsia="Batang"/>
        </w:rPr>
        <w:t xml:space="preserve"> </w:t>
      </w:r>
      <w:r w:rsidRPr="008D4826">
        <w:rPr>
          <w:rFonts w:eastAsia="Batang"/>
        </w:rPr>
        <w:t>mechanics of a free market. However, a number of practical constraints, in particular interference</w:t>
      </w:r>
      <w:r>
        <w:rPr>
          <w:rFonts w:eastAsia="Batang"/>
        </w:rPr>
        <w:t xml:space="preserve"> </w:t>
      </w:r>
      <w:r w:rsidRPr="008D4826">
        <w:rPr>
          <w:rFonts w:eastAsia="Batang"/>
        </w:rPr>
        <w:t xml:space="preserve">management, as well as public policy considerations </w:t>
      </w:r>
      <w:r w:rsidR="00143EA9" w:rsidRPr="008D4826">
        <w:rPr>
          <w:rFonts w:eastAsia="Batang"/>
        </w:rPr>
        <w:t>has</w:t>
      </w:r>
      <w:r w:rsidRPr="008D4826">
        <w:rPr>
          <w:rFonts w:eastAsia="Batang"/>
        </w:rPr>
        <w:t xml:space="preserve"> led spectrum managers worldwide to exercise a</w:t>
      </w:r>
      <w:r>
        <w:rPr>
          <w:rFonts w:eastAsia="Batang"/>
        </w:rPr>
        <w:t xml:space="preserve"> </w:t>
      </w:r>
      <w:r w:rsidRPr="008D4826">
        <w:rPr>
          <w:rFonts w:eastAsia="Batang"/>
        </w:rPr>
        <w:t xml:space="preserve">certain degree of </w:t>
      </w:r>
      <w:r w:rsidR="00A3438A" w:rsidRPr="008D4826">
        <w:rPr>
          <w:rFonts w:eastAsia="Batang"/>
        </w:rPr>
        <w:t>centralized</w:t>
      </w:r>
      <w:r w:rsidRPr="008D4826">
        <w:rPr>
          <w:rFonts w:eastAsia="Batang"/>
        </w:rPr>
        <w:t xml:space="preserve"> command and control over spectrum allocations and assignments. In spite of these constraints, however, a growing number of countries have adopted, or are considering</w:t>
      </w:r>
      <w:r>
        <w:rPr>
          <w:rFonts w:eastAsia="Batang"/>
        </w:rPr>
        <w:t xml:space="preserve"> </w:t>
      </w:r>
      <w:r w:rsidRPr="008D4826">
        <w:rPr>
          <w:rFonts w:eastAsia="Batang"/>
        </w:rPr>
        <w:t>adopting, a wide range of strategies designed to give market-forces a larger role in the determination of how</w:t>
      </w:r>
      <w:r>
        <w:rPr>
          <w:rFonts w:eastAsia="Batang"/>
        </w:rPr>
        <w:t xml:space="preserve"> </w:t>
      </w:r>
      <w:r w:rsidRPr="008D4826">
        <w:rPr>
          <w:rFonts w:eastAsia="Batang"/>
        </w:rPr>
        <w:t xml:space="preserve">spectrum resources are allocated, assigned and used. </w:t>
      </w:r>
    </w:p>
    <w:p w:rsidR="007A5BDD" w:rsidRDefault="007A5BDD" w:rsidP="007A5BDD">
      <w:pPr>
        <w:rPr>
          <w:b/>
        </w:rPr>
      </w:pPr>
    </w:p>
    <w:p w:rsidR="007A5BDD" w:rsidRPr="00710A5B" w:rsidRDefault="007A5BDD" w:rsidP="007A5BDD">
      <w:pPr>
        <w:spacing w:before="120" w:after="240" w:line="360" w:lineRule="auto"/>
        <w:jc w:val="center"/>
        <w:rPr>
          <w:b/>
          <w:sz w:val="28"/>
        </w:rPr>
      </w:pPr>
      <w:r w:rsidRPr="00710A5B">
        <w:rPr>
          <w:b/>
          <w:sz w:val="28"/>
        </w:rPr>
        <w:t>CHAPTER-I</w:t>
      </w:r>
    </w:p>
    <w:p w:rsidR="007A5BDD" w:rsidRPr="00710A5B" w:rsidRDefault="007A5BDD" w:rsidP="007A5BDD">
      <w:pPr>
        <w:spacing w:before="120" w:after="240" w:line="360" w:lineRule="auto"/>
        <w:jc w:val="center"/>
        <w:rPr>
          <w:b/>
          <w:sz w:val="28"/>
        </w:rPr>
      </w:pPr>
      <w:r w:rsidRPr="00710A5B">
        <w:rPr>
          <w:b/>
          <w:sz w:val="28"/>
        </w:rPr>
        <w:t>INTRODUCTION</w:t>
      </w:r>
    </w:p>
    <w:p w:rsidR="007A5BDD" w:rsidRPr="0099033E" w:rsidRDefault="007A5BDD" w:rsidP="007A5BDD">
      <w:pPr>
        <w:pStyle w:val="ListParagraph"/>
        <w:numPr>
          <w:ilvl w:val="0"/>
          <w:numId w:val="9"/>
        </w:numPr>
        <w:spacing w:before="120" w:after="240" w:line="360" w:lineRule="auto"/>
        <w:ind w:left="900" w:hanging="720"/>
        <w:jc w:val="both"/>
        <w:rPr>
          <w:b/>
        </w:rPr>
      </w:pPr>
      <w:r>
        <w:rPr>
          <w:b/>
        </w:rPr>
        <w:t>General</w:t>
      </w:r>
      <w:r w:rsidRPr="0099033E">
        <w:rPr>
          <w:b/>
        </w:rPr>
        <w:t>:</w:t>
      </w:r>
    </w:p>
    <w:p w:rsidR="007A5BDD" w:rsidRPr="00125A0F" w:rsidRDefault="007A5BDD" w:rsidP="007A5BDD">
      <w:pPr>
        <w:pStyle w:val="ListParagraph"/>
        <w:numPr>
          <w:ilvl w:val="0"/>
          <w:numId w:val="10"/>
        </w:numPr>
        <w:shd w:val="clear" w:color="auto" w:fill="FFFFFF"/>
        <w:tabs>
          <w:tab w:val="left" w:pos="810"/>
        </w:tabs>
        <w:spacing w:before="120" w:after="240" w:line="360" w:lineRule="auto"/>
        <w:ind w:left="810" w:hanging="810"/>
        <w:jc w:val="both"/>
        <w:rPr>
          <w:color w:val="000000"/>
          <w:lang w:val="en-IE" w:eastAsia="en-IN"/>
        </w:rPr>
      </w:pPr>
      <w:r w:rsidRPr="0099033E">
        <w:rPr>
          <w:color w:val="000000"/>
          <w:lang w:val="en-IE" w:eastAsia="en-IN"/>
        </w:rPr>
        <w:t xml:space="preserve">The traditional approach to spectrum management is based on deciding the allocation and assignment of the spectrum administratively i.e. who has the right to use a particular block of spectrum and for what exact purpose. </w:t>
      </w:r>
      <w:r w:rsidRPr="004B66E9">
        <w:rPr>
          <w:color w:val="000000"/>
          <w:lang w:eastAsia="en-IN"/>
        </w:rPr>
        <w:t xml:space="preserve">Historically, regulators have assigned frequencies by issuing </w:t>
      </w:r>
      <w:proofErr w:type="spellStart"/>
      <w:r w:rsidRPr="004B66E9">
        <w:rPr>
          <w:color w:val="000000"/>
          <w:lang w:eastAsia="en-IN"/>
        </w:rPr>
        <w:t>licences</w:t>
      </w:r>
      <w:proofErr w:type="spellEnd"/>
      <w:r w:rsidRPr="004B66E9">
        <w:rPr>
          <w:color w:val="000000"/>
          <w:lang w:eastAsia="en-IN"/>
        </w:rPr>
        <w:t xml:space="preserve"> to specif</w:t>
      </w:r>
      <w:r>
        <w:rPr>
          <w:color w:val="000000"/>
          <w:lang w:eastAsia="en-IN"/>
        </w:rPr>
        <w:t xml:space="preserve">ic users for specific purposes. It may also involve </w:t>
      </w:r>
      <w:r w:rsidRPr="004B66E9">
        <w:rPr>
          <w:color w:val="000000"/>
          <w:lang w:eastAsia="en-IN"/>
        </w:rPr>
        <w:t>specifying what equipment a licensee can use and at what power levels it can be used.</w:t>
      </w:r>
      <w:r>
        <w:rPr>
          <w:color w:val="000000"/>
          <w:lang w:eastAsia="en-IN"/>
        </w:rPr>
        <w:t xml:space="preserve"> Though it may be an effective </w:t>
      </w:r>
      <w:r w:rsidRPr="004B66E9">
        <w:rPr>
          <w:color w:val="000000"/>
          <w:lang w:eastAsia="en-IN"/>
        </w:rPr>
        <w:t>way to control interference</w:t>
      </w:r>
      <w:r>
        <w:rPr>
          <w:color w:val="000000"/>
          <w:lang w:eastAsia="en-IN"/>
        </w:rPr>
        <w:t>,</w:t>
      </w:r>
      <w:r w:rsidRPr="004B66E9">
        <w:rPr>
          <w:color w:val="000000"/>
          <w:lang w:eastAsia="en-IN"/>
        </w:rPr>
        <w:t xml:space="preserve"> yet such methods are often slow and unresponsive to new technological opportunities</w:t>
      </w:r>
      <w:r>
        <w:rPr>
          <w:color w:val="000000"/>
          <w:lang w:eastAsia="en-IN"/>
        </w:rPr>
        <w:t xml:space="preserve">, as the </w:t>
      </w:r>
      <w:r w:rsidRPr="004B66E9">
        <w:rPr>
          <w:color w:val="000000"/>
          <w:lang w:eastAsia="en-IN"/>
        </w:rPr>
        <w:t xml:space="preserve">spectrum regulator </w:t>
      </w:r>
      <w:r>
        <w:rPr>
          <w:color w:val="000000"/>
          <w:lang w:eastAsia="en-IN"/>
        </w:rPr>
        <w:t>may not always have all the information to make best use of the spectrum</w:t>
      </w:r>
      <w:r w:rsidRPr="004B66E9">
        <w:rPr>
          <w:color w:val="000000"/>
          <w:lang w:eastAsia="en-IN"/>
        </w:rPr>
        <w:t xml:space="preserve">. </w:t>
      </w:r>
    </w:p>
    <w:p w:rsidR="007A5BDD" w:rsidRPr="00A37C32" w:rsidRDefault="007A5BDD" w:rsidP="007A5BDD">
      <w:pPr>
        <w:pStyle w:val="ListParagraph"/>
        <w:numPr>
          <w:ilvl w:val="0"/>
          <w:numId w:val="10"/>
        </w:numPr>
        <w:shd w:val="clear" w:color="auto" w:fill="FFFFFF"/>
        <w:tabs>
          <w:tab w:val="left" w:pos="810"/>
        </w:tabs>
        <w:spacing w:before="120" w:after="240" w:line="360" w:lineRule="auto"/>
        <w:ind w:left="810" w:hanging="810"/>
        <w:jc w:val="both"/>
        <w:rPr>
          <w:color w:val="000000"/>
          <w:lang w:val="en-IE" w:eastAsia="en-IN"/>
        </w:rPr>
      </w:pPr>
      <w:r>
        <w:rPr>
          <w:color w:val="000000"/>
          <w:lang w:val="en-IE" w:eastAsia="en-IN"/>
        </w:rPr>
        <w:t>O</w:t>
      </w:r>
      <w:r w:rsidRPr="00A37C32">
        <w:rPr>
          <w:color w:val="000000"/>
          <w:lang w:val="en-IE" w:eastAsia="en-IN"/>
        </w:rPr>
        <w:t xml:space="preserve">ver a period of time there is shift towards adopting market mechanisms as an alternate to the traditional command and control mechanism of spectrum management. </w:t>
      </w:r>
    </w:p>
    <w:p w:rsidR="007A5BDD" w:rsidRPr="00ED021E" w:rsidRDefault="007A5BDD" w:rsidP="007A5BDD">
      <w:pPr>
        <w:pStyle w:val="ListParagraph"/>
        <w:numPr>
          <w:ilvl w:val="0"/>
          <w:numId w:val="9"/>
        </w:numPr>
        <w:spacing w:before="120" w:after="240" w:line="360" w:lineRule="auto"/>
        <w:ind w:left="900" w:hanging="720"/>
        <w:jc w:val="both"/>
        <w:rPr>
          <w:b/>
        </w:rPr>
      </w:pPr>
      <w:r w:rsidRPr="00ED021E">
        <w:rPr>
          <w:b/>
        </w:rPr>
        <w:lastRenderedPageBreak/>
        <w:t>Requirement for adopting Market based Mechanism</w:t>
      </w:r>
    </w:p>
    <w:p w:rsidR="007A5BDD" w:rsidRPr="00652FFF" w:rsidRDefault="007A5BDD" w:rsidP="007A5BDD">
      <w:pPr>
        <w:pStyle w:val="ListParagraph"/>
        <w:numPr>
          <w:ilvl w:val="0"/>
          <w:numId w:val="10"/>
        </w:numPr>
        <w:shd w:val="clear" w:color="auto" w:fill="FFFFFF"/>
        <w:tabs>
          <w:tab w:val="left" w:pos="810"/>
        </w:tabs>
        <w:spacing w:before="120" w:after="240" w:line="360" w:lineRule="auto"/>
        <w:ind w:left="810" w:hanging="810"/>
        <w:jc w:val="both"/>
        <w:rPr>
          <w:color w:val="000000"/>
          <w:lang w:val="en-IE"/>
        </w:rPr>
      </w:pPr>
      <w:r>
        <w:rPr>
          <w:color w:val="000000"/>
          <w:lang w:val="en-IE" w:eastAsia="en-IN"/>
        </w:rPr>
        <w:t xml:space="preserve">When the demand for the spectrum in any band is less than its availability, definitely, assignment of spectrum needs to be done over the counter on an administratively determined price. But, when the demand for a spectrum in band outstrips its availability considerably, the market based approach is best suited for ensuring the optimal use of the spectrum. </w:t>
      </w:r>
      <w:r w:rsidRPr="00652FFF">
        <w:rPr>
          <w:color w:val="000000"/>
          <w:lang w:val="en-IE"/>
        </w:rPr>
        <w:t xml:space="preserve">The emergence of new services, </w:t>
      </w:r>
      <w:r>
        <w:rPr>
          <w:color w:val="000000"/>
          <w:lang w:val="en-IE"/>
        </w:rPr>
        <w:t>particularly mobile</w:t>
      </w:r>
      <w:r w:rsidRPr="00652FFF">
        <w:rPr>
          <w:color w:val="000000"/>
          <w:lang w:val="en-IE"/>
        </w:rPr>
        <w:t xml:space="preserve"> wireless broadband, </w:t>
      </w:r>
      <w:r>
        <w:rPr>
          <w:color w:val="000000"/>
          <w:lang w:val="en-IE"/>
        </w:rPr>
        <w:t>is constantly</w:t>
      </w:r>
      <w:r w:rsidRPr="00652FFF">
        <w:rPr>
          <w:color w:val="000000"/>
          <w:lang w:val="en-IE"/>
        </w:rPr>
        <w:t xml:space="preserve"> fuelling commercial demand for spectrum. Demand </w:t>
      </w:r>
      <w:r>
        <w:rPr>
          <w:color w:val="000000"/>
          <w:lang w:val="en-IE"/>
        </w:rPr>
        <w:t xml:space="preserve">for internationally </w:t>
      </w:r>
      <w:r w:rsidRPr="0099033E">
        <w:rPr>
          <w:color w:val="000000"/>
          <w:lang w:val="en-IE" w:eastAsia="en-IN"/>
        </w:rPr>
        <w:t>harmonised</w:t>
      </w:r>
      <w:r>
        <w:rPr>
          <w:color w:val="000000"/>
          <w:lang w:val="en-IE"/>
        </w:rPr>
        <w:t xml:space="preserve"> spectrum </w:t>
      </w:r>
      <w:r w:rsidRPr="00652FFF">
        <w:rPr>
          <w:color w:val="000000"/>
          <w:lang w:val="en-IE"/>
        </w:rPr>
        <w:t>now outstrips supply.</w:t>
      </w:r>
      <w:r>
        <w:rPr>
          <w:color w:val="000000"/>
          <w:lang w:val="en-IE"/>
        </w:rPr>
        <w:t xml:space="preserve"> Unlike administrative decisions which are</w:t>
      </w:r>
      <w:r w:rsidRPr="00652FFF">
        <w:rPr>
          <w:color w:val="000000"/>
          <w:lang w:val="en-IE"/>
        </w:rPr>
        <w:t xml:space="preserve"> also vulnerable to bureaucratic delays</w:t>
      </w:r>
      <w:r>
        <w:rPr>
          <w:color w:val="000000"/>
          <w:lang w:val="en-IE"/>
        </w:rPr>
        <w:t>, market</w:t>
      </w:r>
      <w:r w:rsidRPr="00652FFF">
        <w:rPr>
          <w:color w:val="000000"/>
          <w:lang w:val="en-IE"/>
        </w:rPr>
        <w:t xml:space="preserve"> </w:t>
      </w:r>
      <w:r>
        <w:rPr>
          <w:color w:val="000000"/>
          <w:lang w:val="en-IE"/>
        </w:rPr>
        <w:t>dynamics</w:t>
      </w:r>
      <w:r w:rsidRPr="00652FFF">
        <w:rPr>
          <w:color w:val="000000"/>
          <w:lang w:val="en-IE"/>
        </w:rPr>
        <w:t xml:space="preserve"> can allow rapid redeplo</w:t>
      </w:r>
      <w:r>
        <w:rPr>
          <w:color w:val="000000"/>
          <w:lang w:val="en-IE"/>
        </w:rPr>
        <w:t>yment of scarce resources to more efficient use by using better technologies.</w:t>
      </w:r>
    </w:p>
    <w:p w:rsidR="007A5BDD" w:rsidRPr="00AE33EF" w:rsidRDefault="007A5BDD" w:rsidP="007A5BDD">
      <w:pPr>
        <w:pStyle w:val="ListParagraph"/>
        <w:numPr>
          <w:ilvl w:val="0"/>
          <w:numId w:val="10"/>
        </w:numPr>
        <w:shd w:val="clear" w:color="auto" w:fill="FFFFFF"/>
        <w:tabs>
          <w:tab w:val="left" w:pos="810"/>
        </w:tabs>
        <w:spacing w:before="120" w:after="240" w:line="360" w:lineRule="auto"/>
        <w:ind w:left="810" w:hanging="810"/>
        <w:jc w:val="both"/>
        <w:rPr>
          <w:color w:val="000000"/>
          <w:lang w:val="en-IE" w:eastAsia="en-IN"/>
        </w:rPr>
      </w:pPr>
      <w:r>
        <w:rPr>
          <w:color w:val="000000"/>
          <w:lang w:val="en-IE" w:eastAsia="en-IN"/>
        </w:rPr>
        <w:t xml:space="preserve">There is trend towards </w:t>
      </w:r>
      <w:r w:rsidRPr="00AE33EF">
        <w:rPr>
          <w:color w:val="000000"/>
          <w:lang w:val="en-IE" w:eastAsia="en-IN"/>
        </w:rPr>
        <w:t>converging markets for integrated services through different communication technologies</w:t>
      </w:r>
      <w:r>
        <w:rPr>
          <w:color w:val="000000"/>
          <w:lang w:val="en-IE" w:eastAsia="en-IN"/>
        </w:rPr>
        <w:t>. N</w:t>
      </w:r>
      <w:r w:rsidRPr="00AE33EF">
        <w:rPr>
          <w:color w:val="000000"/>
          <w:lang w:val="en-IE" w:eastAsia="en-IN"/>
        </w:rPr>
        <w:t xml:space="preserve">etworks and services convergence </w:t>
      </w:r>
      <w:r>
        <w:rPr>
          <w:color w:val="000000"/>
          <w:lang w:val="en-IE" w:eastAsia="en-IN"/>
        </w:rPr>
        <w:t>and the</w:t>
      </w:r>
      <w:r w:rsidRPr="00AE33EF">
        <w:rPr>
          <w:color w:val="000000"/>
          <w:lang w:val="en-IE" w:eastAsia="en-IN"/>
        </w:rPr>
        <w:t xml:space="preserve"> </w:t>
      </w:r>
      <w:r>
        <w:rPr>
          <w:color w:val="000000"/>
          <w:lang w:val="en-IE" w:eastAsia="en-IN"/>
        </w:rPr>
        <w:t>r</w:t>
      </w:r>
      <w:r w:rsidRPr="00AE33EF">
        <w:rPr>
          <w:color w:val="000000"/>
          <w:lang w:val="en-IE" w:eastAsia="en-IN"/>
        </w:rPr>
        <w:t xml:space="preserve">apid innovation have created a need for </w:t>
      </w:r>
      <w:r>
        <w:rPr>
          <w:color w:val="000000"/>
          <w:lang w:val="en-IE" w:eastAsia="en-IN"/>
        </w:rPr>
        <w:t>more flexible</w:t>
      </w:r>
      <w:r w:rsidRPr="00AE33EF">
        <w:rPr>
          <w:color w:val="000000"/>
          <w:lang w:val="en-IE" w:eastAsia="en-IN"/>
        </w:rPr>
        <w:t xml:space="preserve"> access to spectrum, than is possible under traditional methods. All these developments point to the need for greater flexibility in the management of spectrum resources</w:t>
      </w:r>
      <w:r>
        <w:rPr>
          <w:color w:val="000000"/>
          <w:lang w:val="en-IE" w:eastAsia="en-IN"/>
        </w:rPr>
        <w:t xml:space="preserve">, </w:t>
      </w:r>
      <w:r w:rsidRPr="00AE33EF">
        <w:rPr>
          <w:color w:val="000000"/>
          <w:lang w:val="en-IE" w:eastAsia="en-IN"/>
        </w:rPr>
        <w:t>while maintaining harmonisation. The trend towards greater flexibility and more competition in spectrum use is facilitated through a market-based approach to individual rights of use.</w:t>
      </w:r>
      <w:r w:rsidRPr="0004722B">
        <w:rPr>
          <w:color w:val="000000"/>
          <w:lang w:val="en-IE"/>
        </w:rPr>
        <w:t xml:space="preserve"> </w:t>
      </w:r>
      <w:r w:rsidRPr="00661E3A">
        <w:rPr>
          <w:color w:val="000000"/>
          <w:lang w:val="en-IE"/>
        </w:rPr>
        <w:t xml:space="preserve">The market </w:t>
      </w:r>
      <w:r>
        <w:rPr>
          <w:color w:val="000000"/>
          <w:lang w:val="en-IE"/>
        </w:rPr>
        <w:t xml:space="preserve">based methods </w:t>
      </w:r>
      <w:r w:rsidRPr="00661E3A">
        <w:rPr>
          <w:color w:val="000000"/>
          <w:lang w:val="en-IE"/>
        </w:rPr>
        <w:t>puts resources in the hands of those who value them the most</w:t>
      </w:r>
      <w:r>
        <w:rPr>
          <w:color w:val="000000"/>
          <w:lang w:val="en-IE"/>
        </w:rPr>
        <w:t>.</w:t>
      </w:r>
    </w:p>
    <w:p w:rsidR="007A5BDD" w:rsidRDefault="007A5BDD" w:rsidP="007A5BDD">
      <w:pPr>
        <w:pStyle w:val="ListParagraph"/>
        <w:numPr>
          <w:ilvl w:val="0"/>
          <w:numId w:val="9"/>
        </w:numPr>
        <w:spacing w:before="120" w:after="240" w:line="360" w:lineRule="auto"/>
        <w:ind w:left="900" w:hanging="720"/>
        <w:jc w:val="both"/>
        <w:rPr>
          <w:b/>
        </w:rPr>
      </w:pPr>
      <w:r>
        <w:rPr>
          <w:b/>
        </w:rPr>
        <w:t>Moving towards Market based approach</w:t>
      </w:r>
    </w:p>
    <w:p w:rsidR="007A5BDD" w:rsidRDefault="007A5BDD" w:rsidP="007A5BDD">
      <w:pPr>
        <w:pStyle w:val="ListParagraph"/>
        <w:numPr>
          <w:ilvl w:val="0"/>
          <w:numId w:val="10"/>
        </w:numPr>
        <w:shd w:val="clear" w:color="auto" w:fill="FFFFFF"/>
        <w:tabs>
          <w:tab w:val="left" w:pos="810"/>
        </w:tabs>
        <w:spacing w:before="120" w:after="240" w:line="360" w:lineRule="auto"/>
        <w:ind w:left="810" w:hanging="810"/>
        <w:jc w:val="both"/>
      </w:pPr>
      <w:r w:rsidRPr="00FE39EA">
        <w:t xml:space="preserve">There has been a gradual shift from administrative approach towards the market based </w:t>
      </w:r>
      <w:r>
        <w:t>approach of spectrum management.</w:t>
      </w:r>
      <w:r w:rsidRPr="00FE39EA">
        <w:t xml:space="preserve"> There are some countries which allowed the auctioning of </w:t>
      </w:r>
      <w:proofErr w:type="spellStart"/>
      <w:r w:rsidRPr="00FE39EA">
        <w:t>licences</w:t>
      </w:r>
      <w:proofErr w:type="spellEnd"/>
      <w:r w:rsidRPr="00FE39EA">
        <w:t xml:space="preserve"> but did not permit trading and change of use. On the other hand, there are some markets for spectrum and spectrum </w:t>
      </w:r>
      <w:proofErr w:type="spellStart"/>
      <w:r w:rsidRPr="00FE39EA">
        <w:t>licences</w:t>
      </w:r>
      <w:proofErr w:type="spellEnd"/>
      <w:r w:rsidRPr="00FE39EA">
        <w:t xml:space="preserve"> under which both the ownership and use of spectrum can change in the course of a licensee's operation. Methods of Assignment of frequency, removal of restrictions on the </w:t>
      </w:r>
      <w:r w:rsidRPr="00FE39EA">
        <w:rPr>
          <w:color w:val="000000"/>
          <w:lang w:val="en-IE" w:eastAsia="en-IN"/>
        </w:rPr>
        <w:t>usage</w:t>
      </w:r>
      <w:r w:rsidRPr="00FE39EA">
        <w:t xml:space="preserve"> of spectrum rights, allowing the change in the ownership through spectrum trading are important tools that have been instrume</w:t>
      </w:r>
      <w:r>
        <w:t>ntal for this shift of approach, each of them in the subsequent chapters.</w:t>
      </w:r>
    </w:p>
    <w:p w:rsidR="007A5BDD" w:rsidRDefault="007A5BDD" w:rsidP="007A5BDD">
      <w:r>
        <w:br w:type="page"/>
      </w:r>
    </w:p>
    <w:p w:rsidR="007A5BDD" w:rsidRPr="001B03C5" w:rsidRDefault="007A5BDD" w:rsidP="007A5BDD">
      <w:pPr>
        <w:spacing w:before="120" w:after="240" w:line="360" w:lineRule="auto"/>
        <w:jc w:val="center"/>
        <w:rPr>
          <w:b/>
        </w:rPr>
      </w:pPr>
      <w:r w:rsidRPr="001B03C5">
        <w:rPr>
          <w:b/>
        </w:rPr>
        <w:lastRenderedPageBreak/>
        <w:t>CHAPTER-I</w:t>
      </w:r>
      <w:r>
        <w:rPr>
          <w:b/>
        </w:rPr>
        <w:t>I</w:t>
      </w:r>
    </w:p>
    <w:p w:rsidR="007A5BDD" w:rsidRDefault="007A5BDD" w:rsidP="007A5BDD">
      <w:pPr>
        <w:pStyle w:val="ListParagraph"/>
        <w:spacing w:before="120" w:after="240" w:line="276" w:lineRule="auto"/>
        <w:ind w:left="810"/>
        <w:jc w:val="center"/>
        <w:rPr>
          <w:b/>
        </w:rPr>
      </w:pPr>
      <w:r w:rsidRPr="001E5730">
        <w:rPr>
          <w:b/>
        </w:rPr>
        <w:t>ASSIGNMENT OF SPECTRUM</w:t>
      </w:r>
    </w:p>
    <w:p w:rsidR="007A5BDD" w:rsidRDefault="007A5BDD" w:rsidP="007A5BDD">
      <w:pPr>
        <w:pStyle w:val="ListParagraph"/>
        <w:numPr>
          <w:ilvl w:val="0"/>
          <w:numId w:val="29"/>
        </w:numPr>
        <w:spacing w:before="120" w:after="240" w:line="360" w:lineRule="auto"/>
        <w:jc w:val="both"/>
        <w:rPr>
          <w:b/>
        </w:rPr>
      </w:pPr>
      <w:r>
        <w:rPr>
          <w:b/>
        </w:rPr>
        <w:t>METHODS OF ASSIGNMENT</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t>Traditionally, n</w:t>
      </w:r>
      <w:r w:rsidRPr="00A47749">
        <w:t>on-market-based assignment approaches</w:t>
      </w:r>
      <w:r>
        <w:t xml:space="preserve"> (administrative methods)</w:t>
      </w:r>
      <w:r w:rsidRPr="00A47749">
        <w:t xml:space="preserve"> were adopted by a number of countries for the assignment of spectrum.</w:t>
      </w:r>
      <w:r w:rsidRPr="00595223">
        <w:t xml:space="preserve"> Minimizing harmful interference </w:t>
      </w:r>
      <w:r>
        <w:t>is the focal point in the traditional</w:t>
      </w:r>
      <w:r w:rsidRPr="00595223">
        <w:t xml:space="preserve"> model which places an emphasis on the technical management of radio spectrum. As a consequence, different services are sometimes allocated </w:t>
      </w:r>
      <w:r>
        <w:t xml:space="preserve">to different frequency bands. </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rsidRPr="00FF5772">
        <w:t>In the administrative method</w:t>
      </w:r>
      <w:r>
        <w:t>,</w:t>
      </w:r>
      <w:r w:rsidRPr="00FF5772">
        <w:t xml:space="preserve"> there are two stages invol</w:t>
      </w:r>
      <w:r>
        <w:t>ved in authorizing spectrum use viz. t</w:t>
      </w:r>
      <w:r w:rsidRPr="00FF5772">
        <w:t>he allocation stage and</w:t>
      </w:r>
      <w:r>
        <w:t xml:space="preserve"> t</w:t>
      </w:r>
      <w:r w:rsidRPr="00FF5772">
        <w:t>he assignment stage.</w:t>
      </w:r>
      <w:r>
        <w:t xml:space="preserve"> </w:t>
      </w:r>
      <w:r w:rsidRPr="00FF5772">
        <w:t>At the allocation stage, broad</w:t>
      </w:r>
      <w:r>
        <w:t xml:space="preserve"> </w:t>
      </w:r>
      <w:r w:rsidRPr="00FF5772">
        <w:t>decisions on spectrum use are made on ITU radio</w:t>
      </w:r>
      <w:r>
        <w:t>-</w:t>
      </w:r>
      <w:r w:rsidRPr="00FF5772">
        <w:t xml:space="preserve">communication conferences. National spectrum regulators prepare their own allocation </w:t>
      </w:r>
      <w:r>
        <w:t>decisions</w:t>
      </w:r>
      <w:r w:rsidRPr="00FF5772">
        <w:t xml:space="preserve">, </w:t>
      </w:r>
      <w:r>
        <w:t>which are</w:t>
      </w:r>
      <w:r w:rsidRPr="00FF5772">
        <w:t xml:space="preserve"> </w:t>
      </w:r>
      <w:r>
        <w:t>published</w:t>
      </w:r>
      <w:r w:rsidRPr="00FF5772">
        <w:t xml:space="preserve"> in </w:t>
      </w:r>
      <w:r>
        <w:t>form of a</w:t>
      </w:r>
      <w:r w:rsidRPr="00FF5772">
        <w:t xml:space="preserve"> National Frequency Allocation Table.</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rsidRPr="00915DEB">
        <w:t xml:space="preserve">Once an allocation has been determined, </w:t>
      </w:r>
      <w:proofErr w:type="spellStart"/>
      <w:r>
        <w:t>licences</w:t>
      </w:r>
      <w:proofErr w:type="spellEnd"/>
      <w:r>
        <w:t xml:space="preserve"> are issued to </w:t>
      </w:r>
      <w:r w:rsidRPr="00915DEB">
        <w:t>authorize</w:t>
      </w:r>
      <w:r>
        <w:t xml:space="preserve"> the use of</w:t>
      </w:r>
      <w:r w:rsidRPr="00915DEB">
        <w:t xml:space="preserve"> spectrum to particular users</w:t>
      </w:r>
      <w:r>
        <w:t xml:space="preserve"> </w:t>
      </w:r>
      <w:r w:rsidRPr="00915DEB">
        <w:t>at the assignment stage with the issuance of a license(s) which is</w:t>
      </w:r>
      <w:r>
        <w:t xml:space="preserve"> </w:t>
      </w:r>
      <w:r w:rsidRPr="00915DEB">
        <w:t>assigned</w:t>
      </w:r>
      <w:r>
        <w:t>.</w:t>
      </w:r>
      <w:r w:rsidRPr="00915DEB">
        <w:t xml:space="preserve"> Historically, assignments were made by methods such as first-come, first-served basis or by way of</w:t>
      </w:r>
      <w:r>
        <w:t xml:space="preserve"> </w:t>
      </w:r>
      <w:r w:rsidRPr="00915DEB">
        <w:t>comparative evaluation (also known as ‘beauty contests’) and/or consultation rather than by market</w:t>
      </w:r>
      <w:r>
        <w:t xml:space="preserve"> </w:t>
      </w:r>
      <w:r w:rsidRPr="00915DEB">
        <w:t>based</w:t>
      </w:r>
      <w:r>
        <w:t xml:space="preserve"> </w:t>
      </w:r>
      <w:r w:rsidRPr="00915DEB">
        <w:t>methods.</w:t>
      </w:r>
      <w:r>
        <w:t xml:space="preserve"> </w:t>
      </w:r>
    </w:p>
    <w:p w:rsidR="007A5BDD" w:rsidRPr="00EE52A5" w:rsidRDefault="007A5BDD" w:rsidP="007A5BDD">
      <w:pPr>
        <w:pStyle w:val="ListParagraph"/>
        <w:numPr>
          <w:ilvl w:val="0"/>
          <w:numId w:val="13"/>
        </w:numPr>
        <w:shd w:val="clear" w:color="auto" w:fill="FFFFFF"/>
        <w:tabs>
          <w:tab w:val="left" w:pos="810"/>
        </w:tabs>
        <w:spacing w:before="120" w:after="240" w:line="360" w:lineRule="auto"/>
        <w:ind w:left="810" w:hanging="810"/>
        <w:jc w:val="both"/>
        <w:rPr>
          <w:szCs w:val="20"/>
        </w:rPr>
      </w:pPr>
      <w:r>
        <w:rPr>
          <w:szCs w:val="20"/>
        </w:rPr>
        <w:t>In the first-come, first served (FCFS) method, e</w:t>
      </w:r>
      <w:r w:rsidRPr="00416F35">
        <w:rPr>
          <w:szCs w:val="20"/>
        </w:rPr>
        <w:t xml:space="preserve">ligibility criteria </w:t>
      </w:r>
      <w:r>
        <w:rPr>
          <w:szCs w:val="20"/>
        </w:rPr>
        <w:t>is</w:t>
      </w:r>
      <w:r w:rsidRPr="00416F35">
        <w:rPr>
          <w:szCs w:val="20"/>
        </w:rPr>
        <w:t xml:space="preserve"> set. </w:t>
      </w:r>
      <w:r>
        <w:rPr>
          <w:szCs w:val="20"/>
        </w:rPr>
        <w:t>Subsequently, b</w:t>
      </w:r>
      <w:r w:rsidRPr="00416F35">
        <w:rPr>
          <w:szCs w:val="20"/>
        </w:rPr>
        <w:t xml:space="preserve">locks of spectrum </w:t>
      </w:r>
      <w:r>
        <w:rPr>
          <w:szCs w:val="20"/>
        </w:rPr>
        <w:t xml:space="preserve">are </w:t>
      </w:r>
      <w:r w:rsidRPr="00416F35">
        <w:rPr>
          <w:szCs w:val="20"/>
        </w:rPr>
        <w:t>assigned to el</w:t>
      </w:r>
      <w:r>
        <w:rPr>
          <w:szCs w:val="20"/>
        </w:rPr>
        <w:t xml:space="preserve">igible seekers on first-come </w:t>
      </w:r>
      <w:r w:rsidRPr="00416F35">
        <w:rPr>
          <w:szCs w:val="20"/>
        </w:rPr>
        <w:t xml:space="preserve">first served basis. </w:t>
      </w:r>
      <w:r w:rsidRPr="00EE52A5">
        <w:rPr>
          <w:szCs w:val="20"/>
        </w:rPr>
        <w:t xml:space="preserve">Where </w:t>
      </w:r>
      <w:r w:rsidRPr="000B326A">
        <w:t>spectrum</w:t>
      </w:r>
      <w:r w:rsidRPr="00EE52A5">
        <w:rPr>
          <w:szCs w:val="20"/>
        </w:rPr>
        <w:t xml:space="preserve"> is not scarce and there is enough to meet the demand from all those who want it, </w:t>
      </w:r>
      <w:r>
        <w:rPr>
          <w:szCs w:val="20"/>
        </w:rPr>
        <w:t>FCFS may be suitable method for the assignment of spectrum.</w:t>
      </w:r>
      <w:r w:rsidRPr="00EE52A5">
        <w:rPr>
          <w:szCs w:val="20"/>
        </w:rPr>
        <w:t xml:space="preserve"> </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rPr>
          <w:szCs w:val="20"/>
        </w:rPr>
      </w:pPr>
      <w:r w:rsidRPr="00B311AF">
        <w:rPr>
          <w:szCs w:val="20"/>
        </w:rPr>
        <w:t>“Beauty contests”</w:t>
      </w:r>
      <w:r>
        <w:rPr>
          <w:szCs w:val="20"/>
        </w:rPr>
        <w:t xml:space="preserve"> is another commonly used administrative method for the assignment the spectrum. </w:t>
      </w:r>
      <w:r w:rsidRPr="00B311AF">
        <w:rPr>
          <w:szCs w:val="20"/>
        </w:rPr>
        <w:t xml:space="preserve"> </w:t>
      </w:r>
      <w:r>
        <w:rPr>
          <w:szCs w:val="20"/>
        </w:rPr>
        <w:t>It requires</w:t>
      </w:r>
      <w:r w:rsidRPr="00B311AF">
        <w:rPr>
          <w:szCs w:val="20"/>
        </w:rPr>
        <w:t xml:space="preserve"> those</w:t>
      </w:r>
      <w:r>
        <w:rPr>
          <w:szCs w:val="20"/>
        </w:rPr>
        <w:t>,</w:t>
      </w:r>
      <w:r w:rsidRPr="00B311AF">
        <w:rPr>
          <w:szCs w:val="20"/>
        </w:rPr>
        <w:t xml:space="preserve"> who are interested in a particular tranche of spectrum</w:t>
      </w:r>
      <w:r>
        <w:rPr>
          <w:szCs w:val="20"/>
        </w:rPr>
        <w:t>,</w:t>
      </w:r>
      <w:r w:rsidRPr="00B311AF">
        <w:rPr>
          <w:szCs w:val="20"/>
        </w:rPr>
        <w:t xml:space="preserve"> making proposals for how they intend to use it. The regulator evaluates the proposals according to certain criteria, which may include proposed coverage commitments, speed of rollout, end-user prices, quality and range of services offered, etc.</w:t>
      </w:r>
      <w:r w:rsidRPr="00F3463B">
        <w:rPr>
          <w:szCs w:val="20"/>
        </w:rPr>
        <w:t xml:space="preserve"> The spectrum management authority determines who the best qualified applicant to use the spectrum is and awards the </w:t>
      </w:r>
      <w:proofErr w:type="spellStart"/>
      <w:r w:rsidRPr="00F3463B">
        <w:rPr>
          <w:szCs w:val="20"/>
        </w:rPr>
        <w:t>licence</w:t>
      </w:r>
      <w:proofErr w:type="spellEnd"/>
      <w:r w:rsidRPr="00F3463B">
        <w:rPr>
          <w:szCs w:val="20"/>
        </w:rPr>
        <w:t xml:space="preserve">. </w:t>
      </w:r>
      <w:r w:rsidRPr="00416F35">
        <w:rPr>
          <w:szCs w:val="20"/>
        </w:rPr>
        <w:t xml:space="preserve">Beauty contests </w:t>
      </w:r>
      <w:r>
        <w:rPr>
          <w:szCs w:val="20"/>
        </w:rPr>
        <w:t>were</w:t>
      </w:r>
      <w:r w:rsidRPr="00416F35">
        <w:rPr>
          <w:szCs w:val="20"/>
        </w:rPr>
        <w:t xml:space="preserve"> used to award majority of initial GSM licenses in </w:t>
      </w:r>
      <w:r>
        <w:rPr>
          <w:szCs w:val="20"/>
        </w:rPr>
        <w:t>Europe</w:t>
      </w:r>
      <w:r w:rsidRPr="00416F35">
        <w:rPr>
          <w:szCs w:val="20"/>
        </w:rPr>
        <w:t xml:space="preserve"> and around half of the 3rd</w:t>
      </w:r>
      <w:r>
        <w:rPr>
          <w:szCs w:val="20"/>
        </w:rPr>
        <w:t xml:space="preserve"> </w:t>
      </w:r>
      <w:r w:rsidRPr="00416F35">
        <w:rPr>
          <w:szCs w:val="20"/>
        </w:rPr>
        <w:t>Generation (3G)</w:t>
      </w:r>
      <w:r>
        <w:rPr>
          <w:szCs w:val="20"/>
        </w:rPr>
        <w:t xml:space="preserve"> </w:t>
      </w:r>
      <w:r w:rsidRPr="00416F35">
        <w:rPr>
          <w:szCs w:val="20"/>
        </w:rPr>
        <w:t>mobile licenses.</w:t>
      </w:r>
    </w:p>
    <w:p w:rsidR="007A5BDD" w:rsidRPr="00B311AF" w:rsidRDefault="007A5BDD" w:rsidP="007A5BDD">
      <w:pPr>
        <w:pStyle w:val="ListParagraph"/>
        <w:numPr>
          <w:ilvl w:val="0"/>
          <w:numId w:val="13"/>
        </w:numPr>
        <w:shd w:val="clear" w:color="auto" w:fill="FFFFFF"/>
        <w:tabs>
          <w:tab w:val="left" w:pos="810"/>
        </w:tabs>
        <w:spacing w:before="120" w:after="240" w:line="360" w:lineRule="auto"/>
        <w:ind w:left="810" w:hanging="810"/>
        <w:jc w:val="both"/>
        <w:rPr>
          <w:szCs w:val="20"/>
        </w:rPr>
      </w:pPr>
      <w:r w:rsidRPr="00B311AF">
        <w:rPr>
          <w:szCs w:val="20"/>
        </w:rPr>
        <w:lastRenderedPageBreak/>
        <w:t xml:space="preserve">The main problem with beauty contests is that, </w:t>
      </w:r>
      <w:r>
        <w:rPr>
          <w:szCs w:val="20"/>
        </w:rPr>
        <w:t>i</w:t>
      </w:r>
      <w:r w:rsidRPr="00DC0F70">
        <w:rPr>
          <w:szCs w:val="20"/>
        </w:rPr>
        <w:t xml:space="preserve">t is difficult to keep the selection procedure </w:t>
      </w:r>
      <w:r>
        <w:rPr>
          <w:szCs w:val="20"/>
        </w:rPr>
        <w:t>objective</w:t>
      </w:r>
      <w:r w:rsidRPr="00B311AF">
        <w:rPr>
          <w:szCs w:val="20"/>
        </w:rPr>
        <w:t xml:space="preserve"> </w:t>
      </w:r>
      <w:r w:rsidRPr="000B326A">
        <w:t>because</w:t>
      </w:r>
      <w:r w:rsidRPr="00B311AF">
        <w:rPr>
          <w:szCs w:val="20"/>
        </w:rPr>
        <w:t xml:space="preserve"> they </w:t>
      </w:r>
      <w:r w:rsidRPr="000B326A">
        <w:t>involve</w:t>
      </w:r>
      <w:r w:rsidRPr="00B311AF">
        <w:rPr>
          <w:szCs w:val="20"/>
        </w:rPr>
        <w:t xml:space="preserve"> evaluation across a range of criteria which essentially have a subjective element</w:t>
      </w:r>
      <w:r>
        <w:rPr>
          <w:szCs w:val="20"/>
        </w:rPr>
        <w:t xml:space="preserve">. </w:t>
      </w:r>
      <w:r w:rsidRPr="00B311AF">
        <w:rPr>
          <w:szCs w:val="20"/>
        </w:rPr>
        <w:t xml:space="preserve"> </w:t>
      </w:r>
      <w:r>
        <w:rPr>
          <w:szCs w:val="20"/>
        </w:rPr>
        <w:t>T</w:t>
      </w:r>
      <w:r w:rsidRPr="00B311AF">
        <w:rPr>
          <w:szCs w:val="20"/>
        </w:rPr>
        <w:t>hey are often subject</w:t>
      </w:r>
      <w:r>
        <w:rPr>
          <w:szCs w:val="20"/>
        </w:rPr>
        <w:t xml:space="preserve"> to successful legal challenge and may </w:t>
      </w:r>
      <w:r w:rsidRPr="00B311AF">
        <w:rPr>
          <w:szCs w:val="20"/>
        </w:rPr>
        <w:t>delay the development of a truly competitive market, to the detriment of consumers</w:t>
      </w:r>
      <w:r>
        <w:rPr>
          <w:szCs w:val="20"/>
        </w:rPr>
        <w:t>’ interest</w:t>
      </w:r>
      <w:r w:rsidRPr="00B311AF">
        <w:rPr>
          <w:szCs w:val="20"/>
        </w:rPr>
        <w:t>.</w:t>
      </w:r>
      <w:r>
        <w:rPr>
          <w:szCs w:val="20"/>
        </w:rPr>
        <w:t xml:space="preserve"> </w:t>
      </w:r>
      <w:r w:rsidRPr="00B311AF">
        <w:rPr>
          <w:szCs w:val="20"/>
        </w:rPr>
        <w:t xml:space="preserve">Beauty contests are also necessarily slow, since all the criteria must be evaluated in a way which will stand up to legal scrutiny. </w:t>
      </w:r>
    </w:p>
    <w:p w:rsidR="007A5BDD" w:rsidRPr="00FE6E66" w:rsidRDefault="007A5BDD" w:rsidP="007A5BDD">
      <w:pPr>
        <w:pStyle w:val="ListParagraph"/>
        <w:numPr>
          <w:ilvl w:val="0"/>
          <w:numId w:val="29"/>
        </w:numPr>
        <w:spacing w:before="120" w:after="240" w:line="360" w:lineRule="auto"/>
        <w:jc w:val="both"/>
        <w:rPr>
          <w:b/>
          <w:bCs/>
        </w:rPr>
      </w:pPr>
      <w:r w:rsidRPr="00FE6E66">
        <w:rPr>
          <w:b/>
          <w:bCs/>
        </w:rPr>
        <w:t>MARKET-BAS</w:t>
      </w:r>
      <w:r>
        <w:rPr>
          <w:b/>
          <w:bCs/>
        </w:rPr>
        <w:t>ED ASSIGNMENT APPROACH</w:t>
      </w:r>
    </w:p>
    <w:p w:rsidR="007A5BDD" w:rsidRPr="00001F2C" w:rsidRDefault="007A5BDD" w:rsidP="007A5BDD">
      <w:pPr>
        <w:pStyle w:val="ListParagraph"/>
        <w:numPr>
          <w:ilvl w:val="0"/>
          <w:numId w:val="13"/>
        </w:numPr>
        <w:shd w:val="clear" w:color="auto" w:fill="FFFFFF"/>
        <w:tabs>
          <w:tab w:val="left" w:pos="810"/>
        </w:tabs>
        <w:spacing w:before="120" w:after="240" w:line="360" w:lineRule="auto"/>
        <w:ind w:left="810" w:hanging="810"/>
        <w:jc w:val="both"/>
        <w:rPr>
          <w:szCs w:val="20"/>
        </w:rPr>
      </w:pPr>
      <w:r w:rsidRPr="00001F2C">
        <w:rPr>
          <w:szCs w:val="20"/>
        </w:rPr>
        <w:t>Auction is a preferred market-based assignment method. In an auction, spectrum is allocated by bidding among competing spectrum applicants. Auctions award spectrum to those who value it the most</w:t>
      </w:r>
      <w:r w:rsidRPr="000461BA">
        <w:t xml:space="preserve"> </w:t>
      </w:r>
      <w:r w:rsidRPr="00FE6E66">
        <w:t>while simultaneously generating revenues for the spectrum authority.</w:t>
      </w:r>
      <w:r w:rsidRPr="00001F2C">
        <w:rPr>
          <w:szCs w:val="20"/>
        </w:rPr>
        <w:t xml:space="preserve"> However positive outcome of auction method is possible only when </w:t>
      </w:r>
      <w:r w:rsidRPr="00F75915">
        <w:t>the demand for spectrum exceeds the available supply</w:t>
      </w:r>
      <w:r w:rsidRPr="00001F2C">
        <w:rPr>
          <w:szCs w:val="20"/>
        </w:rPr>
        <w:t xml:space="preserve"> i.e. there are sufficient viable bidders. Avoidance of collusion between participants, encouraging a sufficient number of bidders particularly new market entrants, setting of appropriate reserve prices </w:t>
      </w:r>
      <w:proofErr w:type="spellStart"/>
      <w:r w:rsidRPr="00001F2C">
        <w:rPr>
          <w:szCs w:val="20"/>
        </w:rPr>
        <w:t>etc</w:t>
      </w:r>
      <w:proofErr w:type="spellEnd"/>
      <w:r w:rsidRPr="00001F2C">
        <w:rPr>
          <w:szCs w:val="20"/>
        </w:rPr>
        <w:t xml:space="preserve"> are key to successful auction. Several types of auctions have been used by different countries: Sealed-bid auction, Ascending-price auction (English format), Descending-price auction (Dutch format), Simultaneous multiple round auction (SMRA) and Anglo-Dutch auction.</w:t>
      </w:r>
      <w:r>
        <w:rPr>
          <w:szCs w:val="20"/>
        </w:rPr>
        <w:t xml:space="preserve"> </w:t>
      </w:r>
      <w:r w:rsidRPr="00001F2C">
        <w:rPr>
          <w:szCs w:val="20"/>
        </w:rPr>
        <w:t xml:space="preserve">There is now substantial agreement among economists/regulators that auctions are the best way to assign scarce spectrum resources, and most regulators, now frequently use auctions to determine who gets to use spectrum. </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t xml:space="preserve">There are certain </w:t>
      </w:r>
      <w:r w:rsidRPr="00D86213">
        <w:t xml:space="preserve">fundamental </w:t>
      </w:r>
      <w:r>
        <w:t xml:space="preserve">advantages of auction process such as it is a transparent, fair and objective allotment process. It is a rather quick process of allotment process as compared to beauty parade. It ensures </w:t>
      </w:r>
      <w:r w:rsidRPr="00D86213">
        <w:t>allocation</w:t>
      </w:r>
      <w:r>
        <w:t xml:space="preserve"> of resources</w:t>
      </w:r>
      <w:r w:rsidRPr="00D86213">
        <w:t xml:space="preserve"> to the players who will use </w:t>
      </w:r>
      <w:r>
        <w:t>it most efficiently</w:t>
      </w:r>
      <w:r w:rsidRPr="008D539E">
        <w:t xml:space="preserve"> </w:t>
      </w:r>
      <w:r>
        <w:t>and generates maximum r</w:t>
      </w:r>
      <w:r w:rsidRPr="00D86213">
        <w:t xml:space="preserve">evenue </w:t>
      </w:r>
      <w:r>
        <w:t xml:space="preserve">to the Government. </w:t>
      </w:r>
    </w:p>
    <w:p w:rsidR="007A5BDD" w:rsidRDefault="007A5BDD" w:rsidP="007A5BDD">
      <w:pPr>
        <w:pStyle w:val="ListParagraph"/>
        <w:numPr>
          <w:ilvl w:val="0"/>
          <w:numId w:val="29"/>
        </w:numPr>
        <w:spacing w:before="120" w:after="240" w:line="360" w:lineRule="auto"/>
        <w:jc w:val="both"/>
      </w:pPr>
      <w:r w:rsidRPr="00187B35">
        <w:rPr>
          <w:b/>
        </w:rPr>
        <w:t>AUCTION FORMATS:</w:t>
      </w:r>
      <w:r w:rsidRPr="00187B35">
        <w:t xml:space="preserve"> </w:t>
      </w:r>
    </w:p>
    <w:p w:rsidR="007A5BDD" w:rsidRPr="00187B35"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rsidRPr="00187B35">
        <w:t xml:space="preserve">There are many formats of auction, differing in their input and output that achieve efficiency. Some of the commonly used auction formats are described below:- </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rsidRPr="009D76B6">
        <w:rPr>
          <w:b/>
        </w:rPr>
        <w:t>First-price sealed bid auction</w:t>
      </w:r>
      <w:r w:rsidRPr="00BA6FB0">
        <w:t xml:space="preserve">: In this auction, each bidder is asked to submit a bid. The highest bidder wins the auction </w:t>
      </w:r>
      <w:r>
        <w:t>and</w:t>
      </w:r>
      <w:r w:rsidRPr="00BA6FB0">
        <w:t xml:space="preserve"> pays an amount equal to his bid amount. </w:t>
      </w:r>
      <w:r>
        <w:t>T</w:t>
      </w:r>
      <w:r w:rsidRPr="00BA6FB0">
        <w:t xml:space="preserve">he first-price sealed-bid auction has the merit of being extremely simple. </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rsidRPr="009D76B6">
        <w:rPr>
          <w:b/>
        </w:rPr>
        <w:lastRenderedPageBreak/>
        <w:t>Second-price sealed bid auction (</w:t>
      </w:r>
      <w:proofErr w:type="spellStart"/>
      <w:r w:rsidRPr="009D76B6">
        <w:rPr>
          <w:b/>
        </w:rPr>
        <w:t>Vickrey</w:t>
      </w:r>
      <w:proofErr w:type="spellEnd"/>
      <w:r w:rsidRPr="009D76B6">
        <w:rPr>
          <w:b/>
        </w:rPr>
        <w:t xml:space="preserve"> auction)</w:t>
      </w:r>
      <w:r w:rsidRPr="00BA6FB0">
        <w:t>: The second-price sealed-bid auction also asks buyers to place a bid on the object. The highest bidder wins the object but pays an amount equal to the second highest bid.</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rsidRPr="009D76B6">
        <w:rPr>
          <w:b/>
        </w:rPr>
        <w:t>Dutch auction (descending price auction)</w:t>
      </w:r>
      <w:r w:rsidRPr="00BA6FB0">
        <w:t>:  A popular auction is the descending price auction, also known as the Dutch auction - The auctioneer sets a high price on the object initially and lowers it continuously. A bidder who expresses his willingness to buy the object first wins the auction at the current price. Theoretically, this auction is equivalent to the first-price sealed-bid auction.</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rsidRPr="009D76B6">
        <w:rPr>
          <w:b/>
        </w:rPr>
        <w:t>English or Japanese auction (ascending price auction):</w:t>
      </w:r>
      <w:r w:rsidRPr="00BA6FB0">
        <w:t xml:space="preserve"> The ascending price auction is the ascending counterpart of the Dutch auction. There are two commonly used variants of this format. The first variant called the English auction, works as follows. The seller starts the auction at a very low price (possibly zero). The bidder who wants to win the object increases the price. The auction ends when there is no price increase. The last bidder to bid wins the object and pays his bid amount. In another variant, called the Japanese auction, the seller starts the auction at a low price (possibly zero). Bidders express their willingness to buy the object at every price. If the number of bidders who want to buy the object at the current price is more than one, then the seller increases the price by a pre-determined amount, called the bid increment. The auction stops when there is exactly one bidder who wants to buy the object. Usually, there are activity rules which require each bidder to express his willingness to buy the object at every price in the auction, and once a bidder says no to buy the object at a price, he is no longer allowed to participate in the auction. Theoretically, this auction converges to the outcome of the second-price sealed-bid auction if the bid increment is small enough. </w:t>
      </w:r>
      <w:r>
        <w:t>A</w:t>
      </w:r>
      <w:r w:rsidRPr="00BA6FB0">
        <w:t>s soon as the price in the auction crosses the second highest value, exactly one bidder is interested in the object, and the auction stops. The highest value bidder wins the object and pays a price (close to the) equal to the second highest value. The Japanese auction is also referred to as the clock auction.</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rsidRPr="00716C2D">
        <w:rPr>
          <w:b/>
        </w:rPr>
        <w:t xml:space="preserve">Simultaneous Multiple Round Ascending </w:t>
      </w:r>
      <w:r w:rsidRPr="00716C2D">
        <w:rPr>
          <w:rStyle w:val="nowrap"/>
          <w:b/>
        </w:rPr>
        <w:t>(SMRA)</w:t>
      </w:r>
      <w:r w:rsidRPr="00716C2D">
        <w:rPr>
          <w:b/>
        </w:rPr>
        <w:t xml:space="preserve"> auction</w:t>
      </w:r>
      <w:r>
        <w:t xml:space="preserve">: The auction formats discussed so far are meant for the auction of single object. In an SMRA auction, all spectrum blocks are auctioned simultaneously over a series of rounds. In each round, bids are submitted on individual blocks at the announced prices. At the end of each round, a standing high bidder is identified for each spectrum block. The standing high bidder is then committed to the </w:t>
      </w:r>
      <w:proofErr w:type="spellStart"/>
      <w:r>
        <w:t>licence</w:t>
      </w:r>
      <w:proofErr w:type="spellEnd"/>
      <w:r>
        <w:t xml:space="preserve"> and cannot withdraw its bid without the </w:t>
      </w:r>
      <w:r>
        <w:lastRenderedPageBreak/>
        <w:t xml:space="preserve">possibility of incurring a penalty. The standing high bidder is released from its commitment when outbid by another bidder. When a </w:t>
      </w:r>
      <w:proofErr w:type="spellStart"/>
      <w:r>
        <w:t>licence</w:t>
      </w:r>
      <w:proofErr w:type="spellEnd"/>
      <w:r>
        <w:t xml:space="preserve"> receives at least one bid, the price for the </w:t>
      </w:r>
      <w:proofErr w:type="spellStart"/>
      <w:r>
        <w:t>licence</w:t>
      </w:r>
      <w:proofErr w:type="spellEnd"/>
      <w:r>
        <w:t xml:space="preserve"> increases in the next round. As the prices rise gradually over multiple rounds, bidders gather information about how the other auction participants value the </w:t>
      </w:r>
      <w:proofErr w:type="spellStart"/>
      <w:r>
        <w:t>licences</w:t>
      </w:r>
      <w:proofErr w:type="spellEnd"/>
      <w:r>
        <w:t xml:space="preserve">. This price discovery helps to reduce a bidder’s uncertainty regarding the value of the </w:t>
      </w:r>
      <w:proofErr w:type="spellStart"/>
      <w:r>
        <w:t>licences</w:t>
      </w:r>
      <w:proofErr w:type="spellEnd"/>
      <w:r>
        <w:t xml:space="preserve">. Bidders are able to respond to these changes in prices accordingly, shifting their bids to </w:t>
      </w:r>
      <w:proofErr w:type="spellStart"/>
      <w:r>
        <w:t>licences</w:t>
      </w:r>
      <w:proofErr w:type="spellEnd"/>
      <w:r>
        <w:t xml:space="preserve"> that continue to be consistent with their business objectives. Activity rules are in place to compel active bidding and encourage truthful bids throughout the auction, that is, bidding that is consistent with how they truly value the </w:t>
      </w:r>
      <w:proofErr w:type="spellStart"/>
      <w:r>
        <w:t>licences</w:t>
      </w:r>
      <w:proofErr w:type="spellEnd"/>
      <w:r>
        <w:t xml:space="preserve">. The auction ends when a round passes in which no new bids are received on any </w:t>
      </w:r>
      <w:proofErr w:type="spellStart"/>
      <w:r>
        <w:t>licences</w:t>
      </w:r>
      <w:proofErr w:type="spellEnd"/>
      <w:r>
        <w:t xml:space="preserve">. </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t xml:space="preserve">The SMRA auction format is a well understood, effective approach to assigning spectrum </w:t>
      </w:r>
      <w:proofErr w:type="spellStart"/>
      <w:r>
        <w:t>licences</w:t>
      </w:r>
      <w:proofErr w:type="spellEnd"/>
      <w:r>
        <w:t xml:space="preserve"> and it remains popular to date; however, it does have some weaknesses. The most notable weakness is the exposure risk, that is, the possibility that a bidder will win some but not </w:t>
      </w:r>
      <w:proofErr w:type="gramStart"/>
      <w:r>
        <w:t>all of the</w:t>
      </w:r>
      <w:proofErr w:type="gramEnd"/>
      <w:r>
        <w:t xml:space="preserve"> spectrum blocks needed for its business case and may be left stranded with </w:t>
      </w:r>
      <w:proofErr w:type="spellStart"/>
      <w:r>
        <w:t>licences</w:t>
      </w:r>
      <w:proofErr w:type="spellEnd"/>
      <w:r>
        <w:t xml:space="preserve"> that cannot be used as effectively. In an SMRA auction format, bidding is for individual </w:t>
      </w:r>
      <w:proofErr w:type="spellStart"/>
      <w:r>
        <w:t>licences</w:t>
      </w:r>
      <w:proofErr w:type="spellEnd"/>
      <w:r>
        <w:t xml:space="preserve"> only, leaving bidders which seek to aggregate blocks of </w:t>
      </w:r>
      <w:proofErr w:type="spellStart"/>
      <w:r>
        <w:t>licences</w:t>
      </w:r>
      <w:proofErr w:type="spellEnd"/>
      <w:r>
        <w:t xml:space="preserve"> that are contiguous </w:t>
      </w:r>
      <w:r>
        <w:rPr>
          <w:rStyle w:val="nowrap"/>
        </w:rPr>
        <w:t>and/or</w:t>
      </w:r>
      <w:r>
        <w:t xml:space="preserve"> across multiple service areas, vulnerable to the exposure risk.</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t xml:space="preserve">In an SMRA auction, in order to mitigate the exposure risk, bidders are able to withdraw their standing high bids, switching to other desired </w:t>
      </w:r>
      <w:proofErr w:type="spellStart"/>
      <w:r>
        <w:t>licences</w:t>
      </w:r>
      <w:proofErr w:type="spellEnd"/>
      <w:r>
        <w:t xml:space="preserve"> or withdrawing from the auction altogether. However, they may be </w:t>
      </w:r>
      <w:r w:rsidRPr="00812BBC">
        <w:rPr>
          <w:rStyle w:val="nowrap"/>
        </w:rPr>
        <w:t>subject</w:t>
      </w:r>
      <w:r>
        <w:t xml:space="preserve"> to withdrawal penalties, which are in place to discourage bidders from bidding frivolously and then withdrawing their bids.</w:t>
      </w:r>
    </w:p>
    <w:p w:rsidR="007A5BDD" w:rsidRDefault="007A5BDD" w:rsidP="007A5BDD">
      <w:pPr>
        <w:pStyle w:val="ListParagraph"/>
        <w:numPr>
          <w:ilvl w:val="0"/>
          <w:numId w:val="13"/>
        </w:numPr>
        <w:shd w:val="clear" w:color="auto" w:fill="FFFFFF"/>
        <w:tabs>
          <w:tab w:val="left" w:pos="810"/>
        </w:tabs>
        <w:spacing w:before="120" w:after="240" w:line="360" w:lineRule="auto"/>
        <w:ind w:left="810" w:hanging="810"/>
        <w:jc w:val="both"/>
      </w:pPr>
      <w:r w:rsidRPr="00812BBC">
        <w:rPr>
          <w:b/>
        </w:rPr>
        <w:t xml:space="preserve">Combinatorial clock auction </w:t>
      </w:r>
      <w:r w:rsidRPr="00812BBC">
        <w:rPr>
          <w:rStyle w:val="nowrap"/>
          <w:b/>
        </w:rPr>
        <w:t>(CCA)</w:t>
      </w:r>
      <w:r w:rsidRPr="00812BBC">
        <w:rPr>
          <w:b/>
        </w:rPr>
        <w:t>:</w:t>
      </w:r>
      <w:r>
        <w:t xml:space="preserve"> It is a variation of the SMRA format in that all spectrum blocks are auctioned at the same time over multiple rounds. Similar to the SMRA format, the CCA format provides a simple bidding process for participants, including a price discovery stage; however, instead of bidding on individual spectrum block, bidders express their demand for a package of blocks at the prevailing prices. The use of package bidding eliminates the exposure risk inherent in the SMRA format. Furthermore, unlike the SMRA format, the CCA format does not require the identification of a "standing high bidder" that is held responsible for individual blocks at </w:t>
      </w:r>
      <w:r>
        <w:lastRenderedPageBreak/>
        <w:t>the end of each round, which makes it easier for bidders to move to substitute blocks in response to price changes.</w:t>
      </w:r>
    </w:p>
    <w:p w:rsidR="007A5BDD" w:rsidRPr="00837B04" w:rsidRDefault="007A5BDD" w:rsidP="007A5BDD">
      <w:pPr>
        <w:pStyle w:val="ListParagraph"/>
        <w:numPr>
          <w:ilvl w:val="0"/>
          <w:numId w:val="13"/>
        </w:numPr>
        <w:shd w:val="clear" w:color="auto" w:fill="FFFFFF"/>
        <w:spacing w:before="120" w:after="240" w:line="360" w:lineRule="auto"/>
        <w:ind w:left="810" w:hanging="810"/>
        <w:jc w:val="both"/>
      </w:pPr>
      <w:r w:rsidRPr="00837B04">
        <w:t>A key benefit of the CCA is that it enables bidders to bid for any combination (or package) of the spectrum on offer that is best suited to their business requirements. As the CCA is a package bidding auction format, it ensures that a bidder can only secure the entire package. This means there is no risk of the bidder securing some of the spectrum in the package but not all of it, as would be the case with more traditional auction formats. The auction awards the spectrum to the highest value combination of packages.</w:t>
      </w:r>
    </w:p>
    <w:p w:rsidR="007A5BDD" w:rsidRDefault="007A5BDD" w:rsidP="007A5BDD">
      <w:pPr>
        <w:pStyle w:val="ListParagraph"/>
        <w:numPr>
          <w:ilvl w:val="0"/>
          <w:numId w:val="13"/>
        </w:numPr>
        <w:shd w:val="clear" w:color="auto" w:fill="FFFFFF"/>
        <w:spacing w:before="120" w:after="240" w:line="360" w:lineRule="auto"/>
        <w:ind w:left="810" w:hanging="810"/>
        <w:jc w:val="both"/>
      </w:pPr>
      <w:r w:rsidRPr="00837B04">
        <w:t xml:space="preserve">The CCA also provides incentives for bidders to bid truthfully and it reduces the risk of gaming </w:t>
      </w:r>
      <w:proofErr w:type="spellStart"/>
      <w:r w:rsidRPr="00837B04">
        <w:t>behaviour</w:t>
      </w:r>
      <w:proofErr w:type="spellEnd"/>
      <w:r>
        <w:t>.</w:t>
      </w:r>
      <w:r w:rsidRPr="00C2410C">
        <w:t xml:space="preserve"> </w:t>
      </w:r>
      <w:proofErr w:type="gramStart"/>
      <w:r w:rsidRPr="00C2410C">
        <w:t>bidders</w:t>
      </w:r>
      <w:proofErr w:type="gramEnd"/>
      <w:r w:rsidRPr="00C2410C">
        <w:t xml:space="preserve"> can bid on the combination, or ‘package’, of lots from each band that is best suited to their business needs. Bidders have certainty that if they win lots, they will win all lots in a package. This means they do not risk exposing themselves to winning only part of a package. This feature makes the CCA format well suited to auctions where potentially complementary offerings (such as the 700 MHz and 2.5 GHz band spectrum) are available. </w:t>
      </w:r>
    </w:p>
    <w:p w:rsidR="007A5BDD" w:rsidRPr="0000187C" w:rsidRDefault="007A5BDD" w:rsidP="007A5BDD">
      <w:pPr>
        <w:pStyle w:val="ListParagraph"/>
        <w:shd w:val="clear" w:color="auto" w:fill="FFFFFF"/>
        <w:spacing w:before="120" w:after="240" w:line="360" w:lineRule="auto"/>
        <w:ind w:left="810"/>
        <w:rPr>
          <w:b/>
        </w:rPr>
      </w:pPr>
      <w:r w:rsidRPr="0000187C">
        <w:rPr>
          <w:b/>
        </w:rPr>
        <w:t>CONECERNS ARISING OUT OF THE AUCTION PROCESS</w:t>
      </w:r>
    </w:p>
    <w:p w:rsidR="007A5BDD" w:rsidRDefault="007A5BDD" w:rsidP="007A5BDD">
      <w:pPr>
        <w:pStyle w:val="ListParagraph"/>
        <w:numPr>
          <w:ilvl w:val="0"/>
          <w:numId w:val="13"/>
        </w:numPr>
        <w:shd w:val="clear" w:color="auto" w:fill="FFFFFF"/>
        <w:spacing w:before="120" w:after="240" w:line="360" w:lineRule="auto"/>
        <w:ind w:left="810" w:hanging="810"/>
        <w:jc w:val="both"/>
      </w:pPr>
      <w:r>
        <w:t>Auction is, no doubt, a transparent mechanism for the award of spectrum to the bidders who value it the most. But, t</w:t>
      </w:r>
      <w:r w:rsidRPr="00CC5E59">
        <w:t xml:space="preserve">his is not to say that there are no problems associated with auctions. </w:t>
      </w:r>
      <w:r>
        <w:t xml:space="preserve">Each administration may have also some other policy objectives. </w:t>
      </w:r>
      <w:r w:rsidRPr="00424A5B">
        <w:t xml:space="preserve">Policy Objectives may differ from one country to another such as </w:t>
      </w:r>
      <w:r>
        <w:t>m</w:t>
      </w:r>
      <w:r w:rsidRPr="00424A5B">
        <w:t>aximi</w:t>
      </w:r>
      <w:r>
        <w:t>zation of</w:t>
      </w:r>
      <w:r w:rsidRPr="00424A5B">
        <w:t xml:space="preserve"> immediate revenue generation from a spectrum auction, </w:t>
      </w:r>
      <w:r w:rsidRPr="00CC5E59">
        <w:t>specific requirements regarding geographic coverage</w:t>
      </w:r>
      <w:r>
        <w:t>,  m</w:t>
      </w:r>
      <w:r w:rsidRPr="00424A5B">
        <w:t>ak</w:t>
      </w:r>
      <w:r>
        <w:t>ing</w:t>
      </w:r>
      <w:r w:rsidRPr="00424A5B">
        <w:t xml:space="preserve"> spectrum available to mobile operators at affordable rates, </w:t>
      </w:r>
      <w:r>
        <w:t>i</w:t>
      </w:r>
      <w:r w:rsidRPr="00424A5B">
        <w:t xml:space="preserve">ncrease mobile broadband access in rural areas, </w:t>
      </w:r>
      <w:r>
        <w:t>i</w:t>
      </w:r>
      <w:r w:rsidRPr="00424A5B">
        <w:t xml:space="preserve">ncrease competition in the market, </w:t>
      </w:r>
      <w:r>
        <w:t>d</w:t>
      </w:r>
      <w:r w:rsidRPr="00424A5B">
        <w:t>iscovery of market discovered valuation of the spectrum</w:t>
      </w:r>
      <w:r>
        <w:t>,  objectives relating to</w:t>
      </w:r>
      <w:r w:rsidRPr="00CC5E59">
        <w:t xml:space="preserve"> quality of service, encouraging innovation and investment in the telecommunications sector</w:t>
      </w:r>
      <w:r>
        <w:t xml:space="preserve"> etc. These objectives </w:t>
      </w:r>
      <w:r w:rsidRPr="00CC5E59">
        <w:t xml:space="preserve">are not met directly by auction process, but such objectives can be met through the use of other policy instruments (regulations, </w:t>
      </w:r>
      <w:proofErr w:type="spellStart"/>
      <w:r w:rsidRPr="00CC5E59">
        <w:t>licence</w:t>
      </w:r>
      <w:proofErr w:type="spellEnd"/>
      <w:r w:rsidRPr="00CC5E59">
        <w:t xml:space="preserve"> conditions, standards, etc.) which are fully compatible with spectrum auctioning</w:t>
      </w:r>
      <w:r>
        <w:t xml:space="preserve">. </w:t>
      </w:r>
    </w:p>
    <w:p w:rsidR="007A5BDD" w:rsidRPr="0000187C" w:rsidRDefault="007A5BDD" w:rsidP="007A5BDD">
      <w:pPr>
        <w:pStyle w:val="ListParagraph"/>
        <w:numPr>
          <w:ilvl w:val="0"/>
          <w:numId w:val="13"/>
        </w:numPr>
        <w:shd w:val="clear" w:color="auto" w:fill="FFFFFF"/>
        <w:spacing w:before="120" w:after="240" w:line="360" w:lineRule="auto"/>
        <w:ind w:left="810" w:hanging="810"/>
        <w:jc w:val="both"/>
        <w:rPr>
          <w:b/>
        </w:rPr>
      </w:pPr>
      <w:r w:rsidRPr="009257F7">
        <w:t xml:space="preserve">Auctions may raise competitive concerns. </w:t>
      </w:r>
      <w:r w:rsidRPr="00CC5E59">
        <w:t xml:space="preserve">For example incumbents may be willing or able to bid more than new entrants to strengthen their monopoly or oligopoly (limited number of competitors) positions. Therefore, in order to promote competition, it may be </w:t>
      </w:r>
      <w:r w:rsidRPr="00CC5E59">
        <w:lastRenderedPageBreak/>
        <w:t xml:space="preserve">necessary to impose additional safeguards such as “Bidding credits” (discounts) and installment payments to new players and limits on how much spectrum an entity may purchase. </w:t>
      </w:r>
    </w:p>
    <w:p w:rsidR="007A5BDD" w:rsidRDefault="007A5BDD" w:rsidP="007A5BDD">
      <w:pPr>
        <w:pStyle w:val="ListParagraph"/>
        <w:numPr>
          <w:ilvl w:val="0"/>
          <w:numId w:val="29"/>
        </w:numPr>
        <w:spacing w:before="120" w:after="240" w:line="360" w:lineRule="auto"/>
        <w:jc w:val="both"/>
        <w:rPr>
          <w:b/>
        </w:rPr>
      </w:pPr>
      <w:r w:rsidRPr="00871244">
        <w:rPr>
          <w:b/>
        </w:rPr>
        <w:t>INTERNATIONAL PRACTICES</w:t>
      </w:r>
    </w:p>
    <w:p w:rsidR="007A5BDD" w:rsidRDefault="007A5BDD" w:rsidP="007A5BDD">
      <w:pPr>
        <w:pStyle w:val="ListParagraph"/>
        <w:numPr>
          <w:ilvl w:val="0"/>
          <w:numId w:val="13"/>
        </w:numPr>
        <w:shd w:val="clear" w:color="auto" w:fill="FFFFFF"/>
        <w:spacing w:before="120" w:after="240" w:line="360" w:lineRule="auto"/>
        <w:ind w:left="810" w:hanging="810"/>
        <w:jc w:val="both"/>
      </w:pPr>
      <w:r w:rsidRPr="006C7956">
        <w:t>The Simultaneous Ascending Auction has emerged as the standard approach to spectrum auctions in which groups of related licenses are auctioned simultaneously over many rounds of bidding.</w:t>
      </w:r>
      <w:r>
        <w:t xml:space="preserve"> Some of the examples of the recent auctions are given below:</w:t>
      </w:r>
    </w:p>
    <w:p w:rsidR="007A5BDD" w:rsidRPr="00446CD2" w:rsidRDefault="007A5BDD" w:rsidP="007A5BDD">
      <w:pPr>
        <w:pStyle w:val="ListParagraph"/>
        <w:shd w:val="clear" w:color="auto" w:fill="FFFFFF"/>
        <w:spacing w:before="120" w:after="240" w:line="360" w:lineRule="auto"/>
        <w:ind w:left="810"/>
        <w:rPr>
          <w:b/>
        </w:rPr>
      </w:pPr>
      <w:bookmarkStart w:id="1" w:name="h.90lywm5hiyoy"/>
      <w:bookmarkEnd w:id="1"/>
      <w:r w:rsidRPr="00446CD2">
        <w:rPr>
          <w:b/>
        </w:rPr>
        <w:t>Spectrum Cap and Set Asides</w:t>
      </w:r>
    </w:p>
    <w:p w:rsidR="007A5BDD" w:rsidRPr="0018695A" w:rsidRDefault="007A5BDD" w:rsidP="007A5BDD">
      <w:pPr>
        <w:pStyle w:val="ListParagraph"/>
        <w:numPr>
          <w:ilvl w:val="0"/>
          <w:numId w:val="13"/>
        </w:numPr>
        <w:shd w:val="clear" w:color="auto" w:fill="FFFFFF"/>
        <w:spacing w:before="120" w:after="240" w:line="360" w:lineRule="auto"/>
        <w:ind w:left="810" w:hanging="810"/>
        <w:jc w:val="both"/>
      </w:pPr>
      <w:r w:rsidRPr="0018695A">
        <w:t xml:space="preserve">With the objective </w:t>
      </w:r>
      <w:r>
        <w:t>of promoting</w:t>
      </w:r>
      <w:r w:rsidRPr="0018695A">
        <w:t xml:space="preserve"> competition, regulatory authorities use Spectrum Cap and Set Asides in auction. In Set Asides, spectrum is put aside for new entrants where as in a Spectrum Cap a firm is limited in the quantity of spectrum that it can hold in any market. Spectrum Caps and Set Asides promote competition in the wireless service.</w:t>
      </w:r>
    </w:p>
    <w:p w:rsidR="007A5BDD" w:rsidRPr="0018695A" w:rsidRDefault="007A5BDD" w:rsidP="007A5BDD">
      <w:pPr>
        <w:pStyle w:val="ListParagraph"/>
        <w:numPr>
          <w:ilvl w:val="0"/>
          <w:numId w:val="13"/>
        </w:numPr>
        <w:shd w:val="clear" w:color="auto" w:fill="FFFFFF"/>
        <w:spacing w:before="120" w:after="240" w:line="360" w:lineRule="auto"/>
        <w:ind w:left="810" w:hanging="810"/>
        <w:jc w:val="both"/>
      </w:pPr>
      <w:r w:rsidRPr="0018695A">
        <w:t xml:space="preserve">FCC has used both Spectrum Cap and Set Asides in its spectrum auctions. For the </w:t>
      </w:r>
      <w:r w:rsidRPr="0018695A">
        <w:rPr>
          <w:rFonts w:cs="PalatinoLinotype-Roman"/>
        </w:rPr>
        <w:t>broadband</w:t>
      </w:r>
      <w:r w:rsidRPr="0018695A">
        <w:t xml:space="preserve"> PCS A and B blocks, incumbent cellular carriers were prevented from buying “in-region” licenses because of a 45MHz spectrum cap. In that auction, FCC also set aside the Broadband PCS C block for small businesses.</w:t>
      </w:r>
    </w:p>
    <w:p w:rsidR="007A5BDD" w:rsidRPr="0018695A" w:rsidRDefault="007A5BDD" w:rsidP="007A5BDD">
      <w:pPr>
        <w:pStyle w:val="ListParagraph"/>
        <w:numPr>
          <w:ilvl w:val="0"/>
          <w:numId w:val="13"/>
        </w:numPr>
        <w:shd w:val="clear" w:color="auto" w:fill="FFFFFF"/>
        <w:spacing w:before="120" w:after="240" w:line="360" w:lineRule="auto"/>
        <w:ind w:left="810" w:hanging="810"/>
        <w:jc w:val="both"/>
      </w:pPr>
      <w:r w:rsidRPr="0018695A">
        <w:t>FCC placed important rules on public safety for the auction of 700 MHz spectrum conducted in 2008. 20 MHz of the valuable 700 MHz spectrum were set aside for the creation of a public/private partnership that will eventually roll out to a new nationwide broadband network tailored to the requirements of public safety.</w:t>
      </w:r>
    </w:p>
    <w:p w:rsidR="007A5BDD" w:rsidRPr="00446CD2" w:rsidRDefault="007A5BDD" w:rsidP="007A5BDD">
      <w:pPr>
        <w:pStyle w:val="ListParagraph"/>
        <w:shd w:val="clear" w:color="auto" w:fill="FFFFFF"/>
        <w:spacing w:before="120" w:after="240" w:line="360" w:lineRule="auto"/>
        <w:ind w:left="810"/>
        <w:rPr>
          <w:b/>
        </w:rPr>
      </w:pPr>
      <w:r w:rsidRPr="00446CD2">
        <w:rPr>
          <w:b/>
        </w:rPr>
        <w:t>Bidding Credits</w:t>
      </w:r>
    </w:p>
    <w:p w:rsidR="007A5BDD" w:rsidRPr="0018695A" w:rsidRDefault="007A5BDD" w:rsidP="007A5BDD">
      <w:pPr>
        <w:pStyle w:val="ListParagraph"/>
        <w:numPr>
          <w:ilvl w:val="0"/>
          <w:numId w:val="13"/>
        </w:numPr>
        <w:shd w:val="clear" w:color="auto" w:fill="FFFFFF"/>
        <w:spacing w:before="120" w:after="240" w:line="360" w:lineRule="auto"/>
        <w:ind w:left="810" w:hanging="810"/>
        <w:jc w:val="both"/>
      </w:pPr>
      <w:r w:rsidRPr="0018695A">
        <w:t xml:space="preserve">Bidders of a favored type get a percentage discount on a winning bid. For example, new entrants may get a 30% bidding credit. In this case, a new entrant submitting a bit of $2000 would only have to pay $1400 if the bid won.  Bidding credits differ from set asides and binding </w:t>
      </w:r>
      <w:r w:rsidRPr="0018695A">
        <w:rPr>
          <w:rFonts w:cs="PalatinoLinotype-Roman"/>
        </w:rPr>
        <w:t>spectrum</w:t>
      </w:r>
      <w:r w:rsidRPr="0018695A">
        <w:t xml:space="preserve"> cap in that they do not ensure that a new entrant would win the auction. They serve the dual purpose of encouraging competition and assigning value on having a new entrant.</w:t>
      </w:r>
    </w:p>
    <w:p w:rsidR="007A5BDD" w:rsidRDefault="007A5BDD" w:rsidP="007A5BDD">
      <w:pPr>
        <w:pStyle w:val="ListParagraph"/>
        <w:numPr>
          <w:ilvl w:val="0"/>
          <w:numId w:val="13"/>
        </w:numPr>
        <w:shd w:val="clear" w:color="auto" w:fill="FFFFFF"/>
        <w:spacing w:before="120" w:after="240" w:line="360" w:lineRule="auto"/>
        <w:ind w:left="810" w:hanging="810"/>
        <w:jc w:val="both"/>
      </w:pPr>
      <w:r>
        <w:t xml:space="preserve">To explain the above concepts, an example of recent auction held in the Ireland is given below. Irish Regulator </w:t>
      </w:r>
      <w:proofErr w:type="spellStart"/>
      <w:r w:rsidRPr="00D422AF">
        <w:t>ComReg</w:t>
      </w:r>
      <w:proofErr w:type="spellEnd"/>
      <w:r w:rsidRPr="00D422AF">
        <w:t xml:space="preserve"> </w:t>
      </w:r>
      <w:r>
        <w:t>conducted a</w:t>
      </w:r>
      <w:r w:rsidRPr="00D422AF">
        <w:t xml:space="preserve"> multi-band spectrum auction</w:t>
      </w:r>
      <w:r>
        <w:t xml:space="preserve"> in 2012</w:t>
      </w:r>
      <w:r w:rsidRPr="00D422AF">
        <w:t xml:space="preserve">. This </w:t>
      </w:r>
      <w:r w:rsidRPr="00D422AF">
        <w:lastRenderedPageBreak/>
        <w:t xml:space="preserve">auction awarded spectrum rights in </w:t>
      </w:r>
      <w:r>
        <w:t xml:space="preserve">900 MHz, </w:t>
      </w:r>
      <w:r w:rsidRPr="00D422AF">
        <w:t xml:space="preserve">1800 MHz) and in the 800 MHz band (the ‘Digital Dividend’) which became available following the switch-off of analogue broadcasting. </w:t>
      </w:r>
      <w:r w:rsidRPr="00C77511">
        <w:t>The auction process determine</w:t>
      </w:r>
      <w:r>
        <w:t>d</w:t>
      </w:r>
      <w:r w:rsidRPr="00C77511">
        <w:t xml:space="preserve"> assignments of rights of use of spectrum across these three c</w:t>
      </w:r>
      <w:r>
        <w:t>ritical bands from 2013 to 2030.</w:t>
      </w:r>
      <w:r w:rsidRPr="00D422AF">
        <w:t xml:space="preserve"> </w:t>
      </w:r>
    </w:p>
    <w:p w:rsidR="007A5BDD" w:rsidRPr="00C77511" w:rsidRDefault="007A5BDD" w:rsidP="007A5BDD">
      <w:pPr>
        <w:pStyle w:val="ListParagraph"/>
        <w:numPr>
          <w:ilvl w:val="0"/>
          <w:numId w:val="13"/>
        </w:numPr>
        <w:shd w:val="clear" w:color="auto" w:fill="FFFFFF"/>
        <w:spacing w:before="120" w:after="240" w:line="360" w:lineRule="auto"/>
        <w:ind w:left="810" w:hanging="810"/>
        <w:jc w:val="both"/>
      </w:pPr>
      <w:r w:rsidRPr="00D422AF">
        <w:t>Some of the important features of this auction are given below:</w:t>
      </w:r>
    </w:p>
    <w:p w:rsidR="007A5BDD" w:rsidRPr="00C77511" w:rsidRDefault="007A5BDD" w:rsidP="007A5BDD">
      <w:pPr>
        <w:pStyle w:val="ListParagraph"/>
        <w:numPr>
          <w:ilvl w:val="0"/>
          <w:numId w:val="24"/>
        </w:numPr>
        <w:shd w:val="clear" w:color="auto" w:fill="FFFFFF"/>
        <w:spacing w:before="120" w:after="240" w:line="360" w:lineRule="auto"/>
        <w:jc w:val="both"/>
      </w:pPr>
      <w:r>
        <w:t>T</w:t>
      </w:r>
      <w:r w:rsidRPr="00C77511">
        <w:t xml:space="preserve">o safeguard competition, competition caps placed on the spectrum that bidders, either as a single entity or in combination with other bidders, can acquire: </w:t>
      </w:r>
    </w:p>
    <w:p w:rsidR="007A5BDD" w:rsidRPr="00C77511" w:rsidRDefault="007A5BDD" w:rsidP="007A5BDD">
      <w:pPr>
        <w:pStyle w:val="ListParagraph"/>
        <w:numPr>
          <w:ilvl w:val="0"/>
          <w:numId w:val="25"/>
        </w:numPr>
        <w:shd w:val="clear" w:color="auto" w:fill="FFFFFF"/>
        <w:spacing w:before="120" w:after="240" w:line="360" w:lineRule="auto"/>
        <w:jc w:val="both"/>
      </w:pPr>
      <w:r w:rsidRPr="00C77511">
        <w:t xml:space="preserve">2 × 20 MHz of sub-1 GHz spectrum (i.e. 800 MHz and 900 MHz spectrum); </w:t>
      </w:r>
    </w:p>
    <w:p w:rsidR="007A5BDD" w:rsidRPr="00C77511" w:rsidRDefault="007A5BDD" w:rsidP="007A5BDD">
      <w:pPr>
        <w:pStyle w:val="ListParagraph"/>
        <w:numPr>
          <w:ilvl w:val="0"/>
          <w:numId w:val="25"/>
        </w:numPr>
        <w:shd w:val="clear" w:color="auto" w:fill="FFFFFF"/>
        <w:spacing w:before="120" w:after="240" w:line="360" w:lineRule="auto"/>
        <w:jc w:val="both"/>
      </w:pPr>
      <w:r w:rsidRPr="00C77511">
        <w:t xml:space="preserve">2 × 50 MHz of total spectrum in these bands; and </w:t>
      </w:r>
    </w:p>
    <w:p w:rsidR="007A5BDD" w:rsidRPr="00C77511" w:rsidRDefault="007A5BDD" w:rsidP="007A5BDD">
      <w:pPr>
        <w:pStyle w:val="ListParagraph"/>
        <w:numPr>
          <w:ilvl w:val="0"/>
          <w:numId w:val="24"/>
        </w:numPr>
        <w:shd w:val="clear" w:color="auto" w:fill="FFFFFF"/>
        <w:spacing w:before="120" w:after="240" w:line="360" w:lineRule="auto"/>
        <w:jc w:val="both"/>
      </w:pPr>
      <w:r w:rsidRPr="00C77511">
        <w:t xml:space="preserve">to safeguard competition and spectrum efficiency, a minimum price </w:t>
      </w:r>
      <w:r>
        <w:t>was</w:t>
      </w:r>
      <w:r w:rsidRPr="00C77511">
        <w:t xml:space="preserve"> appl</w:t>
      </w:r>
      <w:r>
        <w:t>ied</w:t>
      </w:r>
      <w:r w:rsidRPr="00C77511">
        <w:t xml:space="preserve">, which </w:t>
      </w:r>
      <w:r>
        <w:t>was</w:t>
      </w:r>
      <w:r w:rsidRPr="00C77511">
        <w:t xml:space="preserve"> €20M per 5 MHz band of paired sub-1 GHz spectrum, and €10M per 5 MHz band of paired 1800 MHz spectrum; the minimum fee will comprise two equal parts, being the upfront reserve element, and a Spectrum Usage Fee (SUF) to apply over the duration of the </w:t>
      </w:r>
      <w:proofErr w:type="spellStart"/>
      <w:r w:rsidRPr="00C77511">
        <w:t>licence</w:t>
      </w:r>
      <w:proofErr w:type="spellEnd"/>
      <w:r w:rsidRPr="00C77511">
        <w:t xml:space="preserve">, appropriately adjusted for the time value of money. </w:t>
      </w:r>
    </w:p>
    <w:p w:rsidR="007A5BDD" w:rsidRPr="00C77511" w:rsidRDefault="007A5BDD" w:rsidP="007A5BDD">
      <w:pPr>
        <w:pStyle w:val="ListParagraph"/>
        <w:numPr>
          <w:ilvl w:val="0"/>
          <w:numId w:val="24"/>
        </w:numPr>
        <w:shd w:val="clear" w:color="auto" w:fill="FFFFFF"/>
        <w:spacing w:before="120" w:after="240" w:line="360" w:lineRule="auto"/>
        <w:jc w:val="both"/>
      </w:pPr>
      <w:r w:rsidRPr="00C77511">
        <w:t xml:space="preserve">All </w:t>
      </w:r>
      <w:proofErr w:type="spellStart"/>
      <w:r w:rsidRPr="00C77511">
        <w:t>licence</w:t>
      </w:r>
      <w:proofErr w:type="spellEnd"/>
      <w:r w:rsidRPr="00C77511">
        <w:t xml:space="preserve"> holders must attain and maintain a minimum coverage of 70% of the population. The existing GSM and 3G </w:t>
      </w:r>
      <w:proofErr w:type="spellStart"/>
      <w:r w:rsidRPr="00C77511">
        <w:t>licence</w:t>
      </w:r>
      <w:proofErr w:type="spellEnd"/>
      <w:r w:rsidRPr="00C77511">
        <w:t xml:space="preserve"> holders are to attain this coverage obligation within 3 years, while new entrants who do not currently hold an existing GSM or 3G </w:t>
      </w:r>
      <w:proofErr w:type="spellStart"/>
      <w:r w:rsidRPr="00C77511">
        <w:t>licence</w:t>
      </w:r>
      <w:proofErr w:type="spellEnd"/>
      <w:r w:rsidRPr="00C77511">
        <w:t xml:space="preserve"> are to attain this coverage obligation within 7 years, along with an interim coverage milestone of 35% of the population within 3 years; </w:t>
      </w:r>
    </w:p>
    <w:p w:rsidR="007A5BDD" w:rsidRPr="00C77511" w:rsidRDefault="007A5BDD" w:rsidP="007A5BDD">
      <w:pPr>
        <w:pStyle w:val="ListParagraph"/>
        <w:numPr>
          <w:ilvl w:val="0"/>
          <w:numId w:val="24"/>
        </w:numPr>
        <w:shd w:val="clear" w:color="auto" w:fill="FFFFFF"/>
        <w:spacing w:before="120" w:after="240" w:line="360" w:lineRule="auto"/>
        <w:jc w:val="both"/>
      </w:pPr>
      <w:proofErr w:type="spellStart"/>
      <w:r w:rsidRPr="00C77511">
        <w:t>licence</w:t>
      </w:r>
      <w:proofErr w:type="spellEnd"/>
      <w:r w:rsidRPr="00C77511">
        <w:t xml:space="preserve"> holders may use multiple bands to achieve coverage targets, but at least 50% of the coverage requirement (i.e. 35% of the population) must be met using the 800 MHz, 900 MHz and/or 1800 MHz bands; </w:t>
      </w:r>
    </w:p>
    <w:p w:rsidR="007A5BDD" w:rsidRPr="00C77511" w:rsidRDefault="007A5BDD" w:rsidP="007A5BDD">
      <w:pPr>
        <w:pStyle w:val="ListParagraph"/>
        <w:numPr>
          <w:ilvl w:val="0"/>
          <w:numId w:val="24"/>
        </w:numPr>
        <w:shd w:val="clear" w:color="auto" w:fill="FFFFFF"/>
        <w:spacing w:before="120" w:after="240" w:line="360" w:lineRule="auto"/>
        <w:jc w:val="both"/>
      </w:pPr>
      <w:r w:rsidRPr="00C77511">
        <w:t xml:space="preserve">Minimum quality of service conditions shall require that: </w:t>
      </w:r>
    </w:p>
    <w:p w:rsidR="007A5BDD" w:rsidRPr="00C77511" w:rsidRDefault="007A5BDD" w:rsidP="007A5BDD">
      <w:pPr>
        <w:pStyle w:val="ListParagraph"/>
        <w:numPr>
          <w:ilvl w:val="0"/>
          <w:numId w:val="25"/>
        </w:numPr>
        <w:shd w:val="clear" w:color="auto" w:fill="FFFFFF"/>
        <w:spacing w:before="120" w:after="240" w:line="360" w:lineRule="auto"/>
        <w:jc w:val="both"/>
      </w:pPr>
      <w:r w:rsidRPr="00C77511">
        <w:t xml:space="preserve">The network unavailability will be less than 35 minutes per 6 month period; </w:t>
      </w:r>
    </w:p>
    <w:p w:rsidR="007A5BDD" w:rsidRDefault="007A5BDD" w:rsidP="007A5BDD">
      <w:pPr>
        <w:pStyle w:val="ListParagraph"/>
        <w:numPr>
          <w:ilvl w:val="0"/>
          <w:numId w:val="25"/>
        </w:numPr>
        <w:shd w:val="clear" w:color="auto" w:fill="FFFFFF"/>
        <w:spacing w:before="120" w:after="240" w:line="360" w:lineRule="auto"/>
        <w:jc w:val="both"/>
      </w:pPr>
      <w:r w:rsidRPr="00C77511">
        <w:t xml:space="preserve">The minimum voice call quality standard will be in line with the standard as set out in the existing GSM </w:t>
      </w:r>
      <w:proofErr w:type="spellStart"/>
      <w:r w:rsidRPr="00C77511">
        <w:t>licences</w:t>
      </w:r>
      <w:proofErr w:type="spellEnd"/>
      <w:r w:rsidRPr="00C77511">
        <w:t xml:space="preserve">; </w:t>
      </w:r>
    </w:p>
    <w:p w:rsidR="007A5BDD" w:rsidRDefault="007A5BDD" w:rsidP="007A5BDD">
      <w:pPr>
        <w:pStyle w:val="ListParagraph"/>
        <w:numPr>
          <w:ilvl w:val="0"/>
          <w:numId w:val="24"/>
        </w:numPr>
        <w:shd w:val="clear" w:color="auto" w:fill="FFFFFF"/>
        <w:spacing w:before="120" w:after="240" w:line="360" w:lineRule="auto"/>
        <w:jc w:val="both"/>
      </w:pPr>
      <w:r>
        <w:lastRenderedPageBreak/>
        <w:t>T</w:t>
      </w:r>
      <w:r w:rsidRPr="00C77511">
        <w:t xml:space="preserve">he 900 MHz and 1800 MHz bands were reserved for GSM use only but the EU has mandated that both bands be </w:t>
      </w:r>
      <w:r>
        <w:t>‘</w:t>
      </w:r>
      <w:proofErr w:type="spellStart"/>
      <w:r w:rsidRPr="00C77511">
        <w:t>liberalised</w:t>
      </w:r>
      <w:proofErr w:type="spellEnd"/>
      <w:r w:rsidRPr="00C77511">
        <w:t xml:space="preserve">‘, meaning that they can be used in future for providing advanced mobile services such as mobile broadband data, </w:t>
      </w:r>
      <w:proofErr w:type="spellStart"/>
      <w:r w:rsidRPr="00C77511">
        <w:t>utilising</w:t>
      </w:r>
      <w:proofErr w:type="spellEnd"/>
      <w:r w:rsidRPr="00C77511">
        <w:t xml:space="preserve"> </w:t>
      </w:r>
      <w:r>
        <w:t>‘</w:t>
      </w:r>
      <w:r w:rsidRPr="00C77511">
        <w:t>3G‘ and</w:t>
      </w:r>
      <w:r>
        <w:t xml:space="preserve"> ‘4G‘ technologies alongside GSM. After the auctions, the licensee would be free to use the spectrum for any technologies.</w:t>
      </w:r>
    </w:p>
    <w:p w:rsidR="007A5BDD" w:rsidRPr="004A08C4" w:rsidRDefault="007A5BDD" w:rsidP="007A5BDD">
      <w:pPr>
        <w:pStyle w:val="ListParagraph"/>
        <w:numPr>
          <w:ilvl w:val="0"/>
          <w:numId w:val="29"/>
        </w:numPr>
        <w:spacing w:before="120" w:after="240" w:line="360" w:lineRule="auto"/>
        <w:jc w:val="both"/>
        <w:rPr>
          <w:b/>
        </w:rPr>
      </w:pPr>
      <w:r w:rsidRPr="004A08C4">
        <w:rPr>
          <w:b/>
        </w:rPr>
        <w:t>Proper Design of Auction is important:</w:t>
      </w:r>
    </w:p>
    <w:p w:rsidR="007A5BDD" w:rsidRDefault="007A5BDD" w:rsidP="007A5BDD">
      <w:pPr>
        <w:pStyle w:val="ListParagraph"/>
        <w:numPr>
          <w:ilvl w:val="0"/>
          <w:numId w:val="13"/>
        </w:numPr>
        <w:shd w:val="clear" w:color="auto" w:fill="FFFFFF"/>
        <w:spacing w:before="120" w:after="240" w:line="360" w:lineRule="auto"/>
        <w:ind w:left="810" w:hanging="810"/>
        <w:jc w:val="both"/>
      </w:pPr>
      <w:r w:rsidRPr="00504304">
        <w:t xml:space="preserve">For an auction to be successful, there are many factors which should be kept in mind. First and the foremost is the setting of the reserve price at </w:t>
      </w:r>
      <w:r w:rsidRPr="00FE1A17">
        <w:t>appropriate</w:t>
      </w:r>
      <w:r w:rsidRPr="00504304">
        <w:t xml:space="preserve"> level.</w:t>
      </w:r>
      <w:r>
        <w:t xml:space="preserve"> The purpose of setting a reserve price is (a) to safeguard the government revenues and (b) to get rid of non-serious bidders. The most important is the level at which the reserve price should set. </w:t>
      </w:r>
    </w:p>
    <w:p w:rsidR="007A5BDD" w:rsidRPr="008D4B23" w:rsidRDefault="007A5BDD" w:rsidP="007A5BDD">
      <w:pPr>
        <w:pStyle w:val="ListParagraph"/>
        <w:numPr>
          <w:ilvl w:val="0"/>
          <w:numId w:val="13"/>
        </w:numPr>
        <w:shd w:val="clear" w:color="auto" w:fill="FFFFFF"/>
        <w:spacing w:before="120" w:after="240" w:line="360" w:lineRule="auto"/>
        <w:ind w:left="810" w:hanging="810"/>
        <w:jc w:val="both"/>
        <w:rPr>
          <w:i/>
        </w:rPr>
      </w:pPr>
      <w:r>
        <w:t>The</w:t>
      </w:r>
      <w:r w:rsidRPr="00504304">
        <w:t xml:space="preserve"> value of spectrum changes over time, a product of both evolving economic circumstances and rapid technological change. </w:t>
      </w:r>
      <w:r>
        <w:t>I</w:t>
      </w:r>
      <w:r w:rsidRPr="00504304">
        <w:t xml:space="preserve">t is impossible to predict what the value (price) of spectrum would be 5 or 10 years from now, much less 20 years hence, the terminal date for a spectrum license. In fact, valuations 5 to 10 years forward may be far higher than today’s estimates. </w:t>
      </w:r>
      <w:r>
        <w:t>V</w:t>
      </w:r>
      <w:r w:rsidRPr="00504304">
        <w:t xml:space="preserve">aluing spectrum and setting reserve prices is part science and part art. </w:t>
      </w:r>
      <w:r>
        <w:t>Moreover,</w:t>
      </w:r>
      <w:r w:rsidRPr="00504304">
        <w:t xml:space="preserve"> there is no single correct and precise valuation of spectrum or the reserve price. There are different ways of arriving at the value of the spectrum, all of which have their merits as well as their drawbacks.</w:t>
      </w:r>
      <w:r>
        <w:t xml:space="preserve"> </w:t>
      </w:r>
      <w:r w:rsidRPr="00A86ADD">
        <w:t xml:space="preserve">Only what can be said that the reserve price should be set at </w:t>
      </w:r>
      <w:proofErr w:type="spellStart"/>
      <w:proofErr w:type="gramStart"/>
      <w:r w:rsidRPr="00A86ADD">
        <w:t>a</w:t>
      </w:r>
      <w:proofErr w:type="spellEnd"/>
      <w:proofErr w:type="gramEnd"/>
      <w:r w:rsidRPr="00A86ADD">
        <w:t xml:space="preserve"> optimal level. </w:t>
      </w:r>
      <w:r w:rsidRPr="008D4B23">
        <w:rPr>
          <w:i/>
        </w:rPr>
        <w:t>(</w:t>
      </w:r>
      <w:r>
        <w:rPr>
          <w:i/>
        </w:rPr>
        <w:t xml:space="preserve">Indian Sector Regulator </w:t>
      </w:r>
      <w:r w:rsidRPr="008D4B23">
        <w:rPr>
          <w:i/>
        </w:rPr>
        <w:t>TRAI’s recommendations on ‘Valuation and Reserve Price</w:t>
      </w:r>
      <w:r>
        <w:rPr>
          <w:i/>
        </w:rPr>
        <w:t xml:space="preserve"> of Spectrum</w:t>
      </w:r>
      <w:r w:rsidRPr="008D4B23">
        <w:rPr>
          <w:i/>
        </w:rPr>
        <w:t>’ dated 9</w:t>
      </w:r>
      <w:r w:rsidRPr="008D4B23">
        <w:rPr>
          <w:i/>
          <w:vertAlign w:val="superscript"/>
        </w:rPr>
        <w:t>th</w:t>
      </w:r>
      <w:r w:rsidRPr="008D4B23">
        <w:rPr>
          <w:i/>
        </w:rPr>
        <w:t xml:space="preserve"> September 2013)</w:t>
      </w:r>
    </w:p>
    <w:p w:rsidR="007A5BDD" w:rsidRDefault="007A5BDD" w:rsidP="007A5BDD">
      <w:pPr>
        <w:pStyle w:val="ListParagraph"/>
        <w:numPr>
          <w:ilvl w:val="0"/>
          <w:numId w:val="13"/>
        </w:numPr>
        <w:shd w:val="clear" w:color="auto" w:fill="FFFFFF"/>
        <w:spacing w:before="120" w:after="240" w:line="360" w:lineRule="auto"/>
        <w:ind w:left="810" w:hanging="810"/>
        <w:jc w:val="both"/>
      </w:pPr>
      <w:r>
        <w:t>If it is set at a very low value, there are chances of collusions amongst the bidders and the spectrum could be sold at a very low prices. On the other hand, if the prices are set very high, you may find that there are no takers of the spectrum at that price.</w:t>
      </w:r>
    </w:p>
    <w:p w:rsidR="007A5BDD" w:rsidRDefault="007A5BDD" w:rsidP="007A5BDD">
      <w:pPr>
        <w:pStyle w:val="ListParagraph"/>
        <w:numPr>
          <w:ilvl w:val="0"/>
          <w:numId w:val="13"/>
        </w:numPr>
        <w:shd w:val="clear" w:color="auto" w:fill="FFFFFF"/>
        <w:spacing w:before="120" w:after="240" w:line="360" w:lineRule="auto"/>
        <w:ind w:left="810" w:hanging="810"/>
        <w:jc w:val="both"/>
      </w:pPr>
      <w:r>
        <w:t xml:space="preserve">There are other factors also like the virtues or the embedded flexibility in the use spectrum which affect the valuation of the spectrum. These factors are discussed in detailed in Chapter-III. An example of the recently concluded auction in Australia is given below followed by a case study of Indian Auctions to show that how crucial is the design of the auction, particularly setting </w:t>
      </w:r>
      <w:proofErr w:type="spellStart"/>
      <w:r>
        <w:t>opf</w:t>
      </w:r>
      <w:proofErr w:type="spellEnd"/>
      <w:r>
        <w:t xml:space="preserve"> the reserve price at the appropriate level.</w:t>
      </w:r>
    </w:p>
    <w:p w:rsidR="007A5BDD" w:rsidRPr="00837B04" w:rsidRDefault="007A5BDD" w:rsidP="007A5BDD">
      <w:pPr>
        <w:tabs>
          <w:tab w:val="left" w:pos="1134"/>
        </w:tabs>
        <w:autoSpaceDE w:val="0"/>
        <w:autoSpaceDN w:val="0"/>
        <w:adjustRightInd w:val="0"/>
        <w:spacing w:before="120" w:after="240" w:line="360" w:lineRule="auto"/>
        <w:ind w:left="426"/>
        <w:rPr>
          <w:b/>
        </w:rPr>
      </w:pPr>
      <w:r w:rsidRPr="00837B04">
        <w:rPr>
          <w:b/>
        </w:rPr>
        <w:t>AUSTRALIA</w:t>
      </w:r>
    </w:p>
    <w:p w:rsidR="007A5BDD" w:rsidRPr="00837B04" w:rsidRDefault="007A5BDD" w:rsidP="007A5BDD">
      <w:pPr>
        <w:pStyle w:val="ListParagraph"/>
        <w:numPr>
          <w:ilvl w:val="0"/>
          <w:numId w:val="13"/>
        </w:numPr>
        <w:shd w:val="clear" w:color="auto" w:fill="FFFFFF"/>
        <w:spacing w:before="120" w:after="240" w:line="360" w:lineRule="auto"/>
        <w:ind w:left="810" w:hanging="810"/>
        <w:jc w:val="both"/>
      </w:pPr>
      <w:r>
        <w:lastRenderedPageBreak/>
        <w:t xml:space="preserve">In </w:t>
      </w:r>
      <w:r w:rsidRPr="00837B04">
        <w:t xml:space="preserve">2013, the Australian Communications and Media Authority (the ACMA) </w:t>
      </w:r>
      <w:r>
        <w:t xml:space="preserve">conducted auction of </w:t>
      </w:r>
      <w:r w:rsidRPr="00837B04">
        <w:t xml:space="preserve">spectrum in the 700 MHz band (and the 2.5 GHz band. The 700 MHz band </w:t>
      </w:r>
      <w:r>
        <w:t>became</w:t>
      </w:r>
      <w:r w:rsidRPr="00837B04">
        <w:t xml:space="preserve"> available as a result of Australia switching from analog to digital television services. The 2.5 GHz band is currently used for electronic news gathering (ENG) services, which are being migrated to other parts of the spectrum. </w:t>
      </w:r>
      <w:r>
        <w:t>T</w:t>
      </w:r>
      <w:r w:rsidRPr="00837B04">
        <w:t xml:space="preserve">he </w:t>
      </w:r>
      <w:proofErr w:type="spellStart"/>
      <w:r w:rsidRPr="00837B04">
        <w:t>licences</w:t>
      </w:r>
      <w:proofErr w:type="spellEnd"/>
      <w:r w:rsidRPr="00837B04">
        <w:t xml:space="preserve"> issued in both bands will be of 15 years duration.</w:t>
      </w:r>
    </w:p>
    <w:p w:rsidR="007A5BDD" w:rsidRPr="00837B04" w:rsidRDefault="007A5BDD" w:rsidP="007A5BDD">
      <w:pPr>
        <w:pStyle w:val="ListParagraph"/>
        <w:numPr>
          <w:ilvl w:val="0"/>
          <w:numId w:val="13"/>
        </w:numPr>
        <w:shd w:val="clear" w:color="auto" w:fill="FFFFFF"/>
        <w:spacing w:before="120" w:after="240" w:line="360" w:lineRule="auto"/>
        <w:ind w:left="810" w:hanging="810"/>
        <w:jc w:val="both"/>
      </w:pPr>
      <w:r w:rsidRPr="00C80F55">
        <w:t xml:space="preserve">The auction used a combinational clock auction (CCA), similar to that used most recently in the UK 800 MHz and 2600 MHz band auction. This is a price clock-based auction method used to sell multiple items in a single process and designed to create incentives for bidders to bid their full value for the spectrum. However, it makes it difficult (if not impossible) to assign a value to each band separately. </w:t>
      </w:r>
      <w:r>
        <w:t xml:space="preserve">CCA </w:t>
      </w:r>
      <w:r w:rsidRPr="00837B04">
        <w:t>consist</w:t>
      </w:r>
      <w:r>
        <w:t>ed</w:t>
      </w:r>
      <w:r w:rsidRPr="00837B04">
        <w:t xml:space="preserve"> of two major stages:</w:t>
      </w:r>
    </w:p>
    <w:p w:rsidR="007A5BDD" w:rsidRPr="00837B04" w:rsidRDefault="007A5BDD" w:rsidP="007A5BDD">
      <w:pPr>
        <w:numPr>
          <w:ilvl w:val="0"/>
          <w:numId w:val="26"/>
        </w:numPr>
        <w:tabs>
          <w:tab w:val="clear" w:pos="720"/>
          <w:tab w:val="left" w:pos="1134"/>
          <w:tab w:val="left" w:pos="2160"/>
        </w:tabs>
        <w:autoSpaceDE w:val="0"/>
        <w:autoSpaceDN w:val="0"/>
        <w:adjustRightInd w:val="0"/>
        <w:spacing w:before="120" w:after="240" w:line="360" w:lineRule="auto"/>
        <w:ind w:left="2070" w:hanging="720"/>
        <w:jc w:val="both"/>
      </w:pPr>
      <w:r w:rsidRPr="00837B04">
        <w:t xml:space="preserve">an allocation stage, which determines the spectrum that each bidder secures </w:t>
      </w:r>
    </w:p>
    <w:p w:rsidR="007A5BDD" w:rsidRDefault="007A5BDD" w:rsidP="007A5BDD">
      <w:pPr>
        <w:numPr>
          <w:ilvl w:val="0"/>
          <w:numId w:val="26"/>
        </w:numPr>
        <w:tabs>
          <w:tab w:val="clear" w:pos="720"/>
          <w:tab w:val="left" w:pos="1134"/>
          <w:tab w:val="left" w:pos="2160"/>
        </w:tabs>
        <w:autoSpaceDE w:val="0"/>
        <w:autoSpaceDN w:val="0"/>
        <w:adjustRightInd w:val="0"/>
        <w:spacing w:before="120" w:after="240" w:line="360" w:lineRule="auto"/>
        <w:ind w:left="2070" w:hanging="720"/>
        <w:jc w:val="both"/>
      </w:pPr>
      <w:proofErr w:type="gramStart"/>
      <w:r w:rsidRPr="00837B04">
        <w:t>an</w:t>
      </w:r>
      <w:proofErr w:type="gramEnd"/>
      <w:r w:rsidRPr="00837B04">
        <w:t xml:space="preserve"> assignment stage, which determines the specific frequency ranges awarded to each successful bidder from the allocation stage. </w:t>
      </w:r>
    </w:p>
    <w:p w:rsidR="007A5BDD" w:rsidRDefault="007A5BDD" w:rsidP="007A5BDD">
      <w:pPr>
        <w:pStyle w:val="ListParagraph"/>
        <w:numPr>
          <w:ilvl w:val="0"/>
          <w:numId w:val="13"/>
        </w:numPr>
        <w:shd w:val="clear" w:color="auto" w:fill="FFFFFF"/>
        <w:spacing w:before="120" w:after="240" w:line="360" w:lineRule="auto"/>
        <w:ind w:left="810" w:hanging="810"/>
        <w:jc w:val="both"/>
      </w:pPr>
      <w:r>
        <w:t>ACMA i</w:t>
      </w:r>
      <w:r w:rsidRPr="004B1C75">
        <w:t>mposed </w:t>
      </w:r>
      <w:hyperlink r:id="rId9" w:tgtFrame="_blank" w:tooltip="competition limits" w:history="1">
        <w:r w:rsidRPr="00E94ED8">
          <w:t>‘competition limits’</w:t>
        </w:r>
      </w:hyperlink>
      <w:r w:rsidRPr="004B1C75">
        <w:t>, which limited the total amount of spectrum that a single bidder can acquire in each band in the auction.</w:t>
      </w:r>
      <w:r w:rsidRPr="00C2410C">
        <w:t xml:space="preserve"> </w:t>
      </w:r>
    </w:p>
    <w:p w:rsidR="007A5BDD" w:rsidRPr="00C2410C" w:rsidRDefault="007A5BDD" w:rsidP="007A5BDD">
      <w:pPr>
        <w:pStyle w:val="ListParagraph"/>
        <w:numPr>
          <w:ilvl w:val="0"/>
          <w:numId w:val="28"/>
        </w:numPr>
        <w:shd w:val="clear" w:color="auto" w:fill="FFFFFF"/>
        <w:spacing w:before="120" w:after="240" w:line="360" w:lineRule="auto"/>
        <w:jc w:val="both"/>
      </w:pPr>
      <w:r w:rsidRPr="00C2410C">
        <w:t>25 MHz paired (50 MHz in total)</w:t>
      </w:r>
      <w:r>
        <w:t xml:space="preserve"> </w:t>
      </w:r>
      <w:r w:rsidRPr="00C2410C">
        <w:t>in the 700 MHz band</w:t>
      </w:r>
    </w:p>
    <w:p w:rsidR="007A5BDD" w:rsidRPr="00837B04" w:rsidRDefault="007A5BDD" w:rsidP="007A5BDD">
      <w:pPr>
        <w:pStyle w:val="ListParagraph"/>
        <w:numPr>
          <w:ilvl w:val="0"/>
          <w:numId w:val="28"/>
        </w:numPr>
        <w:shd w:val="clear" w:color="auto" w:fill="FFFFFF"/>
        <w:spacing w:before="120" w:after="240" w:line="360" w:lineRule="auto"/>
        <w:jc w:val="both"/>
      </w:pPr>
      <w:r w:rsidRPr="00C2410C">
        <w:t>40 MHz paired (80 MHz in total)</w:t>
      </w:r>
      <w:r>
        <w:t xml:space="preserve"> </w:t>
      </w:r>
      <w:r w:rsidRPr="00C2410C">
        <w:t>in the 2.5 GHz band.</w:t>
      </w:r>
    </w:p>
    <w:p w:rsidR="007A5BDD" w:rsidRDefault="007A5BDD" w:rsidP="007A5BDD">
      <w:pPr>
        <w:pStyle w:val="ListParagraph"/>
        <w:numPr>
          <w:ilvl w:val="0"/>
          <w:numId w:val="13"/>
        </w:numPr>
        <w:shd w:val="clear" w:color="auto" w:fill="FFFFFF"/>
        <w:spacing w:before="120" w:after="240" w:line="360" w:lineRule="auto"/>
        <w:ind w:left="810" w:hanging="810"/>
        <w:jc w:val="both"/>
      </w:pPr>
      <w:r>
        <w:t>Reserve price</w:t>
      </w:r>
      <w:r w:rsidRPr="00C80F55">
        <w:t xml:space="preserve"> was set at AU$1.36/MHz-</w:t>
      </w:r>
      <w:proofErr w:type="spellStart"/>
      <w:r w:rsidRPr="00C80F55">
        <w:t>PoP</w:t>
      </w:r>
      <w:proofErr w:type="spellEnd"/>
      <w:r w:rsidRPr="00C80F55">
        <w:t xml:space="preserve"> for the 700 MHz band and AU$0.03/MHz-</w:t>
      </w:r>
      <w:proofErr w:type="spellStart"/>
      <w:r w:rsidRPr="00C80F55">
        <w:t>PoP</w:t>
      </w:r>
      <w:proofErr w:type="spellEnd"/>
      <w:r w:rsidRPr="00C80F55">
        <w:t xml:space="preserve"> for the 2.5 GHz band. Based on this, the auction was expected to generate AU$2.89 billion, but with the unsold allocation in 700 MHz only AU$1.96 was raised: AU$ 929 million less than expected. Setting a high reserve price has evidently backfired resulting in lower total proceeds</w:t>
      </w:r>
      <w:r>
        <w:t>.</w:t>
      </w:r>
      <w:r w:rsidRPr="00C80F55">
        <w:t xml:space="preserve"> Three operators have won spectrum in Australia's digital dividend auction, in the 700MHz band, but a 2x15MHz chunk - one-third of the total - has gone unsold because of the high reserve prices set by regulator ACMA</w:t>
      </w:r>
      <w:r>
        <w:t>.</w:t>
      </w:r>
    </w:p>
    <w:p w:rsidR="007A5BDD" w:rsidRDefault="007A5BDD" w:rsidP="007A5BDD">
      <w:pPr>
        <w:pStyle w:val="ListParagraph"/>
        <w:shd w:val="clear" w:color="auto" w:fill="FFFFFF"/>
        <w:spacing w:before="120" w:after="240" w:line="360" w:lineRule="auto"/>
        <w:ind w:left="810"/>
      </w:pPr>
      <w:r w:rsidRPr="00FA13D8">
        <w:rPr>
          <w:noProof/>
          <w:lang w:bidi="ar-SA"/>
        </w:rPr>
        <w:lastRenderedPageBreak/>
        <w:drawing>
          <wp:inline distT="0" distB="0" distL="0" distR="0" wp14:anchorId="013B4EF0" wp14:editId="5B4FFF63">
            <wp:extent cx="5731510" cy="339316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1510" cy="3393165"/>
                    </a:xfrm>
                    <a:prstGeom prst="rect">
                      <a:avLst/>
                    </a:prstGeom>
                    <a:noFill/>
                    <a:ln w="9525">
                      <a:noFill/>
                      <a:miter lim="800000"/>
                      <a:headEnd/>
                      <a:tailEnd/>
                    </a:ln>
                  </pic:spPr>
                </pic:pic>
              </a:graphicData>
            </a:graphic>
          </wp:inline>
        </w:drawing>
      </w:r>
    </w:p>
    <w:p w:rsidR="007A5BDD" w:rsidRPr="00F26778" w:rsidRDefault="007A5BDD" w:rsidP="007A5BDD">
      <w:pPr>
        <w:pStyle w:val="ListParagraph"/>
        <w:numPr>
          <w:ilvl w:val="0"/>
          <w:numId w:val="29"/>
        </w:numPr>
        <w:spacing w:before="120" w:after="240" w:line="360" w:lineRule="auto"/>
        <w:jc w:val="both"/>
        <w:rPr>
          <w:b/>
        </w:rPr>
      </w:pPr>
      <w:r w:rsidRPr="00F26778">
        <w:rPr>
          <w:b/>
        </w:rPr>
        <w:t>CASE STUDY OF LAST THREE SPECTRUM AUCTIONS (NOV 2012, MARCH 2013 AND FEB 2014) IN INDIA</w:t>
      </w:r>
    </w:p>
    <w:p w:rsidR="007A5BDD" w:rsidRDefault="007A5BDD" w:rsidP="007A5BDD">
      <w:pPr>
        <w:pStyle w:val="ListParagraph"/>
        <w:numPr>
          <w:ilvl w:val="0"/>
          <w:numId w:val="13"/>
        </w:numPr>
        <w:shd w:val="clear" w:color="auto" w:fill="FFFFFF"/>
        <w:spacing w:before="120" w:after="240" w:line="360" w:lineRule="auto"/>
        <w:ind w:left="810" w:hanging="810"/>
        <w:jc w:val="both"/>
      </w:pPr>
      <w:r>
        <w:t xml:space="preserve">Consider the Spectrum auctions of India held in the month of November 2012. These auctions were held after the cancellation of 122 </w:t>
      </w:r>
      <w:proofErr w:type="spellStart"/>
      <w:r>
        <w:t>licences</w:t>
      </w:r>
      <w:proofErr w:type="spellEnd"/>
      <w:r>
        <w:t xml:space="preserve"> of TSPs by the </w:t>
      </w:r>
      <w:proofErr w:type="spellStart"/>
      <w:r>
        <w:t>Hon’ble</w:t>
      </w:r>
      <w:proofErr w:type="spellEnd"/>
      <w:r>
        <w:t xml:space="preserve"> Supreme Court of India. The licensees, whose </w:t>
      </w:r>
      <w:proofErr w:type="spellStart"/>
      <w:r w:rsidRPr="00FE1A17">
        <w:t>licences</w:t>
      </w:r>
      <w:proofErr w:type="spellEnd"/>
      <w:r>
        <w:t xml:space="preserve"> were cancelled, were allowed to continue providing the services till the auctions are over. TRAI was asked to make recommendations for these auctions. After considering the recommendations of TRAI</w:t>
      </w:r>
      <w:r>
        <w:rPr>
          <w:rStyle w:val="FootnoteReference"/>
        </w:rPr>
        <w:footnoteReference w:id="1"/>
      </w:r>
      <w:r>
        <w:t>, the Government made the following provisions in the auction:</w:t>
      </w:r>
    </w:p>
    <w:p w:rsidR="007A5BDD" w:rsidRDefault="007A5BDD" w:rsidP="007A5BDD">
      <w:pPr>
        <w:pStyle w:val="ListParagraph"/>
        <w:numPr>
          <w:ilvl w:val="0"/>
          <w:numId w:val="21"/>
        </w:numPr>
        <w:spacing w:before="120" w:after="240" w:line="360" w:lineRule="auto"/>
        <w:ind w:left="1440" w:hanging="450"/>
        <w:contextualSpacing/>
        <w:jc w:val="both"/>
      </w:pPr>
      <w:r w:rsidRPr="006719C8">
        <w:t xml:space="preserve">There are no restrictions on the technology to be adopted for providing services within the scope of the service license using spectrum blocks allotted through this auction. The technology should be based on standards approved by ITU/TEC or any other International Standards Organization/ bodies/ Industry. </w:t>
      </w:r>
    </w:p>
    <w:p w:rsidR="007A5BDD" w:rsidRPr="00161FEC" w:rsidRDefault="007A5BDD" w:rsidP="007A5BDD">
      <w:pPr>
        <w:pStyle w:val="ListParagraph"/>
        <w:numPr>
          <w:ilvl w:val="0"/>
          <w:numId w:val="21"/>
        </w:numPr>
        <w:spacing w:before="120" w:after="240" w:line="360" w:lineRule="auto"/>
        <w:ind w:left="1440" w:hanging="450"/>
        <w:contextualSpacing/>
        <w:jc w:val="both"/>
      </w:pPr>
      <w:r w:rsidRPr="006719C8">
        <w:t xml:space="preserve">Existing Licensees will be allowed to convert their entire existing spectrum holding in 1800MHz band into </w:t>
      </w:r>
      <w:proofErr w:type="spellStart"/>
      <w:r w:rsidRPr="006719C8">
        <w:t>liberalised</w:t>
      </w:r>
      <w:proofErr w:type="spellEnd"/>
      <w:r w:rsidRPr="006719C8">
        <w:t xml:space="preserve"> spectrum after payment of auction determined price</w:t>
      </w:r>
      <w:r>
        <w:t>.</w:t>
      </w:r>
    </w:p>
    <w:p w:rsidR="007A5BDD" w:rsidRDefault="007A5BDD" w:rsidP="007A5BDD">
      <w:pPr>
        <w:pStyle w:val="ListParagraph"/>
        <w:numPr>
          <w:ilvl w:val="0"/>
          <w:numId w:val="21"/>
        </w:numPr>
        <w:spacing w:before="120" w:after="240" w:line="360" w:lineRule="auto"/>
        <w:ind w:left="1440" w:hanging="446"/>
        <w:jc w:val="both"/>
      </w:pPr>
      <w:r>
        <w:t>Following were the limits imposed on the quantum of spectrum that a bidder could procure through these auctions:</w:t>
      </w:r>
    </w:p>
    <w:p w:rsidR="007A5BDD" w:rsidRPr="00DB3F7E" w:rsidRDefault="007A5BDD" w:rsidP="007A5BDD">
      <w:pPr>
        <w:pStyle w:val="ListParagraph"/>
        <w:spacing w:before="120" w:after="240" w:line="360" w:lineRule="auto"/>
        <w:ind w:left="1440"/>
        <w:jc w:val="center"/>
        <w:rPr>
          <w:b/>
        </w:rPr>
      </w:pPr>
      <w:r w:rsidRPr="00DB3F7E">
        <w:rPr>
          <w:b/>
        </w:rPr>
        <w:t>Table</w:t>
      </w:r>
    </w:p>
    <w:tbl>
      <w:tblPr>
        <w:tblW w:w="0" w:type="auto"/>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5"/>
        <w:gridCol w:w="2293"/>
        <w:gridCol w:w="2183"/>
      </w:tblGrid>
      <w:tr w:rsidR="007A5BDD" w:rsidRPr="00DB3F7E" w:rsidTr="00440CBA">
        <w:trPr>
          <w:trHeight w:val="288"/>
        </w:trPr>
        <w:tc>
          <w:tcPr>
            <w:tcW w:w="2225" w:type="dxa"/>
            <w:shd w:val="clear" w:color="auto" w:fill="auto"/>
            <w:tcMar>
              <w:top w:w="13" w:type="dxa"/>
              <w:left w:w="108" w:type="dxa"/>
              <w:bottom w:w="0" w:type="dxa"/>
              <w:right w:w="108" w:type="dxa"/>
            </w:tcMar>
            <w:hideMark/>
          </w:tcPr>
          <w:p w:rsidR="007A5BDD" w:rsidRPr="00DB3F7E" w:rsidRDefault="007A5BDD" w:rsidP="00440CBA">
            <w:pPr>
              <w:pStyle w:val="ListParagraph"/>
              <w:spacing w:before="20" w:after="20"/>
              <w:ind w:left="1440"/>
              <w:rPr>
                <w:sz w:val="22"/>
              </w:rPr>
            </w:pPr>
          </w:p>
        </w:tc>
        <w:tc>
          <w:tcPr>
            <w:tcW w:w="2293" w:type="dxa"/>
            <w:shd w:val="clear" w:color="auto" w:fill="auto"/>
            <w:tcMar>
              <w:top w:w="13" w:type="dxa"/>
              <w:left w:w="108" w:type="dxa"/>
              <w:bottom w:w="0" w:type="dxa"/>
              <w:right w:w="108" w:type="dxa"/>
            </w:tcMar>
            <w:hideMark/>
          </w:tcPr>
          <w:p w:rsidR="007A5BDD" w:rsidRPr="00DB3F7E" w:rsidRDefault="007A5BDD" w:rsidP="00440CBA">
            <w:pPr>
              <w:pStyle w:val="ListParagraph"/>
              <w:spacing w:before="20" w:after="20"/>
              <w:rPr>
                <w:sz w:val="22"/>
              </w:rPr>
            </w:pPr>
            <w:r w:rsidRPr="00DB3F7E">
              <w:rPr>
                <w:b/>
                <w:bCs/>
                <w:sz w:val="22"/>
              </w:rPr>
              <w:t>Auction of spectrum in 1800 MHz band</w:t>
            </w:r>
            <w:r w:rsidRPr="00DB3F7E">
              <w:rPr>
                <w:sz w:val="22"/>
              </w:rPr>
              <w:t xml:space="preserve"> </w:t>
            </w:r>
          </w:p>
        </w:tc>
        <w:tc>
          <w:tcPr>
            <w:tcW w:w="2183" w:type="dxa"/>
            <w:shd w:val="clear" w:color="auto" w:fill="auto"/>
            <w:tcMar>
              <w:top w:w="13" w:type="dxa"/>
              <w:left w:w="108" w:type="dxa"/>
              <w:bottom w:w="0" w:type="dxa"/>
              <w:right w:w="108" w:type="dxa"/>
            </w:tcMar>
            <w:hideMark/>
          </w:tcPr>
          <w:p w:rsidR="007A5BDD" w:rsidRPr="00DB3F7E" w:rsidRDefault="007A5BDD" w:rsidP="00440CBA">
            <w:pPr>
              <w:pStyle w:val="ListParagraph"/>
              <w:spacing w:before="20" w:after="20"/>
              <w:rPr>
                <w:b/>
                <w:bCs/>
                <w:sz w:val="22"/>
              </w:rPr>
            </w:pPr>
            <w:r w:rsidRPr="00DB3F7E">
              <w:rPr>
                <w:b/>
                <w:bCs/>
                <w:sz w:val="22"/>
              </w:rPr>
              <w:t>Auction of spectrum in 90 MHz band</w:t>
            </w:r>
          </w:p>
        </w:tc>
      </w:tr>
      <w:tr w:rsidR="007A5BDD" w:rsidRPr="00DB3F7E" w:rsidTr="00440CBA">
        <w:trPr>
          <w:trHeight w:val="288"/>
        </w:trPr>
        <w:tc>
          <w:tcPr>
            <w:tcW w:w="2225" w:type="dxa"/>
            <w:shd w:val="clear" w:color="auto" w:fill="FFFFFF" w:themeFill="background1"/>
            <w:tcMar>
              <w:top w:w="13" w:type="dxa"/>
              <w:left w:w="108" w:type="dxa"/>
              <w:bottom w:w="0" w:type="dxa"/>
              <w:right w:w="108" w:type="dxa"/>
            </w:tcMar>
            <w:hideMark/>
          </w:tcPr>
          <w:p w:rsidR="007A5BDD" w:rsidRPr="00DB3F7E" w:rsidRDefault="007A5BDD" w:rsidP="00440CBA">
            <w:pPr>
              <w:spacing w:before="20" w:after="20"/>
              <w:rPr>
                <w:sz w:val="22"/>
              </w:rPr>
            </w:pPr>
            <w:r w:rsidRPr="00DB3F7E">
              <w:rPr>
                <w:b/>
                <w:bCs/>
                <w:sz w:val="22"/>
              </w:rPr>
              <w:t>Block Size</w:t>
            </w:r>
            <w:r w:rsidRPr="00DB3F7E">
              <w:rPr>
                <w:sz w:val="22"/>
              </w:rPr>
              <w:t xml:space="preserve"> </w:t>
            </w:r>
          </w:p>
        </w:tc>
        <w:tc>
          <w:tcPr>
            <w:tcW w:w="2293" w:type="dxa"/>
            <w:shd w:val="clear" w:color="auto" w:fill="FFFFFF" w:themeFill="background1"/>
            <w:tcMar>
              <w:top w:w="13" w:type="dxa"/>
              <w:left w:w="108" w:type="dxa"/>
              <w:bottom w:w="0" w:type="dxa"/>
              <w:right w:w="108" w:type="dxa"/>
            </w:tcMar>
            <w:hideMark/>
          </w:tcPr>
          <w:p w:rsidR="007A5BDD" w:rsidRPr="00DB3F7E" w:rsidRDefault="007A5BDD" w:rsidP="00440CBA">
            <w:pPr>
              <w:pStyle w:val="ListParagraph"/>
              <w:spacing w:before="20" w:after="20"/>
              <w:rPr>
                <w:sz w:val="22"/>
              </w:rPr>
            </w:pPr>
            <w:r w:rsidRPr="00DB3F7E">
              <w:rPr>
                <w:sz w:val="22"/>
              </w:rPr>
              <w:t>1.25 MHz</w:t>
            </w:r>
          </w:p>
        </w:tc>
        <w:tc>
          <w:tcPr>
            <w:tcW w:w="2183" w:type="dxa"/>
            <w:shd w:val="clear" w:color="auto" w:fill="FFFFFF" w:themeFill="background1"/>
            <w:tcMar>
              <w:top w:w="13" w:type="dxa"/>
              <w:left w:w="108" w:type="dxa"/>
              <w:bottom w:w="0" w:type="dxa"/>
              <w:right w:w="108" w:type="dxa"/>
            </w:tcMar>
            <w:hideMark/>
          </w:tcPr>
          <w:p w:rsidR="007A5BDD" w:rsidRPr="00DB3F7E" w:rsidRDefault="007A5BDD" w:rsidP="00440CBA">
            <w:pPr>
              <w:pStyle w:val="ListParagraph"/>
              <w:spacing w:before="20" w:after="20"/>
              <w:rPr>
                <w:sz w:val="22"/>
              </w:rPr>
            </w:pPr>
            <w:r w:rsidRPr="00DB3F7E">
              <w:rPr>
                <w:sz w:val="22"/>
              </w:rPr>
              <w:t>1.25 MHz</w:t>
            </w:r>
          </w:p>
        </w:tc>
      </w:tr>
      <w:tr w:rsidR="007A5BDD" w:rsidRPr="00DB3F7E" w:rsidTr="00440CBA">
        <w:trPr>
          <w:trHeight w:val="288"/>
        </w:trPr>
        <w:tc>
          <w:tcPr>
            <w:tcW w:w="2225" w:type="dxa"/>
            <w:shd w:val="clear" w:color="auto" w:fill="auto"/>
            <w:tcMar>
              <w:top w:w="13" w:type="dxa"/>
              <w:left w:w="108" w:type="dxa"/>
              <w:bottom w:w="0" w:type="dxa"/>
              <w:right w:w="108" w:type="dxa"/>
            </w:tcMar>
            <w:hideMark/>
          </w:tcPr>
          <w:p w:rsidR="007A5BDD" w:rsidRPr="00DB3F7E" w:rsidRDefault="007A5BDD" w:rsidP="00440CBA">
            <w:pPr>
              <w:pStyle w:val="ListParagraph"/>
              <w:spacing w:before="20" w:after="20"/>
              <w:rPr>
                <w:sz w:val="22"/>
              </w:rPr>
            </w:pPr>
            <w:r w:rsidRPr="00DB3F7E">
              <w:rPr>
                <w:b/>
                <w:bCs/>
                <w:sz w:val="22"/>
              </w:rPr>
              <w:t>Cap for Existing Players</w:t>
            </w:r>
            <w:r w:rsidRPr="00DB3F7E">
              <w:rPr>
                <w:sz w:val="22"/>
              </w:rPr>
              <w:t xml:space="preserve"> </w:t>
            </w:r>
          </w:p>
        </w:tc>
        <w:tc>
          <w:tcPr>
            <w:tcW w:w="2293" w:type="dxa"/>
            <w:shd w:val="clear" w:color="auto" w:fill="auto"/>
            <w:tcMar>
              <w:top w:w="13" w:type="dxa"/>
              <w:left w:w="108" w:type="dxa"/>
              <w:bottom w:w="0" w:type="dxa"/>
              <w:right w:w="108" w:type="dxa"/>
            </w:tcMar>
            <w:hideMark/>
          </w:tcPr>
          <w:p w:rsidR="007A5BDD" w:rsidRPr="00DB3F7E" w:rsidRDefault="007A5BDD" w:rsidP="00440CBA">
            <w:pPr>
              <w:pStyle w:val="ListParagraph"/>
              <w:spacing w:before="20" w:after="20"/>
              <w:rPr>
                <w:sz w:val="22"/>
              </w:rPr>
            </w:pPr>
            <w:r w:rsidRPr="00DB3F7E">
              <w:rPr>
                <w:sz w:val="22"/>
              </w:rPr>
              <w:t xml:space="preserve">1 </w:t>
            </w:r>
            <w:r w:rsidRPr="00DB3F7E">
              <w:rPr>
                <w:bCs/>
                <w:sz w:val="22"/>
              </w:rPr>
              <w:t>Block</w:t>
            </w:r>
          </w:p>
        </w:tc>
        <w:tc>
          <w:tcPr>
            <w:tcW w:w="2183" w:type="dxa"/>
            <w:shd w:val="clear" w:color="auto" w:fill="auto"/>
            <w:tcMar>
              <w:top w:w="13" w:type="dxa"/>
              <w:left w:w="108" w:type="dxa"/>
              <w:bottom w:w="0" w:type="dxa"/>
              <w:right w:w="108" w:type="dxa"/>
            </w:tcMar>
            <w:hideMark/>
          </w:tcPr>
          <w:p w:rsidR="007A5BDD" w:rsidRPr="00DB3F7E" w:rsidRDefault="007A5BDD" w:rsidP="00440CBA">
            <w:pPr>
              <w:pStyle w:val="ListParagraph"/>
              <w:spacing w:before="20" w:after="20"/>
              <w:rPr>
                <w:sz w:val="22"/>
              </w:rPr>
            </w:pPr>
            <w:r w:rsidRPr="00DB3F7E">
              <w:rPr>
                <w:sz w:val="22"/>
              </w:rPr>
              <w:t xml:space="preserve">2 </w:t>
            </w:r>
            <w:r w:rsidRPr="00DB3F7E">
              <w:rPr>
                <w:bCs/>
                <w:sz w:val="22"/>
              </w:rPr>
              <w:t>Blocks</w:t>
            </w:r>
          </w:p>
        </w:tc>
      </w:tr>
      <w:tr w:rsidR="007A5BDD" w:rsidRPr="00DB3F7E" w:rsidTr="00440CBA">
        <w:trPr>
          <w:trHeight w:val="288"/>
        </w:trPr>
        <w:tc>
          <w:tcPr>
            <w:tcW w:w="2225" w:type="dxa"/>
            <w:shd w:val="clear" w:color="auto" w:fill="FFFFFF" w:themeFill="background1"/>
            <w:tcMar>
              <w:top w:w="13" w:type="dxa"/>
              <w:left w:w="108" w:type="dxa"/>
              <w:bottom w:w="0" w:type="dxa"/>
              <w:right w:w="108" w:type="dxa"/>
            </w:tcMar>
            <w:hideMark/>
          </w:tcPr>
          <w:p w:rsidR="007A5BDD" w:rsidRPr="00DB3F7E" w:rsidRDefault="007A5BDD" w:rsidP="00440CBA">
            <w:pPr>
              <w:pStyle w:val="ListParagraph"/>
              <w:spacing w:before="20" w:after="20"/>
              <w:rPr>
                <w:sz w:val="22"/>
              </w:rPr>
            </w:pPr>
            <w:r w:rsidRPr="00DB3F7E">
              <w:rPr>
                <w:b/>
                <w:bCs/>
                <w:sz w:val="22"/>
              </w:rPr>
              <w:t>Cap for New Entrants</w:t>
            </w:r>
            <w:r w:rsidRPr="00DB3F7E">
              <w:rPr>
                <w:sz w:val="22"/>
              </w:rPr>
              <w:t xml:space="preserve"> </w:t>
            </w:r>
          </w:p>
        </w:tc>
        <w:tc>
          <w:tcPr>
            <w:tcW w:w="2293" w:type="dxa"/>
            <w:shd w:val="clear" w:color="auto" w:fill="FFFFFF" w:themeFill="background1"/>
            <w:tcMar>
              <w:top w:w="13" w:type="dxa"/>
              <w:left w:w="108" w:type="dxa"/>
              <w:bottom w:w="0" w:type="dxa"/>
              <w:right w:w="108" w:type="dxa"/>
            </w:tcMar>
            <w:hideMark/>
          </w:tcPr>
          <w:p w:rsidR="007A5BDD" w:rsidRPr="00DB3F7E" w:rsidRDefault="007A5BDD" w:rsidP="00440CBA">
            <w:pPr>
              <w:pStyle w:val="ListParagraph"/>
              <w:spacing w:before="20" w:after="20"/>
              <w:rPr>
                <w:sz w:val="22"/>
              </w:rPr>
            </w:pPr>
            <w:r w:rsidRPr="00DB3F7E">
              <w:rPr>
                <w:sz w:val="22"/>
              </w:rPr>
              <w:t xml:space="preserve"> Min. 4 Blocks;</w:t>
            </w:r>
          </w:p>
          <w:p w:rsidR="007A5BDD" w:rsidRPr="00DB3F7E" w:rsidRDefault="007A5BDD" w:rsidP="00440CBA">
            <w:pPr>
              <w:pStyle w:val="ListParagraph"/>
              <w:spacing w:before="20" w:after="20"/>
              <w:rPr>
                <w:sz w:val="22"/>
              </w:rPr>
            </w:pPr>
            <w:r w:rsidRPr="00DB3F7E">
              <w:rPr>
                <w:sz w:val="22"/>
              </w:rPr>
              <w:t xml:space="preserve"> Max 5 Blocks</w:t>
            </w:r>
          </w:p>
        </w:tc>
        <w:tc>
          <w:tcPr>
            <w:tcW w:w="2183" w:type="dxa"/>
            <w:shd w:val="clear" w:color="auto" w:fill="FFFFFF" w:themeFill="background1"/>
            <w:tcMar>
              <w:top w:w="13" w:type="dxa"/>
              <w:left w:w="108" w:type="dxa"/>
              <w:bottom w:w="0" w:type="dxa"/>
              <w:right w:w="108" w:type="dxa"/>
            </w:tcMar>
            <w:hideMark/>
          </w:tcPr>
          <w:p w:rsidR="007A5BDD" w:rsidRPr="00DB3F7E" w:rsidRDefault="007A5BDD" w:rsidP="00440CBA">
            <w:pPr>
              <w:pStyle w:val="ListParagraph"/>
              <w:spacing w:before="20" w:after="20"/>
              <w:rPr>
                <w:sz w:val="22"/>
              </w:rPr>
            </w:pPr>
            <w:r w:rsidRPr="00DB3F7E">
              <w:rPr>
                <w:sz w:val="22"/>
              </w:rPr>
              <w:t xml:space="preserve"> Min. 2 Blocks;</w:t>
            </w:r>
          </w:p>
          <w:p w:rsidR="007A5BDD" w:rsidRPr="00DB3F7E" w:rsidRDefault="007A5BDD" w:rsidP="00440CBA">
            <w:pPr>
              <w:pStyle w:val="ListParagraph"/>
              <w:spacing w:before="20" w:after="20"/>
              <w:rPr>
                <w:sz w:val="22"/>
              </w:rPr>
            </w:pPr>
            <w:r w:rsidRPr="00DB3F7E">
              <w:rPr>
                <w:sz w:val="22"/>
              </w:rPr>
              <w:t xml:space="preserve"> Max 3 Blocks</w:t>
            </w:r>
          </w:p>
        </w:tc>
      </w:tr>
      <w:tr w:rsidR="007A5BDD" w:rsidRPr="00DB3F7E" w:rsidTr="00440CBA">
        <w:trPr>
          <w:trHeight w:val="288"/>
        </w:trPr>
        <w:tc>
          <w:tcPr>
            <w:tcW w:w="2225" w:type="dxa"/>
            <w:shd w:val="clear" w:color="auto" w:fill="auto"/>
            <w:tcMar>
              <w:top w:w="13" w:type="dxa"/>
              <w:left w:w="108" w:type="dxa"/>
              <w:bottom w:w="0" w:type="dxa"/>
              <w:right w:w="108" w:type="dxa"/>
            </w:tcMar>
            <w:hideMark/>
          </w:tcPr>
          <w:p w:rsidR="007A5BDD" w:rsidRPr="00DB3F7E" w:rsidRDefault="007A5BDD" w:rsidP="00440CBA">
            <w:pPr>
              <w:pStyle w:val="ListParagraph"/>
              <w:spacing w:before="20" w:after="20"/>
              <w:rPr>
                <w:sz w:val="22"/>
              </w:rPr>
            </w:pPr>
            <w:r w:rsidRPr="00DB3F7E">
              <w:rPr>
                <w:b/>
                <w:bCs/>
                <w:sz w:val="22"/>
              </w:rPr>
              <w:t>Total Spectrum put to auction</w:t>
            </w:r>
            <w:r w:rsidRPr="00DB3F7E">
              <w:rPr>
                <w:sz w:val="22"/>
              </w:rPr>
              <w:t xml:space="preserve"> </w:t>
            </w:r>
          </w:p>
        </w:tc>
        <w:tc>
          <w:tcPr>
            <w:tcW w:w="2293" w:type="dxa"/>
            <w:shd w:val="clear" w:color="auto" w:fill="auto"/>
            <w:tcMar>
              <w:top w:w="13" w:type="dxa"/>
              <w:left w:w="108" w:type="dxa"/>
              <w:bottom w:w="0" w:type="dxa"/>
              <w:right w:w="108" w:type="dxa"/>
            </w:tcMar>
            <w:hideMark/>
          </w:tcPr>
          <w:p w:rsidR="007A5BDD" w:rsidRPr="00DB3F7E" w:rsidRDefault="007A5BDD" w:rsidP="00440CBA">
            <w:pPr>
              <w:pStyle w:val="ListParagraph"/>
              <w:spacing w:before="20" w:after="20"/>
              <w:rPr>
                <w:sz w:val="22"/>
              </w:rPr>
            </w:pPr>
            <w:r w:rsidRPr="00DB3F7E">
              <w:rPr>
                <w:sz w:val="22"/>
              </w:rPr>
              <w:t xml:space="preserve">8 to </w:t>
            </w:r>
            <w:r w:rsidRPr="00DB3F7E">
              <w:rPr>
                <w:bCs/>
                <w:sz w:val="22"/>
              </w:rPr>
              <w:t>11</w:t>
            </w:r>
            <w:r w:rsidRPr="00DB3F7E">
              <w:rPr>
                <w:sz w:val="22"/>
              </w:rPr>
              <w:t xml:space="preserve"> Blocks</w:t>
            </w:r>
          </w:p>
          <w:p w:rsidR="007A5BDD" w:rsidRPr="00DB3F7E" w:rsidRDefault="007A5BDD" w:rsidP="00440CBA">
            <w:pPr>
              <w:pStyle w:val="ListParagraph"/>
              <w:spacing w:before="20" w:after="20"/>
              <w:rPr>
                <w:sz w:val="22"/>
              </w:rPr>
            </w:pPr>
            <w:r w:rsidRPr="00DB3F7E">
              <w:rPr>
                <w:sz w:val="22"/>
              </w:rPr>
              <w:t xml:space="preserve">(10 MHz to 13.75 MHz) in each Circle </w:t>
            </w:r>
          </w:p>
        </w:tc>
        <w:tc>
          <w:tcPr>
            <w:tcW w:w="2183" w:type="dxa"/>
            <w:shd w:val="clear" w:color="auto" w:fill="auto"/>
            <w:tcMar>
              <w:top w:w="13" w:type="dxa"/>
              <w:left w:w="108" w:type="dxa"/>
              <w:bottom w:w="0" w:type="dxa"/>
              <w:right w:w="108" w:type="dxa"/>
            </w:tcMar>
            <w:hideMark/>
          </w:tcPr>
          <w:p w:rsidR="007A5BDD" w:rsidRPr="00DB3F7E" w:rsidRDefault="007A5BDD" w:rsidP="00440CBA">
            <w:pPr>
              <w:pStyle w:val="ListParagraph"/>
              <w:spacing w:before="20" w:after="20"/>
              <w:rPr>
                <w:sz w:val="22"/>
              </w:rPr>
            </w:pPr>
            <w:r w:rsidRPr="00DB3F7E">
              <w:rPr>
                <w:sz w:val="22"/>
              </w:rPr>
              <w:t xml:space="preserve">3 to 4 Blocks </w:t>
            </w:r>
          </w:p>
          <w:p w:rsidR="007A5BDD" w:rsidRPr="00DB3F7E" w:rsidRDefault="007A5BDD" w:rsidP="00440CBA">
            <w:pPr>
              <w:pStyle w:val="ListParagraph"/>
              <w:spacing w:before="20" w:after="20"/>
              <w:rPr>
                <w:sz w:val="22"/>
              </w:rPr>
            </w:pPr>
            <w:r w:rsidRPr="00DB3F7E">
              <w:rPr>
                <w:sz w:val="22"/>
              </w:rPr>
              <w:t xml:space="preserve">(3.75 to 5 MHz) in each </w:t>
            </w:r>
            <w:r w:rsidRPr="00DB3F7E">
              <w:rPr>
                <w:bCs/>
                <w:sz w:val="22"/>
              </w:rPr>
              <w:t>Circle</w:t>
            </w:r>
            <w:r w:rsidRPr="00DB3F7E">
              <w:rPr>
                <w:sz w:val="22"/>
              </w:rPr>
              <w:t xml:space="preserve"> </w:t>
            </w:r>
          </w:p>
        </w:tc>
      </w:tr>
    </w:tbl>
    <w:p w:rsidR="007A5BDD" w:rsidRDefault="007A5BDD" w:rsidP="007A5BDD">
      <w:pPr>
        <w:pStyle w:val="ListParagraph"/>
        <w:spacing w:before="120" w:after="240" w:line="360" w:lineRule="auto"/>
        <w:ind w:left="1440"/>
      </w:pPr>
    </w:p>
    <w:p w:rsidR="007A5BDD" w:rsidRDefault="007A5BDD" w:rsidP="007A5BDD">
      <w:pPr>
        <w:pStyle w:val="ListParagraph"/>
        <w:numPr>
          <w:ilvl w:val="0"/>
          <w:numId w:val="21"/>
        </w:numPr>
        <w:spacing w:line="360" w:lineRule="auto"/>
        <w:ind w:left="1440" w:hanging="446"/>
        <w:contextualSpacing/>
        <w:jc w:val="both"/>
      </w:pPr>
      <w:r>
        <w:t>Reserve Price was set as given below:</w:t>
      </w:r>
    </w:p>
    <w:p w:rsidR="007A5BDD" w:rsidRPr="009374C6" w:rsidRDefault="007A5BDD" w:rsidP="007A5BDD">
      <w:pPr>
        <w:pStyle w:val="ListParagraph"/>
        <w:numPr>
          <w:ilvl w:val="0"/>
          <w:numId w:val="22"/>
        </w:numPr>
        <w:spacing w:line="360" w:lineRule="auto"/>
        <w:contextualSpacing/>
        <w:jc w:val="both"/>
      </w:pPr>
      <w:r w:rsidRPr="00A05E8F">
        <w:rPr>
          <w:b/>
        </w:rPr>
        <w:t>1800 MHz Band</w:t>
      </w:r>
      <w:r>
        <w:t xml:space="preserve">: </w:t>
      </w:r>
      <w:proofErr w:type="spellStart"/>
      <w:r w:rsidRPr="009374C6">
        <w:t>Rs</w:t>
      </w:r>
      <w:proofErr w:type="spellEnd"/>
      <w:r w:rsidRPr="009374C6">
        <w:t>. 14000 crore (US$ 2</w:t>
      </w:r>
      <w:r>
        <w:t>333</w:t>
      </w:r>
      <w:r w:rsidRPr="009374C6">
        <w:t xml:space="preserve"> </w:t>
      </w:r>
      <w:proofErr w:type="spellStart"/>
      <w:r w:rsidRPr="009374C6">
        <w:t>mn</w:t>
      </w:r>
      <w:proofErr w:type="spellEnd"/>
      <w:r w:rsidRPr="009374C6">
        <w:t xml:space="preserve">) for 2x5 </w:t>
      </w:r>
      <w:proofErr w:type="spellStart"/>
      <w:r w:rsidRPr="009374C6">
        <w:t>MHz.</w:t>
      </w:r>
      <w:proofErr w:type="spellEnd"/>
    </w:p>
    <w:p w:rsidR="007A5BDD" w:rsidRPr="009374C6" w:rsidRDefault="007A5BDD" w:rsidP="007A5BDD">
      <w:pPr>
        <w:pStyle w:val="ListParagraph"/>
        <w:numPr>
          <w:ilvl w:val="0"/>
          <w:numId w:val="22"/>
        </w:numPr>
        <w:spacing w:line="360" w:lineRule="auto"/>
        <w:contextualSpacing/>
        <w:jc w:val="both"/>
      </w:pPr>
      <w:r w:rsidRPr="00A05E8F">
        <w:rPr>
          <w:b/>
        </w:rPr>
        <w:t>800 MHz Band:</w:t>
      </w:r>
      <w:r>
        <w:t xml:space="preserve"> </w:t>
      </w:r>
      <w:proofErr w:type="spellStart"/>
      <w:r w:rsidRPr="009374C6">
        <w:t>Rs</w:t>
      </w:r>
      <w:proofErr w:type="spellEnd"/>
      <w:r w:rsidRPr="009374C6">
        <w:t>. 18200 crore (US$ 3</w:t>
      </w:r>
      <w:r>
        <w:t>033</w:t>
      </w:r>
      <w:r w:rsidRPr="009374C6">
        <w:t xml:space="preserve"> </w:t>
      </w:r>
      <w:proofErr w:type="spellStart"/>
      <w:r w:rsidRPr="009374C6">
        <w:t>mn</w:t>
      </w:r>
      <w:proofErr w:type="spellEnd"/>
      <w:r w:rsidRPr="009374C6">
        <w:t>) for 2x5 MHz (i.e. 1.3 times that of spectrum in 1800 MHz band).</w:t>
      </w:r>
    </w:p>
    <w:p w:rsidR="007A5BDD" w:rsidRDefault="007A5BDD" w:rsidP="007A5BDD">
      <w:pPr>
        <w:pStyle w:val="ListParagraph"/>
        <w:numPr>
          <w:ilvl w:val="0"/>
          <w:numId w:val="21"/>
        </w:numPr>
        <w:spacing w:line="360" w:lineRule="auto"/>
        <w:ind w:left="1440" w:hanging="446"/>
        <w:contextualSpacing/>
        <w:jc w:val="both"/>
      </w:pPr>
      <w:r>
        <w:t>Apart from the spectrum acquisition fee, TSPs shall be liable to pay Spectrum Usage Charges (</w:t>
      </w:r>
      <w:r w:rsidRPr="009374C6">
        <w:t>SUC</w:t>
      </w:r>
      <w:r>
        <w:t>)</w:t>
      </w:r>
      <w:r w:rsidRPr="009374C6">
        <w:t xml:space="preserve"> as a percentage of the Adjusted Gross Revenue (AGR)</w:t>
      </w:r>
      <w:r>
        <w:t xml:space="preserve"> as per the following slab rates</w:t>
      </w:r>
      <w:r w:rsidRPr="009374C6">
        <w:t xml:space="preserve">. For the purpose of calculation of spectrum usage charge, minimum AGR shall be not less than 5% of the bid amount. </w:t>
      </w:r>
    </w:p>
    <w:p w:rsidR="007A5BDD" w:rsidRPr="00465074" w:rsidRDefault="007A5BDD" w:rsidP="007A5BDD">
      <w:pPr>
        <w:pStyle w:val="ListParagraph"/>
        <w:spacing w:line="360" w:lineRule="auto"/>
        <w:ind w:left="1440"/>
        <w:jc w:val="center"/>
        <w:rPr>
          <w:b/>
          <w:sz w:val="22"/>
        </w:rPr>
      </w:pPr>
      <w:r w:rsidRPr="00465074">
        <w:rPr>
          <w:b/>
          <w:sz w:val="22"/>
        </w:rPr>
        <w:t>Table</w:t>
      </w:r>
    </w:p>
    <w:tbl>
      <w:tblPr>
        <w:tblW w:w="6724" w:type="dxa"/>
        <w:tblInd w:w="1893" w:type="dxa"/>
        <w:tblCellMar>
          <w:left w:w="0" w:type="dxa"/>
          <w:right w:w="0" w:type="dxa"/>
        </w:tblCellMar>
        <w:tblLook w:val="04A0" w:firstRow="1" w:lastRow="0" w:firstColumn="1" w:lastColumn="0" w:noHBand="0" w:noVBand="1"/>
      </w:tblPr>
      <w:tblGrid>
        <w:gridCol w:w="2044"/>
        <w:gridCol w:w="2392"/>
        <w:gridCol w:w="2288"/>
      </w:tblGrid>
      <w:tr w:rsidR="007A5BDD" w:rsidRPr="00144BEE" w:rsidTr="00440CBA">
        <w:trPr>
          <w:trHeight w:val="288"/>
        </w:trPr>
        <w:tc>
          <w:tcPr>
            <w:tcW w:w="4436"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20" w:after="20"/>
              <w:jc w:val="center"/>
              <w:rPr>
                <w:sz w:val="22"/>
              </w:rPr>
            </w:pPr>
            <w:r w:rsidRPr="00144BEE">
              <w:rPr>
                <w:b/>
                <w:bCs/>
                <w:sz w:val="22"/>
              </w:rPr>
              <w:t>Spectrum slab</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20" w:after="20"/>
              <w:rPr>
                <w:sz w:val="22"/>
              </w:rPr>
            </w:pPr>
            <w:r w:rsidRPr="00144BEE">
              <w:rPr>
                <w:b/>
                <w:bCs/>
                <w:sz w:val="22"/>
              </w:rPr>
              <w:t>Annual spectrum charges (as a percentage of AGR)</w:t>
            </w:r>
          </w:p>
        </w:tc>
      </w:tr>
      <w:tr w:rsidR="007A5BDD" w:rsidRPr="00144BEE" w:rsidTr="00440CBA">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20" w:after="20"/>
              <w:jc w:val="center"/>
              <w:rPr>
                <w:sz w:val="22"/>
              </w:rPr>
            </w:pPr>
            <w:r w:rsidRPr="00144BEE">
              <w:rPr>
                <w:b/>
                <w:bCs/>
                <w:sz w:val="22"/>
              </w:rPr>
              <w:t>GSM</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20" w:after="20"/>
              <w:jc w:val="center"/>
              <w:rPr>
                <w:b/>
                <w:sz w:val="22"/>
              </w:rPr>
            </w:pPr>
            <w:r w:rsidRPr="00144BEE">
              <w:rPr>
                <w:b/>
                <w:sz w:val="22"/>
              </w:rPr>
              <w:t>CDMA</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20" w:after="20"/>
              <w:ind w:left="1440"/>
              <w:rPr>
                <w:sz w:val="22"/>
              </w:rPr>
            </w:pPr>
          </w:p>
        </w:tc>
      </w:tr>
      <w:tr w:rsidR="007A5BDD" w:rsidRPr="00144BEE" w:rsidTr="00440CBA">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ind w:left="-44" w:hanging="44"/>
              <w:rPr>
                <w:sz w:val="22"/>
              </w:rPr>
            </w:pPr>
            <w:r w:rsidRPr="00144BEE">
              <w:rPr>
                <w:sz w:val="22"/>
              </w:rPr>
              <w:t xml:space="preserve"> Up to 4.4 MHz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ind w:left="-44" w:hanging="44"/>
              <w:rPr>
                <w:sz w:val="22"/>
              </w:rPr>
            </w:pPr>
            <w:r w:rsidRPr="00144BEE">
              <w:rPr>
                <w:sz w:val="22"/>
              </w:rPr>
              <w:t xml:space="preserve"> Up to 5 MHz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jc w:val="center"/>
              <w:rPr>
                <w:sz w:val="22"/>
              </w:rPr>
            </w:pPr>
            <w:r w:rsidRPr="00144BEE">
              <w:rPr>
                <w:sz w:val="22"/>
              </w:rPr>
              <w:t>3</w:t>
            </w:r>
          </w:p>
        </w:tc>
      </w:tr>
      <w:tr w:rsidR="007A5BDD" w:rsidRPr="00144BEE" w:rsidTr="00440CBA">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ind w:left="-44" w:hanging="44"/>
              <w:rPr>
                <w:sz w:val="22"/>
              </w:rPr>
            </w:pPr>
            <w:r w:rsidRPr="00144BEE">
              <w:rPr>
                <w:sz w:val="22"/>
              </w:rPr>
              <w:t xml:space="preserve"> Up to 6.2 MHz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ind w:left="-44" w:hanging="44"/>
              <w:rPr>
                <w:sz w:val="22"/>
              </w:rPr>
            </w:pPr>
            <w:r w:rsidRPr="00144BEE">
              <w:rPr>
                <w:sz w:val="22"/>
              </w:rPr>
              <w:t xml:space="preserve"> Up to 6.25 MHz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jc w:val="center"/>
              <w:rPr>
                <w:sz w:val="22"/>
              </w:rPr>
            </w:pPr>
            <w:r w:rsidRPr="00144BEE">
              <w:rPr>
                <w:sz w:val="22"/>
              </w:rPr>
              <w:t>4</w:t>
            </w:r>
          </w:p>
        </w:tc>
      </w:tr>
      <w:tr w:rsidR="007A5BDD" w:rsidRPr="00144BEE" w:rsidTr="00440CBA">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ind w:left="-44" w:hanging="44"/>
              <w:rPr>
                <w:sz w:val="22"/>
              </w:rPr>
            </w:pPr>
            <w:r w:rsidRPr="00144BEE">
              <w:rPr>
                <w:sz w:val="22"/>
              </w:rPr>
              <w:t xml:space="preserve"> Up to 8.2 MHz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ind w:left="-44" w:hanging="44"/>
              <w:rPr>
                <w:sz w:val="22"/>
              </w:rPr>
            </w:pPr>
            <w:r w:rsidRPr="00144BEE">
              <w:rPr>
                <w:sz w:val="22"/>
              </w:rPr>
              <w:t xml:space="preserve"> Up to 7.5 MHz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jc w:val="center"/>
              <w:rPr>
                <w:sz w:val="22"/>
              </w:rPr>
            </w:pPr>
            <w:r w:rsidRPr="00144BEE">
              <w:rPr>
                <w:sz w:val="22"/>
              </w:rPr>
              <w:t>5</w:t>
            </w:r>
          </w:p>
        </w:tc>
      </w:tr>
      <w:tr w:rsidR="007A5BDD" w:rsidRPr="00144BEE" w:rsidTr="00440CBA">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ind w:left="-44" w:hanging="44"/>
              <w:rPr>
                <w:sz w:val="22"/>
              </w:rPr>
            </w:pPr>
            <w:r w:rsidRPr="00144BEE">
              <w:rPr>
                <w:sz w:val="22"/>
              </w:rPr>
              <w:t xml:space="preserve"> Up to 10.2 MHz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ind w:left="-44" w:hanging="44"/>
              <w:rPr>
                <w:sz w:val="22"/>
              </w:rPr>
            </w:pPr>
            <w:r w:rsidRPr="00144BEE">
              <w:rPr>
                <w:sz w:val="22"/>
              </w:rPr>
              <w:t xml:space="preserve"> Up to 10 MHz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jc w:val="center"/>
              <w:rPr>
                <w:sz w:val="22"/>
              </w:rPr>
            </w:pPr>
            <w:r w:rsidRPr="00144BEE">
              <w:rPr>
                <w:sz w:val="22"/>
              </w:rPr>
              <w:t xml:space="preserve">6 </w:t>
            </w:r>
          </w:p>
        </w:tc>
      </w:tr>
      <w:tr w:rsidR="007A5BDD" w:rsidRPr="00144BEE" w:rsidTr="00440CBA">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ind w:left="-44" w:hanging="44"/>
              <w:rPr>
                <w:sz w:val="22"/>
              </w:rPr>
            </w:pPr>
            <w:r w:rsidRPr="00144BEE">
              <w:rPr>
                <w:sz w:val="22"/>
              </w:rPr>
              <w:t xml:space="preserve"> Up to 12.2 MHz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ind w:left="-44" w:hanging="44"/>
              <w:rPr>
                <w:sz w:val="22"/>
              </w:rPr>
            </w:pPr>
            <w:r w:rsidRPr="00144BEE">
              <w:rPr>
                <w:sz w:val="22"/>
              </w:rPr>
              <w:t xml:space="preserve"> Up to 12.5 MHz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jc w:val="center"/>
              <w:rPr>
                <w:sz w:val="22"/>
              </w:rPr>
            </w:pPr>
            <w:r w:rsidRPr="00144BEE">
              <w:rPr>
                <w:sz w:val="22"/>
              </w:rPr>
              <w:t xml:space="preserve">7 </w:t>
            </w:r>
          </w:p>
        </w:tc>
      </w:tr>
      <w:tr w:rsidR="007A5BDD" w:rsidRPr="00144BEE" w:rsidTr="00440CBA">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ind w:left="-44" w:hanging="44"/>
              <w:rPr>
                <w:sz w:val="22"/>
              </w:rPr>
            </w:pPr>
            <w:r w:rsidRPr="00144BEE">
              <w:rPr>
                <w:sz w:val="22"/>
              </w:rPr>
              <w:t xml:space="preserve"> Up to 15.2 MHz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ind w:left="-44" w:hanging="44"/>
              <w:rPr>
                <w:sz w:val="22"/>
              </w:rPr>
            </w:pPr>
            <w:r w:rsidRPr="00144BEE">
              <w:rPr>
                <w:sz w:val="22"/>
              </w:rPr>
              <w:t xml:space="preserve"> Up to 15 MHz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7A5BDD" w:rsidRPr="00144BEE" w:rsidRDefault="007A5BDD" w:rsidP="00440CBA">
            <w:pPr>
              <w:pStyle w:val="ListParagraph"/>
              <w:spacing w:before="40" w:after="40"/>
              <w:jc w:val="center"/>
              <w:rPr>
                <w:sz w:val="22"/>
              </w:rPr>
            </w:pPr>
            <w:r w:rsidRPr="00144BEE">
              <w:rPr>
                <w:sz w:val="22"/>
              </w:rPr>
              <w:t xml:space="preserve">8 </w:t>
            </w:r>
          </w:p>
        </w:tc>
      </w:tr>
    </w:tbl>
    <w:p w:rsidR="007A5BDD" w:rsidRPr="00C2569A" w:rsidRDefault="007A5BDD" w:rsidP="007A5BDD">
      <w:pPr>
        <w:pStyle w:val="ListParagraph"/>
        <w:numPr>
          <w:ilvl w:val="0"/>
          <w:numId w:val="21"/>
        </w:numPr>
        <w:spacing w:before="240" w:line="360" w:lineRule="auto"/>
        <w:ind w:left="1440" w:hanging="446"/>
        <w:jc w:val="both"/>
      </w:pPr>
      <w:r w:rsidRPr="00C2569A">
        <w:rPr>
          <w:b/>
          <w:bCs/>
        </w:rPr>
        <w:t>Duration:</w:t>
      </w:r>
      <w:r w:rsidRPr="00C2569A">
        <w:t xml:space="preserve"> The validity period shall be 20 years from the date of issue of Letter of Intent (</w:t>
      </w:r>
      <w:proofErr w:type="spellStart"/>
      <w:r w:rsidRPr="00C2569A">
        <w:t>LoI</w:t>
      </w:r>
      <w:proofErr w:type="spellEnd"/>
      <w:r w:rsidRPr="00C2569A">
        <w:t xml:space="preserve">) (the ‘Effective Date’). </w:t>
      </w:r>
    </w:p>
    <w:p w:rsidR="007A5BDD" w:rsidRPr="00C2569A" w:rsidRDefault="007A5BDD" w:rsidP="007A5BDD">
      <w:pPr>
        <w:pStyle w:val="ListParagraph"/>
        <w:numPr>
          <w:ilvl w:val="0"/>
          <w:numId w:val="21"/>
        </w:numPr>
        <w:spacing w:line="360" w:lineRule="auto"/>
        <w:ind w:left="1440" w:hanging="446"/>
        <w:contextualSpacing/>
        <w:jc w:val="both"/>
      </w:pPr>
      <w:r w:rsidRPr="00C2569A">
        <w:rPr>
          <w:b/>
          <w:bCs/>
        </w:rPr>
        <w:t xml:space="preserve">Deferred Payment Option: </w:t>
      </w:r>
      <w:r w:rsidRPr="00C2569A">
        <w:t xml:space="preserve"> </w:t>
      </w:r>
      <w:r>
        <w:t xml:space="preserve">(i) </w:t>
      </w:r>
      <w:r w:rsidRPr="00C2569A">
        <w:t xml:space="preserve">An upfront payment of 33% in the case of 1800MHz Auction and 25% in the case of 800MHz Auction of the final bid amount; (ii) Moratorium of 2 years for payment of balance amount, which shall be recovered in 10 equal annual instalments.   </w:t>
      </w:r>
    </w:p>
    <w:p w:rsidR="007A5BDD" w:rsidRPr="00C2569A" w:rsidRDefault="007A5BDD" w:rsidP="007A5BDD">
      <w:pPr>
        <w:pStyle w:val="ListParagraph"/>
        <w:numPr>
          <w:ilvl w:val="0"/>
          <w:numId w:val="21"/>
        </w:numPr>
        <w:spacing w:line="360" w:lineRule="auto"/>
        <w:ind w:left="1440" w:hanging="446"/>
        <w:contextualSpacing/>
        <w:jc w:val="both"/>
      </w:pPr>
      <w:r w:rsidRPr="00C2569A">
        <w:rPr>
          <w:b/>
          <w:bCs/>
        </w:rPr>
        <w:lastRenderedPageBreak/>
        <w:t>Spectrum Sharing</w:t>
      </w:r>
      <w:r w:rsidRPr="00C2569A">
        <w:t xml:space="preserve">: Operators whose entire spectrum holding in a particular band (900MHz/ 1800MHz and 800MHz) is/ has been liberalized would be permitted to share spectrum without any additional one time spectrum charge. </w:t>
      </w:r>
    </w:p>
    <w:p w:rsidR="007A5BDD" w:rsidRDefault="007A5BDD" w:rsidP="007A5BDD">
      <w:pPr>
        <w:pStyle w:val="ListParagraph"/>
        <w:numPr>
          <w:ilvl w:val="0"/>
          <w:numId w:val="21"/>
        </w:numPr>
        <w:spacing w:line="360" w:lineRule="auto"/>
        <w:ind w:left="1440" w:hanging="446"/>
        <w:contextualSpacing/>
        <w:jc w:val="both"/>
      </w:pPr>
      <w:r w:rsidRPr="00A12A26">
        <w:t>Spectrum trad</w:t>
      </w:r>
      <w:r>
        <w:t>ing will not be allowed in India.</w:t>
      </w:r>
    </w:p>
    <w:p w:rsidR="007A5BDD" w:rsidRDefault="007A5BDD" w:rsidP="007A5BDD">
      <w:pPr>
        <w:pStyle w:val="ListParagraph"/>
        <w:numPr>
          <w:ilvl w:val="0"/>
          <w:numId w:val="13"/>
        </w:numPr>
        <w:shd w:val="clear" w:color="auto" w:fill="FFFFFF"/>
        <w:spacing w:before="120" w:after="240" w:line="360" w:lineRule="auto"/>
        <w:ind w:left="810" w:hanging="810"/>
        <w:jc w:val="both"/>
      </w:pPr>
      <w:r w:rsidRPr="00284E5F">
        <w:t xml:space="preserve">There was no bidder for the 800 MHz band. </w:t>
      </w:r>
      <w:r>
        <w:t>For 1800 MHz spectrum, there were five bidders. S</w:t>
      </w:r>
      <w:r w:rsidRPr="00284E5F">
        <w:t xml:space="preserve">pectrum in </w:t>
      </w:r>
      <w:r>
        <w:t xml:space="preserve">LSAs </w:t>
      </w:r>
      <w:r w:rsidRPr="00284E5F">
        <w:t xml:space="preserve">of Delhi, Mumbai, Karnataka and Rajasthan </w:t>
      </w:r>
      <w:r>
        <w:t xml:space="preserve">in 1800 MHz remained </w:t>
      </w:r>
      <w:r w:rsidRPr="00284E5F">
        <w:t xml:space="preserve">unsold. Except in Bihar, spectrum in all other </w:t>
      </w:r>
      <w:r>
        <w:t xml:space="preserve">LSAs </w:t>
      </w:r>
      <w:r w:rsidRPr="00284E5F">
        <w:t>was sold at the reserve price.</w:t>
      </w:r>
      <w:r>
        <w:t xml:space="preserve"> LSA wise details of reserve price and auction discovered price are given below</w:t>
      </w:r>
      <w:r w:rsidRPr="00A9003B">
        <w:t>.</w:t>
      </w:r>
    </w:p>
    <w:p w:rsidR="007A5BDD" w:rsidRPr="00C33923" w:rsidRDefault="007A5BDD" w:rsidP="007A5BDD">
      <w:pPr>
        <w:pStyle w:val="ListParagraph"/>
        <w:spacing w:line="360" w:lineRule="auto"/>
        <w:ind w:left="907"/>
        <w:jc w:val="center"/>
        <w:rPr>
          <w:b/>
          <w:sz w:val="20"/>
        </w:rPr>
      </w:pPr>
      <w:r w:rsidRPr="00C33923">
        <w:rPr>
          <w:b/>
          <w:sz w:val="20"/>
        </w:rPr>
        <w:t>Table</w:t>
      </w:r>
    </w:p>
    <w:tbl>
      <w:tblPr>
        <w:tblW w:w="8743" w:type="dxa"/>
        <w:tblInd w:w="707" w:type="dxa"/>
        <w:tblLayout w:type="fixed"/>
        <w:tblLook w:val="04A0" w:firstRow="1" w:lastRow="0" w:firstColumn="1" w:lastColumn="0" w:noHBand="0" w:noVBand="1"/>
      </w:tblPr>
      <w:tblGrid>
        <w:gridCol w:w="960"/>
        <w:gridCol w:w="1681"/>
        <w:gridCol w:w="1440"/>
        <w:gridCol w:w="1440"/>
        <w:gridCol w:w="1080"/>
        <w:gridCol w:w="1080"/>
        <w:gridCol w:w="1062"/>
      </w:tblGrid>
      <w:tr w:rsidR="007A5BDD" w:rsidRPr="00174C4C" w:rsidTr="00440CBA">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BDD" w:rsidRPr="003733E4" w:rsidRDefault="007A5BDD" w:rsidP="00440CBA">
            <w:pPr>
              <w:ind w:left="-15" w:right="-31"/>
              <w:jc w:val="center"/>
              <w:rPr>
                <w:rFonts w:eastAsia="Times New Roman" w:cs="Calibri"/>
                <w:b/>
                <w:bCs/>
                <w:color w:val="000000"/>
                <w:sz w:val="16"/>
                <w:szCs w:val="18"/>
                <w:lang w:eastAsia="en-IN"/>
              </w:rPr>
            </w:pPr>
            <w:r w:rsidRPr="003733E4">
              <w:rPr>
                <w:rFonts w:eastAsia="Times New Roman" w:cs="Calibri"/>
                <w:b/>
                <w:bCs/>
                <w:color w:val="000000"/>
                <w:sz w:val="16"/>
                <w:szCs w:val="18"/>
                <w:lang w:eastAsia="en-IN"/>
              </w:rPr>
              <w:t>Type</w:t>
            </w:r>
          </w:p>
        </w:tc>
        <w:tc>
          <w:tcPr>
            <w:tcW w:w="1681" w:type="dxa"/>
            <w:tcBorders>
              <w:top w:val="single" w:sz="4" w:space="0" w:color="auto"/>
              <w:left w:val="nil"/>
              <w:bottom w:val="single" w:sz="4" w:space="0" w:color="auto"/>
              <w:right w:val="single" w:sz="4" w:space="0" w:color="auto"/>
            </w:tcBorders>
            <w:shd w:val="clear" w:color="auto" w:fill="auto"/>
            <w:vAlign w:val="bottom"/>
            <w:hideMark/>
          </w:tcPr>
          <w:p w:rsidR="007A5BDD" w:rsidRPr="003733E4" w:rsidRDefault="007A5BDD" w:rsidP="00440CBA">
            <w:pPr>
              <w:ind w:left="-15" w:right="-31"/>
              <w:jc w:val="center"/>
              <w:rPr>
                <w:rFonts w:eastAsia="Times New Roman" w:cs="Calibri"/>
                <w:b/>
                <w:bCs/>
                <w:color w:val="000000"/>
                <w:sz w:val="16"/>
                <w:szCs w:val="18"/>
                <w:lang w:eastAsia="en-IN"/>
              </w:rPr>
            </w:pPr>
            <w:r w:rsidRPr="003733E4">
              <w:rPr>
                <w:rFonts w:eastAsia="Times New Roman" w:cs="Calibri"/>
                <w:b/>
                <w:bCs/>
                <w:color w:val="000000"/>
                <w:sz w:val="16"/>
                <w:szCs w:val="18"/>
                <w:lang w:eastAsia="en-IN"/>
              </w:rPr>
              <w:t>Circle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7A5BDD" w:rsidRPr="003733E4" w:rsidRDefault="007A5BDD" w:rsidP="00440CBA">
            <w:pPr>
              <w:ind w:left="-15" w:right="-31"/>
              <w:jc w:val="center"/>
              <w:rPr>
                <w:rFonts w:eastAsia="Times New Roman" w:cs="Calibri"/>
                <w:b/>
                <w:bCs/>
                <w:color w:val="000000"/>
                <w:sz w:val="16"/>
                <w:szCs w:val="18"/>
                <w:lang w:eastAsia="en-IN"/>
              </w:rPr>
            </w:pPr>
            <w:r w:rsidRPr="003733E4">
              <w:rPr>
                <w:rFonts w:eastAsia="Times New Roman" w:cs="Calibri"/>
                <w:b/>
                <w:bCs/>
                <w:color w:val="000000"/>
                <w:sz w:val="16"/>
                <w:szCs w:val="18"/>
                <w:lang w:eastAsia="en-IN"/>
              </w:rPr>
              <w:t>Reserve Price (For 2x1.25 MHz)</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7A5BDD" w:rsidRPr="003733E4" w:rsidRDefault="007A5BDD" w:rsidP="00440CBA">
            <w:pPr>
              <w:ind w:left="-15" w:right="-31"/>
              <w:jc w:val="center"/>
              <w:rPr>
                <w:rFonts w:eastAsia="Times New Roman" w:cs="Calibri"/>
                <w:b/>
                <w:bCs/>
                <w:color w:val="000000"/>
                <w:sz w:val="16"/>
                <w:szCs w:val="18"/>
                <w:lang w:eastAsia="en-IN"/>
              </w:rPr>
            </w:pPr>
            <w:r w:rsidRPr="003733E4">
              <w:rPr>
                <w:rFonts w:eastAsia="Times New Roman" w:cs="Calibri"/>
                <w:b/>
                <w:bCs/>
                <w:color w:val="000000"/>
                <w:sz w:val="16"/>
                <w:szCs w:val="18"/>
                <w:lang w:eastAsia="en-IN"/>
              </w:rPr>
              <w:t>Auction Price (2x1.25 MHz)</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7A5BDD" w:rsidRPr="003733E4" w:rsidRDefault="007A5BDD" w:rsidP="00440CBA">
            <w:pPr>
              <w:ind w:left="-15" w:right="-31"/>
              <w:jc w:val="center"/>
              <w:rPr>
                <w:rFonts w:eastAsia="Times New Roman" w:cs="Calibri"/>
                <w:b/>
                <w:bCs/>
                <w:color w:val="000000"/>
                <w:sz w:val="16"/>
                <w:szCs w:val="18"/>
                <w:lang w:eastAsia="en-IN"/>
              </w:rPr>
            </w:pPr>
            <w:r w:rsidRPr="003733E4">
              <w:rPr>
                <w:rFonts w:eastAsia="Times New Roman" w:cs="Calibri"/>
                <w:b/>
                <w:bCs/>
                <w:color w:val="000000"/>
                <w:sz w:val="16"/>
                <w:szCs w:val="18"/>
                <w:lang w:eastAsia="en-IN"/>
              </w:rPr>
              <w:t>Spectrum offered for sale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7A5BDD" w:rsidRPr="003733E4" w:rsidRDefault="007A5BDD" w:rsidP="00440CBA">
            <w:pPr>
              <w:ind w:left="-15" w:right="-31"/>
              <w:jc w:val="center"/>
              <w:rPr>
                <w:rFonts w:eastAsia="Times New Roman" w:cs="Calibri"/>
                <w:b/>
                <w:bCs/>
                <w:color w:val="000000"/>
                <w:sz w:val="16"/>
                <w:szCs w:val="18"/>
                <w:lang w:eastAsia="en-IN"/>
              </w:rPr>
            </w:pPr>
            <w:r w:rsidRPr="003733E4">
              <w:rPr>
                <w:rFonts w:eastAsia="Times New Roman" w:cs="Calibri"/>
                <w:b/>
                <w:bCs/>
                <w:color w:val="000000"/>
                <w:sz w:val="16"/>
                <w:szCs w:val="18"/>
                <w:lang w:eastAsia="en-IN"/>
              </w:rPr>
              <w:t>Spectrum sold</w:t>
            </w:r>
          </w:p>
        </w:tc>
        <w:tc>
          <w:tcPr>
            <w:tcW w:w="1062" w:type="dxa"/>
            <w:tcBorders>
              <w:top w:val="single" w:sz="4" w:space="0" w:color="auto"/>
              <w:left w:val="nil"/>
              <w:bottom w:val="single" w:sz="4" w:space="0" w:color="auto"/>
              <w:right w:val="single" w:sz="4" w:space="0" w:color="auto"/>
            </w:tcBorders>
            <w:shd w:val="clear" w:color="auto" w:fill="auto"/>
            <w:vAlign w:val="bottom"/>
            <w:hideMark/>
          </w:tcPr>
          <w:p w:rsidR="007A5BDD" w:rsidRPr="003733E4" w:rsidRDefault="007A5BDD" w:rsidP="00440CBA">
            <w:pPr>
              <w:ind w:left="-15" w:right="-31"/>
              <w:jc w:val="center"/>
              <w:rPr>
                <w:rFonts w:eastAsia="Times New Roman" w:cs="Calibri"/>
                <w:b/>
                <w:bCs/>
                <w:color w:val="000000"/>
                <w:sz w:val="16"/>
                <w:szCs w:val="18"/>
                <w:lang w:eastAsia="en-IN"/>
              </w:rPr>
            </w:pPr>
            <w:r w:rsidRPr="003733E4">
              <w:rPr>
                <w:rFonts w:eastAsia="Times New Roman" w:cs="Calibri"/>
                <w:b/>
                <w:bCs/>
                <w:color w:val="000000"/>
                <w:sz w:val="16"/>
                <w:szCs w:val="18"/>
                <w:lang w:eastAsia="en-IN"/>
              </w:rPr>
              <w:t>No. of successful bidders</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EE0B78" w:rsidRDefault="007A5BDD" w:rsidP="00440CBA">
            <w:pPr>
              <w:rPr>
                <w:rFonts w:cs="Calibri"/>
                <w:b/>
                <w:color w:val="000000"/>
                <w:sz w:val="22"/>
                <w:szCs w:val="22"/>
              </w:rPr>
            </w:pPr>
            <w:r w:rsidRPr="00EE0B78">
              <w:rPr>
                <w:rFonts w:cs="Calibri"/>
                <w:b/>
                <w:color w:val="000000"/>
                <w:sz w:val="18"/>
                <w:szCs w:val="22"/>
              </w:rPr>
              <w:t xml:space="preserve">US$ (in </w:t>
            </w:r>
            <w:proofErr w:type="spellStart"/>
            <w:r w:rsidRPr="00EE0B78">
              <w:rPr>
                <w:rFonts w:cs="Calibri"/>
                <w:b/>
                <w:color w:val="000000"/>
                <w:sz w:val="18"/>
                <w:szCs w:val="22"/>
              </w:rPr>
              <w:t>mn</w:t>
            </w:r>
            <w:proofErr w:type="spellEnd"/>
            <w:r w:rsidRPr="00EE0B78">
              <w:rPr>
                <w:rFonts w:cs="Calibri"/>
                <w:b/>
                <w:color w:val="000000"/>
                <w:sz w:val="18"/>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EE0B78" w:rsidRDefault="007A5BDD" w:rsidP="00440CBA">
            <w:pPr>
              <w:rPr>
                <w:rFonts w:cs="Calibri"/>
                <w:b/>
                <w:color w:val="000000"/>
                <w:sz w:val="18"/>
                <w:szCs w:val="18"/>
              </w:rPr>
            </w:pPr>
            <w:r w:rsidRPr="00EE0B78">
              <w:rPr>
                <w:rFonts w:cs="Calibri"/>
                <w:b/>
                <w:color w:val="000000"/>
                <w:sz w:val="18"/>
                <w:szCs w:val="22"/>
              </w:rPr>
              <w:t xml:space="preserve">US$ (in </w:t>
            </w:r>
            <w:proofErr w:type="spellStart"/>
            <w:r w:rsidRPr="00EE0B78">
              <w:rPr>
                <w:rFonts w:cs="Calibri"/>
                <w:b/>
                <w:color w:val="000000"/>
                <w:sz w:val="18"/>
                <w:szCs w:val="22"/>
              </w:rPr>
              <w:t>mn</w:t>
            </w:r>
            <w:proofErr w:type="spellEnd"/>
            <w:r w:rsidRPr="00EE0B78">
              <w:rPr>
                <w:rFonts w:cs="Calibri"/>
                <w:b/>
                <w:color w:val="000000"/>
                <w:sz w:val="18"/>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E0B78" w:rsidRDefault="007A5BDD" w:rsidP="00440CBA">
            <w:pPr>
              <w:jc w:val="right"/>
              <w:rPr>
                <w:rFonts w:eastAsia="Times New Roman" w:cs="Calibri"/>
                <w:b/>
                <w:color w:val="000000"/>
                <w:sz w:val="18"/>
                <w:szCs w:val="18"/>
                <w:lang w:eastAsia="en-IN"/>
              </w:rPr>
            </w:pPr>
            <w:r w:rsidRPr="00EE0B78">
              <w:rPr>
                <w:rFonts w:eastAsia="Times New Roman" w:cs="Calibri"/>
                <w:b/>
                <w:color w:val="000000"/>
                <w:sz w:val="18"/>
                <w:szCs w:val="18"/>
                <w:lang w:eastAsia="en-IN"/>
              </w:rPr>
              <w:t>In MHz</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E0B78" w:rsidRDefault="007A5BDD" w:rsidP="00440CBA">
            <w:pPr>
              <w:jc w:val="right"/>
              <w:rPr>
                <w:rFonts w:eastAsia="Times New Roman" w:cs="Calibri"/>
                <w:b/>
                <w:color w:val="000000"/>
                <w:sz w:val="18"/>
                <w:szCs w:val="18"/>
                <w:lang w:eastAsia="en-IN"/>
              </w:rPr>
            </w:pPr>
            <w:r w:rsidRPr="00EE0B78">
              <w:rPr>
                <w:rFonts w:eastAsia="Times New Roman" w:cs="Calibri"/>
                <w:b/>
                <w:color w:val="000000"/>
                <w:sz w:val="18"/>
                <w:szCs w:val="18"/>
                <w:lang w:eastAsia="en-IN"/>
              </w:rPr>
              <w:t>In MHz</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EE0B78" w:rsidRDefault="007A5BDD" w:rsidP="00440CBA">
            <w:pPr>
              <w:jc w:val="right"/>
              <w:rPr>
                <w:rFonts w:eastAsia="Times New Roman" w:cs="Calibri"/>
                <w:b/>
                <w:color w:val="000000"/>
                <w:sz w:val="18"/>
                <w:szCs w:val="18"/>
                <w:lang w:eastAsia="en-IN"/>
              </w:rPr>
            </w:pPr>
            <w:r w:rsidRPr="00EE0B78">
              <w:rPr>
                <w:rFonts w:eastAsia="Times New Roman" w:cs="Calibri"/>
                <w:b/>
                <w:color w:val="000000"/>
                <w:sz w:val="18"/>
                <w:szCs w:val="18"/>
                <w:lang w:eastAsia="en-IN"/>
              </w:rPr>
              <w:t>Numbers</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Metro</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Delhi</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115.5</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No Sale</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0</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0</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Metro</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Mumbai</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113.1</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No Sale</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0</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0</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Metro</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Kolkata</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19.0</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19.0</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A</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Maharashtra</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43.8</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43.8</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6.25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2</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A</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Gujarat</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37.5</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10</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2</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A</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Andhra Pradesh</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47.8</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47.8</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A</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Karnataka</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55.0</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No Sale</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0</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0</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A</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Tamil Nadu</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51.0</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51.0</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Kerala</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10.9</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10.9</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1.25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Punjab</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11.2</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11.2</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1.25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Haryana</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7.8</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7.8</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7.5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2</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Uttar Pradesh (W)</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17.9</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17.9</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12.5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3</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Uttar Pradesh (E)</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12.7</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12.7</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11.25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3</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Rajasthan</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11.2</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No Sale</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0</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0</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Madhya Pradesh</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9.0</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9.0</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7.5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2</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West Bengal</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4.3</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4.3</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8.75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2</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C</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Himachal Pradesh</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1.3</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1.3</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1.25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C</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Bihar</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7.1</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7.7</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4</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C</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Orissa</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3.4</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3.4</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7.5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2</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C</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Assam</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1.4</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1.4</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8.75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3</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C</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North East</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1.5</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7.5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2</w:t>
            </w:r>
          </w:p>
        </w:tc>
      </w:tr>
      <w:tr w:rsidR="007A5BDD" w:rsidRPr="00174C4C" w:rsidTr="00440CB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color w:val="000000"/>
                <w:sz w:val="18"/>
                <w:szCs w:val="18"/>
                <w:lang w:eastAsia="en-IN"/>
              </w:rPr>
            </w:pPr>
            <w:r w:rsidRPr="00174C4C">
              <w:rPr>
                <w:rFonts w:eastAsia="Times New Roman" w:cs="Calibri"/>
                <w:color w:val="000000"/>
                <w:sz w:val="18"/>
                <w:szCs w:val="18"/>
                <w:lang w:eastAsia="en-IN"/>
              </w:rPr>
              <w:t>C</w:t>
            </w:r>
          </w:p>
        </w:tc>
        <w:tc>
          <w:tcPr>
            <w:tcW w:w="1681" w:type="dxa"/>
            <w:tcBorders>
              <w:top w:val="nil"/>
              <w:left w:val="nil"/>
              <w:bottom w:val="single" w:sz="4" w:space="0" w:color="auto"/>
              <w:right w:val="single" w:sz="4" w:space="0" w:color="auto"/>
            </w:tcBorders>
            <w:shd w:val="clear" w:color="auto" w:fill="auto"/>
            <w:noWrap/>
            <w:vAlign w:val="bottom"/>
            <w:hideMark/>
          </w:tcPr>
          <w:p w:rsidR="007A5BDD" w:rsidRPr="00174C4C" w:rsidRDefault="007A5BDD" w:rsidP="00440CBA">
            <w:pPr>
              <w:rPr>
                <w:rFonts w:eastAsia="Times New Roman" w:cs="Calibri"/>
                <w:color w:val="000000"/>
                <w:sz w:val="18"/>
                <w:szCs w:val="18"/>
                <w:lang w:eastAsia="en-IN"/>
              </w:rPr>
            </w:pPr>
            <w:r w:rsidRPr="00174C4C">
              <w:rPr>
                <w:rFonts w:eastAsia="Times New Roman" w:cs="Calibri"/>
                <w:color w:val="000000"/>
                <w:sz w:val="18"/>
                <w:szCs w:val="18"/>
                <w:lang w:eastAsia="en-IN"/>
              </w:rPr>
              <w:t>Jammu &amp; Kashmir</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1.1</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cs="Calibri"/>
                <w:color w:val="000000"/>
                <w:sz w:val="18"/>
                <w:szCs w:val="18"/>
              </w:rPr>
            </w:pPr>
            <w:r w:rsidRPr="007A7957">
              <w:rPr>
                <w:rFonts w:cs="Calibri"/>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7.5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color w:val="000000"/>
                <w:sz w:val="18"/>
                <w:szCs w:val="18"/>
                <w:lang w:eastAsia="en-IN"/>
              </w:rPr>
            </w:pPr>
            <w:r w:rsidRPr="007A7957">
              <w:rPr>
                <w:rFonts w:eastAsia="Times New Roman" w:cs="Calibri"/>
                <w:color w:val="000000"/>
                <w:sz w:val="18"/>
                <w:szCs w:val="18"/>
                <w:lang w:eastAsia="en-IN"/>
              </w:rPr>
              <w:t>2</w:t>
            </w:r>
          </w:p>
        </w:tc>
      </w:tr>
      <w:tr w:rsidR="007A5BDD" w:rsidRPr="00174C4C" w:rsidTr="00440CBA">
        <w:trPr>
          <w:trHeight w:val="287"/>
        </w:trPr>
        <w:tc>
          <w:tcPr>
            <w:tcW w:w="2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174C4C" w:rsidRDefault="007A5BDD" w:rsidP="00440CBA">
            <w:pPr>
              <w:jc w:val="center"/>
              <w:rPr>
                <w:rFonts w:eastAsia="Times New Roman" w:cs="Calibri"/>
                <w:b/>
                <w:bCs/>
                <w:color w:val="000000"/>
                <w:sz w:val="18"/>
                <w:szCs w:val="18"/>
                <w:lang w:eastAsia="en-IN"/>
              </w:rPr>
            </w:pPr>
            <w:r w:rsidRPr="00174C4C">
              <w:rPr>
                <w:rFonts w:eastAsia="Times New Roman" w:cs="Calibri"/>
                <w:b/>
                <w:bCs/>
                <w:color w:val="000000"/>
                <w:sz w:val="18"/>
                <w:szCs w:val="18"/>
                <w:lang w:eastAsia="en-IN"/>
              </w:rPr>
              <w:t xml:space="preserve">Total </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b/>
                <w:bCs/>
                <w:color w:val="000000"/>
                <w:sz w:val="18"/>
                <w:szCs w:val="18"/>
                <w:lang w:eastAsia="en-IN"/>
              </w:rPr>
            </w:pPr>
            <w:r w:rsidRPr="007A7957">
              <w:rPr>
                <w:rFonts w:cs="Calibri"/>
                <w:b/>
                <w:color w:val="000000"/>
                <w:sz w:val="18"/>
                <w:szCs w:val="18"/>
              </w:rPr>
              <w:t>583.3</w:t>
            </w:r>
          </w:p>
        </w:tc>
        <w:tc>
          <w:tcPr>
            <w:tcW w:w="144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b/>
                <w:bCs/>
                <w:color w:val="000000"/>
                <w:sz w:val="18"/>
                <w:szCs w:val="18"/>
                <w:lang w:eastAsia="en-IN"/>
              </w:rPr>
            </w:pPr>
            <w:r w:rsidRPr="007A7957">
              <w:rPr>
                <w:rFonts w:eastAsia="Times New Roman" w:cs="Calibri"/>
                <w:b/>
                <w:bCs/>
                <w:color w:val="000000"/>
                <w:sz w:val="18"/>
                <w:szCs w:val="18"/>
                <w:lang w:eastAsia="en-IN"/>
              </w:rPr>
              <w:t>1735.2</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b/>
                <w:bCs/>
                <w:color w:val="000000"/>
                <w:sz w:val="18"/>
                <w:szCs w:val="18"/>
                <w:lang w:eastAsia="en-IN"/>
              </w:rPr>
            </w:pPr>
            <w:r w:rsidRPr="007A7957">
              <w:rPr>
                <w:rFonts w:eastAsia="Times New Roman" w:cs="Calibri"/>
                <w:b/>
                <w:bCs/>
                <w:color w:val="000000"/>
                <w:sz w:val="18"/>
                <w:szCs w:val="18"/>
                <w:lang w:eastAsia="en-IN"/>
              </w:rPr>
              <w:t>295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b/>
                <w:bCs/>
                <w:color w:val="000000"/>
                <w:sz w:val="18"/>
                <w:szCs w:val="18"/>
                <w:lang w:eastAsia="en-IN"/>
              </w:rPr>
            </w:pPr>
            <w:r w:rsidRPr="007A7957">
              <w:rPr>
                <w:rFonts w:eastAsia="Times New Roman" w:cs="Calibri"/>
                <w:b/>
                <w:bCs/>
                <w:color w:val="000000"/>
                <w:sz w:val="18"/>
                <w:szCs w:val="18"/>
                <w:lang w:eastAsia="en-IN"/>
              </w:rPr>
              <w:t>127.5</w:t>
            </w:r>
          </w:p>
        </w:tc>
        <w:tc>
          <w:tcPr>
            <w:tcW w:w="1062" w:type="dxa"/>
            <w:tcBorders>
              <w:top w:val="nil"/>
              <w:left w:val="nil"/>
              <w:bottom w:val="single" w:sz="4" w:space="0" w:color="auto"/>
              <w:right w:val="single" w:sz="4" w:space="0" w:color="auto"/>
            </w:tcBorders>
            <w:shd w:val="clear" w:color="auto" w:fill="auto"/>
            <w:noWrap/>
            <w:vAlign w:val="bottom"/>
            <w:hideMark/>
          </w:tcPr>
          <w:p w:rsidR="007A5BDD" w:rsidRPr="007A7957" w:rsidRDefault="007A5BDD" w:rsidP="00440CBA">
            <w:pPr>
              <w:jc w:val="right"/>
              <w:rPr>
                <w:rFonts w:eastAsia="Times New Roman" w:cs="Calibri"/>
                <w:b/>
                <w:bCs/>
                <w:color w:val="000000"/>
                <w:sz w:val="18"/>
                <w:szCs w:val="18"/>
                <w:lang w:eastAsia="en-IN"/>
              </w:rPr>
            </w:pPr>
            <w:r w:rsidRPr="007A7957">
              <w:rPr>
                <w:rFonts w:eastAsia="Times New Roman" w:cs="Calibri"/>
                <w:b/>
                <w:bCs/>
                <w:color w:val="000000"/>
                <w:sz w:val="18"/>
                <w:szCs w:val="18"/>
                <w:lang w:eastAsia="en-IN"/>
              </w:rPr>
              <w:t>35</w:t>
            </w:r>
          </w:p>
        </w:tc>
      </w:tr>
    </w:tbl>
    <w:p w:rsidR="007A5BDD" w:rsidRPr="00ED07C4" w:rsidRDefault="007A5BDD" w:rsidP="007A5BDD">
      <w:pPr>
        <w:pStyle w:val="ListParagraph"/>
        <w:spacing w:before="480" w:after="120" w:line="360" w:lineRule="auto"/>
        <w:ind w:left="907"/>
        <w:rPr>
          <w:b/>
          <w:bCs/>
        </w:rPr>
      </w:pPr>
      <w:r w:rsidRPr="00ED07C4">
        <w:rPr>
          <w:b/>
          <w:bCs/>
        </w:rPr>
        <w:t>Auction of Spectrum held in March, 2013</w:t>
      </w:r>
    </w:p>
    <w:p w:rsidR="007A5BDD" w:rsidRPr="00284E5F" w:rsidRDefault="007A5BDD" w:rsidP="007A5BDD">
      <w:pPr>
        <w:pStyle w:val="ListParagraph"/>
        <w:numPr>
          <w:ilvl w:val="0"/>
          <w:numId w:val="13"/>
        </w:numPr>
        <w:shd w:val="clear" w:color="auto" w:fill="FFFFFF"/>
        <w:spacing w:before="120" w:after="240" w:line="360" w:lineRule="auto"/>
        <w:ind w:left="810" w:hanging="810"/>
        <w:jc w:val="both"/>
      </w:pPr>
      <w:r>
        <w:t xml:space="preserve">In March 2013, the Government decided to conduct another round of auction. This time the spectrum in 900 MHz band in 4 metros where </w:t>
      </w:r>
      <w:proofErr w:type="spellStart"/>
      <w:r>
        <w:t>licence</w:t>
      </w:r>
      <w:proofErr w:type="spellEnd"/>
      <w:r>
        <w:t xml:space="preserve"> renewal is due in 2014, 1800 MHz in 4 LSAS where spectrum could not be sold in the last auction and 800 MHz band in all LSAs was put for auction </w:t>
      </w:r>
      <w:r w:rsidRPr="00411AB0">
        <w:t>with reduced reserve prices</w:t>
      </w:r>
      <w:r>
        <w:t>.</w:t>
      </w:r>
      <w:r w:rsidRPr="00284E5F">
        <w:t xml:space="preserve"> </w:t>
      </w:r>
      <w:r>
        <w:t>T</w:t>
      </w:r>
      <w:r w:rsidRPr="00284E5F">
        <w:t xml:space="preserve">he </w:t>
      </w:r>
      <w:r>
        <w:t xml:space="preserve">Government </w:t>
      </w:r>
      <w:r>
        <w:lastRenderedPageBreak/>
        <w:t>decided</w:t>
      </w:r>
      <w:r w:rsidRPr="00284E5F">
        <w:t xml:space="preserve"> that the reserve price for 1800 MHz band in the service areas of Delhi, Mumbai, Karnataka and Rajasthan be reduced by 30 percent from the previous reserve price and the reserve price for 900 MHz spectrum in Delhi and Mumbai be twice such revised reserve price for the 1800 MHz band</w:t>
      </w:r>
      <w:r>
        <w:t xml:space="preserve"> and</w:t>
      </w:r>
      <w:r w:rsidRPr="00284E5F">
        <w:t xml:space="preserve"> the reserve price for 900 MHz spectrum in Kolkata be twice the price obtained for the 1800 MHz band</w:t>
      </w:r>
      <w:r>
        <w:t xml:space="preserve"> spectrum</w:t>
      </w:r>
      <w:r w:rsidRPr="00284E5F">
        <w:t xml:space="preserve"> for this </w:t>
      </w:r>
      <w:r>
        <w:t>LSA</w:t>
      </w:r>
      <w:r w:rsidRPr="00284E5F">
        <w:t xml:space="preserve"> in the auction held in November, 2012. </w:t>
      </w:r>
      <w:r>
        <w:t xml:space="preserve">The Government also decided that </w:t>
      </w:r>
      <w:r w:rsidRPr="00284E5F">
        <w:t xml:space="preserve">the </w:t>
      </w:r>
      <w:r>
        <w:t>r</w:t>
      </w:r>
      <w:r w:rsidRPr="00284E5F">
        <w:t>eserve price for 800 MHz band</w:t>
      </w:r>
      <w:r>
        <w:t xml:space="preserve"> spectrum</w:t>
      </w:r>
      <w:r w:rsidRPr="00284E5F">
        <w:t xml:space="preserve"> in all </w:t>
      </w:r>
      <w:r>
        <w:t xml:space="preserve">LSAs </w:t>
      </w:r>
      <w:r w:rsidRPr="00284E5F">
        <w:t>be reduced by 50 percent from the pr</w:t>
      </w:r>
      <w:r>
        <w:t>evious reserve price of US$ 3033</w:t>
      </w:r>
      <w:r w:rsidRPr="00284E5F">
        <w:t xml:space="preserve"> </w:t>
      </w:r>
      <w:proofErr w:type="spellStart"/>
      <w:r>
        <w:t>mn</w:t>
      </w:r>
      <w:proofErr w:type="spellEnd"/>
      <w:r w:rsidRPr="00284E5F">
        <w:t xml:space="preserve"> per </w:t>
      </w:r>
      <w:r>
        <w:t xml:space="preserve">2x5 </w:t>
      </w:r>
      <w:r w:rsidRPr="00284E5F">
        <w:t>MHz</w:t>
      </w:r>
      <w:r>
        <w:t xml:space="preserve"> (US$1517 </w:t>
      </w:r>
      <w:proofErr w:type="spellStart"/>
      <w:r>
        <w:t>mn</w:t>
      </w:r>
      <w:proofErr w:type="spellEnd"/>
      <w:r>
        <w:t xml:space="preserve"> per 2x5 MHz).</w:t>
      </w:r>
    </w:p>
    <w:p w:rsidR="007A5BDD" w:rsidRPr="00824266" w:rsidRDefault="007A5BDD" w:rsidP="007A5BDD">
      <w:pPr>
        <w:pStyle w:val="ListParagraph"/>
        <w:autoSpaceDE w:val="0"/>
        <w:autoSpaceDN w:val="0"/>
        <w:adjustRightInd w:val="0"/>
        <w:ind w:left="1080"/>
        <w:rPr>
          <w:i/>
          <w:sz w:val="6"/>
        </w:rPr>
      </w:pPr>
    </w:p>
    <w:p w:rsidR="007A5BDD" w:rsidRPr="005515AE" w:rsidRDefault="007A5BDD" w:rsidP="007A5BDD">
      <w:pPr>
        <w:pStyle w:val="ListParagraph"/>
        <w:numPr>
          <w:ilvl w:val="0"/>
          <w:numId w:val="13"/>
        </w:numPr>
        <w:shd w:val="clear" w:color="auto" w:fill="FFFFFF"/>
        <w:spacing w:before="120" w:after="240" w:line="360" w:lineRule="auto"/>
        <w:ind w:left="810" w:hanging="810"/>
        <w:jc w:val="both"/>
        <w:rPr>
          <w:rFonts w:cs="Verdana"/>
          <w:color w:val="000000"/>
          <w:spacing w:val="-3"/>
        </w:rPr>
      </w:pPr>
      <w:r>
        <w:t xml:space="preserve">This time there was no bidder in the 900 MHz band and 1800 MHz band. In the 800 MHz band, </w:t>
      </w:r>
      <w:r w:rsidRPr="005515AE">
        <w:t xml:space="preserve">M/s Sistema </w:t>
      </w:r>
      <w:proofErr w:type="spellStart"/>
      <w:r w:rsidRPr="005515AE">
        <w:t>Shyam</w:t>
      </w:r>
      <w:proofErr w:type="spellEnd"/>
      <w:r w:rsidRPr="005515AE">
        <w:t xml:space="preserve"> Tele</w:t>
      </w:r>
      <w:r>
        <w:t>-</w:t>
      </w:r>
      <w:r w:rsidRPr="005515AE">
        <w:t xml:space="preserve">Services Limited (SSTL) was the </w:t>
      </w:r>
      <w:r>
        <w:t xml:space="preserve">sole </w:t>
      </w:r>
      <w:r w:rsidRPr="005515AE">
        <w:t xml:space="preserve">applicant and it </w:t>
      </w:r>
      <w:r>
        <w:t xml:space="preserve">obtained 2x3.75 MHz of </w:t>
      </w:r>
      <w:r w:rsidRPr="005515AE">
        <w:t xml:space="preserve">spectrum in 800 MHz band in eight (8) </w:t>
      </w:r>
      <w:r>
        <w:t>LSA</w:t>
      </w:r>
      <w:r w:rsidRPr="005515AE">
        <w:t xml:space="preserve">s, all at the reserve price. </w:t>
      </w:r>
      <w:r>
        <w:t>LSA wise</w:t>
      </w:r>
      <w:r w:rsidRPr="005515AE">
        <w:t xml:space="preserve"> details of reserve price</w:t>
      </w:r>
      <w:r>
        <w:t>s</w:t>
      </w:r>
      <w:r w:rsidRPr="005515AE">
        <w:t xml:space="preserve"> and auction discovered price</w:t>
      </w:r>
      <w:r>
        <w:t>s</w:t>
      </w:r>
      <w:r w:rsidRPr="005515AE">
        <w:t xml:space="preserve"> </w:t>
      </w:r>
      <w:r>
        <w:t>are shown in table below.</w:t>
      </w:r>
    </w:p>
    <w:p w:rsidR="007A5BDD" w:rsidRDefault="007A5BDD" w:rsidP="007A5BDD">
      <w:pPr>
        <w:spacing w:before="120"/>
        <w:jc w:val="center"/>
        <w:rPr>
          <w:rFonts w:cs="Verdana"/>
          <w:b/>
          <w:color w:val="000000"/>
          <w:spacing w:val="-3"/>
        </w:rPr>
      </w:pPr>
    </w:p>
    <w:p w:rsidR="007A5BDD" w:rsidRDefault="007A5BDD" w:rsidP="007A5BDD">
      <w:pPr>
        <w:spacing w:before="120"/>
        <w:jc w:val="center"/>
        <w:rPr>
          <w:rFonts w:cs="Verdana"/>
          <w:b/>
          <w:color w:val="000000"/>
          <w:spacing w:val="-3"/>
        </w:rPr>
      </w:pPr>
      <w:r w:rsidRPr="00BC2467">
        <w:rPr>
          <w:rFonts w:cs="Verdana"/>
          <w:b/>
          <w:color w:val="000000"/>
          <w:spacing w:val="-3"/>
        </w:rPr>
        <w:t>Table 1.8</w:t>
      </w:r>
    </w:p>
    <w:tbl>
      <w:tblPr>
        <w:tblW w:w="7943" w:type="dxa"/>
        <w:jc w:val="center"/>
        <w:tblInd w:w="98" w:type="dxa"/>
        <w:tblLook w:val="04A0" w:firstRow="1" w:lastRow="0" w:firstColumn="1" w:lastColumn="0" w:noHBand="0" w:noVBand="1"/>
      </w:tblPr>
      <w:tblGrid>
        <w:gridCol w:w="1497"/>
        <w:gridCol w:w="1077"/>
        <w:gridCol w:w="1077"/>
        <w:gridCol w:w="1077"/>
        <w:gridCol w:w="1077"/>
        <w:gridCol w:w="1069"/>
        <w:gridCol w:w="1069"/>
      </w:tblGrid>
      <w:tr w:rsidR="007A5BDD" w:rsidRPr="00E810AB" w:rsidTr="00440CBA">
        <w:trPr>
          <w:trHeight w:val="818"/>
          <w:jc w:val="center"/>
        </w:trPr>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
                <w:bCs/>
                <w:color w:val="000000"/>
                <w:sz w:val="18"/>
                <w:szCs w:val="18"/>
              </w:rPr>
            </w:pPr>
            <w:r w:rsidRPr="00E810AB">
              <w:rPr>
                <w:rFonts w:eastAsia="Times New Roman" w:cs="Arial"/>
                <w:b/>
                <w:bCs/>
                <w:color w:val="000000"/>
                <w:sz w:val="18"/>
                <w:szCs w:val="18"/>
              </w:rPr>
              <w:t> </w:t>
            </w:r>
          </w:p>
        </w:tc>
        <w:tc>
          <w:tcPr>
            <w:tcW w:w="3231" w:type="dxa"/>
            <w:gridSpan w:val="3"/>
            <w:tcBorders>
              <w:top w:val="single" w:sz="4" w:space="0" w:color="auto"/>
              <w:left w:val="nil"/>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
                <w:bCs/>
                <w:color w:val="000000"/>
                <w:sz w:val="18"/>
                <w:szCs w:val="18"/>
              </w:rPr>
            </w:pPr>
            <w:r w:rsidRPr="00E810AB">
              <w:rPr>
                <w:rFonts w:eastAsia="Times New Roman" w:cs="Arial"/>
                <w:b/>
                <w:bCs/>
                <w:color w:val="000000"/>
                <w:sz w:val="18"/>
                <w:szCs w:val="18"/>
              </w:rPr>
              <w:t xml:space="preserve">Auction Reserve prices per MHz (paired)                          </w:t>
            </w:r>
          </w:p>
        </w:tc>
        <w:tc>
          <w:tcPr>
            <w:tcW w:w="3215" w:type="dxa"/>
            <w:gridSpan w:val="3"/>
            <w:tcBorders>
              <w:top w:val="single" w:sz="4" w:space="0" w:color="auto"/>
              <w:left w:val="nil"/>
              <w:bottom w:val="single" w:sz="4" w:space="0" w:color="auto"/>
              <w:right w:val="single" w:sz="4" w:space="0" w:color="auto"/>
            </w:tcBorders>
          </w:tcPr>
          <w:p w:rsidR="007A5BDD" w:rsidRDefault="007A5BDD" w:rsidP="00440CBA">
            <w:pPr>
              <w:jc w:val="center"/>
              <w:rPr>
                <w:rFonts w:eastAsia="Times New Roman" w:cs="Arial"/>
                <w:b/>
                <w:bCs/>
                <w:color w:val="000000"/>
                <w:sz w:val="18"/>
                <w:szCs w:val="18"/>
              </w:rPr>
            </w:pPr>
          </w:p>
          <w:p w:rsidR="007A5BDD" w:rsidRPr="00E810AB" w:rsidRDefault="007A5BDD" w:rsidP="00440CBA">
            <w:pPr>
              <w:jc w:val="center"/>
              <w:rPr>
                <w:rFonts w:eastAsia="Times New Roman" w:cs="Calibri"/>
                <w:b/>
                <w:bCs/>
                <w:color w:val="000000"/>
                <w:sz w:val="18"/>
                <w:szCs w:val="18"/>
              </w:rPr>
            </w:pPr>
            <w:r w:rsidRPr="00E810AB">
              <w:rPr>
                <w:rFonts w:eastAsia="Times New Roman" w:cs="Arial"/>
                <w:b/>
                <w:bCs/>
                <w:color w:val="000000"/>
                <w:sz w:val="18"/>
                <w:szCs w:val="18"/>
              </w:rPr>
              <w:t>Winning Price per MHz block (paired+</w:t>
            </w:r>
            <w:r w:rsidRPr="00E810AB">
              <w:rPr>
                <w:rFonts w:eastAsia="Times New Roman" w:cs="Calibri"/>
                <w:b/>
                <w:bCs/>
                <w:color w:val="000000"/>
                <w:sz w:val="18"/>
                <w:szCs w:val="18"/>
              </w:rPr>
              <w:t xml:space="preserve"> </w:t>
            </w:r>
          </w:p>
        </w:tc>
      </w:tr>
      <w:tr w:rsidR="007A5BDD" w:rsidRPr="00E810AB" w:rsidTr="00440CBA">
        <w:trPr>
          <w:trHeight w:val="80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
                <w:bCs/>
                <w:color w:val="000000"/>
                <w:sz w:val="18"/>
                <w:szCs w:val="18"/>
              </w:rPr>
            </w:pPr>
            <w:r w:rsidRPr="00E810AB">
              <w:rPr>
                <w:rFonts w:eastAsia="Times New Roman" w:cs="Arial"/>
                <w:b/>
                <w:bCs/>
                <w:color w:val="000000"/>
                <w:sz w:val="18"/>
                <w:szCs w:val="18"/>
              </w:rPr>
              <w:t>LSA</w:t>
            </w:r>
          </w:p>
        </w:tc>
        <w:tc>
          <w:tcPr>
            <w:tcW w:w="1077" w:type="dxa"/>
            <w:tcBorders>
              <w:top w:val="nil"/>
              <w:left w:val="nil"/>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
                <w:bCs/>
                <w:color w:val="000000"/>
                <w:sz w:val="18"/>
                <w:szCs w:val="18"/>
              </w:rPr>
            </w:pPr>
            <w:r w:rsidRPr="00E810AB">
              <w:rPr>
                <w:rFonts w:eastAsia="Times New Roman" w:cs="Arial"/>
                <w:b/>
                <w:bCs/>
                <w:color w:val="000000"/>
                <w:sz w:val="18"/>
                <w:szCs w:val="18"/>
              </w:rPr>
              <w:t xml:space="preserve">1800 MHz Band </w:t>
            </w:r>
          </w:p>
        </w:tc>
        <w:tc>
          <w:tcPr>
            <w:tcW w:w="1077" w:type="dxa"/>
            <w:tcBorders>
              <w:top w:val="nil"/>
              <w:left w:val="nil"/>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
                <w:bCs/>
                <w:color w:val="000000"/>
                <w:sz w:val="18"/>
                <w:szCs w:val="18"/>
              </w:rPr>
            </w:pPr>
            <w:r w:rsidRPr="00E810AB">
              <w:rPr>
                <w:rFonts w:eastAsia="Times New Roman" w:cs="Arial"/>
                <w:b/>
                <w:bCs/>
                <w:color w:val="000000"/>
                <w:sz w:val="18"/>
                <w:szCs w:val="18"/>
              </w:rPr>
              <w:t>900 MHz Band</w:t>
            </w:r>
          </w:p>
        </w:tc>
        <w:tc>
          <w:tcPr>
            <w:tcW w:w="1077" w:type="dxa"/>
            <w:tcBorders>
              <w:top w:val="nil"/>
              <w:left w:val="nil"/>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
                <w:bCs/>
                <w:color w:val="000000"/>
                <w:sz w:val="18"/>
                <w:szCs w:val="18"/>
              </w:rPr>
            </w:pPr>
            <w:r w:rsidRPr="00E810AB">
              <w:rPr>
                <w:rFonts w:eastAsia="Times New Roman" w:cs="Arial"/>
                <w:b/>
                <w:bCs/>
                <w:color w:val="000000"/>
                <w:sz w:val="18"/>
                <w:szCs w:val="18"/>
              </w:rPr>
              <w:t>800 MHz Band</w:t>
            </w:r>
          </w:p>
        </w:tc>
        <w:tc>
          <w:tcPr>
            <w:tcW w:w="1077" w:type="dxa"/>
            <w:tcBorders>
              <w:top w:val="nil"/>
              <w:left w:val="nil"/>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
                <w:bCs/>
                <w:color w:val="000000"/>
                <w:sz w:val="18"/>
                <w:szCs w:val="18"/>
              </w:rPr>
            </w:pPr>
            <w:r w:rsidRPr="00E810AB">
              <w:rPr>
                <w:rFonts w:eastAsia="Times New Roman" w:cs="Arial"/>
                <w:b/>
                <w:bCs/>
                <w:color w:val="000000"/>
                <w:sz w:val="18"/>
                <w:szCs w:val="18"/>
              </w:rPr>
              <w:t xml:space="preserve">1800 MHz Band </w:t>
            </w:r>
          </w:p>
        </w:tc>
        <w:tc>
          <w:tcPr>
            <w:tcW w:w="1069" w:type="dxa"/>
            <w:tcBorders>
              <w:top w:val="single" w:sz="4" w:space="0" w:color="auto"/>
              <w:left w:val="nil"/>
              <w:bottom w:val="single" w:sz="4" w:space="0" w:color="auto"/>
              <w:right w:val="single" w:sz="4" w:space="0" w:color="auto"/>
            </w:tcBorders>
            <w:vAlign w:val="center"/>
          </w:tcPr>
          <w:p w:rsidR="007A5BDD" w:rsidRPr="00E810AB" w:rsidRDefault="007A5BDD" w:rsidP="00440CBA">
            <w:pPr>
              <w:jc w:val="center"/>
              <w:rPr>
                <w:rFonts w:eastAsia="Times New Roman" w:cs="Arial"/>
                <w:b/>
                <w:bCs/>
                <w:color w:val="000000"/>
                <w:sz w:val="18"/>
                <w:szCs w:val="18"/>
              </w:rPr>
            </w:pPr>
            <w:r w:rsidRPr="00E810AB">
              <w:rPr>
                <w:rFonts w:eastAsia="Times New Roman" w:cs="Arial"/>
                <w:b/>
                <w:bCs/>
                <w:color w:val="000000"/>
                <w:sz w:val="18"/>
                <w:szCs w:val="18"/>
              </w:rPr>
              <w:t>900 MHz Band</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
                <w:bCs/>
                <w:color w:val="000000"/>
                <w:sz w:val="18"/>
                <w:szCs w:val="18"/>
              </w:rPr>
            </w:pPr>
            <w:r w:rsidRPr="00E810AB">
              <w:rPr>
                <w:rFonts w:eastAsia="Times New Roman" w:cs="Arial"/>
                <w:b/>
                <w:bCs/>
                <w:color w:val="000000"/>
                <w:sz w:val="18"/>
                <w:szCs w:val="18"/>
              </w:rPr>
              <w:t>800 MHz Band</w:t>
            </w:r>
          </w:p>
        </w:tc>
      </w:tr>
      <w:tr w:rsidR="007A5BDD" w:rsidRPr="00E810AB" w:rsidTr="00440CBA">
        <w:trPr>
          <w:trHeight w:val="512"/>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cs="Calibri"/>
                <w:b/>
                <w:color w:val="000000"/>
                <w:sz w:val="18"/>
                <w:szCs w:val="18"/>
              </w:rPr>
            </w:pPr>
            <w:r w:rsidRPr="00E810AB">
              <w:rPr>
                <w:rFonts w:cs="Calibri"/>
                <w:b/>
                <w:color w:val="000000"/>
                <w:sz w:val="18"/>
                <w:szCs w:val="18"/>
              </w:rPr>
              <w:t xml:space="preserve">US$       (in </w:t>
            </w:r>
            <w:proofErr w:type="spellStart"/>
            <w:r w:rsidRPr="00E810AB">
              <w:rPr>
                <w:rFonts w:cs="Calibri"/>
                <w:b/>
                <w:color w:val="000000"/>
                <w:sz w:val="18"/>
                <w:szCs w:val="18"/>
              </w:rPr>
              <w:t>mn</w:t>
            </w:r>
            <w:proofErr w:type="spellEnd"/>
            <w:r w:rsidRPr="00E810AB">
              <w:rPr>
                <w:rFonts w:cs="Calibri"/>
                <w:b/>
                <w:color w:val="000000"/>
                <w:sz w:val="18"/>
                <w:szCs w:val="18"/>
              </w:rPr>
              <w:t>)</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cs="Calibri"/>
                <w:b/>
                <w:color w:val="000000"/>
                <w:sz w:val="18"/>
                <w:szCs w:val="18"/>
              </w:rPr>
            </w:pPr>
            <w:r w:rsidRPr="00E810AB">
              <w:rPr>
                <w:rFonts w:cs="Calibri"/>
                <w:b/>
                <w:color w:val="000000"/>
                <w:sz w:val="18"/>
                <w:szCs w:val="18"/>
              </w:rPr>
              <w:t xml:space="preserve">US$       (in </w:t>
            </w:r>
            <w:proofErr w:type="spellStart"/>
            <w:r w:rsidRPr="00E810AB">
              <w:rPr>
                <w:rFonts w:cs="Calibri"/>
                <w:b/>
                <w:color w:val="000000"/>
                <w:sz w:val="18"/>
                <w:szCs w:val="18"/>
              </w:rPr>
              <w:t>mn</w:t>
            </w:r>
            <w:proofErr w:type="spellEnd"/>
            <w:r w:rsidRPr="00E810AB">
              <w:rPr>
                <w:rFonts w:cs="Calibri"/>
                <w:b/>
                <w:color w:val="000000"/>
                <w:sz w:val="18"/>
                <w:szCs w:val="18"/>
              </w:rPr>
              <w:t>)</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cs="Calibri"/>
                <w:b/>
                <w:color w:val="000000"/>
                <w:sz w:val="18"/>
                <w:szCs w:val="18"/>
              </w:rPr>
            </w:pPr>
            <w:r w:rsidRPr="00E810AB">
              <w:rPr>
                <w:rFonts w:cs="Calibri"/>
                <w:b/>
                <w:color w:val="000000"/>
                <w:sz w:val="18"/>
                <w:szCs w:val="18"/>
              </w:rPr>
              <w:t xml:space="preserve">US$       (in </w:t>
            </w:r>
            <w:proofErr w:type="spellStart"/>
            <w:r w:rsidRPr="00E810AB">
              <w:rPr>
                <w:rFonts w:cs="Calibri"/>
                <w:b/>
                <w:color w:val="000000"/>
                <w:sz w:val="18"/>
                <w:szCs w:val="18"/>
              </w:rPr>
              <w:t>mn</w:t>
            </w:r>
            <w:proofErr w:type="spellEnd"/>
            <w:r w:rsidRPr="00E810AB">
              <w:rPr>
                <w:rFonts w:cs="Calibri"/>
                <w:b/>
                <w:color w:val="000000"/>
                <w:sz w:val="18"/>
                <w:szCs w:val="18"/>
              </w:rPr>
              <w:t>)</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rPr>
                <w:rFonts w:cs="Calibri"/>
                <w:b/>
                <w:color w:val="000000"/>
                <w:sz w:val="18"/>
                <w:szCs w:val="18"/>
              </w:rPr>
            </w:pPr>
            <w:r w:rsidRPr="00E810AB">
              <w:rPr>
                <w:rFonts w:cs="Calibri"/>
                <w:b/>
                <w:color w:val="000000"/>
                <w:sz w:val="18"/>
                <w:szCs w:val="18"/>
              </w:rPr>
              <w:t xml:space="preserve">US$      (in </w:t>
            </w:r>
            <w:proofErr w:type="spellStart"/>
            <w:r w:rsidRPr="00E810AB">
              <w:rPr>
                <w:rFonts w:cs="Calibri"/>
                <w:b/>
                <w:color w:val="000000"/>
                <w:sz w:val="18"/>
                <w:szCs w:val="18"/>
              </w:rPr>
              <w:t>mn</w:t>
            </w:r>
            <w:proofErr w:type="spellEnd"/>
            <w:r w:rsidRPr="00E810AB">
              <w:rPr>
                <w:rFonts w:cs="Calibri"/>
                <w:b/>
                <w:color w:val="000000"/>
                <w:sz w:val="18"/>
                <w:szCs w:val="18"/>
              </w:rPr>
              <w:t>)</w:t>
            </w:r>
          </w:p>
        </w:tc>
        <w:tc>
          <w:tcPr>
            <w:tcW w:w="1069" w:type="dxa"/>
            <w:tcBorders>
              <w:top w:val="single" w:sz="4" w:space="0" w:color="auto"/>
              <w:left w:val="nil"/>
              <w:bottom w:val="single" w:sz="4" w:space="0" w:color="auto"/>
              <w:right w:val="single" w:sz="4" w:space="0" w:color="auto"/>
            </w:tcBorders>
            <w:vAlign w:val="bottom"/>
          </w:tcPr>
          <w:p w:rsidR="007A5BDD" w:rsidRPr="00E810AB" w:rsidRDefault="007A5BDD" w:rsidP="00440CBA">
            <w:pPr>
              <w:rPr>
                <w:rFonts w:cs="Calibri"/>
                <w:b/>
                <w:color w:val="000000"/>
                <w:sz w:val="18"/>
                <w:szCs w:val="18"/>
              </w:rPr>
            </w:pPr>
            <w:r w:rsidRPr="00E810AB">
              <w:rPr>
                <w:rFonts w:cs="Calibri"/>
                <w:b/>
                <w:color w:val="000000"/>
                <w:sz w:val="18"/>
                <w:szCs w:val="18"/>
              </w:rPr>
              <w:t xml:space="preserve">US$      (in </w:t>
            </w:r>
            <w:proofErr w:type="spellStart"/>
            <w:r w:rsidRPr="00E810AB">
              <w:rPr>
                <w:rFonts w:cs="Calibri"/>
                <w:b/>
                <w:color w:val="000000"/>
                <w:sz w:val="18"/>
                <w:szCs w:val="18"/>
              </w:rPr>
              <w:t>mn</w:t>
            </w:r>
            <w:proofErr w:type="spellEnd"/>
            <w:r w:rsidRPr="00E810AB">
              <w:rPr>
                <w:rFonts w:cs="Calibri"/>
                <w:b/>
                <w:color w:val="000000"/>
                <w:sz w:val="18"/>
                <w:szCs w:val="18"/>
              </w:rPr>
              <w:t>)</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rPr>
                <w:rFonts w:cs="Calibri"/>
                <w:b/>
                <w:color w:val="000000"/>
                <w:sz w:val="18"/>
                <w:szCs w:val="18"/>
              </w:rPr>
            </w:pPr>
            <w:r w:rsidRPr="00E810AB">
              <w:rPr>
                <w:rFonts w:cs="Calibri"/>
                <w:b/>
                <w:color w:val="000000"/>
                <w:sz w:val="18"/>
                <w:szCs w:val="18"/>
              </w:rPr>
              <w:t xml:space="preserve">US$      (in </w:t>
            </w:r>
            <w:proofErr w:type="spellStart"/>
            <w:r w:rsidRPr="00E810AB">
              <w:rPr>
                <w:rFonts w:cs="Calibri"/>
                <w:b/>
                <w:color w:val="000000"/>
                <w:sz w:val="18"/>
                <w:szCs w:val="18"/>
              </w:rPr>
              <w:t>mn</w:t>
            </w:r>
            <w:proofErr w:type="spellEnd"/>
            <w:r w:rsidRPr="00E810AB">
              <w:rPr>
                <w:rFonts w:cs="Calibri"/>
                <w:b/>
                <w:color w:val="000000"/>
                <w:sz w:val="18"/>
                <w:szCs w:val="18"/>
              </w:rPr>
              <w:t>)</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Delhi</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64.7</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129.4</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60.1</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r w:rsidRPr="00E810AB">
              <w:rPr>
                <w:rFonts w:eastAsia="Times New Roman" w:cs="Arial"/>
                <w:color w:val="000000"/>
                <w:sz w:val="18"/>
                <w:szCs w:val="18"/>
              </w:rPr>
              <w:t>No Sale</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60.1</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Mumbai</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63.3</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126.6</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58.8</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r w:rsidRPr="00E810AB">
              <w:rPr>
                <w:rFonts w:eastAsia="Times New Roman" w:cs="Arial"/>
                <w:color w:val="000000"/>
                <w:sz w:val="18"/>
                <w:szCs w:val="18"/>
              </w:rPr>
              <w:t>No Sale</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Kolkata</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30.3</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9.9</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r w:rsidRPr="00E810AB">
              <w:rPr>
                <w:rFonts w:eastAsia="Times New Roman" w:cs="Arial"/>
                <w:color w:val="000000"/>
                <w:sz w:val="18"/>
                <w:szCs w:val="18"/>
              </w:rPr>
              <w:t>No Sale</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9.9</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Karnataka</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22.8</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Rajasthan</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19.5</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19.5</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Andhra Pradesh</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24.9</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Assam</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30.8</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28.6</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28.6</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Bihar</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26.5</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26.5</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Gujarat</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5.7</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5.7</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Haryana</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5.8</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Himachal Pradesh</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4.0</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Jammu &amp; Kashmir</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9.3</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9.3</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Kerala</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6.6</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Madhya Pradesh</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6.3</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5.8</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Maharashtra</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4.7</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North East</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2.2</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2.2</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lastRenderedPageBreak/>
              <w:t>Orissa</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0.7</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Punjab</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3.7</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Tamil Nadu</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1.8</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Uttar Pradesh (E)</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0.8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Uttar Pradesh (W)</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0.8</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0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A5BDD" w:rsidRPr="00E810AB" w:rsidRDefault="007A5BDD" w:rsidP="00440CBA">
            <w:pPr>
              <w:jc w:val="center"/>
              <w:rPr>
                <w:rFonts w:eastAsia="Times New Roman" w:cs="Arial"/>
                <w:bCs/>
                <w:color w:val="000000"/>
                <w:sz w:val="18"/>
                <w:szCs w:val="18"/>
              </w:rPr>
            </w:pPr>
            <w:r w:rsidRPr="00E810AB">
              <w:rPr>
                <w:rFonts w:eastAsia="Times New Roman" w:cs="Arial"/>
                <w:bCs/>
                <w:color w:val="000000"/>
                <w:sz w:val="18"/>
                <w:szCs w:val="18"/>
              </w:rPr>
              <w:t>West Bengal</w:t>
            </w: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rPr>
                <w:rFonts w:ascii="Calibri"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0.5</w:t>
            </w:r>
          </w:p>
        </w:tc>
        <w:tc>
          <w:tcPr>
            <w:tcW w:w="1077" w:type="dxa"/>
            <w:tcBorders>
              <w:top w:val="nil"/>
              <w:left w:val="nil"/>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p>
        </w:tc>
        <w:tc>
          <w:tcPr>
            <w:tcW w:w="1069" w:type="dxa"/>
            <w:tcBorders>
              <w:top w:val="single" w:sz="4" w:space="0" w:color="auto"/>
              <w:left w:val="nil"/>
              <w:bottom w:val="single" w:sz="4" w:space="0" w:color="auto"/>
              <w:right w:val="single" w:sz="4" w:space="0" w:color="auto"/>
            </w:tcBorders>
          </w:tcPr>
          <w:p w:rsidR="007A5BDD" w:rsidRPr="00E810AB" w:rsidRDefault="007A5BDD" w:rsidP="00440CBA">
            <w:pPr>
              <w:jc w:val="right"/>
              <w:rPr>
                <w:rFonts w:eastAsia="Times New Roman" w:cs="Arial"/>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810AB" w:rsidRDefault="007A5BDD" w:rsidP="00440CBA">
            <w:pPr>
              <w:jc w:val="right"/>
              <w:rPr>
                <w:rFonts w:ascii="Calibri" w:hAnsi="Calibri" w:cs="Calibri"/>
                <w:color w:val="000000"/>
                <w:sz w:val="18"/>
                <w:szCs w:val="18"/>
              </w:rPr>
            </w:pPr>
            <w:r w:rsidRPr="00E810AB">
              <w:rPr>
                <w:rFonts w:ascii="Calibri" w:hAnsi="Calibri" w:cs="Calibri"/>
                <w:color w:val="000000"/>
                <w:sz w:val="18"/>
                <w:szCs w:val="18"/>
              </w:rPr>
              <w:t>No Sale</w:t>
            </w:r>
          </w:p>
        </w:tc>
      </w:tr>
      <w:tr w:rsidR="007A5BDD" w:rsidRPr="00E810AB" w:rsidTr="00440CBA">
        <w:trPr>
          <w:trHeight w:val="315"/>
          <w:jc w:val="center"/>
        </w:trPr>
        <w:tc>
          <w:tcPr>
            <w:tcW w:w="1497" w:type="dxa"/>
            <w:tcBorders>
              <w:top w:val="nil"/>
              <w:left w:val="single" w:sz="4" w:space="0" w:color="auto"/>
              <w:bottom w:val="single" w:sz="4" w:space="0" w:color="auto"/>
              <w:right w:val="single" w:sz="4" w:space="0" w:color="auto"/>
            </w:tcBorders>
            <w:shd w:val="clear" w:color="auto" w:fill="FFFFFF"/>
            <w:vAlign w:val="center"/>
            <w:hideMark/>
          </w:tcPr>
          <w:p w:rsidR="007A5BDD" w:rsidRPr="00E810AB" w:rsidRDefault="007A5BDD" w:rsidP="00440CBA">
            <w:pPr>
              <w:jc w:val="center"/>
              <w:rPr>
                <w:rFonts w:eastAsia="Times New Roman" w:cs="Arial"/>
                <w:b/>
                <w:bCs/>
                <w:color w:val="000000"/>
                <w:sz w:val="18"/>
                <w:szCs w:val="18"/>
              </w:rPr>
            </w:pPr>
            <w:r w:rsidRPr="00E810AB">
              <w:rPr>
                <w:rFonts w:eastAsia="Times New Roman" w:cs="Arial"/>
                <w:b/>
                <w:bCs/>
                <w:color w:val="000000"/>
                <w:sz w:val="18"/>
                <w:szCs w:val="18"/>
              </w:rPr>
              <w:t> Total</w:t>
            </w:r>
          </w:p>
        </w:tc>
        <w:tc>
          <w:tcPr>
            <w:tcW w:w="1077" w:type="dxa"/>
            <w:tcBorders>
              <w:top w:val="nil"/>
              <w:left w:val="nil"/>
              <w:bottom w:val="single" w:sz="4" w:space="0" w:color="auto"/>
              <w:right w:val="single" w:sz="4" w:space="0" w:color="auto"/>
            </w:tcBorders>
            <w:shd w:val="clear" w:color="auto" w:fill="FFFFFF"/>
            <w:vAlign w:val="bottom"/>
            <w:hideMark/>
          </w:tcPr>
          <w:p w:rsidR="007A5BDD" w:rsidRPr="00E810AB" w:rsidRDefault="007A5BDD" w:rsidP="00440CBA">
            <w:pPr>
              <w:jc w:val="right"/>
              <w:rPr>
                <w:rFonts w:ascii="Calibri" w:hAnsi="Calibri" w:cs="Calibri"/>
                <w:b/>
                <w:color w:val="000000"/>
                <w:sz w:val="18"/>
                <w:szCs w:val="18"/>
              </w:rPr>
            </w:pPr>
            <w:r w:rsidRPr="00E810AB">
              <w:rPr>
                <w:rFonts w:ascii="Calibri" w:hAnsi="Calibri" w:cs="Calibri"/>
                <w:b/>
                <w:color w:val="000000"/>
                <w:sz w:val="18"/>
                <w:szCs w:val="18"/>
              </w:rPr>
              <w:t>395.9</w:t>
            </w:r>
          </w:p>
        </w:tc>
        <w:tc>
          <w:tcPr>
            <w:tcW w:w="1077" w:type="dxa"/>
            <w:tcBorders>
              <w:top w:val="nil"/>
              <w:left w:val="nil"/>
              <w:bottom w:val="single" w:sz="4" w:space="0" w:color="auto"/>
              <w:right w:val="single" w:sz="4" w:space="0" w:color="auto"/>
            </w:tcBorders>
            <w:shd w:val="clear" w:color="auto" w:fill="FFFFFF"/>
            <w:vAlign w:val="bottom"/>
            <w:hideMark/>
          </w:tcPr>
          <w:p w:rsidR="007A5BDD" w:rsidRPr="00E810AB" w:rsidRDefault="007A5BDD" w:rsidP="00440CBA">
            <w:pPr>
              <w:rPr>
                <w:rFonts w:ascii="Calibri" w:hAnsi="Calibri" w:cs="Calibri"/>
                <w:b/>
                <w:color w:val="000000"/>
                <w:sz w:val="18"/>
                <w:szCs w:val="18"/>
              </w:rPr>
            </w:pPr>
          </w:p>
        </w:tc>
        <w:tc>
          <w:tcPr>
            <w:tcW w:w="1077" w:type="dxa"/>
            <w:tcBorders>
              <w:top w:val="nil"/>
              <w:left w:val="nil"/>
              <w:bottom w:val="single" w:sz="4" w:space="0" w:color="auto"/>
              <w:right w:val="single" w:sz="4" w:space="0" w:color="auto"/>
            </w:tcBorders>
            <w:shd w:val="clear" w:color="auto" w:fill="FFFFFF"/>
            <w:vAlign w:val="bottom"/>
            <w:hideMark/>
          </w:tcPr>
          <w:p w:rsidR="007A5BDD" w:rsidRPr="00E810AB" w:rsidRDefault="007A5BDD" w:rsidP="00440CBA">
            <w:pPr>
              <w:jc w:val="right"/>
              <w:rPr>
                <w:rFonts w:ascii="Calibri" w:hAnsi="Calibri" w:cs="Calibri"/>
                <w:b/>
                <w:color w:val="000000"/>
                <w:sz w:val="18"/>
                <w:szCs w:val="18"/>
              </w:rPr>
            </w:pPr>
            <w:r w:rsidRPr="00E810AB">
              <w:rPr>
                <w:rFonts w:ascii="Calibri" w:hAnsi="Calibri" w:cs="Calibri"/>
                <w:b/>
                <w:color w:val="000000"/>
                <w:sz w:val="18"/>
                <w:szCs w:val="18"/>
              </w:rPr>
              <w:t>303.3</w:t>
            </w:r>
          </w:p>
        </w:tc>
        <w:tc>
          <w:tcPr>
            <w:tcW w:w="1077" w:type="dxa"/>
            <w:tcBorders>
              <w:top w:val="nil"/>
              <w:left w:val="nil"/>
              <w:bottom w:val="single" w:sz="4" w:space="0" w:color="auto"/>
              <w:right w:val="single" w:sz="4" w:space="0" w:color="auto"/>
            </w:tcBorders>
            <w:shd w:val="clear" w:color="auto" w:fill="FFFFFF"/>
            <w:noWrap/>
            <w:vAlign w:val="bottom"/>
            <w:hideMark/>
          </w:tcPr>
          <w:p w:rsidR="007A5BDD" w:rsidRPr="00E810AB" w:rsidRDefault="007A5BDD" w:rsidP="00440CBA">
            <w:pPr>
              <w:jc w:val="right"/>
              <w:rPr>
                <w:rFonts w:ascii="Calibri" w:hAnsi="Calibri" w:cs="Calibri"/>
                <w:b/>
                <w:color w:val="000000"/>
                <w:sz w:val="18"/>
                <w:szCs w:val="18"/>
              </w:rPr>
            </w:pPr>
            <w:r w:rsidRPr="00E810AB">
              <w:rPr>
                <w:rFonts w:ascii="Calibri" w:hAnsi="Calibri" w:cs="Calibri"/>
                <w:b/>
                <w:color w:val="000000"/>
                <w:sz w:val="18"/>
                <w:szCs w:val="18"/>
              </w:rPr>
              <w:t>161.8</w:t>
            </w:r>
          </w:p>
        </w:tc>
        <w:tc>
          <w:tcPr>
            <w:tcW w:w="1069" w:type="dxa"/>
            <w:tcBorders>
              <w:top w:val="single" w:sz="4" w:space="0" w:color="auto"/>
              <w:left w:val="nil"/>
              <w:bottom w:val="single" w:sz="4" w:space="0" w:color="auto"/>
              <w:right w:val="single" w:sz="4" w:space="0" w:color="auto"/>
            </w:tcBorders>
            <w:shd w:val="clear" w:color="auto" w:fill="FFFFFF"/>
          </w:tcPr>
          <w:p w:rsidR="007A5BDD" w:rsidRPr="00E810AB" w:rsidRDefault="007A5BDD" w:rsidP="00440CBA">
            <w:pPr>
              <w:jc w:val="right"/>
              <w:rPr>
                <w:rFonts w:eastAsia="Times New Roman" w:cs="Arial"/>
                <w:b/>
                <w:bCs/>
                <w:color w:val="000000"/>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A5BDD" w:rsidRPr="00E810AB" w:rsidRDefault="007A5BDD" w:rsidP="00440CBA">
            <w:pPr>
              <w:jc w:val="right"/>
              <w:rPr>
                <w:rFonts w:ascii="Calibri" w:hAnsi="Calibri" w:cs="Calibri"/>
                <w:b/>
                <w:color w:val="000000"/>
                <w:sz w:val="18"/>
                <w:szCs w:val="18"/>
              </w:rPr>
            </w:pPr>
            <w:r w:rsidRPr="00E810AB">
              <w:rPr>
                <w:rFonts w:ascii="Calibri" w:hAnsi="Calibri" w:cs="Calibri"/>
                <w:b/>
                <w:color w:val="000000"/>
                <w:sz w:val="18"/>
                <w:szCs w:val="18"/>
              </w:rPr>
              <w:t>161.8</w:t>
            </w:r>
          </w:p>
        </w:tc>
      </w:tr>
    </w:tbl>
    <w:p w:rsidR="007A5BDD" w:rsidRDefault="007A5BDD" w:rsidP="007A5BDD">
      <w:pPr>
        <w:pStyle w:val="ListParagraph"/>
        <w:numPr>
          <w:ilvl w:val="0"/>
          <w:numId w:val="13"/>
        </w:numPr>
        <w:shd w:val="clear" w:color="auto" w:fill="FFFFFF"/>
        <w:spacing w:before="360" w:after="240" w:line="360" w:lineRule="auto"/>
        <w:ind w:left="806" w:hanging="806"/>
        <w:jc w:val="both"/>
      </w:pPr>
      <w:r>
        <w:t xml:space="preserve">In July 2013, the DoT </w:t>
      </w:r>
      <w:r w:rsidRPr="0039159E">
        <w:t>had sought TRAI’s recommendations on applicable reserve price for auction of spectrum in 1800 MHz, 800 MHz and 900 MHz bands.</w:t>
      </w:r>
      <w:r>
        <w:t xml:space="preserve"> After considering the recommendations dated 9</w:t>
      </w:r>
      <w:r w:rsidRPr="00DD7B01">
        <w:rPr>
          <w:vertAlign w:val="superscript"/>
        </w:rPr>
        <w:t>th</w:t>
      </w:r>
      <w:r>
        <w:t xml:space="preserve"> </w:t>
      </w:r>
      <w:r w:rsidRPr="00FE1A17">
        <w:t>September</w:t>
      </w:r>
      <w:r>
        <w:t xml:space="preserve"> 2013, the Government has taken the following important policy decisions: </w:t>
      </w:r>
    </w:p>
    <w:p w:rsidR="007A5BDD" w:rsidRDefault="007A5BDD" w:rsidP="007A5BDD">
      <w:pPr>
        <w:pStyle w:val="ListParagraph"/>
        <w:numPr>
          <w:ilvl w:val="0"/>
          <w:numId w:val="21"/>
        </w:numPr>
        <w:spacing w:line="360" w:lineRule="auto"/>
        <w:ind w:left="1440" w:hanging="446"/>
        <w:contextualSpacing/>
        <w:jc w:val="both"/>
      </w:pPr>
      <w:r>
        <w:t>The entire available spectrum with the DoT to be put up for auction.</w:t>
      </w:r>
    </w:p>
    <w:p w:rsidR="007A5BDD" w:rsidRDefault="007A5BDD" w:rsidP="007A5BDD">
      <w:pPr>
        <w:pStyle w:val="ListParagraph"/>
        <w:numPr>
          <w:ilvl w:val="0"/>
          <w:numId w:val="21"/>
        </w:numPr>
        <w:spacing w:line="360" w:lineRule="auto"/>
        <w:ind w:left="1440" w:hanging="446"/>
        <w:contextualSpacing/>
        <w:jc w:val="both"/>
      </w:pPr>
      <w:r w:rsidRPr="00557A40">
        <w:t xml:space="preserve">There </w:t>
      </w:r>
      <w:r>
        <w:t>will</w:t>
      </w:r>
      <w:r w:rsidRPr="00557A40">
        <w:t xml:space="preserve"> be no reservation of spectrum for the Renewal Licensees in 900 or 1800 MHz bands</w:t>
      </w:r>
      <w:r>
        <w:t xml:space="preserve">. </w:t>
      </w:r>
    </w:p>
    <w:p w:rsidR="007A5BDD" w:rsidRDefault="007A5BDD" w:rsidP="007A5BDD">
      <w:pPr>
        <w:pStyle w:val="ListParagraph"/>
        <w:numPr>
          <w:ilvl w:val="0"/>
          <w:numId w:val="21"/>
        </w:numPr>
        <w:spacing w:line="360" w:lineRule="auto"/>
        <w:ind w:left="1440" w:hanging="446"/>
        <w:contextualSpacing/>
        <w:jc w:val="both"/>
      </w:pPr>
      <w:r w:rsidRPr="0062762C">
        <w:rPr>
          <w:b/>
        </w:rPr>
        <w:t>Spectrum trading</w:t>
      </w:r>
      <w:r w:rsidRPr="002357D8">
        <w:t xml:space="preserve"> should be permitted in the country. Initially, only outright transfer of spectrum should be permitted. </w:t>
      </w:r>
    </w:p>
    <w:p w:rsidR="007A5BDD" w:rsidRDefault="007A5BDD" w:rsidP="007A5BDD">
      <w:pPr>
        <w:pStyle w:val="ListParagraph"/>
        <w:numPr>
          <w:ilvl w:val="0"/>
          <w:numId w:val="21"/>
        </w:numPr>
        <w:spacing w:line="360" w:lineRule="auto"/>
        <w:ind w:left="1440" w:hanging="446"/>
        <w:contextualSpacing/>
        <w:jc w:val="both"/>
      </w:pPr>
      <w:r w:rsidRPr="0062762C">
        <w:rPr>
          <w:b/>
        </w:rPr>
        <w:t>Spectrum usage charge</w:t>
      </w:r>
      <w:r>
        <w:rPr>
          <w:b/>
        </w:rPr>
        <w:t xml:space="preserve"> (SUC)</w:t>
      </w:r>
      <w:r w:rsidRPr="0062762C">
        <w:t xml:space="preserve"> for spectrum acquired through current auction will be charged at 5% of Adjusted Gross Revenue. There is no change in the existing slab rate of Spectrum usage charges for the Licensees who do not acquire spectrum through current auction. In cases of combination of existing spectrum in 900 MHz and 1800 MHz bands and spectrum acquired through current auction, the weighted average will apply to both the spectrum held by the operator.</w:t>
      </w:r>
    </w:p>
    <w:p w:rsidR="007A5BDD" w:rsidRDefault="007A5BDD" w:rsidP="007A5BDD">
      <w:pPr>
        <w:pStyle w:val="ListParagraph"/>
        <w:numPr>
          <w:ilvl w:val="0"/>
          <w:numId w:val="21"/>
        </w:numPr>
        <w:spacing w:line="360" w:lineRule="auto"/>
        <w:ind w:left="1440" w:hanging="446"/>
        <w:contextualSpacing/>
        <w:jc w:val="both"/>
      </w:pPr>
      <w:r w:rsidRPr="008166ED">
        <w:t xml:space="preserve">The pan-India reserve price of the spectrum was reduced by </w:t>
      </w:r>
      <w:r>
        <w:t>around 50% in the 1800 MHz band. Similarly, the reserve price for the 900 MHz band for the three metros, where it was being pit up for auction, was reduced by an average of more than 50%. Details of the reduction of the reserve price is given below:</w:t>
      </w:r>
    </w:p>
    <w:p w:rsidR="007A5BDD" w:rsidRPr="001B0A1F" w:rsidRDefault="007A5BDD" w:rsidP="007A5BDD">
      <w:pPr>
        <w:pStyle w:val="ListParagraph"/>
        <w:spacing w:line="360" w:lineRule="auto"/>
        <w:ind w:left="1440"/>
        <w:jc w:val="center"/>
        <w:rPr>
          <w:b/>
          <w:sz w:val="22"/>
        </w:rPr>
      </w:pPr>
      <w:r w:rsidRPr="001B0A1F">
        <w:rPr>
          <w:b/>
          <w:sz w:val="22"/>
        </w:rPr>
        <w:t>Table</w:t>
      </w:r>
    </w:p>
    <w:tbl>
      <w:tblPr>
        <w:tblW w:w="7080" w:type="dxa"/>
        <w:jc w:val="right"/>
        <w:tblInd w:w="96" w:type="dxa"/>
        <w:tblLook w:val="04A0" w:firstRow="1" w:lastRow="0" w:firstColumn="1" w:lastColumn="0" w:noHBand="0" w:noVBand="1"/>
      </w:tblPr>
      <w:tblGrid>
        <w:gridCol w:w="780"/>
        <w:gridCol w:w="1485"/>
        <w:gridCol w:w="1400"/>
        <w:gridCol w:w="1572"/>
        <w:gridCol w:w="1007"/>
        <w:gridCol w:w="1181"/>
      </w:tblGrid>
      <w:tr w:rsidR="007A5BDD" w:rsidRPr="00765DCD" w:rsidTr="00440CBA">
        <w:trPr>
          <w:trHeight w:val="1151"/>
          <w:jc w:val="right"/>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BDD" w:rsidRPr="00765DCD" w:rsidRDefault="007A5BDD" w:rsidP="00440CBA">
            <w:pPr>
              <w:jc w:val="center"/>
              <w:rPr>
                <w:rFonts w:eastAsia="Times New Roman" w:cs="Calibri"/>
                <w:b/>
                <w:bCs/>
                <w:color w:val="000000"/>
                <w:sz w:val="18"/>
                <w:szCs w:val="18"/>
                <w:lang w:eastAsia="en-IN"/>
              </w:rPr>
            </w:pPr>
            <w:r w:rsidRPr="00765DCD">
              <w:rPr>
                <w:rFonts w:eastAsia="Times New Roman" w:cs="Calibri"/>
                <w:b/>
                <w:bCs/>
                <w:color w:val="000000"/>
                <w:sz w:val="18"/>
                <w:szCs w:val="18"/>
                <w:lang w:eastAsia="en-IN"/>
              </w:rPr>
              <w:t>Cat</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rsidR="007A5BDD" w:rsidRPr="00765DCD" w:rsidRDefault="007A5BDD" w:rsidP="00440CBA">
            <w:pPr>
              <w:jc w:val="center"/>
              <w:rPr>
                <w:rFonts w:eastAsia="Times New Roman" w:cs="Calibri"/>
                <w:b/>
                <w:bCs/>
                <w:color w:val="000000"/>
                <w:sz w:val="18"/>
                <w:szCs w:val="18"/>
                <w:lang w:eastAsia="en-IN"/>
              </w:rPr>
            </w:pPr>
            <w:r w:rsidRPr="00765DCD">
              <w:rPr>
                <w:rFonts w:eastAsia="Times New Roman" w:cs="Calibri"/>
                <w:b/>
                <w:bCs/>
                <w:color w:val="000000"/>
                <w:sz w:val="18"/>
                <w:szCs w:val="18"/>
                <w:lang w:eastAsia="en-IN"/>
              </w:rPr>
              <w:t>Circle</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A5BDD" w:rsidRPr="00765DCD" w:rsidRDefault="007A5BDD" w:rsidP="00440CBA">
            <w:pPr>
              <w:jc w:val="center"/>
              <w:rPr>
                <w:rFonts w:eastAsia="Times New Roman" w:cs="Calibri"/>
                <w:b/>
                <w:bCs/>
                <w:color w:val="000000"/>
                <w:sz w:val="18"/>
                <w:szCs w:val="18"/>
                <w:lang w:eastAsia="en-IN"/>
              </w:rPr>
            </w:pPr>
            <w:r w:rsidRPr="00765DCD">
              <w:rPr>
                <w:rFonts w:eastAsia="Times New Roman" w:cs="Calibri"/>
                <w:b/>
                <w:bCs/>
                <w:color w:val="000000"/>
                <w:sz w:val="18"/>
                <w:szCs w:val="18"/>
                <w:lang w:eastAsia="en-IN"/>
              </w:rPr>
              <w:t xml:space="preserve"> 1800 MHz Band Reserve Price per MHz( paired)</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7A5BDD" w:rsidRPr="00765DCD" w:rsidRDefault="007A5BDD" w:rsidP="00440CBA">
            <w:pPr>
              <w:jc w:val="center"/>
              <w:rPr>
                <w:rFonts w:eastAsia="Times New Roman" w:cs="Calibri"/>
                <w:b/>
                <w:bCs/>
                <w:color w:val="000000"/>
                <w:sz w:val="18"/>
                <w:szCs w:val="18"/>
                <w:lang w:eastAsia="en-IN"/>
              </w:rPr>
            </w:pPr>
            <w:r w:rsidRPr="00765DCD">
              <w:rPr>
                <w:rFonts w:eastAsia="Times New Roman" w:cs="Calibri"/>
                <w:b/>
                <w:bCs/>
                <w:color w:val="000000"/>
                <w:sz w:val="18"/>
                <w:szCs w:val="18"/>
                <w:lang w:eastAsia="en-IN"/>
              </w:rPr>
              <w:t>900 MHz Band Reserve Price  per MHz( paired)</w:t>
            </w:r>
          </w:p>
        </w:tc>
        <w:tc>
          <w:tcPr>
            <w:tcW w:w="662" w:type="dxa"/>
            <w:tcBorders>
              <w:top w:val="single" w:sz="4" w:space="0" w:color="auto"/>
              <w:left w:val="nil"/>
              <w:bottom w:val="single" w:sz="4" w:space="0" w:color="auto"/>
              <w:right w:val="single" w:sz="4" w:space="0" w:color="auto"/>
            </w:tcBorders>
            <w:shd w:val="clear" w:color="auto" w:fill="auto"/>
            <w:vAlign w:val="bottom"/>
            <w:hideMark/>
          </w:tcPr>
          <w:p w:rsidR="007A5BDD" w:rsidRPr="00765DCD" w:rsidRDefault="007A5BDD" w:rsidP="00440CBA">
            <w:pPr>
              <w:jc w:val="center"/>
              <w:rPr>
                <w:rFonts w:eastAsia="Times New Roman" w:cs="Calibri"/>
                <w:b/>
                <w:bCs/>
                <w:color w:val="000000"/>
                <w:sz w:val="18"/>
                <w:szCs w:val="18"/>
                <w:lang w:eastAsia="en-IN"/>
              </w:rPr>
            </w:pPr>
            <w:r w:rsidRPr="00765DCD">
              <w:rPr>
                <w:rFonts w:eastAsia="Times New Roman" w:cs="Calibri"/>
                <w:b/>
                <w:bCs/>
                <w:color w:val="000000"/>
                <w:sz w:val="18"/>
                <w:szCs w:val="18"/>
                <w:lang w:eastAsia="en-IN"/>
              </w:rPr>
              <w:t>% Reduction in 1800 Reserve Price</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7A5BDD" w:rsidRPr="00765DCD" w:rsidRDefault="007A5BDD" w:rsidP="00440CBA">
            <w:pPr>
              <w:jc w:val="center"/>
              <w:rPr>
                <w:rFonts w:eastAsia="Times New Roman" w:cs="Calibri"/>
                <w:b/>
                <w:bCs/>
                <w:color w:val="000000"/>
                <w:sz w:val="18"/>
                <w:szCs w:val="18"/>
                <w:lang w:eastAsia="en-IN"/>
              </w:rPr>
            </w:pPr>
            <w:r w:rsidRPr="00765DCD">
              <w:rPr>
                <w:rFonts w:eastAsia="Times New Roman" w:cs="Calibri"/>
                <w:b/>
                <w:bCs/>
                <w:color w:val="000000"/>
                <w:sz w:val="18"/>
                <w:szCs w:val="18"/>
                <w:lang w:eastAsia="en-IN"/>
              </w:rPr>
              <w:t>% Reduction in 900 Reserve Price</w:t>
            </w:r>
          </w:p>
        </w:tc>
      </w:tr>
      <w:tr w:rsidR="007A5BDD" w:rsidRPr="00765DCD" w:rsidTr="00440CBA">
        <w:trPr>
          <w:trHeight w:val="492"/>
          <w:jc w:val="right"/>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7A5BDD" w:rsidRPr="00765DCD" w:rsidRDefault="007A5BDD" w:rsidP="00440CBA">
            <w:pPr>
              <w:jc w:val="center"/>
              <w:rPr>
                <w:rFonts w:eastAsia="Times New Roman" w:cs="Calibri"/>
                <w:b/>
                <w:bCs/>
                <w:color w:val="000000"/>
                <w:sz w:val="20"/>
                <w:szCs w:val="20"/>
                <w:lang w:eastAsia="en-IN"/>
              </w:rPr>
            </w:pPr>
            <w:r w:rsidRPr="00765DCD">
              <w:rPr>
                <w:rFonts w:eastAsia="Times New Roman" w:cs="Calibri"/>
                <w:b/>
                <w:bCs/>
                <w:color w:val="000000"/>
                <w:sz w:val="20"/>
                <w:szCs w:val="20"/>
                <w:lang w:eastAsia="en-IN"/>
              </w:rPr>
              <w:t> </w:t>
            </w:r>
          </w:p>
        </w:tc>
        <w:tc>
          <w:tcPr>
            <w:tcW w:w="1485" w:type="dxa"/>
            <w:tcBorders>
              <w:top w:val="nil"/>
              <w:left w:val="nil"/>
              <w:bottom w:val="single" w:sz="4" w:space="0" w:color="auto"/>
              <w:right w:val="single" w:sz="4" w:space="0" w:color="auto"/>
            </w:tcBorders>
            <w:shd w:val="clear" w:color="auto" w:fill="auto"/>
            <w:vAlign w:val="bottom"/>
            <w:hideMark/>
          </w:tcPr>
          <w:p w:rsidR="007A5BDD" w:rsidRPr="00765DCD" w:rsidRDefault="007A5BDD" w:rsidP="00440CBA">
            <w:pPr>
              <w:jc w:val="center"/>
              <w:rPr>
                <w:rFonts w:eastAsia="Times New Roman" w:cs="Calibri"/>
                <w:b/>
                <w:bCs/>
                <w:color w:val="000000"/>
                <w:sz w:val="20"/>
                <w:szCs w:val="20"/>
                <w:lang w:eastAsia="en-IN"/>
              </w:rPr>
            </w:pPr>
            <w:r w:rsidRPr="00765DCD">
              <w:rPr>
                <w:rFonts w:eastAsia="Times New Roman" w:cs="Calibri"/>
                <w:b/>
                <w:bCs/>
                <w:color w:val="000000"/>
                <w:sz w:val="20"/>
                <w:szCs w:val="20"/>
                <w:lang w:eastAsia="en-IN"/>
              </w:rPr>
              <w:t> </w:t>
            </w:r>
          </w:p>
        </w:tc>
        <w:tc>
          <w:tcPr>
            <w:tcW w:w="1400" w:type="dxa"/>
            <w:tcBorders>
              <w:top w:val="nil"/>
              <w:left w:val="nil"/>
              <w:bottom w:val="single" w:sz="4" w:space="0" w:color="auto"/>
              <w:right w:val="single" w:sz="4" w:space="0" w:color="auto"/>
            </w:tcBorders>
            <w:shd w:val="clear" w:color="auto" w:fill="auto"/>
            <w:vAlign w:val="bottom"/>
            <w:hideMark/>
          </w:tcPr>
          <w:p w:rsidR="007A5BDD" w:rsidRPr="00765DCD" w:rsidRDefault="007A5BDD" w:rsidP="00440CBA">
            <w:pPr>
              <w:jc w:val="center"/>
              <w:rPr>
                <w:rFonts w:eastAsia="Times New Roman" w:cs="Calibri"/>
                <w:b/>
                <w:bCs/>
                <w:color w:val="000000"/>
                <w:sz w:val="18"/>
                <w:szCs w:val="18"/>
                <w:lang w:eastAsia="en-IN"/>
              </w:rPr>
            </w:pPr>
            <w:r w:rsidRPr="00765DCD">
              <w:rPr>
                <w:rFonts w:eastAsia="Times New Roman" w:cs="Calibri"/>
                <w:b/>
                <w:bCs/>
                <w:color w:val="000000"/>
                <w:sz w:val="18"/>
                <w:szCs w:val="18"/>
                <w:lang w:eastAsia="en-IN"/>
              </w:rPr>
              <w:t xml:space="preserve">US$ (in </w:t>
            </w:r>
            <w:proofErr w:type="spellStart"/>
            <w:r w:rsidRPr="00765DCD">
              <w:rPr>
                <w:rFonts w:eastAsia="Times New Roman" w:cs="Calibri"/>
                <w:b/>
                <w:bCs/>
                <w:color w:val="000000"/>
                <w:sz w:val="18"/>
                <w:szCs w:val="18"/>
                <w:lang w:eastAsia="en-IN"/>
              </w:rPr>
              <w:t>mn</w:t>
            </w:r>
            <w:proofErr w:type="spellEnd"/>
            <w:r w:rsidRPr="00765DCD">
              <w:rPr>
                <w:rFonts w:eastAsia="Times New Roman" w:cs="Calibri"/>
                <w:b/>
                <w:bCs/>
                <w:color w:val="000000"/>
                <w:sz w:val="18"/>
                <w:szCs w:val="18"/>
                <w:lang w:eastAsia="en-IN"/>
              </w:rPr>
              <w:t>)</w:t>
            </w:r>
          </w:p>
        </w:tc>
        <w:tc>
          <w:tcPr>
            <w:tcW w:w="1572" w:type="dxa"/>
            <w:tcBorders>
              <w:top w:val="nil"/>
              <w:left w:val="nil"/>
              <w:bottom w:val="single" w:sz="4" w:space="0" w:color="auto"/>
              <w:right w:val="single" w:sz="4" w:space="0" w:color="auto"/>
            </w:tcBorders>
            <w:shd w:val="clear" w:color="auto" w:fill="auto"/>
            <w:vAlign w:val="bottom"/>
            <w:hideMark/>
          </w:tcPr>
          <w:p w:rsidR="007A5BDD" w:rsidRPr="00765DCD" w:rsidRDefault="007A5BDD" w:rsidP="00440CBA">
            <w:pPr>
              <w:jc w:val="center"/>
              <w:rPr>
                <w:rFonts w:eastAsia="Times New Roman" w:cs="Calibri"/>
                <w:b/>
                <w:bCs/>
                <w:color w:val="000000"/>
                <w:sz w:val="18"/>
                <w:szCs w:val="18"/>
                <w:lang w:eastAsia="en-IN"/>
              </w:rPr>
            </w:pPr>
            <w:r w:rsidRPr="00765DCD">
              <w:rPr>
                <w:rFonts w:eastAsia="Times New Roman" w:cs="Calibri"/>
                <w:b/>
                <w:bCs/>
                <w:color w:val="000000"/>
                <w:sz w:val="18"/>
                <w:szCs w:val="18"/>
                <w:lang w:eastAsia="en-IN"/>
              </w:rPr>
              <w:t xml:space="preserve">US$ (in </w:t>
            </w:r>
            <w:proofErr w:type="spellStart"/>
            <w:r w:rsidRPr="00765DCD">
              <w:rPr>
                <w:rFonts w:eastAsia="Times New Roman" w:cs="Calibri"/>
                <w:b/>
                <w:bCs/>
                <w:color w:val="000000"/>
                <w:sz w:val="18"/>
                <w:szCs w:val="18"/>
                <w:lang w:eastAsia="en-IN"/>
              </w:rPr>
              <w:t>mn</w:t>
            </w:r>
            <w:proofErr w:type="spellEnd"/>
            <w:r w:rsidRPr="00765DCD">
              <w:rPr>
                <w:rFonts w:eastAsia="Times New Roman" w:cs="Calibri"/>
                <w:b/>
                <w:bCs/>
                <w:color w:val="000000"/>
                <w:sz w:val="18"/>
                <w:szCs w:val="18"/>
                <w:lang w:eastAsia="en-IN"/>
              </w:rPr>
              <w:t>)</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Delhi</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37</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60</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7.3</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10.5</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Mumbai</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35</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54.66667</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7.6</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10.9</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Kolkata</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12</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20.83333</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3.3</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7.5</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Maharashtra</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29</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3.0</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lastRenderedPageBreak/>
              <w:t>A</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Gujarat</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24</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3.4</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AP</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27</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4.8</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Karnataka</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26</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2.7</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Tamil Nadu</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35</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2.5</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Kerala</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9</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0.1</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Punjab</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9</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-0.1</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Haryana</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5</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4.6</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UP(W)</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10</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4.6</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UP(E)</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10</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0.0</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Rajasthan</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4</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5.1</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MP</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7</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0.1</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West Bengal</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4</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-0.3</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HP</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1</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0.6</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Bihar</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6</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-1.5</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Orissa</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3</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0.2</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Assam</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1</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-0.2</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North East</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1</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0.2</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color w:val="000000"/>
                <w:sz w:val="20"/>
                <w:szCs w:val="20"/>
                <w:lang w:eastAsia="en-IN"/>
              </w:rPr>
            </w:pPr>
            <w:r w:rsidRPr="00765DCD">
              <w:rPr>
                <w:rFonts w:eastAsia="Times New Roman" w:cs="Calibri"/>
                <w:color w:val="00000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eastAsia="Times New Roman" w:cs="Calibri"/>
                <w:color w:val="000000"/>
                <w:sz w:val="20"/>
                <w:szCs w:val="20"/>
                <w:lang w:eastAsia="en-IN"/>
              </w:rPr>
            </w:pPr>
            <w:r w:rsidRPr="00765DCD">
              <w:rPr>
                <w:rFonts w:eastAsia="Times New Roman" w:cs="Calibri"/>
                <w:color w:val="000000"/>
                <w:sz w:val="20"/>
                <w:szCs w:val="20"/>
                <w:lang w:eastAsia="en-IN"/>
              </w:rPr>
              <w:t>J&amp;K</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1</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0.2</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rPr>
                <w:rFonts w:ascii="Calibri" w:eastAsia="Times New Roman" w:hAnsi="Calibri" w:cs="Calibri"/>
                <w:color w:val="000000"/>
                <w:sz w:val="22"/>
                <w:szCs w:val="22"/>
                <w:lang w:eastAsia="en-IN"/>
              </w:rPr>
            </w:pPr>
            <w:r w:rsidRPr="00765DCD">
              <w:rPr>
                <w:rFonts w:ascii="Calibri" w:eastAsia="Times New Roman" w:hAnsi="Calibri" w:cs="Calibri"/>
                <w:color w:val="000000"/>
                <w:sz w:val="22"/>
                <w:szCs w:val="22"/>
                <w:lang w:eastAsia="en-IN"/>
              </w:rPr>
              <w:t> </w:t>
            </w:r>
          </w:p>
        </w:tc>
      </w:tr>
      <w:tr w:rsidR="007A5BDD" w:rsidRPr="00765DCD" w:rsidTr="00440CBA">
        <w:trPr>
          <w:trHeight w:val="288"/>
          <w:jc w:val="right"/>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765DCD" w:rsidRDefault="007A5BDD" w:rsidP="00440CBA">
            <w:pPr>
              <w:jc w:val="center"/>
              <w:rPr>
                <w:rFonts w:eastAsia="Times New Roman" w:cs="Calibri"/>
                <w:b/>
                <w:bCs/>
                <w:color w:val="000000"/>
                <w:sz w:val="20"/>
                <w:szCs w:val="20"/>
                <w:lang w:eastAsia="en-IN"/>
              </w:rPr>
            </w:pPr>
            <w:r w:rsidRPr="00765DCD">
              <w:rPr>
                <w:rFonts w:eastAsia="Times New Roman" w:cs="Calibri"/>
                <w:b/>
                <w:bCs/>
                <w:color w:val="000000"/>
                <w:sz w:val="20"/>
                <w:szCs w:val="20"/>
                <w:lang w:eastAsia="en-IN"/>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b/>
                <w:bCs/>
                <w:color w:val="000000"/>
                <w:sz w:val="22"/>
                <w:szCs w:val="22"/>
                <w:lang w:eastAsia="en-IN"/>
              </w:rPr>
            </w:pPr>
            <w:r w:rsidRPr="00765DCD">
              <w:rPr>
                <w:rFonts w:ascii="Calibri" w:eastAsia="Times New Roman" w:hAnsi="Calibri" w:cs="Calibri"/>
                <w:b/>
                <w:bCs/>
                <w:color w:val="000000"/>
                <w:sz w:val="22"/>
                <w:szCs w:val="22"/>
                <w:lang w:eastAsia="en-IN"/>
              </w:rPr>
              <w:t>294</w:t>
            </w:r>
          </w:p>
        </w:tc>
        <w:tc>
          <w:tcPr>
            <w:tcW w:w="157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b/>
                <w:bCs/>
                <w:color w:val="000000"/>
                <w:sz w:val="22"/>
                <w:szCs w:val="22"/>
                <w:lang w:eastAsia="en-IN"/>
              </w:rPr>
            </w:pPr>
            <w:r w:rsidRPr="00765DCD">
              <w:rPr>
                <w:rFonts w:ascii="Calibri" w:eastAsia="Times New Roman" w:hAnsi="Calibri" w:cs="Calibri"/>
                <w:b/>
                <w:bCs/>
                <w:color w:val="000000"/>
                <w:sz w:val="22"/>
                <w:szCs w:val="22"/>
                <w:lang w:eastAsia="en-IN"/>
              </w:rPr>
              <w:t>136</w:t>
            </w:r>
          </w:p>
        </w:tc>
        <w:tc>
          <w:tcPr>
            <w:tcW w:w="662"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b/>
                <w:bCs/>
                <w:color w:val="000000"/>
                <w:sz w:val="22"/>
                <w:szCs w:val="22"/>
                <w:lang w:eastAsia="en-IN"/>
              </w:rPr>
            </w:pPr>
            <w:r w:rsidRPr="00765DCD">
              <w:rPr>
                <w:rFonts w:ascii="Calibri" w:eastAsia="Times New Roman" w:hAnsi="Calibri" w:cs="Calibri"/>
                <w:b/>
                <w:bCs/>
                <w:color w:val="000000"/>
                <w:sz w:val="22"/>
                <w:szCs w:val="22"/>
                <w:lang w:eastAsia="en-IN"/>
              </w:rPr>
              <w:t>53.1</w:t>
            </w:r>
          </w:p>
        </w:tc>
        <w:tc>
          <w:tcPr>
            <w:tcW w:w="1181" w:type="dxa"/>
            <w:tcBorders>
              <w:top w:val="nil"/>
              <w:left w:val="nil"/>
              <w:bottom w:val="single" w:sz="4" w:space="0" w:color="auto"/>
              <w:right w:val="single" w:sz="4" w:space="0" w:color="auto"/>
            </w:tcBorders>
            <w:shd w:val="clear" w:color="auto" w:fill="auto"/>
            <w:noWrap/>
            <w:vAlign w:val="bottom"/>
            <w:hideMark/>
          </w:tcPr>
          <w:p w:rsidR="007A5BDD" w:rsidRPr="00765DCD" w:rsidRDefault="007A5BDD" w:rsidP="00440CBA">
            <w:pPr>
              <w:jc w:val="right"/>
              <w:rPr>
                <w:rFonts w:ascii="Calibri" w:eastAsia="Times New Roman" w:hAnsi="Calibri" w:cs="Calibri"/>
                <w:b/>
                <w:bCs/>
                <w:color w:val="000000"/>
                <w:sz w:val="22"/>
                <w:szCs w:val="22"/>
                <w:lang w:eastAsia="en-IN"/>
              </w:rPr>
            </w:pPr>
            <w:r w:rsidRPr="00765DCD">
              <w:rPr>
                <w:rFonts w:ascii="Calibri" w:eastAsia="Times New Roman" w:hAnsi="Calibri" w:cs="Calibri"/>
                <w:b/>
                <w:bCs/>
                <w:color w:val="000000"/>
                <w:sz w:val="22"/>
                <w:szCs w:val="22"/>
                <w:lang w:eastAsia="en-IN"/>
              </w:rPr>
              <w:t>52.7</w:t>
            </w:r>
          </w:p>
        </w:tc>
      </w:tr>
    </w:tbl>
    <w:p w:rsidR="007A5BDD" w:rsidRDefault="007A5BDD" w:rsidP="007A5BDD">
      <w:pPr>
        <w:pStyle w:val="ListParagraph"/>
        <w:spacing w:line="360" w:lineRule="auto"/>
        <w:ind w:left="1440"/>
      </w:pPr>
    </w:p>
    <w:p w:rsidR="007A5BDD" w:rsidRDefault="007A5BDD" w:rsidP="007A5BDD">
      <w:pPr>
        <w:pStyle w:val="ListParagraph"/>
        <w:numPr>
          <w:ilvl w:val="0"/>
          <w:numId w:val="13"/>
        </w:numPr>
        <w:shd w:val="clear" w:color="auto" w:fill="FFFFFF"/>
        <w:spacing w:before="120" w:after="240" w:line="360" w:lineRule="auto"/>
        <w:ind w:left="810" w:hanging="810"/>
        <w:jc w:val="both"/>
      </w:pPr>
      <w:r>
        <w:t>The auctions were held in the February 2014. After</w:t>
      </w:r>
      <w:r w:rsidRPr="00027E1B">
        <w:t xml:space="preserve"> two nearly failed or not so successful auctions</w:t>
      </w:r>
      <w:r>
        <w:t xml:space="preserve">, these auctions were very successful in terms of the quantum of spectrum sold and the revenue generated to the Government. </w:t>
      </w:r>
      <w:r w:rsidRPr="00947EAF">
        <w:t>The government rais</w:t>
      </w:r>
      <w:r>
        <w:t>ed</w:t>
      </w:r>
      <w:r w:rsidRPr="00947EAF">
        <w:t xml:space="preserve"> </w:t>
      </w:r>
      <w:proofErr w:type="spellStart"/>
      <w:r w:rsidRPr="00947EAF">
        <w:t>Rs</w:t>
      </w:r>
      <w:proofErr w:type="spellEnd"/>
      <w:r>
        <w:t xml:space="preserve"> </w:t>
      </w:r>
      <w:r w:rsidRPr="00947EAF">
        <w:t>612bn (</w:t>
      </w:r>
      <w:r>
        <w:t xml:space="preserve">around </w:t>
      </w:r>
      <w:r w:rsidRPr="00947EAF">
        <w:t>US$</w:t>
      </w:r>
      <w:r>
        <w:t>10</w:t>
      </w:r>
      <w:r w:rsidRPr="00947EAF">
        <w:t xml:space="preserve">bn) after 68 bidding rounds. During the 10-day auction, eight telecom companies competed for 20-year spectrum </w:t>
      </w:r>
      <w:proofErr w:type="spellStart"/>
      <w:r w:rsidRPr="00947EAF">
        <w:t>licences</w:t>
      </w:r>
      <w:proofErr w:type="spellEnd"/>
      <w:r w:rsidRPr="00947EAF">
        <w:t xml:space="preserve"> in the </w:t>
      </w:r>
      <w:proofErr w:type="gramStart"/>
      <w:r w:rsidRPr="00947EAF">
        <w:t>1800Mhz</w:t>
      </w:r>
      <w:proofErr w:type="gramEnd"/>
      <w:r w:rsidRPr="00947EAF">
        <w:t xml:space="preserve"> band pan-India and the 900Mhz band in three key cities of Mumbai, Delhi and Kolkata. </w:t>
      </w:r>
      <w:r w:rsidRPr="000F6F3E">
        <w:t xml:space="preserve">Eight companies participated in the auction: Bharti, Vodafone, Idea Cellular, Reliance </w:t>
      </w:r>
      <w:proofErr w:type="spellStart"/>
      <w:r w:rsidRPr="000F6F3E">
        <w:t>Jio</w:t>
      </w:r>
      <w:proofErr w:type="spellEnd"/>
      <w:r w:rsidRPr="000F6F3E">
        <w:t xml:space="preserve">, </w:t>
      </w:r>
      <w:proofErr w:type="spellStart"/>
      <w:r w:rsidRPr="000F6F3E">
        <w:t>Aircel</w:t>
      </w:r>
      <w:proofErr w:type="spellEnd"/>
      <w:r w:rsidRPr="000F6F3E">
        <w:t xml:space="preserve">, Tata Teleservices, </w:t>
      </w:r>
      <w:proofErr w:type="spellStart"/>
      <w:r w:rsidRPr="000F6F3E">
        <w:t>Telewings</w:t>
      </w:r>
      <w:proofErr w:type="spellEnd"/>
      <w:r w:rsidRPr="000F6F3E">
        <w:t xml:space="preserve"> (</w:t>
      </w:r>
      <w:proofErr w:type="spellStart"/>
      <w:r w:rsidRPr="000F6F3E">
        <w:t>Uninor</w:t>
      </w:r>
      <w:proofErr w:type="spellEnd"/>
      <w:r w:rsidRPr="000F6F3E">
        <w:t xml:space="preserve">) and Reliance Communications. </w:t>
      </w:r>
    </w:p>
    <w:p w:rsidR="007A5BDD" w:rsidRDefault="007A5BDD" w:rsidP="007A5BDD">
      <w:pPr>
        <w:pStyle w:val="ListParagraph"/>
        <w:numPr>
          <w:ilvl w:val="0"/>
          <w:numId w:val="13"/>
        </w:numPr>
        <w:shd w:val="clear" w:color="auto" w:fill="FFFFFF"/>
        <w:spacing w:before="120" w:after="240" w:line="360" w:lineRule="auto"/>
        <w:ind w:left="810" w:hanging="810"/>
        <w:jc w:val="both"/>
      </w:pPr>
      <w:r w:rsidRPr="000F6F3E">
        <w:t xml:space="preserve">The winning price for pan-India </w:t>
      </w:r>
      <w:proofErr w:type="gramStart"/>
      <w:r w:rsidRPr="000F6F3E">
        <w:t>1800Mhz</w:t>
      </w:r>
      <w:proofErr w:type="gramEnd"/>
      <w:r w:rsidRPr="000F6F3E">
        <w:t xml:space="preserve"> spectrum was also 29% higher than the reserve price</w:t>
      </w:r>
      <w:r>
        <w:t xml:space="preserve"> whereas prices in the 900 MHz band were</w:t>
      </w:r>
      <w:r w:rsidRPr="000F6F3E">
        <w:t xml:space="preserve"> 84% higher prices than the reserve price and 2.3 times the price of 1800Mhz spectrum in those circles.</w:t>
      </w:r>
    </w:p>
    <w:p w:rsidR="007A5BDD" w:rsidRPr="00947EAF" w:rsidRDefault="007A5BDD" w:rsidP="007A5BDD">
      <w:pPr>
        <w:pStyle w:val="ListParagraph"/>
        <w:numPr>
          <w:ilvl w:val="0"/>
          <w:numId w:val="13"/>
        </w:numPr>
        <w:shd w:val="clear" w:color="auto" w:fill="FFFFFF"/>
        <w:spacing w:before="120" w:after="240" w:line="360" w:lineRule="auto"/>
        <w:ind w:left="810" w:hanging="810"/>
        <w:jc w:val="both"/>
      </w:pPr>
      <w:r w:rsidRPr="00947EAF">
        <w:t xml:space="preserve">India’s </w:t>
      </w:r>
      <w:r>
        <w:t>three</w:t>
      </w:r>
      <w:r w:rsidRPr="00947EAF">
        <w:t xml:space="preserve"> large </w:t>
      </w:r>
      <w:proofErr w:type="spellStart"/>
      <w:r w:rsidRPr="00947EAF">
        <w:t>telcos</w:t>
      </w:r>
      <w:proofErr w:type="spellEnd"/>
      <w:r w:rsidRPr="00947EAF">
        <w:t xml:space="preserve"> Bharti Airtel</w:t>
      </w:r>
      <w:r>
        <w:t xml:space="preserve">, </w:t>
      </w:r>
      <w:r w:rsidRPr="00947EAF">
        <w:t>Vodafone</w:t>
      </w:r>
      <w:r>
        <w:t xml:space="preserve"> and also Idea</w:t>
      </w:r>
      <w:r w:rsidRPr="00947EAF">
        <w:t xml:space="preserve"> had</w:t>
      </w:r>
      <w:r>
        <w:t xml:space="preserve"> </w:t>
      </w:r>
      <w:r w:rsidRPr="00947EAF">
        <w:t xml:space="preserve">compelling reason to bid aggressively. Many of </w:t>
      </w:r>
      <w:r>
        <w:t>their</w:t>
      </w:r>
      <w:r w:rsidRPr="00947EAF">
        <w:t xml:space="preserve"> existing telecom </w:t>
      </w:r>
      <w:proofErr w:type="spellStart"/>
      <w:r w:rsidRPr="00947EAF">
        <w:t>licences</w:t>
      </w:r>
      <w:proofErr w:type="spellEnd"/>
      <w:r w:rsidRPr="00947EAF">
        <w:t xml:space="preserve"> will begin to expire starting November 2014, meaning that companies will have to surrender the spectrum they had received bundled with those </w:t>
      </w:r>
      <w:proofErr w:type="spellStart"/>
      <w:r w:rsidRPr="00947EAF">
        <w:t>licences</w:t>
      </w:r>
      <w:proofErr w:type="spellEnd"/>
      <w:r w:rsidRPr="00947EAF">
        <w:t xml:space="preserve">. Bharti’s and Vodafone’s original </w:t>
      </w:r>
      <w:proofErr w:type="spellStart"/>
      <w:r w:rsidRPr="00947EAF">
        <w:t>licences</w:t>
      </w:r>
      <w:proofErr w:type="spellEnd"/>
      <w:r w:rsidRPr="00947EAF">
        <w:t xml:space="preserve"> in Delhi, Mumbai and Kolkata expire in November 2014, when they must return to the government spectrum they hold within the 900 MHz band. Since the government refused to reserve spectrum for them, they had little choice but to bid aggressively, or risk losing spectrum altogether, a disastrous outcome for their existing businesses. </w:t>
      </w:r>
      <w:r>
        <w:t xml:space="preserve">Other </w:t>
      </w:r>
      <w:r>
        <w:lastRenderedPageBreak/>
        <w:t xml:space="preserve">companies (e.g. Idea) whose </w:t>
      </w:r>
      <w:proofErr w:type="spellStart"/>
      <w:r>
        <w:t>licences</w:t>
      </w:r>
      <w:proofErr w:type="spellEnd"/>
      <w:r>
        <w:t xml:space="preserve"> are due to expire in near future, also obtained spectrum in the 1800 MHz band. There was one new entrant (Reliance </w:t>
      </w:r>
      <w:proofErr w:type="spellStart"/>
      <w:r>
        <w:t>Jio</w:t>
      </w:r>
      <w:proofErr w:type="spellEnd"/>
      <w:r>
        <w:t>) in these bands, which was having only 2300 MHz spectrum in all the LSAs. It opted to acquire spectrum in 1800 MHz band in 14 LSAs in these auction.</w:t>
      </w:r>
    </w:p>
    <w:p w:rsidR="007A5BDD" w:rsidRDefault="007A5BDD" w:rsidP="007A5BDD">
      <w:pPr>
        <w:pStyle w:val="ListParagraph"/>
        <w:spacing w:before="360" w:after="120" w:line="360" w:lineRule="auto"/>
        <w:ind w:left="907"/>
        <w:jc w:val="center"/>
        <w:rPr>
          <w:b/>
        </w:rPr>
      </w:pPr>
    </w:p>
    <w:p w:rsidR="007A5BDD" w:rsidRDefault="007A5BDD" w:rsidP="007A5BDD">
      <w:pPr>
        <w:pStyle w:val="ListParagraph"/>
        <w:spacing w:before="360" w:after="120" w:line="360" w:lineRule="auto"/>
        <w:ind w:left="907"/>
        <w:jc w:val="center"/>
        <w:rPr>
          <w:b/>
        </w:rPr>
      </w:pPr>
    </w:p>
    <w:p w:rsidR="007A5BDD" w:rsidRDefault="007A5BDD" w:rsidP="007A5BDD">
      <w:pPr>
        <w:pStyle w:val="ListParagraph"/>
        <w:spacing w:before="360" w:after="120" w:line="360" w:lineRule="auto"/>
        <w:ind w:left="907"/>
        <w:jc w:val="center"/>
        <w:rPr>
          <w:b/>
        </w:rPr>
      </w:pPr>
    </w:p>
    <w:p w:rsidR="007A5BDD" w:rsidRDefault="007A5BDD" w:rsidP="007A5BDD">
      <w:pPr>
        <w:pStyle w:val="ListParagraph"/>
        <w:spacing w:before="360" w:after="120" w:line="360" w:lineRule="auto"/>
        <w:ind w:left="907"/>
        <w:jc w:val="center"/>
        <w:rPr>
          <w:b/>
        </w:rPr>
      </w:pPr>
    </w:p>
    <w:p w:rsidR="007A5BDD" w:rsidRPr="00E33556" w:rsidRDefault="007A5BDD" w:rsidP="007A5BDD">
      <w:pPr>
        <w:pStyle w:val="ListParagraph"/>
        <w:spacing w:before="360" w:after="120" w:line="360" w:lineRule="auto"/>
        <w:ind w:left="907"/>
        <w:jc w:val="center"/>
        <w:rPr>
          <w:b/>
        </w:rPr>
      </w:pPr>
      <w:r w:rsidRPr="00E33556">
        <w:rPr>
          <w:b/>
        </w:rPr>
        <w:t>Table</w:t>
      </w:r>
    </w:p>
    <w:tbl>
      <w:tblPr>
        <w:tblW w:w="8379" w:type="dxa"/>
        <w:tblInd w:w="1098" w:type="dxa"/>
        <w:tblLook w:val="04A0" w:firstRow="1" w:lastRow="0" w:firstColumn="1" w:lastColumn="0" w:noHBand="0" w:noVBand="1"/>
      </w:tblPr>
      <w:tblGrid>
        <w:gridCol w:w="896"/>
        <w:gridCol w:w="1485"/>
        <w:gridCol w:w="1849"/>
        <w:gridCol w:w="1170"/>
        <w:gridCol w:w="990"/>
        <w:gridCol w:w="1080"/>
        <w:gridCol w:w="909"/>
      </w:tblGrid>
      <w:tr w:rsidR="007A5BDD" w:rsidRPr="00E33556" w:rsidTr="00440CBA">
        <w:trPr>
          <w:trHeight w:val="1241"/>
        </w:trPr>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18"/>
                <w:szCs w:val="18"/>
                <w:lang w:eastAsia="en-IN"/>
              </w:rPr>
            </w:pPr>
            <w:r w:rsidRPr="00E33556">
              <w:rPr>
                <w:rFonts w:eastAsia="Times New Roman" w:cs="Calibri"/>
                <w:b/>
                <w:bCs/>
                <w:color w:val="000000"/>
                <w:sz w:val="18"/>
                <w:szCs w:val="18"/>
                <w:lang w:eastAsia="en-IN"/>
              </w:rPr>
              <w:t>Cat</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18"/>
                <w:szCs w:val="18"/>
                <w:lang w:eastAsia="en-IN"/>
              </w:rPr>
            </w:pPr>
            <w:r w:rsidRPr="00E33556">
              <w:rPr>
                <w:rFonts w:eastAsia="Times New Roman" w:cs="Calibri"/>
                <w:b/>
                <w:bCs/>
                <w:color w:val="000000"/>
                <w:sz w:val="18"/>
                <w:szCs w:val="18"/>
                <w:lang w:eastAsia="en-IN"/>
              </w:rPr>
              <w:t>Circle</w:t>
            </w:r>
          </w:p>
        </w:tc>
        <w:tc>
          <w:tcPr>
            <w:tcW w:w="1849" w:type="dxa"/>
            <w:tcBorders>
              <w:top w:val="single" w:sz="4" w:space="0" w:color="auto"/>
              <w:left w:val="nil"/>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18"/>
                <w:szCs w:val="18"/>
                <w:lang w:eastAsia="en-IN"/>
              </w:rPr>
            </w:pPr>
            <w:r w:rsidRPr="00E33556">
              <w:rPr>
                <w:rFonts w:eastAsia="Times New Roman" w:cs="Calibri"/>
                <w:b/>
                <w:bCs/>
                <w:color w:val="000000"/>
                <w:sz w:val="18"/>
                <w:szCs w:val="18"/>
                <w:lang w:eastAsia="en-IN"/>
              </w:rPr>
              <w:t>Quantum of spectrum put to auction in 1800 MHz band</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center"/>
              <w:rPr>
                <w:rFonts w:cs="Calibri"/>
                <w:b/>
                <w:bCs/>
                <w:color w:val="000000"/>
                <w:sz w:val="18"/>
                <w:szCs w:val="18"/>
              </w:rPr>
            </w:pPr>
            <w:r>
              <w:rPr>
                <w:rFonts w:cs="Calibri"/>
                <w:b/>
                <w:bCs/>
                <w:color w:val="000000"/>
                <w:sz w:val="18"/>
                <w:szCs w:val="18"/>
              </w:rPr>
              <w:t>Total Spectrum Sold in 1800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18"/>
                <w:szCs w:val="18"/>
                <w:lang w:eastAsia="en-IN"/>
              </w:rPr>
            </w:pPr>
            <w:r w:rsidRPr="00E33556">
              <w:rPr>
                <w:rFonts w:eastAsia="Times New Roman" w:cs="Calibri"/>
                <w:b/>
                <w:bCs/>
                <w:color w:val="000000"/>
                <w:sz w:val="18"/>
                <w:szCs w:val="18"/>
                <w:lang w:eastAsia="en-IN"/>
              </w:rPr>
              <w:t>Winning Price (1800)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18"/>
                <w:szCs w:val="18"/>
                <w:lang w:eastAsia="en-IN"/>
              </w:rPr>
            </w:pPr>
            <w:r w:rsidRPr="00E33556">
              <w:rPr>
                <w:rFonts w:eastAsia="Times New Roman" w:cs="Calibri"/>
                <w:b/>
                <w:bCs/>
                <w:color w:val="000000"/>
                <w:sz w:val="18"/>
                <w:szCs w:val="18"/>
                <w:lang w:eastAsia="en-IN"/>
              </w:rPr>
              <w:t>% Increase from Reserve Price (1800)</w:t>
            </w:r>
          </w:p>
        </w:tc>
        <w:tc>
          <w:tcPr>
            <w:tcW w:w="909" w:type="dxa"/>
            <w:tcBorders>
              <w:top w:val="single" w:sz="4" w:space="0" w:color="auto"/>
              <w:left w:val="nil"/>
              <w:bottom w:val="single" w:sz="4" w:space="0" w:color="auto"/>
              <w:right w:val="single" w:sz="4" w:space="0" w:color="auto"/>
            </w:tcBorders>
            <w:shd w:val="clear" w:color="auto" w:fill="auto"/>
            <w:vAlign w:val="bottom"/>
            <w:hideMark/>
          </w:tcPr>
          <w:p w:rsidR="007A5BDD" w:rsidRDefault="007A5BDD" w:rsidP="00440CBA">
            <w:pPr>
              <w:jc w:val="center"/>
              <w:rPr>
                <w:rFonts w:cs="Calibri"/>
                <w:b/>
                <w:bCs/>
                <w:color w:val="000000"/>
                <w:sz w:val="18"/>
                <w:szCs w:val="18"/>
              </w:rPr>
            </w:pPr>
            <w:r>
              <w:rPr>
                <w:rFonts w:cs="Calibri"/>
                <w:b/>
                <w:bCs/>
                <w:color w:val="000000"/>
                <w:sz w:val="18"/>
                <w:szCs w:val="18"/>
              </w:rPr>
              <w:t>Total Cost in 1800</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20"/>
                <w:szCs w:val="20"/>
                <w:lang w:eastAsia="en-IN"/>
              </w:rPr>
            </w:pPr>
            <w:r w:rsidRPr="00E33556">
              <w:rPr>
                <w:rFonts w:eastAsia="Times New Roman" w:cs="Calibri"/>
                <w:b/>
                <w:bCs/>
                <w:color w:val="000000"/>
                <w:sz w:val="20"/>
                <w:szCs w:val="20"/>
                <w:lang w:eastAsia="en-IN"/>
              </w:rPr>
              <w:t> </w:t>
            </w:r>
          </w:p>
        </w:tc>
        <w:tc>
          <w:tcPr>
            <w:tcW w:w="1485" w:type="dxa"/>
            <w:tcBorders>
              <w:top w:val="nil"/>
              <w:left w:val="nil"/>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20"/>
                <w:szCs w:val="20"/>
                <w:lang w:eastAsia="en-IN"/>
              </w:rPr>
            </w:pPr>
            <w:r w:rsidRPr="00E33556">
              <w:rPr>
                <w:rFonts w:eastAsia="Times New Roman" w:cs="Calibri"/>
                <w:b/>
                <w:bCs/>
                <w:color w:val="000000"/>
                <w:sz w:val="20"/>
                <w:szCs w:val="20"/>
                <w:lang w:eastAsia="en-IN"/>
              </w:rPr>
              <w:t> </w:t>
            </w:r>
          </w:p>
        </w:tc>
        <w:tc>
          <w:tcPr>
            <w:tcW w:w="1849" w:type="dxa"/>
            <w:tcBorders>
              <w:top w:val="nil"/>
              <w:left w:val="nil"/>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18"/>
                <w:szCs w:val="18"/>
                <w:lang w:eastAsia="en-IN"/>
              </w:rPr>
            </w:pPr>
            <w:r w:rsidRPr="00E33556">
              <w:rPr>
                <w:rFonts w:eastAsia="Times New Roman" w:cs="Calibri"/>
                <w:b/>
                <w:bCs/>
                <w:color w:val="000000"/>
                <w:sz w:val="18"/>
                <w:szCs w:val="18"/>
                <w:lang w:eastAsia="en-IN"/>
              </w:rPr>
              <w:t>In MHz</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rPr>
                <w:rFonts w:ascii="Calibri" w:hAnsi="Calibri" w:cs="Calibri"/>
                <w:b/>
                <w:bCs/>
                <w:color w:val="000000"/>
                <w:sz w:val="22"/>
                <w:szCs w:val="22"/>
              </w:rPr>
            </w:pPr>
            <w:r>
              <w:rPr>
                <w:rFonts w:ascii="Calibri" w:hAnsi="Calibri" w:cs="Calibri"/>
                <w:b/>
                <w:bCs/>
                <w:color w:val="000000"/>
                <w:sz w:val="22"/>
                <w:szCs w:val="22"/>
              </w:rPr>
              <w:t>MHz</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ascii="Calibri" w:eastAsia="Times New Roman" w:hAnsi="Calibri" w:cs="Calibri"/>
                <w:b/>
                <w:bCs/>
                <w:color w:val="000000"/>
                <w:sz w:val="22"/>
                <w:szCs w:val="22"/>
                <w:lang w:eastAsia="en-IN"/>
              </w:rPr>
            </w:pPr>
            <w:r>
              <w:rPr>
                <w:rFonts w:ascii="Calibri" w:eastAsia="Times New Roman" w:hAnsi="Calibri" w:cs="Calibri"/>
                <w:b/>
                <w:bCs/>
                <w:color w:val="000000"/>
                <w:sz w:val="22"/>
                <w:szCs w:val="22"/>
                <w:lang w:eastAsia="en-IN"/>
              </w:rPr>
              <w:t xml:space="preserve">US$ </w:t>
            </w:r>
            <w:proofErr w:type="spellStart"/>
            <w:r>
              <w:rPr>
                <w:rFonts w:ascii="Calibri" w:eastAsia="Times New Roman" w:hAnsi="Calibri" w:cs="Calibri"/>
                <w:b/>
                <w:bCs/>
                <w:color w:val="000000"/>
                <w:sz w:val="22"/>
                <w:szCs w:val="22"/>
                <w:lang w:eastAsia="en-IN"/>
              </w:rPr>
              <w:t>mn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 </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rPr>
                <w:rFonts w:ascii="Calibri" w:hAnsi="Calibri" w:cs="Calibri"/>
                <w:b/>
                <w:bCs/>
                <w:color w:val="000000"/>
                <w:sz w:val="22"/>
                <w:szCs w:val="22"/>
              </w:rPr>
            </w:pPr>
            <w:r w:rsidRPr="005F0055">
              <w:rPr>
                <w:rFonts w:ascii="Calibri" w:hAnsi="Calibri" w:cs="Calibri"/>
                <w:b/>
                <w:bCs/>
                <w:color w:val="000000"/>
                <w:sz w:val="22"/>
                <w:szCs w:val="22"/>
              </w:rPr>
              <w:t xml:space="preserve">US$ </w:t>
            </w:r>
            <w:proofErr w:type="spellStart"/>
            <w:r w:rsidRPr="005F0055">
              <w:rPr>
                <w:rFonts w:ascii="Calibri" w:hAnsi="Calibri" w:cs="Calibri"/>
                <w:b/>
                <w:bCs/>
                <w:color w:val="000000"/>
                <w:sz w:val="22"/>
                <w:szCs w:val="22"/>
              </w:rPr>
              <w:t>mn</w:t>
            </w:r>
            <w:proofErr w:type="spellEnd"/>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Delhi</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22.8</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21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60.7</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66%</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1274.0</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Mumbai</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25.2</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23.4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45.3</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31%</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1060.8</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Kolkata</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26.8</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12.2</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219.0</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Maharashtra</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14</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48.4</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68%</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677.5</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Gujarat</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12</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39.6</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66%</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475.6</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AP</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22.6</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22.6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27.2</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614.0</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Karnataka</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24.6</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23.8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25.8</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614.8</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Tamil Nadu</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30.2</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11.2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34.7</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388.3</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Kerala</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28</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27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8.7</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234.0</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Punjab</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18.4</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16.8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9.0</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151.2</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Haryana</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16.4</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8.4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4.5</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37.8</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UP(W)</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2.4</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15.8</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53%</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31.7</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UP(E)</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9.8</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7.6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10.7</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5%</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81.1</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Rajasthan</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20.8</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10.6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4.3</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45.9</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MP</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19.2</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19.2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8.4</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17%</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161.3</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West Bengal</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13</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11.2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4.1</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17%</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45.9</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HP</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20.4</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10.2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1.0</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10.2</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Bihar</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4.2</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2.2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7.2</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16%</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15.8</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Orissa</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28</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2.7</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26.7</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Assam</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11.4</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11.4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6.0</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416%</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68.6</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North East</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26.8</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20.2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1.2</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23.6</w:t>
            </w:r>
          </w:p>
        </w:tc>
      </w:tr>
      <w:tr w:rsidR="007A5BDD" w:rsidRPr="00E33556" w:rsidTr="00440CBA">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J&amp;K</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6.2</w:t>
            </w:r>
          </w:p>
        </w:tc>
        <w:tc>
          <w:tcPr>
            <w:tcW w:w="1170" w:type="dxa"/>
            <w:tcBorders>
              <w:top w:val="single" w:sz="4" w:space="0" w:color="auto"/>
              <w:left w:val="nil"/>
              <w:bottom w:val="single" w:sz="4" w:space="0" w:color="auto"/>
              <w:right w:val="single" w:sz="4" w:space="0" w:color="auto"/>
            </w:tcBorders>
            <w:vAlign w:val="bottom"/>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4.4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1.0</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22%</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4.5</w:t>
            </w:r>
          </w:p>
        </w:tc>
      </w:tr>
      <w:tr w:rsidR="007A5BDD" w:rsidRPr="00E33556" w:rsidTr="00440CBA">
        <w:trPr>
          <w:trHeight w:val="288"/>
        </w:trPr>
        <w:tc>
          <w:tcPr>
            <w:tcW w:w="23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b/>
                <w:bCs/>
                <w:color w:val="000000"/>
                <w:sz w:val="20"/>
                <w:szCs w:val="20"/>
                <w:lang w:eastAsia="en-IN"/>
              </w:rPr>
            </w:pPr>
            <w:r w:rsidRPr="00E33556">
              <w:rPr>
                <w:rFonts w:eastAsia="Times New Roman" w:cs="Calibri"/>
                <w:b/>
                <w:bCs/>
                <w:color w:val="000000"/>
                <w:sz w:val="20"/>
                <w:szCs w:val="20"/>
                <w:lang w:eastAsia="en-IN"/>
              </w:rPr>
              <w:t xml:space="preserve">Total </w:t>
            </w:r>
          </w:p>
        </w:tc>
        <w:tc>
          <w:tcPr>
            <w:tcW w:w="184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b/>
                <w:bCs/>
                <w:color w:val="000000"/>
                <w:sz w:val="22"/>
                <w:szCs w:val="22"/>
                <w:lang w:eastAsia="en-IN"/>
              </w:rPr>
            </w:pPr>
            <w:r w:rsidRPr="00E33556">
              <w:rPr>
                <w:rFonts w:ascii="Calibri" w:eastAsia="Times New Roman" w:hAnsi="Calibri" w:cs="Calibri"/>
                <w:b/>
                <w:bCs/>
                <w:color w:val="000000"/>
                <w:sz w:val="22"/>
                <w:szCs w:val="22"/>
                <w:lang w:eastAsia="en-IN"/>
              </w:rPr>
              <w:t>403</w:t>
            </w:r>
          </w:p>
        </w:tc>
        <w:tc>
          <w:tcPr>
            <w:tcW w:w="1170" w:type="dxa"/>
            <w:tcBorders>
              <w:top w:val="single" w:sz="4" w:space="0" w:color="auto"/>
              <w:left w:val="nil"/>
              <w:bottom w:val="single" w:sz="4" w:space="0" w:color="auto"/>
              <w:right w:val="single" w:sz="4" w:space="0" w:color="auto"/>
            </w:tcBorders>
          </w:tcPr>
          <w:p w:rsidR="007A5BDD" w:rsidRPr="00E33556" w:rsidRDefault="007A5BDD" w:rsidP="00440CBA">
            <w:pPr>
              <w:jc w:val="right"/>
              <w:rPr>
                <w:rFonts w:ascii="Calibri" w:eastAsia="Times New Roman" w:hAnsi="Calibri" w:cs="Calibri"/>
                <w:b/>
                <w:color w:val="000000"/>
                <w:sz w:val="22"/>
                <w:szCs w:val="22"/>
                <w:lang w:eastAsia="en-IN"/>
              </w:rPr>
            </w:pPr>
            <w:r>
              <w:rPr>
                <w:rFonts w:ascii="Calibri" w:eastAsia="Times New Roman" w:hAnsi="Calibri" w:cs="Calibri"/>
                <w:b/>
                <w:color w:val="000000"/>
                <w:sz w:val="22"/>
                <w:szCs w:val="22"/>
                <w:lang w:eastAsia="en-IN"/>
              </w:rPr>
              <w:t>307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b/>
                <w:bCs/>
                <w:color w:val="000000"/>
                <w:sz w:val="22"/>
                <w:szCs w:val="22"/>
              </w:rPr>
            </w:pPr>
            <w:r>
              <w:rPr>
                <w:rFonts w:ascii="Calibri" w:hAnsi="Calibri" w:cs="Calibri"/>
                <w:b/>
                <w:bCs/>
                <w:color w:val="000000"/>
                <w:sz w:val="22"/>
                <w:szCs w:val="22"/>
              </w:rPr>
              <w:t>378.4</w:t>
            </w:r>
          </w:p>
        </w:tc>
        <w:tc>
          <w:tcPr>
            <w:tcW w:w="1080"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b/>
                <w:bCs/>
                <w:color w:val="000000"/>
                <w:sz w:val="22"/>
                <w:szCs w:val="22"/>
                <w:lang w:eastAsia="en-IN"/>
              </w:rPr>
            </w:pPr>
            <w:r w:rsidRPr="00E33556">
              <w:rPr>
                <w:rFonts w:ascii="Calibri" w:eastAsia="Times New Roman" w:hAnsi="Calibri" w:cs="Calibri"/>
                <w:b/>
                <w:bCs/>
                <w:color w:val="000000"/>
                <w:sz w:val="22"/>
                <w:szCs w:val="22"/>
                <w:lang w:eastAsia="en-IN"/>
              </w:rPr>
              <w:t>52%</w:t>
            </w:r>
          </w:p>
        </w:tc>
        <w:tc>
          <w:tcPr>
            <w:tcW w:w="909"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b/>
                <w:bCs/>
                <w:color w:val="000000"/>
                <w:sz w:val="22"/>
                <w:szCs w:val="22"/>
                <w:lang w:eastAsia="en-IN"/>
              </w:rPr>
            </w:pPr>
            <w:r>
              <w:rPr>
                <w:rFonts w:ascii="Calibri" w:eastAsia="Times New Roman" w:hAnsi="Calibri" w:cs="Calibri"/>
                <w:b/>
                <w:bCs/>
                <w:color w:val="000000"/>
                <w:sz w:val="22"/>
                <w:szCs w:val="22"/>
                <w:lang w:eastAsia="en-IN"/>
              </w:rPr>
              <w:t>6262.1</w:t>
            </w:r>
          </w:p>
        </w:tc>
      </w:tr>
    </w:tbl>
    <w:p w:rsidR="007A5BDD" w:rsidRDefault="007A5BDD" w:rsidP="007A5BDD">
      <w:pPr>
        <w:pStyle w:val="ListParagraph"/>
        <w:spacing w:line="360" w:lineRule="auto"/>
        <w:ind w:left="1440"/>
      </w:pPr>
    </w:p>
    <w:p w:rsidR="007A5BDD" w:rsidRPr="00D1284E" w:rsidRDefault="007A5BDD" w:rsidP="007A5BDD">
      <w:pPr>
        <w:pStyle w:val="ListParagraph"/>
        <w:spacing w:line="360" w:lineRule="auto"/>
        <w:ind w:left="1440"/>
        <w:jc w:val="center"/>
        <w:rPr>
          <w:b/>
        </w:rPr>
      </w:pPr>
      <w:r w:rsidRPr="00D1284E">
        <w:rPr>
          <w:b/>
        </w:rPr>
        <w:t>Table</w:t>
      </w:r>
    </w:p>
    <w:p w:rsidR="007A5BDD" w:rsidRDefault="007A5BDD" w:rsidP="007A5BDD">
      <w:pPr>
        <w:pStyle w:val="ListParagraph"/>
        <w:spacing w:line="360" w:lineRule="auto"/>
        <w:ind w:left="1440"/>
      </w:pPr>
    </w:p>
    <w:tbl>
      <w:tblPr>
        <w:tblW w:w="8088" w:type="dxa"/>
        <w:tblInd w:w="1380" w:type="dxa"/>
        <w:tblLook w:val="04A0" w:firstRow="1" w:lastRow="0" w:firstColumn="1" w:lastColumn="0" w:noHBand="0" w:noVBand="1"/>
      </w:tblPr>
      <w:tblGrid>
        <w:gridCol w:w="841"/>
        <w:gridCol w:w="1485"/>
        <w:gridCol w:w="1488"/>
        <w:gridCol w:w="1124"/>
        <w:gridCol w:w="990"/>
        <w:gridCol w:w="1260"/>
        <w:gridCol w:w="900"/>
      </w:tblGrid>
      <w:tr w:rsidR="007A5BDD" w:rsidRPr="00E33556" w:rsidTr="00440CBA">
        <w:trPr>
          <w:trHeight w:val="1196"/>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18"/>
                <w:szCs w:val="18"/>
                <w:lang w:eastAsia="en-IN"/>
              </w:rPr>
            </w:pPr>
            <w:r w:rsidRPr="00E33556">
              <w:rPr>
                <w:rFonts w:eastAsia="Times New Roman" w:cs="Calibri"/>
                <w:b/>
                <w:bCs/>
                <w:color w:val="000000"/>
                <w:sz w:val="18"/>
                <w:szCs w:val="18"/>
                <w:lang w:eastAsia="en-IN"/>
              </w:rPr>
              <w:t>Cat</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18"/>
                <w:szCs w:val="18"/>
                <w:lang w:eastAsia="en-IN"/>
              </w:rPr>
            </w:pPr>
            <w:r w:rsidRPr="00E33556">
              <w:rPr>
                <w:rFonts w:eastAsia="Times New Roman" w:cs="Calibri"/>
                <w:b/>
                <w:bCs/>
                <w:color w:val="000000"/>
                <w:sz w:val="18"/>
                <w:szCs w:val="18"/>
                <w:lang w:eastAsia="en-IN"/>
              </w:rPr>
              <w:t>Circle</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18"/>
                <w:szCs w:val="18"/>
                <w:lang w:eastAsia="en-IN"/>
              </w:rPr>
            </w:pPr>
            <w:r w:rsidRPr="00E33556">
              <w:rPr>
                <w:rFonts w:eastAsia="Times New Roman" w:cs="Calibri"/>
                <w:b/>
                <w:bCs/>
                <w:color w:val="000000"/>
                <w:sz w:val="18"/>
                <w:szCs w:val="18"/>
                <w:lang w:eastAsia="en-IN"/>
              </w:rPr>
              <w:t xml:space="preserve">Quantum of spectrum put to auction in </w:t>
            </w:r>
            <w:r>
              <w:rPr>
                <w:rFonts w:eastAsia="Times New Roman" w:cs="Calibri"/>
                <w:b/>
                <w:bCs/>
                <w:color w:val="000000"/>
                <w:sz w:val="18"/>
                <w:szCs w:val="18"/>
                <w:lang w:eastAsia="en-IN"/>
              </w:rPr>
              <w:t xml:space="preserve">900 </w:t>
            </w:r>
            <w:r w:rsidRPr="00E33556">
              <w:rPr>
                <w:rFonts w:eastAsia="Times New Roman" w:cs="Calibri"/>
                <w:b/>
                <w:bCs/>
                <w:color w:val="000000"/>
                <w:sz w:val="18"/>
                <w:szCs w:val="18"/>
                <w:lang w:eastAsia="en-IN"/>
              </w:rPr>
              <w:t>MHz band</w:t>
            </w:r>
          </w:p>
        </w:tc>
        <w:tc>
          <w:tcPr>
            <w:tcW w:w="1124" w:type="dxa"/>
            <w:tcBorders>
              <w:top w:val="single" w:sz="4" w:space="0" w:color="auto"/>
              <w:left w:val="nil"/>
              <w:bottom w:val="single" w:sz="4" w:space="0" w:color="auto"/>
              <w:right w:val="single" w:sz="4" w:space="0" w:color="auto"/>
            </w:tcBorders>
            <w:vAlign w:val="bottom"/>
          </w:tcPr>
          <w:p w:rsidR="007A5BDD" w:rsidRDefault="007A5BDD" w:rsidP="00440CBA">
            <w:pPr>
              <w:jc w:val="center"/>
              <w:rPr>
                <w:rFonts w:cs="Calibri"/>
                <w:b/>
                <w:bCs/>
                <w:color w:val="000000"/>
                <w:sz w:val="18"/>
                <w:szCs w:val="18"/>
              </w:rPr>
            </w:pPr>
            <w:r>
              <w:rPr>
                <w:rFonts w:cs="Calibri"/>
                <w:b/>
                <w:bCs/>
                <w:color w:val="000000"/>
                <w:sz w:val="18"/>
                <w:szCs w:val="18"/>
              </w:rPr>
              <w:t>Total Spectrum Sold in 900</w:t>
            </w:r>
          </w:p>
        </w:tc>
        <w:tc>
          <w:tcPr>
            <w:tcW w:w="990" w:type="dxa"/>
            <w:tcBorders>
              <w:top w:val="single" w:sz="4" w:space="0" w:color="auto"/>
              <w:left w:val="single" w:sz="4" w:space="0" w:color="auto"/>
              <w:bottom w:val="single" w:sz="4" w:space="0" w:color="auto"/>
              <w:right w:val="single" w:sz="4" w:space="0" w:color="auto"/>
            </w:tcBorders>
            <w:vAlign w:val="bottom"/>
          </w:tcPr>
          <w:p w:rsidR="007A5BDD" w:rsidRPr="00E33556" w:rsidRDefault="007A5BDD" w:rsidP="00440CBA">
            <w:pPr>
              <w:jc w:val="center"/>
              <w:rPr>
                <w:rFonts w:eastAsia="Times New Roman" w:cs="Calibri"/>
                <w:b/>
                <w:bCs/>
                <w:color w:val="000000"/>
                <w:sz w:val="18"/>
                <w:szCs w:val="18"/>
                <w:lang w:eastAsia="en-IN"/>
              </w:rPr>
            </w:pPr>
            <w:r w:rsidRPr="00E33556">
              <w:rPr>
                <w:rFonts w:eastAsia="Times New Roman" w:cs="Calibri"/>
                <w:b/>
                <w:bCs/>
                <w:color w:val="000000"/>
                <w:sz w:val="18"/>
                <w:szCs w:val="18"/>
                <w:lang w:eastAsia="en-IN"/>
              </w:rPr>
              <w:t>Winning Price (900)</w:t>
            </w:r>
          </w:p>
        </w:tc>
        <w:tc>
          <w:tcPr>
            <w:tcW w:w="1260" w:type="dxa"/>
            <w:tcBorders>
              <w:top w:val="single" w:sz="4" w:space="0" w:color="auto"/>
              <w:left w:val="single" w:sz="4" w:space="0" w:color="auto"/>
              <w:bottom w:val="single" w:sz="4" w:space="0" w:color="auto"/>
              <w:right w:val="single" w:sz="4" w:space="0" w:color="auto"/>
            </w:tcBorders>
            <w:vAlign w:val="bottom"/>
          </w:tcPr>
          <w:p w:rsidR="007A5BDD" w:rsidRPr="00E33556" w:rsidRDefault="007A5BDD" w:rsidP="00440CBA">
            <w:pPr>
              <w:jc w:val="center"/>
              <w:rPr>
                <w:rFonts w:eastAsia="Times New Roman" w:cs="Calibri"/>
                <w:b/>
                <w:bCs/>
                <w:color w:val="000000"/>
                <w:sz w:val="18"/>
                <w:szCs w:val="18"/>
                <w:lang w:eastAsia="en-IN"/>
              </w:rPr>
            </w:pPr>
            <w:r w:rsidRPr="00E33556">
              <w:rPr>
                <w:rFonts w:eastAsia="Times New Roman" w:cs="Calibri"/>
                <w:b/>
                <w:bCs/>
                <w:color w:val="000000"/>
                <w:sz w:val="18"/>
                <w:szCs w:val="18"/>
                <w:lang w:eastAsia="en-IN"/>
              </w:rPr>
              <w:t>% Increase from Reserve Price (900)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7A5BDD" w:rsidRDefault="007A5BDD" w:rsidP="00440CBA">
            <w:pPr>
              <w:jc w:val="center"/>
              <w:rPr>
                <w:rFonts w:cs="Calibri"/>
                <w:b/>
                <w:bCs/>
                <w:color w:val="000000"/>
                <w:sz w:val="18"/>
                <w:szCs w:val="18"/>
              </w:rPr>
            </w:pPr>
            <w:r>
              <w:rPr>
                <w:rFonts w:cs="Calibri"/>
                <w:b/>
                <w:bCs/>
                <w:color w:val="000000"/>
                <w:sz w:val="18"/>
                <w:szCs w:val="18"/>
              </w:rPr>
              <w:t>Total Cost</w:t>
            </w:r>
          </w:p>
        </w:tc>
      </w:tr>
      <w:tr w:rsidR="007A5BDD" w:rsidRPr="00E33556" w:rsidTr="00440CBA">
        <w:trPr>
          <w:trHeight w:val="288"/>
        </w:trPr>
        <w:tc>
          <w:tcPr>
            <w:tcW w:w="841" w:type="dxa"/>
            <w:tcBorders>
              <w:top w:val="nil"/>
              <w:left w:val="single" w:sz="4" w:space="0" w:color="auto"/>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20"/>
                <w:szCs w:val="20"/>
                <w:lang w:eastAsia="en-IN"/>
              </w:rPr>
            </w:pPr>
            <w:r w:rsidRPr="00E33556">
              <w:rPr>
                <w:rFonts w:eastAsia="Times New Roman" w:cs="Calibri"/>
                <w:b/>
                <w:bCs/>
                <w:color w:val="000000"/>
                <w:sz w:val="20"/>
                <w:szCs w:val="20"/>
                <w:lang w:eastAsia="en-IN"/>
              </w:rPr>
              <w:t> </w:t>
            </w:r>
          </w:p>
        </w:tc>
        <w:tc>
          <w:tcPr>
            <w:tcW w:w="1485" w:type="dxa"/>
            <w:tcBorders>
              <w:top w:val="nil"/>
              <w:left w:val="nil"/>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20"/>
                <w:szCs w:val="20"/>
                <w:lang w:eastAsia="en-IN"/>
              </w:rPr>
            </w:pPr>
            <w:r w:rsidRPr="00E33556">
              <w:rPr>
                <w:rFonts w:eastAsia="Times New Roman" w:cs="Calibri"/>
                <w:b/>
                <w:bCs/>
                <w:color w:val="000000"/>
                <w:sz w:val="20"/>
                <w:szCs w:val="20"/>
                <w:lang w:eastAsia="en-IN"/>
              </w:rPr>
              <w:t> </w:t>
            </w:r>
          </w:p>
        </w:tc>
        <w:tc>
          <w:tcPr>
            <w:tcW w:w="1488" w:type="dxa"/>
            <w:tcBorders>
              <w:top w:val="nil"/>
              <w:left w:val="nil"/>
              <w:bottom w:val="single" w:sz="4" w:space="0" w:color="auto"/>
              <w:right w:val="single" w:sz="4" w:space="0" w:color="auto"/>
            </w:tcBorders>
            <w:shd w:val="clear" w:color="auto" w:fill="auto"/>
            <w:vAlign w:val="bottom"/>
            <w:hideMark/>
          </w:tcPr>
          <w:p w:rsidR="007A5BDD" w:rsidRPr="00E33556" w:rsidRDefault="007A5BDD" w:rsidP="00440CBA">
            <w:pPr>
              <w:jc w:val="center"/>
              <w:rPr>
                <w:rFonts w:eastAsia="Times New Roman" w:cs="Calibri"/>
                <w:b/>
                <w:bCs/>
                <w:color w:val="000000"/>
                <w:sz w:val="18"/>
                <w:szCs w:val="18"/>
                <w:lang w:eastAsia="en-IN"/>
              </w:rPr>
            </w:pPr>
            <w:r w:rsidRPr="00E33556">
              <w:rPr>
                <w:rFonts w:eastAsia="Times New Roman" w:cs="Calibri"/>
                <w:b/>
                <w:bCs/>
                <w:color w:val="000000"/>
                <w:sz w:val="18"/>
                <w:szCs w:val="18"/>
                <w:lang w:eastAsia="en-IN"/>
              </w:rPr>
              <w:t>In MHz</w:t>
            </w:r>
          </w:p>
        </w:tc>
        <w:tc>
          <w:tcPr>
            <w:tcW w:w="1124" w:type="dxa"/>
            <w:tcBorders>
              <w:top w:val="single" w:sz="4" w:space="0" w:color="auto"/>
              <w:left w:val="nil"/>
              <w:bottom w:val="single" w:sz="4" w:space="0" w:color="auto"/>
              <w:right w:val="single" w:sz="4" w:space="0" w:color="auto"/>
            </w:tcBorders>
            <w:vAlign w:val="bottom"/>
          </w:tcPr>
          <w:p w:rsidR="007A5BDD" w:rsidRDefault="007A5BDD" w:rsidP="00440CBA">
            <w:pPr>
              <w:rPr>
                <w:rFonts w:ascii="Calibri" w:hAnsi="Calibri" w:cs="Calibri"/>
                <w:b/>
                <w:bCs/>
                <w:color w:val="000000"/>
                <w:sz w:val="22"/>
                <w:szCs w:val="22"/>
              </w:rPr>
            </w:pPr>
            <w:r>
              <w:rPr>
                <w:rFonts w:ascii="Calibri" w:hAnsi="Calibri" w:cs="Calibri"/>
                <w:b/>
                <w:bCs/>
                <w:color w:val="000000"/>
                <w:sz w:val="22"/>
                <w:szCs w:val="22"/>
              </w:rPr>
              <w:t>MHz</w:t>
            </w:r>
          </w:p>
        </w:tc>
        <w:tc>
          <w:tcPr>
            <w:tcW w:w="990" w:type="dxa"/>
            <w:tcBorders>
              <w:top w:val="nil"/>
              <w:left w:val="single" w:sz="4" w:space="0" w:color="auto"/>
              <w:bottom w:val="single" w:sz="4" w:space="0" w:color="auto"/>
              <w:right w:val="single" w:sz="4" w:space="0" w:color="auto"/>
            </w:tcBorders>
            <w:vAlign w:val="bottom"/>
          </w:tcPr>
          <w:p w:rsidR="007A5BDD" w:rsidRPr="00E33556" w:rsidRDefault="007A5BDD" w:rsidP="00440CBA">
            <w:pPr>
              <w:rPr>
                <w:rFonts w:ascii="Calibri" w:eastAsia="Times New Roman" w:hAnsi="Calibri" w:cs="Calibri"/>
                <w:b/>
                <w:bCs/>
                <w:color w:val="000000"/>
                <w:sz w:val="22"/>
                <w:szCs w:val="22"/>
                <w:lang w:eastAsia="en-IN"/>
              </w:rPr>
            </w:pPr>
            <w:r w:rsidRPr="005F0055">
              <w:rPr>
                <w:rFonts w:ascii="Calibri" w:eastAsia="Times New Roman" w:hAnsi="Calibri" w:cs="Calibri"/>
                <w:b/>
                <w:bCs/>
                <w:color w:val="000000"/>
                <w:sz w:val="22"/>
                <w:szCs w:val="22"/>
                <w:lang w:eastAsia="en-IN"/>
              </w:rPr>
              <w:t xml:space="preserve">US$ </w:t>
            </w:r>
            <w:r>
              <w:rPr>
                <w:rFonts w:ascii="Calibri" w:eastAsia="Times New Roman" w:hAnsi="Calibri" w:cs="Calibri"/>
                <w:b/>
                <w:bCs/>
                <w:color w:val="000000"/>
                <w:sz w:val="22"/>
                <w:szCs w:val="22"/>
                <w:lang w:eastAsia="en-IN"/>
              </w:rPr>
              <w:t xml:space="preserve">     in </w:t>
            </w:r>
            <w:proofErr w:type="spellStart"/>
            <w:r w:rsidRPr="005F0055">
              <w:rPr>
                <w:rFonts w:ascii="Calibri" w:eastAsia="Times New Roman" w:hAnsi="Calibri" w:cs="Calibri"/>
                <w:b/>
                <w:bCs/>
                <w:color w:val="000000"/>
                <w:sz w:val="22"/>
                <w:szCs w:val="22"/>
                <w:lang w:eastAsia="en-IN"/>
              </w:rPr>
              <w:t>mn</w:t>
            </w:r>
            <w:proofErr w:type="spellEnd"/>
          </w:p>
        </w:tc>
        <w:tc>
          <w:tcPr>
            <w:tcW w:w="1260" w:type="dxa"/>
            <w:tcBorders>
              <w:top w:val="nil"/>
              <w:left w:val="single" w:sz="4" w:space="0" w:color="auto"/>
              <w:bottom w:val="single" w:sz="4" w:space="0" w:color="auto"/>
              <w:right w:val="single" w:sz="4" w:space="0" w:color="auto"/>
            </w:tcBorders>
            <w:vAlign w:val="bottom"/>
          </w:tcPr>
          <w:p w:rsidR="007A5BDD" w:rsidRPr="00E33556" w:rsidRDefault="007A5BDD" w:rsidP="00440CBA">
            <w:pPr>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rPr>
                <w:rFonts w:ascii="Calibri" w:hAnsi="Calibri" w:cs="Calibri"/>
                <w:b/>
                <w:bCs/>
                <w:color w:val="000000"/>
                <w:sz w:val="22"/>
                <w:szCs w:val="22"/>
              </w:rPr>
            </w:pPr>
            <w:r w:rsidRPr="005F0055">
              <w:rPr>
                <w:rFonts w:ascii="Calibri" w:hAnsi="Calibri" w:cs="Calibri"/>
                <w:b/>
                <w:bCs/>
                <w:color w:val="000000"/>
                <w:sz w:val="22"/>
                <w:szCs w:val="22"/>
              </w:rPr>
              <w:t>US$</w:t>
            </w:r>
            <w:r>
              <w:rPr>
                <w:rFonts w:ascii="Calibri" w:hAnsi="Calibri" w:cs="Calibri"/>
                <w:b/>
                <w:bCs/>
                <w:color w:val="000000"/>
                <w:sz w:val="22"/>
                <w:szCs w:val="22"/>
              </w:rPr>
              <w:t xml:space="preserve">    </w:t>
            </w:r>
            <w:r w:rsidRPr="005F0055">
              <w:rPr>
                <w:rFonts w:ascii="Calibri" w:hAnsi="Calibri" w:cs="Calibri"/>
                <w:b/>
                <w:bCs/>
                <w:color w:val="000000"/>
                <w:sz w:val="22"/>
                <w:szCs w:val="22"/>
              </w:rPr>
              <w:t xml:space="preserve"> </w:t>
            </w:r>
            <w:r>
              <w:rPr>
                <w:rFonts w:ascii="Calibri" w:hAnsi="Calibri" w:cs="Calibri"/>
                <w:b/>
                <w:bCs/>
                <w:color w:val="000000"/>
                <w:sz w:val="22"/>
                <w:szCs w:val="22"/>
              </w:rPr>
              <w:t xml:space="preserve">in </w:t>
            </w:r>
            <w:proofErr w:type="spellStart"/>
            <w:r w:rsidRPr="005F0055">
              <w:rPr>
                <w:rFonts w:ascii="Calibri" w:hAnsi="Calibri" w:cs="Calibri"/>
                <w:b/>
                <w:bCs/>
                <w:color w:val="000000"/>
                <w:sz w:val="22"/>
                <w:szCs w:val="22"/>
              </w:rPr>
              <w:t>mn</w:t>
            </w:r>
            <w:proofErr w:type="spellEnd"/>
          </w:p>
        </w:tc>
      </w:tr>
      <w:tr w:rsidR="007A5BDD" w:rsidRPr="00E33556" w:rsidTr="00440CBA">
        <w:trPr>
          <w:trHeight w:val="288"/>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Delhi</w:t>
            </w:r>
          </w:p>
        </w:tc>
        <w:tc>
          <w:tcPr>
            <w:tcW w:w="1488"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16</w:t>
            </w:r>
          </w:p>
        </w:tc>
        <w:tc>
          <w:tcPr>
            <w:tcW w:w="1124" w:type="dxa"/>
            <w:tcBorders>
              <w:top w:val="single" w:sz="4" w:space="0" w:color="auto"/>
              <w:left w:val="nil"/>
              <w:bottom w:val="single" w:sz="4" w:space="0" w:color="auto"/>
              <w:right w:val="single" w:sz="4" w:space="0" w:color="auto"/>
            </w:tcBorders>
            <w:vAlign w:val="bottom"/>
          </w:tcPr>
          <w:p w:rsidR="007A5BDD" w:rsidRPr="00E33556" w:rsidRDefault="007A5BDD" w:rsidP="00440CBA">
            <w:pPr>
              <w:jc w:val="right"/>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16</w:t>
            </w:r>
          </w:p>
        </w:tc>
        <w:tc>
          <w:tcPr>
            <w:tcW w:w="990" w:type="dxa"/>
            <w:tcBorders>
              <w:top w:val="nil"/>
              <w:left w:val="single" w:sz="4" w:space="0" w:color="auto"/>
              <w:bottom w:val="single" w:sz="4" w:space="0" w:color="auto"/>
              <w:right w:val="single" w:sz="4" w:space="0" w:color="auto"/>
            </w:tcBorders>
            <w:vAlign w:val="bottom"/>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123.5</w:t>
            </w:r>
          </w:p>
        </w:tc>
        <w:tc>
          <w:tcPr>
            <w:tcW w:w="1260" w:type="dxa"/>
            <w:tcBorders>
              <w:top w:val="nil"/>
              <w:left w:val="single" w:sz="4" w:space="0" w:color="auto"/>
              <w:bottom w:val="single" w:sz="4" w:space="0" w:color="auto"/>
              <w:right w:val="single" w:sz="4" w:space="0" w:color="auto"/>
            </w:tcBorders>
            <w:vAlign w:val="bottom"/>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106%</w:t>
            </w:r>
          </w:p>
        </w:tc>
        <w:tc>
          <w:tcPr>
            <w:tcW w:w="900"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1975.9</w:t>
            </w:r>
          </w:p>
        </w:tc>
      </w:tr>
      <w:tr w:rsidR="007A5BDD" w:rsidRPr="00E33556" w:rsidTr="00440CBA">
        <w:trPr>
          <w:trHeight w:val="288"/>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Mumbai</w:t>
            </w:r>
          </w:p>
        </w:tc>
        <w:tc>
          <w:tcPr>
            <w:tcW w:w="1488"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16</w:t>
            </w:r>
          </w:p>
        </w:tc>
        <w:tc>
          <w:tcPr>
            <w:tcW w:w="1124" w:type="dxa"/>
            <w:tcBorders>
              <w:top w:val="single" w:sz="4" w:space="0" w:color="auto"/>
              <w:left w:val="nil"/>
              <w:bottom w:val="single" w:sz="4" w:space="0" w:color="auto"/>
              <w:right w:val="single" w:sz="4" w:space="0" w:color="auto"/>
            </w:tcBorders>
            <w:vAlign w:val="bottom"/>
          </w:tcPr>
          <w:p w:rsidR="007A5BDD" w:rsidRPr="00E33556" w:rsidRDefault="007A5BDD" w:rsidP="00440CBA">
            <w:pPr>
              <w:jc w:val="right"/>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16</w:t>
            </w:r>
          </w:p>
        </w:tc>
        <w:tc>
          <w:tcPr>
            <w:tcW w:w="990" w:type="dxa"/>
            <w:tcBorders>
              <w:top w:val="nil"/>
              <w:left w:val="single" w:sz="4" w:space="0" w:color="auto"/>
              <w:bottom w:val="single" w:sz="4" w:space="0" w:color="auto"/>
              <w:right w:val="single" w:sz="4" w:space="0" w:color="auto"/>
            </w:tcBorders>
            <w:vAlign w:val="bottom"/>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93.8</w:t>
            </w:r>
          </w:p>
        </w:tc>
        <w:tc>
          <w:tcPr>
            <w:tcW w:w="1260" w:type="dxa"/>
            <w:tcBorders>
              <w:top w:val="nil"/>
              <w:left w:val="single" w:sz="4" w:space="0" w:color="auto"/>
              <w:bottom w:val="single" w:sz="4" w:space="0" w:color="auto"/>
              <w:right w:val="single" w:sz="4" w:space="0" w:color="auto"/>
            </w:tcBorders>
            <w:vAlign w:val="bottom"/>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72%</w:t>
            </w:r>
          </w:p>
        </w:tc>
        <w:tc>
          <w:tcPr>
            <w:tcW w:w="900"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1501.6</w:t>
            </w:r>
          </w:p>
        </w:tc>
      </w:tr>
      <w:tr w:rsidR="007A5BDD" w:rsidRPr="00E33556" w:rsidTr="00440CBA">
        <w:trPr>
          <w:trHeight w:val="288"/>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A5BDD" w:rsidRPr="00E33556" w:rsidRDefault="007A5BDD" w:rsidP="00440CBA">
            <w:pPr>
              <w:jc w:val="center"/>
              <w:rPr>
                <w:rFonts w:eastAsia="Times New Roman" w:cs="Calibri"/>
                <w:color w:val="000000"/>
                <w:sz w:val="20"/>
                <w:szCs w:val="20"/>
                <w:lang w:eastAsia="en-IN"/>
              </w:rPr>
            </w:pPr>
            <w:r w:rsidRPr="00E33556">
              <w:rPr>
                <w:rFonts w:eastAsia="Times New Roman" w:cs="Calibri"/>
                <w:color w:val="00000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rPr>
                <w:rFonts w:eastAsia="Times New Roman" w:cs="Calibri"/>
                <w:color w:val="000000"/>
                <w:sz w:val="20"/>
                <w:szCs w:val="20"/>
                <w:lang w:eastAsia="en-IN"/>
              </w:rPr>
            </w:pPr>
            <w:r w:rsidRPr="00E33556">
              <w:rPr>
                <w:rFonts w:eastAsia="Times New Roman" w:cs="Calibri"/>
                <w:color w:val="000000"/>
                <w:sz w:val="20"/>
                <w:szCs w:val="20"/>
                <w:lang w:eastAsia="en-IN"/>
              </w:rPr>
              <w:t>Kolkata</w:t>
            </w:r>
          </w:p>
        </w:tc>
        <w:tc>
          <w:tcPr>
            <w:tcW w:w="1488" w:type="dxa"/>
            <w:tcBorders>
              <w:top w:val="nil"/>
              <w:left w:val="nil"/>
              <w:bottom w:val="single" w:sz="4" w:space="0" w:color="auto"/>
              <w:right w:val="single" w:sz="4" w:space="0" w:color="auto"/>
            </w:tcBorders>
            <w:shd w:val="clear" w:color="auto" w:fill="auto"/>
            <w:noWrap/>
            <w:vAlign w:val="bottom"/>
            <w:hideMark/>
          </w:tcPr>
          <w:p w:rsidR="007A5BDD" w:rsidRPr="00E33556" w:rsidRDefault="007A5BDD" w:rsidP="00440CBA">
            <w:pPr>
              <w:jc w:val="right"/>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14</w:t>
            </w:r>
          </w:p>
        </w:tc>
        <w:tc>
          <w:tcPr>
            <w:tcW w:w="1124" w:type="dxa"/>
            <w:tcBorders>
              <w:top w:val="single" w:sz="4" w:space="0" w:color="auto"/>
              <w:left w:val="nil"/>
              <w:bottom w:val="single" w:sz="4" w:space="0" w:color="auto"/>
              <w:right w:val="single" w:sz="4" w:space="0" w:color="auto"/>
            </w:tcBorders>
            <w:vAlign w:val="bottom"/>
          </w:tcPr>
          <w:p w:rsidR="007A5BDD" w:rsidRPr="00E33556" w:rsidRDefault="007A5BDD" w:rsidP="00440CBA">
            <w:pPr>
              <w:jc w:val="right"/>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14</w:t>
            </w:r>
          </w:p>
        </w:tc>
        <w:tc>
          <w:tcPr>
            <w:tcW w:w="990" w:type="dxa"/>
            <w:tcBorders>
              <w:top w:val="nil"/>
              <w:left w:val="single" w:sz="4" w:space="0" w:color="auto"/>
              <w:bottom w:val="single" w:sz="4" w:space="0" w:color="auto"/>
              <w:right w:val="single" w:sz="4" w:space="0" w:color="auto"/>
            </w:tcBorders>
            <w:vAlign w:val="bottom"/>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32.4</w:t>
            </w:r>
          </w:p>
        </w:tc>
        <w:tc>
          <w:tcPr>
            <w:tcW w:w="1260" w:type="dxa"/>
            <w:tcBorders>
              <w:top w:val="nil"/>
              <w:left w:val="single" w:sz="4" w:space="0" w:color="auto"/>
              <w:bottom w:val="single" w:sz="4" w:space="0" w:color="auto"/>
              <w:right w:val="single" w:sz="4" w:space="0" w:color="auto"/>
            </w:tcBorders>
            <w:vAlign w:val="bottom"/>
          </w:tcPr>
          <w:p w:rsidR="007A5BDD" w:rsidRPr="00E33556" w:rsidRDefault="007A5BDD" w:rsidP="00440CBA">
            <w:pPr>
              <w:jc w:val="right"/>
              <w:rPr>
                <w:rFonts w:ascii="Calibri" w:eastAsia="Times New Roman" w:hAnsi="Calibri" w:cs="Calibri"/>
                <w:color w:val="000000"/>
                <w:sz w:val="22"/>
                <w:szCs w:val="22"/>
                <w:lang w:eastAsia="en-IN"/>
              </w:rPr>
            </w:pPr>
            <w:r w:rsidRPr="00E33556">
              <w:rPr>
                <w:rFonts w:ascii="Calibri" w:eastAsia="Times New Roman" w:hAnsi="Calibri" w:cs="Calibri"/>
                <w:color w:val="000000"/>
                <w:sz w:val="22"/>
                <w:szCs w:val="22"/>
                <w:lang w:eastAsia="en-IN"/>
              </w:rPr>
              <w:t>56%</w:t>
            </w:r>
          </w:p>
        </w:tc>
        <w:tc>
          <w:tcPr>
            <w:tcW w:w="900" w:type="dxa"/>
            <w:tcBorders>
              <w:top w:val="nil"/>
              <w:left w:val="nil"/>
              <w:bottom w:val="single" w:sz="4" w:space="0" w:color="auto"/>
              <w:right w:val="single" w:sz="4" w:space="0" w:color="auto"/>
            </w:tcBorders>
            <w:shd w:val="clear" w:color="auto" w:fill="auto"/>
            <w:noWrap/>
            <w:vAlign w:val="bottom"/>
            <w:hideMark/>
          </w:tcPr>
          <w:p w:rsidR="007A5BDD" w:rsidRDefault="007A5BDD" w:rsidP="00440CBA">
            <w:pPr>
              <w:jc w:val="right"/>
              <w:rPr>
                <w:rFonts w:ascii="Calibri" w:hAnsi="Calibri" w:cs="Calibri"/>
                <w:color w:val="000000"/>
                <w:sz w:val="22"/>
                <w:szCs w:val="22"/>
              </w:rPr>
            </w:pPr>
            <w:r>
              <w:rPr>
                <w:rFonts w:ascii="Calibri" w:hAnsi="Calibri" w:cs="Calibri"/>
                <w:color w:val="000000"/>
                <w:sz w:val="22"/>
                <w:szCs w:val="22"/>
              </w:rPr>
              <w:t>454.1</w:t>
            </w:r>
          </w:p>
        </w:tc>
      </w:tr>
      <w:tr w:rsidR="007A5BDD" w:rsidRPr="00E33556" w:rsidTr="00440CBA">
        <w:trPr>
          <w:trHeight w:val="288"/>
        </w:trPr>
        <w:tc>
          <w:tcPr>
            <w:tcW w:w="2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5BDD" w:rsidRPr="00444DBE" w:rsidRDefault="007A5BDD" w:rsidP="00440CBA">
            <w:pPr>
              <w:rPr>
                <w:rFonts w:eastAsia="Times New Roman" w:cs="Calibri"/>
                <w:b/>
                <w:color w:val="000000"/>
                <w:sz w:val="20"/>
                <w:szCs w:val="20"/>
                <w:lang w:eastAsia="en-IN"/>
              </w:rPr>
            </w:pPr>
            <w:r>
              <w:rPr>
                <w:rFonts w:eastAsia="Times New Roman" w:cs="Calibri"/>
                <w:color w:val="000000"/>
                <w:sz w:val="20"/>
                <w:szCs w:val="20"/>
                <w:lang w:eastAsia="en-IN"/>
              </w:rPr>
              <w:t xml:space="preserve">           </w:t>
            </w:r>
            <w:r w:rsidRPr="00444DBE">
              <w:rPr>
                <w:rFonts w:eastAsia="Times New Roman" w:cs="Calibri"/>
                <w:b/>
                <w:color w:val="000000"/>
                <w:sz w:val="20"/>
                <w:szCs w:val="20"/>
                <w:lang w:eastAsia="en-IN"/>
              </w:rPr>
              <w:t>Total</w:t>
            </w:r>
          </w:p>
        </w:tc>
        <w:tc>
          <w:tcPr>
            <w:tcW w:w="1488" w:type="dxa"/>
            <w:tcBorders>
              <w:top w:val="nil"/>
              <w:left w:val="nil"/>
              <w:bottom w:val="single" w:sz="4" w:space="0" w:color="auto"/>
              <w:right w:val="single" w:sz="4" w:space="0" w:color="auto"/>
            </w:tcBorders>
            <w:shd w:val="clear" w:color="auto" w:fill="auto"/>
            <w:noWrap/>
            <w:vAlign w:val="bottom"/>
            <w:hideMark/>
          </w:tcPr>
          <w:p w:rsidR="007A5BDD" w:rsidRPr="00444DBE" w:rsidRDefault="007A5BDD" w:rsidP="00440CBA">
            <w:pPr>
              <w:jc w:val="right"/>
              <w:rPr>
                <w:rFonts w:ascii="Calibri" w:eastAsia="Times New Roman" w:hAnsi="Calibri" w:cs="Calibri"/>
                <w:b/>
                <w:color w:val="000000"/>
                <w:sz w:val="22"/>
                <w:szCs w:val="22"/>
                <w:lang w:eastAsia="en-IN"/>
              </w:rPr>
            </w:pPr>
            <w:r w:rsidRPr="00444DBE">
              <w:rPr>
                <w:rFonts w:ascii="Calibri" w:eastAsia="Times New Roman" w:hAnsi="Calibri" w:cs="Calibri"/>
                <w:b/>
                <w:color w:val="000000"/>
                <w:sz w:val="22"/>
                <w:szCs w:val="22"/>
                <w:lang w:eastAsia="en-IN"/>
              </w:rPr>
              <w:t>46</w:t>
            </w:r>
          </w:p>
        </w:tc>
        <w:tc>
          <w:tcPr>
            <w:tcW w:w="1124" w:type="dxa"/>
            <w:tcBorders>
              <w:top w:val="single" w:sz="4" w:space="0" w:color="auto"/>
              <w:left w:val="nil"/>
              <w:bottom w:val="single" w:sz="4" w:space="0" w:color="auto"/>
              <w:right w:val="single" w:sz="4" w:space="0" w:color="auto"/>
            </w:tcBorders>
            <w:vAlign w:val="bottom"/>
          </w:tcPr>
          <w:p w:rsidR="007A5BDD" w:rsidRPr="00444DBE" w:rsidRDefault="007A5BDD" w:rsidP="00440CBA">
            <w:pPr>
              <w:jc w:val="right"/>
              <w:rPr>
                <w:rFonts w:ascii="Calibri" w:eastAsia="Times New Roman" w:hAnsi="Calibri" w:cs="Calibri"/>
                <w:b/>
                <w:color w:val="000000"/>
                <w:sz w:val="22"/>
                <w:szCs w:val="22"/>
                <w:lang w:eastAsia="en-IN"/>
              </w:rPr>
            </w:pPr>
            <w:r w:rsidRPr="00444DBE">
              <w:rPr>
                <w:rFonts w:ascii="Calibri" w:eastAsia="Times New Roman" w:hAnsi="Calibri" w:cs="Calibri"/>
                <w:b/>
                <w:color w:val="000000"/>
                <w:sz w:val="22"/>
                <w:szCs w:val="22"/>
                <w:lang w:eastAsia="en-IN"/>
              </w:rPr>
              <w:t>46</w:t>
            </w:r>
          </w:p>
        </w:tc>
        <w:tc>
          <w:tcPr>
            <w:tcW w:w="990" w:type="dxa"/>
            <w:tcBorders>
              <w:top w:val="nil"/>
              <w:left w:val="single" w:sz="4" w:space="0" w:color="auto"/>
              <w:bottom w:val="single" w:sz="4" w:space="0" w:color="auto"/>
              <w:right w:val="single" w:sz="4" w:space="0" w:color="auto"/>
            </w:tcBorders>
            <w:vAlign w:val="bottom"/>
          </w:tcPr>
          <w:p w:rsidR="007A5BDD" w:rsidRPr="00444DBE" w:rsidRDefault="007A5BDD" w:rsidP="00440CBA">
            <w:pPr>
              <w:jc w:val="right"/>
              <w:rPr>
                <w:rFonts w:ascii="Calibri" w:eastAsia="Times New Roman" w:hAnsi="Calibri" w:cs="Calibri"/>
                <w:b/>
                <w:color w:val="000000"/>
                <w:sz w:val="22"/>
                <w:szCs w:val="22"/>
                <w:lang w:eastAsia="en-IN"/>
              </w:rPr>
            </w:pPr>
            <w:r w:rsidRPr="00444DBE">
              <w:rPr>
                <w:rFonts w:ascii="Calibri" w:eastAsia="Times New Roman" w:hAnsi="Calibri" w:cs="Calibri"/>
                <w:b/>
                <w:color w:val="000000"/>
                <w:sz w:val="22"/>
                <w:szCs w:val="22"/>
                <w:lang w:eastAsia="en-IN"/>
              </w:rPr>
              <w:t>249.8</w:t>
            </w:r>
          </w:p>
        </w:tc>
        <w:tc>
          <w:tcPr>
            <w:tcW w:w="1260" w:type="dxa"/>
            <w:tcBorders>
              <w:top w:val="nil"/>
              <w:left w:val="single" w:sz="4" w:space="0" w:color="auto"/>
              <w:bottom w:val="single" w:sz="4" w:space="0" w:color="auto"/>
              <w:right w:val="single" w:sz="4" w:space="0" w:color="auto"/>
            </w:tcBorders>
            <w:vAlign w:val="bottom"/>
          </w:tcPr>
          <w:p w:rsidR="007A5BDD" w:rsidRPr="00444DBE" w:rsidRDefault="007A5BDD" w:rsidP="00440CBA">
            <w:pPr>
              <w:jc w:val="right"/>
              <w:rPr>
                <w:rFonts w:ascii="Calibri" w:eastAsia="Times New Roman" w:hAnsi="Calibri" w:cs="Calibri"/>
                <w:b/>
                <w:color w:val="000000"/>
                <w:sz w:val="22"/>
                <w:szCs w:val="22"/>
                <w:lang w:eastAsia="en-IN"/>
              </w:rPr>
            </w:pPr>
            <w:r w:rsidRPr="00444DBE">
              <w:rPr>
                <w:rFonts w:ascii="Calibri" w:eastAsia="Times New Roman" w:hAnsi="Calibri" w:cs="Calibri"/>
                <w:b/>
                <w:color w:val="000000"/>
                <w:sz w:val="22"/>
                <w:szCs w:val="22"/>
                <w:lang w:eastAsia="en-IN"/>
              </w:rPr>
              <w:t>131%</w:t>
            </w:r>
          </w:p>
        </w:tc>
        <w:tc>
          <w:tcPr>
            <w:tcW w:w="900" w:type="dxa"/>
            <w:tcBorders>
              <w:top w:val="nil"/>
              <w:left w:val="nil"/>
              <w:bottom w:val="single" w:sz="4" w:space="0" w:color="auto"/>
              <w:right w:val="single" w:sz="4" w:space="0" w:color="auto"/>
            </w:tcBorders>
            <w:shd w:val="clear" w:color="auto" w:fill="auto"/>
            <w:noWrap/>
            <w:vAlign w:val="bottom"/>
            <w:hideMark/>
          </w:tcPr>
          <w:p w:rsidR="007A5BDD" w:rsidRPr="00444DBE" w:rsidRDefault="007A5BDD" w:rsidP="00440CBA">
            <w:pPr>
              <w:jc w:val="right"/>
              <w:rPr>
                <w:rFonts w:ascii="Calibri" w:hAnsi="Calibri" w:cs="Calibri"/>
                <w:b/>
                <w:color w:val="000000"/>
                <w:sz w:val="22"/>
                <w:szCs w:val="22"/>
              </w:rPr>
            </w:pPr>
            <w:r w:rsidRPr="00444DBE">
              <w:rPr>
                <w:rFonts w:ascii="Calibri" w:hAnsi="Calibri" w:cs="Calibri"/>
                <w:b/>
                <w:color w:val="000000"/>
                <w:sz w:val="22"/>
                <w:szCs w:val="22"/>
              </w:rPr>
              <w:t>3931.6</w:t>
            </w:r>
          </w:p>
        </w:tc>
      </w:tr>
    </w:tbl>
    <w:p w:rsidR="007A5BDD" w:rsidRDefault="007A5BDD" w:rsidP="007A5BDD">
      <w:pPr>
        <w:jc w:val="right"/>
        <w:rPr>
          <w:rFonts w:eastAsia="Times New Roman"/>
        </w:rPr>
      </w:pPr>
    </w:p>
    <w:p w:rsidR="007A5BDD" w:rsidRDefault="007A5BDD" w:rsidP="007A5BDD">
      <w:pPr>
        <w:pStyle w:val="ListParagraph"/>
        <w:numPr>
          <w:ilvl w:val="0"/>
          <w:numId w:val="13"/>
        </w:numPr>
        <w:shd w:val="clear" w:color="auto" w:fill="FFFFFF"/>
        <w:spacing w:before="120" w:after="240" w:line="360" w:lineRule="auto"/>
        <w:ind w:left="810" w:hanging="810"/>
        <w:jc w:val="both"/>
      </w:pPr>
      <w:r w:rsidRPr="00910D04">
        <w:t xml:space="preserve">The feasibility of adoption of E-GSM should be explored in a time-bound manner. The auction in the 800 MHz band should not be </w:t>
      </w:r>
      <w:r w:rsidRPr="00FE1A17">
        <w:t>carried</w:t>
      </w:r>
      <w:r w:rsidRPr="00910D04">
        <w:t xml:space="preserve"> out now. </w:t>
      </w:r>
      <w:r w:rsidRPr="00FB3E9C">
        <w:t>As 800 MHz spectrum is not being auctioned in the forthcoming auction and the recommendation of the Telecom Regulatory Authority of India (TRAI) has been sought for the reserve price, the decision in respect of Code Division Multiple Access (CDMA) spectrum will be taken at an appropriate time</w:t>
      </w:r>
      <w:r>
        <w:t>.</w:t>
      </w:r>
    </w:p>
    <w:p w:rsidR="007A5BDD" w:rsidRPr="00660473" w:rsidRDefault="007A5BDD" w:rsidP="007A5BDD">
      <w:pPr>
        <w:spacing w:line="480" w:lineRule="auto"/>
        <w:jc w:val="center"/>
        <w:rPr>
          <w:b/>
          <w:sz w:val="28"/>
        </w:rPr>
      </w:pPr>
      <w:r>
        <w:rPr>
          <w:rFonts w:eastAsia="Times New Roman"/>
        </w:rPr>
        <w:br w:type="page"/>
      </w:r>
      <w:r w:rsidRPr="00660473">
        <w:rPr>
          <w:b/>
          <w:sz w:val="28"/>
        </w:rPr>
        <w:lastRenderedPageBreak/>
        <w:t>CHAPTER-I</w:t>
      </w:r>
      <w:r>
        <w:rPr>
          <w:b/>
          <w:sz w:val="28"/>
        </w:rPr>
        <w:t>I</w:t>
      </w:r>
      <w:r w:rsidRPr="00660473">
        <w:rPr>
          <w:b/>
          <w:sz w:val="28"/>
        </w:rPr>
        <w:t>I</w:t>
      </w:r>
    </w:p>
    <w:p w:rsidR="007A5BDD" w:rsidRPr="00660473" w:rsidRDefault="007A5BDD" w:rsidP="007A5BDD">
      <w:pPr>
        <w:spacing w:line="480" w:lineRule="auto"/>
        <w:ind w:hanging="540"/>
        <w:jc w:val="center"/>
        <w:rPr>
          <w:b/>
          <w:sz w:val="28"/>
        </w:rPr>
      </w:pPr>
      <w:r w:rsidRPr="00660473">
        <w:rPr>
          <w:b/>
          <w:sz w:val="28"/>
        </w:rPr>
        <w:t>MARKET BASED SPECTRUM MECHANISM: OTHER DIMENSIONS</w:t>
      </w:r>
    </w:p>
    <w:p w:rsidR="007A5BDD" w:rsidRDefault="007A5BDD" w:rsidP="007A5BDD">
      <w:pPr>
        <w:jc w:val="center"/>
        <w:rPr>
          <w:b/>
        </w:rPr>
      </w:pPr>
    </w:p>
    <w:p w:rsidR="007A5BDD" w:rsidRPr="00660473"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t xml:space="preserve">The auction provides a transparent and efficient mechanism for the initial assignment of spectrum resources. However, the spectrum is assigned for a long duration. There are many factors which </w:t>
      </w:r>
      <w:proofErr w:type="gramStart"/>
      <w:r>
        <w:t>helps</w:t>
      </w:r>
      <w:proofErr w:type="gramEnd"/>
      <w:r>
        <w:t xml:space="preserve"> in ensuring that not only the initial spectrum assignment is efficient but the spectrum is put to efficient and optimal use throughout the </w:t>
      </w:r>
      <w:proofErr w:type="spellStart"/>
      <w:r>
        <w:t>licence</w:t>
      </w:r>
      <w:proofErr w:type="spellEnd"/>
      <w:r>
        <w:t xml:space="preserve"> period. These factors viz. </w:t>
      </w:r>
      <w:proofErr w:type="spellStart"/>
      <w:r>
        <w:t>liberalised</w:t>
      </w:r>
      <w:proofErr w:type="spellEnd"/>
      <w:r>
        <w:t xml:space="preserve"> use of spectrum, spectrum trading and spectrum sharing have been discussed in this chapter one by one.</w:t>
      </w:r>
    </w:p>
    <w:p w:rsidR="007A5BDD" w:rsidRDefault="007A5BDD" w:rsidP="007A5BDD">
      <w:pPr>
        <w:pStyle w:val="ListParagraph"/>
        <w:numPr>
          <w:ilvl w:val="0"/>
          <w:numId w:val="12"/>
        </w:numPr>
        <w:spacing w:before="120" w:after="240" w:line="360" w:lineRule="auto"/>
        <w:jc w:val="both"/>
        <w:rPr>
          <w:b/>
        </w:rPr>
      </w:pPr>
      <w:r w:rsidRPr="00BC7D40">
        <w:rPr>
          <w:b/>
        </w:rPr>
        <w:t>LIBERALISED USE OF SPECTRUM</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proofErr w:type="spellStart"/>
      <w:r w:rsidRPr="00197A9B">
        <w:t>Liberalisation</w:t>
      </w:r>
      <w:proofErr w:type="spellEnd"/>
      <w:r w:rsidRPr="00197A9B">
        <w:t xml:space="preserve"> of spectrum refers to the removal of technology restrictions to give the licensee an option to deploy </w:t>
      </w:r>
      <w:r>
        <w:t>latest</w:t>
      </w:r>
      <w:r w:rsidRPr="00197A9B">
        <w:t xml:space="preserve"> </w:t>
      </w:r>
      <w:r>
        <w:t xml:space="preserve">and more spectrum </w:t>
      </w:r>
      <w:r w:rsidRPr="001216C2">
        <w:t>efficient</w:t>
      </w:r>
      <w:r>
        <w:t xml:space="preserve"> </w:t>
      </w:r>
      <w:r w:rsidRPr="00197A9B">
        <w:t>technologies</w:t>
      </w:r>
      <w:r>
        <w:t xml:space="preserve">, which shall result in optimal use of spectrum. </w:t>
      </w:r>
      <w:r w:rsidRPr="00047A19">
        <w:t>Change of use (also known as service neutrality)</w:t>
      </w:r>
      <w:r>
        <w:t xml:space="preserve"> allows</w:t>
      </w:r>
      <w:r w:rsidRPr="00047A19">
        <w:t xml:space="preserve"> different types of</w:t>
      </w:r>
      <w:r>
        <w:t xml:space="preserve"> </w:t>
      </w:r>
      <w:r w:rsidRPr="00047A19">
        <w:t>services and technologies to compete for the same spectrum</w:t>
      </w:r>
      <w:r>
        <w:t xml:space="preserve">.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t xml:space="preserve">In the 1990s, during the evolution phase of 2G mobile </w:t>
      </w:r>
      <w:r w:rsidRPr="00677201">
        <w:t>communication</w:t>
      </w:r>
      <w:r>
        <w:t xml:space="preserve">, spectrum </w:t>
      </w:r>
      <w:r w:rsidRPr="00CC4B0F">
        <w:t>was</w:t>
      </w:r>
      <w:r>
        <w:t xml:space="preserve"> assigned mainly using command and control approach. The use of spectrum was restricted to using a particular </w:t>
      </w:r>
      <w:r w:rsidRPr="009D4CCE">
        <w:t>technology</w:t>
      </w:r>
      <w:r>
        <w:t xml:space="preserve">. Over a period of time, the use of 900 and 1800 MHz bands has been liberalized in many countries.  </w:t>
      </w:r>
    </w:p>
    <w:p w:rsidR="007A5BDD" w:rsidRPr="0018695A"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18695A">
        <w:t xml:space="preserve">In Europe, until the latter part of 2009, 900 MHz band could only be used for the provision of GSM mobile telephony services – i.e. 2G comprising traditional voice and text services and 2.5G comprising limited data services. In the third quarter of 2009, two pieces of legislation were adopted at a </w:t>
      </w:r>
      <w:r w:rsidRPr="0018695A">
        <w:rPr>
          <w:rFonts w:cs="Calibri"/>
        </w:rPr>
        <w:t>European</w:t>
      </w:r>
      <w:r w:rsidRPr="0018695A">
        <w:t xml:space="preserve"> level which provided for </w:t>
      </w:r>
      <w:proofErr w:type="spellStart"/>
      <w:r w:rsidRPr="0018695A">
        <w:t>liberalisation</w:t>
      </w:r>
      <w:proofErr w:type="spellEnd"/>
      <w:r w:rsidRPr="0018695A">
        <w:t xml:space="preserve"> of the 900MHz band and </w:t>
      </w:r>
      <w:proofErr w:type="spellStart"/>
      <w:r w:rsidRPr="0018695A">
        <w:t>harmonisation</w:t>
      </w:r>
      <w:proofErr w:type="spellEnd"/>
      <w:r w:rsidRPr="0018695A">
        <w:t xml:space="preserve"> of the 900 and 1800 MHz frequency bands. As a result, it is now possible to introduce other terrestrial systems capable of providing electronic communications services that can co-exist with GSM systems in the 900 MHz and 1800 MHz bands. These pieces of legislation are: </w:t>
      </w:r>
    </w:p>
    <w:p w:rsidR="007A5BDD" w:rsidRPr="0018695A"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18695A">
        <w:t xml:space="preserve">European Directive 2009/114/EC, </w:t>
      </w:r>
      <w:r w:rsidRPr="0018695A">
        <w:rPr>
          <w:rFonts w:cs="Calibri"/>
        </w:rPr>
        <w:t>adopted</w:t>
      </w:r>
      <w:r w:rsidRPr="0018695A">
        <w:t xml:space="preserve"> on 16 September 2009, which amended the existing GSM Directive and removed the exclusive reservation of the 900 MHz band for GSM services (GSM Amendment Directive); and </w:t>
      </w:r>
    </w:p>
    <w:p w:rsidR="007A5BDD" w:rsidRPr="0018695A"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18695A">
        <w:lastRenderedPageBreak/>
        <w:t xml:space="preserve">European Commission  Decision on the </w:t>
      </w:r>
      <w:proofErr w:type="spellStart"/>
      <w:r w:rsidRPr="0018695A">
        <w:t>harmonisation</w:t>
      </w:r>
      <w:proofErr w:type="spellEnd"/>
      <w:r w:rsidRPr="0018695A">
        <w:t xml:space="preserve"> of the 900 MHz and 1800 MHz frequency bands for terrestrial systems capable of providing pan-European electronic communications services in the Community (2009/766/EC), adopted on 16 </w:t>
      </w:r>
      <w:r w:rsidRPr="0018695A">
        <w:rPr>
          <w:rFonts w:cs="Calibri"/>
        </w:rPr>
        <w:t>October</w:t>
      </w:r>
      <w:r w:rsidRPr="0018695A">
        <w:t xml:space="preserve"> 2009, which sets out the technical </w:t>
      </w:r>
      <w:proofErr w:type="spellStart"/>
      <w:r w:rsidRPr="0018695A">
        <w:t>harmonisation</w:t>
      </w:r>
      <w:proofErr w:type="spellEnd"/>
      <w:r w:rsidRPr="0018695A">
        <w:t xml:space="preserve"> measures for the introduction of other terrestrial systems capable of providing electronic communications services that can co-exist with GSM systems in the 900 MHz and 1800 MHz bands (the EC Decision on the 900 and 1800 MHz bands)</w:t>
      </w:r>
    </w:p>
    <w:p w:rsidR="007A5BDD" w:rsidRPr="0018695A"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18695A">
        <w:t xml:space="preserve">The spectrum </w:t>
      </w:r>
      <w:proofErr w:type="spellStart"/>
      <w:r w:rsidRPr="0018695A">
        <w:t>liberalisation</w:t>
      </w:r>
      <w:proofErr w:type="spellEnd"/>
      <w:r w:rsidRPr="0018695A">
        <w:t xml:space="preserve">/refarming poses quite a few challenges for the </w:t>
      </w:r>
      <w:r w:rsidRPr="00E6420F">
        <w:t>operators</w:t>
      </w:r>
      <w:r w:rsidRPr="0018695A">
        <w:t>, particularly in the transition phase There can be many alternative approaches, like</w:t>
      </w:r>
    </w:p>
    <w:p w:rsidR="007A5BDD" w:rsidRPr="0018695A" w:rsidRDefault="007A5BDD" w:rsidP="007A5BDD">
      <w:pPr>
        <w:pStyle w:val="ListParagraph"/>
        <w:numPr>
          <w:ilvl w:val="0"/>
          <w:numId w:val="23"/>
        </w:numPr>
        <w:tabs>
          <w:tab w:val="left" w:pos="1170"/>
          <w:tab w:val="left" w:pos="1260"/>
          <w:tab w:val="left" w:pos="1620"/>
        </w:tabs>
        <w:autoSpaceDE w:val="0"/>
        <w:autoSpaceDN w:val="0"/>
        <w:adjustRightInd w:val="0"/>
        <w:spacing w:before="120" w:after="240" w:line="360" w:lineRule="auto"/>
        <w:ind w:left="1620"/>
        <w:jc w:val="both"/>
      </w:pPr>
      <w:r w:rsidRPr="0018695A">
        <w:t xml:space="preserve">Reshuffling/Redistribution of spectrum: GSM channels are 200 kHz, UMTS/HSPA channels are 5 MHz, </w:t>
      </w:r>
      <w:proofErr w:type="gramStart"/>
      <w:r w:rsidRPr="0018695A">
        <w:t>LTE</w:t>
      </w:r>
      <w:proofErr w:type="gramEnd"/>
      <w:r w:rsidRPr="0018695A">
        <w:t xml:space="preserve"> is standardized with different channel width including 5, 10 and 20 </w:t>
      </w:r>
      <w:proofErr w:type="spellStart"/>
      <w:r w:rsidRPr="0018695A">
        <w:t>MHz.</w:t>
      </w:r>
      <w:proofErr w:type="spellEnd"/>
    </w:p>
    <w:p w:rsidR="007A5BDD" w:rsidRPr="00BA0F91" w:rsidRDefault="007A5BDD" w:rsidP="007A5BDD">
      <w:pPr>
        <w:pStyle w:val="ListParagraph"/>
        <w:numPr>
          <w:ilvl w:val="0"/>
          <w:numId w:val="23"/>
        </w:numPr>
        <w:tabs>
          <w:tab w:val="left" w:pos="1170"/>
          <w:tab w:val="left" w:pos="1260"/>
          <w:tab w:val="left" w:pos="1620"/>
        </w:tabs>
        <w:autoSpaceDE w:val="0"/>
        <w:autoSpaceDN w:val="0"/>
        <w:adjustRightInd w:val="0"/>
        <w:spacing w:before="120" w:after="240" w:line="360" w:lineRule="auto"/>
        <w:ind w:left="1620"/>
        <w:jc w:val="both"/>
        <w:rPr>
          <w:b/>
        </w:rPr>
      </w:pPr>
      <w:r w:rsidRPr="0018695A">
        <w:t>Withdrawing and re-assigning spectrum: Some countries have considered withdrawal of GSM licenses (partly/wholly) for re-planning the frequency bands and then issue licenses that make deployment of UMTS/HSPA and/or LTE possible</w:t>
      </w:r>
    </w:p>
    <w:p w:rsidR="007A5BDD" w:rsidRPr="00CE3784"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CE3784">
        <w:t xml:space="preserve">Some of the country specific cases, which have adopted different approaches for </w:t>
      </w:r>
      <w:r w:rsidRPr="008F2F1B">
        <w:t>the</w:t>
      </w:r>
      <w:r w:rsidRPr="00CE3784">
        <w:t xml:space="preserve"> liberalization of the spectrum in the 900/1800 MHz band, have been discussed below.</w:t>
      </w:r>
    </w:p>
    <w:p w:rsidR="007A5BDD" w:rsidRPr="00DD5919" w:rsidRDefault="007A5BDD" w:rsidP="007A5BDD">
      <w:pPr>
        <w:pStyle w:val="ListParagraph"/>
        <w:spacing w:before="120" w:after="240" w:line="360" w:lineRule="auto"/>
        <w:rPr>
          <w:b/>
        </w:rPr>
      </w:pPr>
      <w:r w:rsidRPr="00F45BBC">
        <w:rPr>
          <w:b/>
          <w:sz w:val="28"/>
          <w:szCs w:val="28"/>
        </w:rPr>
        <w:t>Denmark</w:t>
      </w:r>
      <w:r w:rsidRPr="0018695A">
        <w:rPr>
          <w:rStyle w:val="FootnoteReference"/>
        </w:rPr>
        <w:footnoteReference w:id="2"/>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PalatinoLinotype-Roman"/>
          <w:color w:val="000000"/>
        </w:rPr>
      </w:pPr>
      <w:r w:rsidRPr="009264B3">
        <w:t>In line with the European decision to amend the GSM Directive, in which the 900 MHz frequency band was made s</w:t>
      </w:r>
      <w:r>
        <w:t>ervice and technology neutral, t</w:t>
      </w:r>
      <w:r w:rsidRPr="009264B3">
        <w:t xml:space="preserve">he National IT- </w:t>
      </w:r>
      <w:r w:rsidRPr="008F2F1B">
        <w:t>and</w:t>
      </w:r>
      <w:r w:rsidRPr="009264B3">
        <w:t xml:space="preserve"> Telecom Agency (NITA) decided</w:t>
      </w:r>
      <w:r>
        <w:t xml:space="preserve"> that</w:t>
      </w:r>
      <w:r w:rsidRPr="009264B3">
        <w:t xml:space="preserve"> it was necessary to </w:t>
      </w:r>
      <w:proofErr w:type="spellStart"/>
      <w:r w:rsidRPr="009264B3">
        <w:t>refarm</w:t>
      </w:r>
      <w:proofErr w:type="spellEnd"/>
      <w:r w:rsidRPr="009264B3">
        <w:t xml:space="preserve"> the 900 MHz and 1800 MHz frequency bands to comply with the competitive challenges derived from the amendment.</w:t>
      </w:r>
      <w:r>
        <w:t xml:space="preserve"> </w:t>
      </w:r>
      <w:r w:rsidRPr="001959E4">
        <w:t>The</w:t>
      </w:r>
      <w:r w:rsidRPr="00B100DC">
        <w:rPr>
          <w:rFonts w:cs="PalatinoLinotype-Roman"/>
          <w:color w:val="000000"/>
        </w:rPr>
        <w:t xml:space="preserve"> Danish refarming process consisted of redistribution of spectrum to accommodate new entry licensees in both bands, reshuffling of existing licensees meaning all operators had to spectrally move their current operations, lifting technology restrictions and adjusting to a more technology neutral approach to license design and adjusting expiry dates of existing licenses.</w:t>
      </w:r>
      <w:r>
        <w:rPr>
          <w:rFonts w:cs="PalatinoLinotype-Roman"/>
          <w:color w:val="000000"/>
        </w:rPr>
        <w:t xml:space="preserve"> The process</w:t>
      </w:r>
      <w:r w:rsidRPr="0074678B">
        <w:rPr>
          <w:rFonts w:cs="PalatinoLinotype-Roman"/>
          <w:color w:val="000000"/>
        </w:rPr>
        <w:t xml:space="preserve"> freed 2 x 5 MHz </w:t>
      </w:r>
      <w:r>
        <w:rPr>
          <w:rFonts w:cs="PalatinoLinotype-Roman"/>
          <w:color w:val="000000"/>
        </w:rPr>
        <w:t xml:space="preserve">in 900 MHz </w:t>
      </w:r>
      <w:r>
        <w:rPr>
          <w:rFonts w:cs="PalatinoLinotype-Roman"/>
          <w:color w:val="000000"/>
        </w:rPr>
        <w:lastRenderedPageBreak/>
        <w:t xml:space="preserve">band and 2x10 MHz in 1800 MHz band </w:t>
      </w:r>
      <w:r w:rsidRPr="0074678B">
        <w:rPr>
          <w:rFonts w:cs="PalatinoLinotype-Roman"/>
          <w:color w:val="000000"/>
        </w:rPr>
        <w:t>for the benefit of a new entrant from 1 January 2011</w:t>
      </w:r>
      <w:r>
        <w:rPr>
          <w:rFonts w:cs="PalatinoLinotype-Roman"/>
          <w:color w:val="000000"/>
        </w:rPr>
        <w:t>.</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PalatinoLinotype-Roman"/>
          <w:color w:val="000000"/>
        </w:rPr>
      </w:pPr>
      <w:r w:rsidRPr="00A16FA8">
        <w:rPr>
          <w:rFonts w:cs="PalatinoLinotype-Roman"/>
          <w:color w:val="000000"/>
        </w:rPr>
        <w:t xml:space="preserve">Prior </w:t>
      </w:r>
      <w:r w:rsidRPr="00A16FA8">
        <w:t xml:space="preserve">to the refarming, almost all the spectrum in the two bands was licensed to Denmark's three GSM operators: TDC, </w:t>
      </w:r>
      <w:proofErr w:type="spellStart"/>
      <w:r w:rsidRPr="00A16FA8">
        <w:t>Telia</w:t>
      </w:r>
      <w:proofErr w:type="spellEnd"/>
      <w:r w:rsidRPr="00A16FA8">
        <w:t xml:space="preserve"> and Telenor. Since a UMTS operator without licenses in the two frequency bands (Hi3G) had expressed an interest in these bands once the frequency band was made service and technology neutral, NITA deemed it necessary to </w:t>
      </w:r>
      <w:r w:rsidRPr="008F2F1B">
        <w:t>ensure</w:t>
      </w:r>
      <w:r w:rsidRPr="00A16FA8">
        <w:t xml:space="preserve">, that the competition on the market for mobile communication was not distorted.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PalatinoLinotype-Roman"/>
          <w:color w:val="000000"/>
        </w:rPr>
      </w:pPr>
      <w:r w:rsidRPr="00A16FA8">
        <w:t>In the redistribution of the spectrum i</w:t>
      </w:r>
      <w:r w:rsidRPr="00A16FA8">
        <w:rPr>
          <w:rFonts w:cs="PalatinoLinotype-Roman"/>
          <w:color w:val="000000"/>
        </w:rPr>
        <w:t xml:space="preserve">n the 900 MHz band, the total bandwidth of the operators TDC and Telenor were increased by 2x0.2 MHz each, while </w:t>
      </w:r>
      <w:proofErr w:type="spellStart"/>
      <w:r w:rsidRPr="00A16FA8">
        <w:rPr>
          <w:rFonts w:cs="PalatinoLinotype-Roman"/>
          <w:color w:val="000000"/>
        </w:rPr>
        <w:t>Telia’s</w:t>
      </w:r>
      <w:proofErr w:type="spellEnd"/>
      <w:r w:rsidRPr="00A16FA8">
        <w:rPr>
          <w:rFonts w:cs="PalatinoLinotype-Roman"/>
          <w:color w:val="000000"/>
        </w:rPr>
        <w:t xml:space="preserve"> </w:t>
      </w:r>
      <w:r w:rsidRPr="001959E4">
        <w:t>bandwidth</w:t>
      </w:r>
      <w:r w:rsidRPr="00A16FA8">
        <w:rPr>
          <w:rFonts w:cs="PalatinoLinotype-Roman"/>
          <w:color w:val="000000"/>
        </w:rPr>
        <w:t xml:space="preserve"> was reduced leaving the three existing licensees with 2x9 MHz contiguous bandwidth, 2x9 MHz contiguous </w:t>
      </w:r>
      <w:r w:rsidRPr="008F2F1B">
        <w:t>bandwidth</w:t>
      </w:r>
      <w:r w:rsidRPr="00A16FA8">
        <w:rPr>
          <w:rFonts w:cs="PalatinoLinotype-Roman"/>
          <w:color w:val="000000"/>
        </w:rPr>
        <w:t xml:space="preserve"> and 2x11.8 MHz contiguous bandwidth respectively. All existing licensees were spectrally moved. NITA decided to remove existing guard bands between licensees (but not guard bands at the edges of the 900 MHz band). Before refarming, a total of 2x2.6 MHz bandwidth was used for guard-bands, while the re-planning of the band reduced bandwidth used for guard-bands to 2 x 0.2 </w:t>
      </w:r>
      <w:proofErr w:type="spellStart"/>
      <w:r w:rsidRPr="00A16FA8">
        <w:rPr>
          <w:rFonts w:cs="PalatinoLinotype-Roman"/>
          <w:color w:val="000000"/>
        </w:rPr>
        <w:t>MHz.</w:t>
      </w:r>
      <w:proofErr w:type="spellEnd"/>
      <w:r w:rsidRPr="00A16FA8">
        <w:rPr>
          <w:rFonts w:cs="PalatinoLinotype-Roman"/>
          <w:color w:val="000000"/>
        </w:rPr>
        <w:t xml:space="preserve"> Thus a block of 2 x 5 MHz contiguous spectrum in 900 MHz band was released for award to a new licensee by an auction. The licensees were given one year time period for the required spectral moving of their operations.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PalatinoLinotype-Roman"/>
          <w:color w:val="000000"/>
        </w:rPr>
      </w:pPr>
      <w:r w:rsidRPr="00F6740C">
        <w:rPr>
          <w:rFonts w:cs="PalatinoLinotype-Roman"/>
          <w:color w:val="000000"/>
        </w:rPr>
        <w:t xml:space="preserve">Coverage Requirements and obligations were amended so that existing </w:t>
      </w:r>
      <w:r w:rsidRPr="008F2F1B">
        <w:t>licensees</w:t>
      </w:r>
      <w:r w:rsidRPr="00F6740C">
        <w:rPr>
          <w:rFonts w:cs="PalatinoLinotype-Roman"/>
          <w:color w:val="000000"/>
        </w:rPr>
        <w:t xml:space="preserve"> now were </w:t>
      </w:r>
      <w:r w:rsidRPr="001959E4">
        <w:t>permitted</w:t>
      </w:r>
      <w:r w:rsidRPr="00F6740C">
        <w:rPr>
          <w:rFonts w:cs="PalatinoLinotype-Roman"/>
          <w:color w:val="000000"/>
        </w:rPr>
        <w:t xml:space="preserve"> to use any technologies including GSM to fulfil its obligations. </w:t>
      </w:r>
    </w:p>
    <w:p w:rsidR="007A5BDD" w:rsidRPr="00F6740C"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PalatinoLinotype-Roman"/>
          <w:color w:val="000000"/>
        </w:rPr>
      </w:pPr>
      <w:r w:rsidRPr="00F6740C">
        <w:rPr>
          <w:rFonts w:cs="PalatinoLinotype-Roman"/>
          <w:color w:val="000000"/>
        </w:rPr>
        <w:t xml:space="preserve">The </w:t>
      </w:r>
      <w:proofErr w:type="spellStart"/>
      <w:r w:rsidRPr="00F6740C">
        <w:rPr>
          <w:rFonts w:cs="PalatinoLinotype-Roman"/>
          <w:color w:val="000000"/>
        </w:rPr>
        <w:t>licence</w:t>
      </w:r>
      <w:proofErr w:type="spellEnd"/>
      <w:r w:rsidRPr="00F6740C">
        <w:rPr>
          <w:rFonts w:cs="PalatinoLinotype-Roman"/>
          <w:color w:val="000000"/>
        </w:rPr>
        <w:t xml:space="preserve"> of the new entrant as a result of freed up spectrum (2 x 5 MHz) is </w:t>
      </w:r>
      <w:r w:rsidRPr="00E50ED9">
        <w:t>expected</w:t>
      </w:r>
      <w:r w:rsidRPr="00F6740C">
        <w:rPr>
          <w:rFonts w:cs="PalatinoLinotype-Roman"/>
          <w:color w:val="000000"/>
        </w:rPr>
        <w:t xml:space="preserve"> to run until the end of 2034. Existing licenses were expiring in 2011 or 2012 prior to the refarming decision but NITA did prolong and </w:t>
      </w:r>
      <w:r w:rsidRPr="008F2F1B">
        <w:t>synchronize</w:t>
      </w:r>
      <w:r w:rsidRPr="00F6740C">
        <w:rPr>
          <w:rFonts w:cs="PalatinoLinotype-Roman"/>
          <w:color w:val="000000"/>
        </w:rPr>
        <w:t xml:space="preserve"> the duration so that all existing licenses now expire by end of 2019 a</w:t>
      </w:r>
      <w:r w:rsidRPr="001959E4">
        <w:t>n</w:t>
      </w:r>
      <w:r w:rsidRPr="00F6740C">
        <w:rPr>
          <w:rFonts w:cs="PalatinoLinotype-Roman"/>
          <w:color w:val="000000"/>
        </w:rPr>
        <w:t xml:space="preserve">d NITA made it clear that there will be no renewals and only new awards when prolonged licenses expire by end 2019. In </w:t>
      </w:r>
      <w:r w:rsidRPr="001959E4">
        <w:t>2019</w:t>
      </w:r>
      <w:r w:rsidRPr="00F6740C">
        <w:rPr>
          <w:rFonts w:cs="PalatinoLinotype-Roman"/>
          <w:color w:val="000000"/>
        </w:rPr>
        <w:t xml:space="preserve">, new licenses will be handed out either by a beauty contest or an auction, with a </w:t>
      </w:r>
      <w:proofErr w:type="spellStart"/>
      <w:r w:rsidRPr="00F6740C">
        <w:rPr>
          <w:rFonts w:cs="PalatinoLinotype-Roman"/>
          <w:color w:val="000000"/>
        </w:rPr>
        <w:t>licence</w:t>
      </w:r>
      <w:proofErr w:type="spellEnd"/>
      <w:r w:rsidRPr="00F6740C">
        <w:rPr>
          <w:rFonts w:cs="PalatinoLinotype-Roman"/>
          <w:color w:val="000000"/>
        </w:rPr>
        <w:t xml:space="preserve"> term of an expected 15 years, until the end of 2034.  Thereby the </w:t>
      </w:r>
      <w:proofErr w:type="spellStart"/>
      <w:r w:rsidRPr="00F6740C">
        <w:rPr>
          <w:rFonts w:cs="PalatinoLinotype-Roman"/>
          <w:color w:val="000000"/>
        </w:rPr>
        <w:t>licence</w:t>
      </w:r>
      <w:proofErr w:type="spellEnd"/>
      <w:r w:rsidRPr="00F6740C">
        <w:rPr>
          <w:rFonts w:cs="PalatinoLinotype-Roman"/>
          <w:color w:val="000000"/>
        </w:rPr>
        <w:t xml:space="preserve"> terms of these </w:t>
      </w:r>
      <w:proofErr w:type="spellStart"/>
      <w:r w:rsidRPr="00F6740C">
        <w:rPr>
          <w:rFonts w:cs="PalatinoLinotype-Roman"/>
          <w:color w:val="000000"/>
        </w:rPr>
        <w:t>licences</w:t>
      </w:r>
      <w:proofErr w:type="spellEnd"/>
      <w:r w:rsidRPr="00F6740C">
        <w:rPr>
          <w:rFonts w:cs="PalatinoLinotype-Roman"/>
          <w:color w:val="000000"/>
        </w:rPr>
        <w:t xml:space="preserve"> will be synchronized with the new entrant's </w:t>
      </w:r>
      <w:proofErr w:type="spellStart"/>
      <w:r w:rsidRPr="00F6740C">
        <w:rPr>
          <w:rFonts w:cs="PalatinoLinotype-Roman"/>
          <w:color w:val="000000"/>
        </w:rPr>
        <w:t>licence</w:t>
      </w:r>
      <w:proofErr w:type="spellEnd"/>
      <w:r w:rsidRPr="00F6740C">
        <w:rPr>
          <w:rFonts w:cs="PalatinoLinotype-Roman"/>
          <w:color w:val="000000"/>
        </w:rPr>
        <w:t xml:space="preserve"> terms. </w:t>
      </w:r>
    </w:p>
    <w:p w:rsidR="007A5BDD" w:rsidRPr="008F6480"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D07DDB">
        <w:rPr>
          <w:rFonts w:cs="PalatinoLinotype-Roman"/>
          <w:color w:val="000000"/>
        </w:rPr>
        <w:t xml:space="preserve">It was decided by NITA that only after 1 May 2011, existing licensees can use the 900 MHz </w:t>
      </w:r>
      <w:r w:rsidRPr="001959E4">
        <w:t>band</w:t>
      </w:r>
      <w:r w:rsidRPr="00D07DDB">
        <w:rPr>
          <w:rFonts w:cs="PalatinoLinotype-Roman"/>
          <w:color w:val="000000"/>
        </w:rPr>
        <w:t xml:space="preserve"> for deployment of other technologies that can co</w:t>
      </w:r>
      <w:r w:rsidRPr="00D07DDB">
        <w:rPr>
          <w:rFonts w:ascii="Cambria Math" w:hAnsi="Cambria Math" w:cs="Cambria Math"/>
          <w:color w:val="000000"/>
        </w:rPr>
        <w:t>‐</w:t>
      </w:r>
      <w:r w:rsidRPr="00D07DDB">
        <w:rPr>
          <w:rFonts w:cs="PalatinoLinotype-Roman"/>
          <w:color w:val="000000"/>
        </w:rPr>
        <w:t xml:space="preserve">exist with GSM. This was done with the intention of </w:t>
      </w:r>
      <w:r w:rsidRPr="00E50ED9">
        <w:t>creating</w:t>
      </w:r>
      <w:r w:rsidRPr="00D07DDB">
        <w:rPr>
          <w:rFonts w:cs="PalatinoLinotype-Roman"/>
          <w:color w:val="000000"/>
        </w:rPr>
        <w:t xml:space="preserve"> competitive playing level field for all licensees. By </w:t>
      </w:r>
      <w:r w:rsidRPr="00D07DDB">
        <w:rPr>
          <w:rFonts w:cs="PalatinoLinotype-Roman"/>
          <w:color w:val="000000"/>
        </w:rPr>
        <w:lastRenderedPageBreak/>
        <w:t xml:space="preserve">Dec 2010, new </w:t>
      </w:r>
      <w:proofErr w:type="spellStart"/>
      <w:r w:rsidRPr="00D07DDB">
        <w:rPr>
          <w:rFonts w:cs="PalatinoLinotype-Roman"/>
          <w:color w:val="000000"/>
        </w:rPr>
        <w:t>licence</w:t>
      </w:r>
      <w:proofErr w:type="spellEnd"/>
      <w:r w:rsidRPr="00D07DDB">
        <w:rPr>
          <w:rFonts w:cs="PalatinoLinotype-Roman"/>
          <w:color w:val="000000"/>
        </w:rPr>
        <w:t xml:space="preserve"> would be awarded and the new licensee would also get approx. 6 </w:t>
      </w:r>
      <w:proofErr w:type="spellStart"/>
      <w:r w:rsidRPr="00D07DDB">
        <w:rPr>
          <w:rFonts w:cs="PalatinoLinotype-Roman"/>
          <w:color w:val="000000"/>
        </w:rPr>
        <w:t>months time</w:t>
      </w:r>
      <w:proofErr w:type="spellEnd"/>
      <w:r w:rsidRPr="00D07DDB">
        <w:rPr>
          <w:rFonts w:cs="PalatinoLinotype-Roman"/>
          <w:color w:val="000000"/>
        </w:rPr>
        <w:t xml:space="preserve"> to start commercial operations simultaneously along with </w:t>
      </w:r>
      <w:r w:rsidRPr="008F2F1B">
        <w:t>existing</w:t>
      </w:r>
      <w:r w:rsidRPr="00D07DDB">
        <w:rPr>
          <w:rFonts w:cs="PalatinoLinotype-Roman"/>
          <w:color w:val="000000"/>
        </w:rPr>
        <w:t xml:space="preserve"> operators.</w:t>
      </w:r>
      <w:r>
        <w:rPr>
          <w:rFonts w:cs="PalatinoLinotype-Roman"/>
          <w:color w:val="000000"/>
        </w:rPr>
        <w:t xml:space="preserve"> </w:t>
      </w:r>
      <w:r w:rsidRPr="00D07DDB">
        <w:rPr>
          <w:rFonts w:cs="PalatinoLinotype-Roman"/>
          <w:color w:val="000000"/>
        </w:rPr>
        <w:t xml:space="preserve">In the similar fashion, 2x10 MHz spectrum was freed in the 1800 MHz band for a new entrant. </w:t>
      </w:r>
    </w:p>
    <w:p w:rsidR="007A5BDD" w:rsidRPr="009264B3"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55780A">
        <w:rPr>
          <w:b/>
        </w:rPr>
        <w:t>Auctio</w:t>
      </w:r>
      <w:r w:rsidRPr="00186665">
        <w:rPr>
          <w:b/>
        </w:rPr>
        <w:t>n</w:t>
      </w:r>
      <w:r w:rsidRPr="0055780A">
        <w:rPr>
          <w:rStyle w:val="FootnoteReference"/>
        </w:rPr>
        <w:footnoteReference w:id="3"/>
      </w:r>
      <w:r w:rsidRPr="0055780A">
        <w:t xml:space="preserve">: On 8 </w:t>
      </w:r>
      <w:r w:rsidRPr="008F6480">
        <w:rPr>
          <w:rFonts w:cs="PalatinoLinotype-Roman"/>
          <w:color w:val="000000"/>
        </w:rPr>
        <w:t>September</w:t>
      </w:r>
      <w:r w:rsidRPr="0055780A">
        <w:t xml:space="preserve"> 2010, the Danish National IT and Telecom Agency published the dates for the upcoming auctions on frequencies in the 900 MHz and 1800 MHz frequency bands.</w:t>
      </w:r>
      <w:r w:rsidRPr="0055780A">
        <w:br/>
        <w:t xml:space="preserve">The auctions were planned to be held as online auctions on 20 October 2010 and 25 October 2010 respectively. </w:t>
      </w:r>
    </w:p>
    <w:p w:rsidR="007A5BDD" w:rsidRPr="00BA0F91"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PalatinoLinotype-Roman"/>
        </w:rPr>
      </w:pPr>
      <w:r w:rsidRPr="008C1A54">
        <w:t>In order to prevent potential distortion of competition in the mobile markets concerned, the mobile service providers already holding licenses in the 900 MHz and 1800 MHz frequency bands were excluded from participating in the upcoming auctions.  On 18 October 2010, the licenses were issued to Hi3G.</w:t>
      </w:r>
    </w:p>
    <w:p w:rsidR="007A5BDD" w:rsidRPr="00F45BBC" w:rsidRDefault="007A5BDD" w:rsidP="007A5BDD">
      <w:pPr>
        <w:pStyle w:val="ListParagraph"/>
        <w:spacing w:before="120" w:after="240" w:line="360" w:lineRule="auto"/>
        <w:rPr>
          <w:rStyle w:val="apple-style-span"/>
          <w:rFonts w:eastAsia="BatangChe"/>
          <w:b/>
        </w:rPr>
      </w:pPr>
      <w:r w:rsidRPr="00F45BBC">
        <w:rPr>
          <w:b/>
          <w:sz w:val="28"/>
          <w:szCs w:val="28"/>
        </w:rPr>
        <w:t>Sweden</w:t>
      </w:r>
    </w:p>
    <w:p w:rsidR="007A5BDD" w:rsidRPr="005B6F9F" w:rsidRDefault="007A5BDD" w:rsidP="007A5BDD">
      <w:pPr>
        <w:pStyle w:val="ListParagraph"/>
        <w:tabs>
          <w:tab w:val="left" w:pos="1134"/>
        </w:tabs>
        <w:autoSpaceDE w:val="0"/>
        <w:autoSpaceDN w:val="0"/>
        <w:adjustRightInd w:val="0"/>
        <w:spacing w:before="120" w:after="120" w:line="360" w:lineRule="auto"/>
        <w:ind w:left="1134" w:hanging="324"/>
        <w:rPr>
          <w:rStyle w:val="apple-style-span"/>
          <w:rFonts w:eastAsia="BatangChe"/>
          <w:b/>
        </w:rPr>
      </w:pPr>
      <w:r w:rsidRPr="005B6F9F">
        <w:rPr>
          <w:rStyle w:val="apple-style-span"/>
          <w:rFonts w:eastAsia="BatangChe"/>
          <w:b/>
        </w:rPr>
        <w:t>Refarming of 900 MHz band</w:t>
      </w:r>
      <w:r>
        <w:rPr>
          <w:rStyle w:val="FootnoteReference"/>
        </w:rPr>
        <w:footnoteReference w:id="4"/>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PalatinoLinotype-Roman"/>
        </w:rPr>
      </w:pPr>
      <w:r>
        <w:rPr>
          <w:rFonts w:cs="PalatinoLinotype-Roman"/>
        </w:rPr>
        <w:t xml:space="preserve">In </w:t>
      </w:r>
      <w:r w:rsidRPr="008C1A54">
        <w:rPr>
          <w:rFonts w:cs="PalatinoLinotype-Roman"/>
        </w:rPr>
        <w:t>May 2011</w:t>
      </w:r>
      <w:r>
        <w:rPr>
          <w:rFonts w:cs="PalatinoLinotype-Roman"/>
        </w:rPr>
        <w:t xml:space="preserve">, </w:t>
      </w:r>
      <w:r w:rsidRPr="008F2F1B">
        <w:t>the</w:t>
      </w:r>
      <w:r>
        <w:rPr>
          <w:rFonts w:cs="PalatinoLinotype-Roman"/>
        </w:rPr>
        <w:t xml:space="preserve"> </w:t>
      </w:r>
      <w:r w:rsidRPr="008C1A54">
        <w:rPr>
          <w:rFonts w:cs="PalatinoLinotype-Roman"/>
        </w:rPr>
        <w:t xml:space="preserve">Post and </w:t>
      </w:r>
      <w:r w:rsidRPr="001959E4">
        <w:t>Telecom</w:t>
      </w:r>
      <w:r w:rsidRPr="008C1A54">
        <w:rPr>
          <w:rFonts w:cs="PalatinoLinotype-Roman"/>
        </w:rPr>
        <w:t xml:space="preserve"> Authority (PTS)</w:t>
      </w:r>
      <w:r>
        <w:rPr>
          <w:rFonts w:cs="PalatinoLinotype-Roman"/>
        </w:rPr>
        <w:t xml:space="preserve">, Sweden, implemented the </w:t>
      </w:r>
      <w:r w:rsidRPr="008C1A54">
        <w:rPr>
          <w:rFonts w:cs="PalatinoLinotype-Roman"/>
        </w:rPr>
        <w:t xml:space="preserve">refarming </w:t>
      </w:r>
      <w:r>
        <w:rPr>
          <w:rFonts w:cs="PalatinoLinotype-Roman"/>
        </w:rPr>
        <w:t xml:space="preserve">of </w:t>
      </w:r>
      <w:r w:rsidRPr="008C1A54">
        <w:rPr>
          <w:rFonts w:cs="PalatinoLinotype-Roman"/>
        </w:rPr>
        <w:t xml:space="preserve">900 MHz band </w:t>
      </w:r>
      <w:r>
        <w:rPr>
          <w:rFonts w:cs="PalatinoLinotype-Roman"/>
        </w:rPr>
        <w:t>along with the</w:t>
      </w:r>
      <w:r w:rsidRPr="008C1A54">
        <w:rPr>
          <w:rFonts w:cs="PalatinoLinotype-Roman"/>
        </w:rPr>
        <w:t xml:space="preserve"> process of renewing incumbents </w:t>
      </w:r>
      <w:r w:rsidRPr="00E50ED9">
        <w:t>licenses</w:t>
      </w:r>
      <w:r w:rsidRPr="008C1A54">
        <w:rPr>
          <w:rFonts w:cs="PalatinoLinotype-Roman"/>
        </w:rPr>
        <w:t xml:space="preserve">, expanding the 900 MHz mobile band from 2x30 MHz to 2x35 MHz, assigning additional bandwidth for incumbents, introducing a new 900 MHz band licensee via a process of transferring part of </w:t>
      </w:r>
      <w:r>
        <w:rPr>
          <w:rFonts w:cs="PalatinoLinotype-Roman"/>
        </w:rPr>
        <w:t>spectrum held by incumbents</w:t>
      </w:r>
      <w:r w:rsidRPr="008C1A54">
        <w:rPr>
          <w:rFonts w:cs="PalatinoLinotype-Roman"/>
        </w:rPr>
        <w:t xml:space="preserve"> to the new licensee via a trading arrangement approved by </w:t>
      </w:r>
      <w:r>
        <w:rPr>
          <w:rFonts w:cs="PalatinoLinotype-Roman"/>
        </w:rPr>
        <w:t>and</w:t>
      </w:r>
      <w:r w:rsidRPr="008C1A54">
        <w:rPr>
          <w:rFonts w:cs="PalatinoLinotype-Roman"/>
        </w:rPr>
        <w:t xml:space="preserve"> lifting the GSM only restrictions simultaneously for all five 900 MHz band licensees</w:t>
      </w:r>
      <w:r w:rsidRPr="00CD3D86">
        <w:rPr>
          <w:rStyle w:val="FootnoteReference"/>
          <w:sz w:val="20"/>
        </w:rPr>
        <w:footnoteReference w:id="5"/>
      </w:r>
      <w:r w:rsidRPr="008C1A54">
        <w:rPr>
          <w:rFonts w:cs="PalatinoLinotype-Roman"/>
        </w:rPr>
        <w:t xml:space="preserve">. </w:t>
      </w:r>
    </w:p>
    <w:p w:rsidR="007A5BDD" w:rsidRPr="001375A1"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t>Prior to refarming, there were 4 mobile operators in 900 MHz band</w:t>
      </w:r>
      <w:r w:rsidRPr="001375A1">
        <w:t xml:space="preserve"> (880-915 MHz/925-960 MHz)</w:t>
      </w:r>
      <w:r>
        <w:t xml:space="preserve">; </w:t>
      </w:r>
      <w:proofErr w:type="spellStart"/>
      <w:r w:rsidRPr="001375A1">
        <w:t>Swefour</w:t>
      </w:r>
      <w:proofErr w:type="spellEnd"/>
      <w:r w:rsidRPr="001375A1">
        <w:t>, Tele2, Telenor and</w:t>
      </w:r>
      <w:r>
        <w:t xml:space="preserve"> </w:t>
      </w:r>
      <w:proofErr w:type="spellStart"/>
      <w:r w:rsidRPr="001375A1">
        <w:t>TeliaSonera</w:t>
      </w:r>
      <w:proofErr w:type="spellEnd"/>
      <w:r>
        <w:t>.</w:t>
      </w:r>
      <w:r w:rsidRPr="001375A1">
        <w:t xml:space="preserve"> Tele2, Telenor and </w:t>
      </w:r>
      <w:proofErr w:type="spellStart"/>
      <w:r w:rsidRPr="001375A1">
        <w:t>TeliaS</w:t>
      </w:r>
      <w:r>
        <w:t>onera</w:t>
      </w:r>
      <w:proofErr w:type="spellEnd"/>
      <w:r>
        <w:t xml:space="preserve"> were each assigned 2x</w:t>
      </w:r>
      <w:r w:rsidRPr="001375A1">
        <w:t xml:space="preserve">7.2 MHz, and </w:t>
      </w:r>
      <w:proofErr w:type="spellStart"/>
      <w:r w:rsidRPr="001375A1">
        <w:t>Swefour</w:t>
      </w:r>
      <w:proofErr w:type="spellEnd"/>
      <w:r w:rsidRPr="001375A1">
        <w:t xml:space="preserve"> 2</w:t>
      </w:r>
      <w:r>
        <w:t xml:space="preserve">x6.8 </w:t>
      </w:r>
      <w:proofErr w:type="spellStart"/>
      <w:r>
        <w:t>MHz.</w:t>
      </w:r>
      <w:proofErr w:type="spellEnd"/>
      <w:r w:rsidRPr="001375A1">
        <w:t xml:space="preserve"> All </w:t>
      </w:r>
      <w:proofErr w:type="spellStart"/>
      <w:r w:rsidRPr="001375A1">
        <w:t>licences</w:t>
      </w:r>
      <w:proofErr w:type="spellEnd"/>
      <w:r w:rsidRPr="001375A1">
        <w:t xml:space="preserve">, with the exception of </w:t>
      </w:r>
      <w:proofErr w:type="spellStart"/>
      <w:r w:rsidRPr="001375A1">
        <w:t>Swefour's</w:t>
      </w:r>
      <w:proofErr w:type="spellEnd"/>
      <w:r w:rsidRPr="001375A1">
        <w:t xml:space="preserve"> </w:t>
      </w:r>
      <w:proofErr w:type="spellStart"/>
      <w:r w:rsidRPr="001375A1">
        <w:t>licence</w:t>
      </w:r>
      <w:proofErr w:type="spellEnd"/>
      <w:r>
        <w:t xml:space="preserve"> were </w:t>
      </w:r>
      <w:r w:rsidRPr="00E50ED9">
        <w:t>due</w:t>
      </w:r>
      <w:r>
        <w:t xml:space="preserve"> for expiry on</w:t>
      </w:r>
      <w:r w:rsidRPr="001375A1">
        <w:t xml:space="preserve"> 31 December 2010. </w:t>
      </w:r>
      <w:proofErr w:type="spellStart"/>
      <w:r w:rsidRPr="001375A1">
        <w:t>Swefour's</w:t>
      </w:r>
      <w:proofErr w:type="spellEnd"/>
      <w:r w:rsidRPr="001375A1">
        <w:t xml:space="preserve"> </w:t>
      </w:r>
      <w:proofErr w:type="spellStart"/>
      <w:r w:rsidRPr="001375A1">
        <w:t>licence</w:t>
      </w:r>
      <w:proofErr w:type="spellEnd"/>
      <w:r w:rsidRPr="001375A1">
        <w:t xml:space="preserve"> </w:t>
      </w:r>
      <w:r>
        <w:t>had validity till</w:t>
      </w:r>
      <w:r w:rsidRPr="001375A1">
        <w:t xml:space="preserve"> 31 May 2017, although the frequency assignment </w:t>
      </w:r>
      <w:r>
        <w:t>was to expire</w:t>
      </w:r>
      <w:r w:rsidRPr="001375A1">
        <w:t xml:space="preserve"> earlier, on 31 December 2010.</w:t>
      </w:r>
      <w:r>
        <w:t xml:space="preserve"> There are 3 UMTS operators in 2.1 GHz band. </w:t>
      </w:r>
      <w:r w:rsidRPr="001375A1">
        <w:t>HI3G</w:t>
      </w:r>
      <w:r>
        <w:t>,</w:t>
      </w:r>
      <w:r w:rsidRPr="001375A1">
        <w:t xml:space="preserve"> </w:t>
      </w:r>
      <w:proofErr w:type="spellStart"/>
      <w:r w:rsidRPr="001375A1">
        <w:lastRenderedPageBreak/>
        <w:t>Svenska</w:t>
      </w:r>
      <w:proofErr w:type="spellEnd"/>
      <w:r w:rsidRPr="001375A1">
        <w:t xml:space="preserve"> UMTS </w:t>
      </w:r>
      <w:proofErr w:type="spellStart"/>
      <w:r w:rsidRPr="001375A1">
        <w:t>Licens</w:t>
      </w:r>
      <w:proofErr w:type="spellEnd"/>
      <w:r w:rsidRPr="001375A1">
        <w:t xml:space="preserve"> AB (</w:t>
      </w:r>
      <w:proofErr w:type="spellStart"/>
      <w:r w:rsidRPr="001375A1">
        <w:t>TeliaSonera</w:t>
      </w:r>
      <w:proofErr w:type="spellEnd"/>
      <w:r w:rsidRPr="001375A1">
        <w:t xml:space="preserve"> and Tele2) and Telenor.</w:t>
      </w:r>
      <w:r>
        <w:t xml:space="preserve"> Therefore, HI3G was the only licensee having spectrum in 2.1 GHz band, but no spectrum in 900 MHz band.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1375A1">
        <w:t xml:space="preserve">On 20 November 2008, </w:t>
      </w:r>
      <w:r>
        <w:t>all 4 incumbents of 900 MHz band (</w:t>
      </w:r>
      <w:proofErr w:type="spellStart"/>
      <w:r w:rsidRPr="001375A1">
        <w:t>Swefour</w:t>
      </w:r>
      <w:proofErr w:type="spellEnd"/>
      <w:r w:rsidRPr="001375A1">
        <w:t xml:space="preserve">, Tele2, Telenor, </w:t>
      </w:r>
      <w:proofErr w:type="spellStart"/>
      <w:r w:rsidRPr="001375A1">
        <w:t>TeliaSonera</w:t>
      </w:r>
      <w:proofErr w:type="spellEnd"/>
      <w:r>
        <w:t>)</w:t>
      </w:r>
      <w:r w:rsidRPr="001375A1">
        <w:t xml:space="preserve"> and HI3G jointly applied </w:t>
      </w:r>
      <w:r>
        <w:t xml:space="preserve">to PTS for license renewal for the four incumbents having 900 MHz spectrum and an arrangement on </w:t>
      </w:r>
      <w:r w:rsidRPr="00E50ED9">
        <w:t>partial</w:t>
      </w:r>
      <w:r>
        <w:t xml:space="preserve"> trading of usage rights to be able to introduce the fifth licensee (</w:t>
      </w:r>
      <w:proofErr w:type="spellStart"/>
      <w:r>
        <w:t>ie</w:t>
      </w:r>
      <w:proofErr w:type="spellEnd"/>
      <w:r>
        <w:t xml:space="preserve"> HI3G) in the 900 MHz band.</w:t>
      </w:r>
    </w:p>
    <w:p w:rsidR="007A5BDD" w:rsidRPr="00F6740C"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F6740C">
        <w:t xml:space="preserve">The joint application </w:t>
      </w:r>
      <w:r w:rsidRPr="008F2F1B">
        <w:t>was</w:t>
      </w:r>
      <w:r w:rsidRPr="00F6740C">
        <w:t xml:space="preserve"> submitted specifically for extend</w:t>
      </w:r>
      <w:r>
        <w:t>ing</w:t>
      </w:r>
      <w:r w:rsidRPr="00F6740C">
        <w:t xml:space="preserve"> the term of validity for the incumbent 4 operators' </w:t>
      </w:r>
      <w:proofErr w:type="spellStart"/>
      <w:r w:rsidRPr="00F6740C">
        <w:t>licences</w:t>
      </w:r>
      <w:proofErr w:type="spellEnd"/>
      <w:r w:rsidRPr="00F6740C">
        <w:t xml:space="preserve"> for the use of radio transmitters in the 900 MHz band up to 31 December 2025 with the distribution of spectrum as per details given below:</w:t>
      </w:r>
    </w:p>
    <w:p w:rsidR="007A5BDD" w:rsidRDefault="007A5BDD" w:rsidP="007A5BDD">
      <w:pPr>
        <w:spacing w:before="120" w:after="120" w:line="360" w:lineRule="auto"/>
        <w:ind w:firstLine="1800"/>
      </w:pPr>
      <w:r>
        <w:t xml:space="preserve"> Tele2</w:t>
      </w:r>
      <w:r>
        <w:tab/>
      </w:r>
      <w:r>
        <w:tab/>
        <w:t xml:space="preserve">: 2 x 10 MHz </w:t>
      </w:r>
    </w:p>
    <w:p w:rsidR="007A5BDD" w:rsidRDefault="007A5BDD" w:rsidP="007A5BDD">
      <w:pPr>
        <w:spacing w:before="120" w:after="120" w:line="360" w:lineRule="auto"/>
        <w:ind w:firstLine="1800"/>
      </w:pPr>
      <w:r>
        <w:t xml:space="preserve"> Telenor </w:t>
      </w:r>
      <w:r>
        <w:tab/>
      </w:r>
      <w:r>
        <w:tab/>
        <w:t>: 2 x 10 MHz</w:t>
      </w:r>
    </w:p>
    <w:p w:rsidR="007A5BDD" w:rsidRDefault="007A5BDD" w:rsidP="007A5BDD">
      <w:pPr>
        <w:spacing w:before="120" w:after="120" w:line="360" w:lineRule="auto"/>
        <w:ind w:firstLine="1800"/>
      </w:pPr>
      <w:r>
        <w:t xml:space="preserve"> </w:t>
      </w:r>
      <w:proofErr w:type="spellStart"/>
      <w:r>
        <w:t>Swefour</w:t>
      </w:r>
      <w:proofErr w:type="spellEnd"/>
      <w:r>
        <w:tab/>
      </w:r>
      <w:r>
        <w:tab/>
        <w:t>: 2 x   5 MHz</w:t>
      </w:r>
    </w:p>
    <w:p w:rsidR="007A5BDD" w:rsidRDefault="007A5BDD" w:rsidP="007A5BDD">
      <w:pPr>
        <w:spacing w:before="120" w:after="120" w:line="360" w:lineRule="auto"/>
        <w:ind w:firstLine="1800"/>
      </w:pPr>
      <w:r>
        <w:t xml:space="preserve"> </w:t>
      </w:r>
      <w:proofErr w:type="spellStart"/>
      <w:r>
        <w:t>TeliaSonera</w:t>
      </w:r>
      <w:proofErr w:type="spellEnd"/>
      <w:r>
        <w:tab/>
        <w:t xml:space="preserve">: 2 x 10 </w:t>
      </w:r>
      <w:proofErr w:type="spellStart"/>
      <w:r>
        <w:t>MHz.</w:t>
      </w:r>
      <w:proofErr w:type="spellEnd"/>
    </w:p>
    <w:p w:rsidR="007A5BDD" w:rsidRPr="00E6142E"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t>Their j</w:t>
      </w:r>
      <w:r w:rsidRPr="002A07ED">
        <w:t>ustification</w:t>
      </w:r>
      <w:r>
        <w:t xml:space="preserve"> was that </w:t>
      </w:r>
      <w:r w:rsidRPr="002E5A4A">
        <w:t xml:space="preserve">GSM networks in Sweden basically cover the entire country and consequently have very extensive area coverage. The migration of subscribers to the </w:t>
      </w:r>
      <w:proofErr w:type="spellStart"/>
      <w:r w:rsidRPr="002E5A4A">
        <w:t>licence</w:t>
      </w:r>
      <w:proofErr w:type="spellEnd"/>
      <w:r w:rsidRPr="002E5A4A">
        <w:t xml:space="preserve"> holders' UMTS networks, in relevant cases, will be far from complete by the end of 2010.</w:t>
      </w:r>
      <w:r>
        <w:t xml:space="preserve"> Also, t</w:t>
      </w:r>
      <w:r w:rsidRPr="002E5A4A">
        <w:t xml:space="preserve">he companies would be adversely affected by substantial operational and </w:t>
      </w:r>
      <w:r w:rsidRPr="008F2F1B">
        <w:t>financial</w:t>
      </w:r>
      <w:r w:rsidRPr="002E5A4A">
        <w:t xml:space="preserve"> problems if these </w:t>
      </w:r>
      <w:proofErr w:type="spellStart"/>
      <w:r w:rsidRPr="002E5A4A">
        <w:t>licences</w:t>
      </w:r>
      <w:proofErr w:type="spellEnd"/>
      <w:r w:rsidRPr="002E5A4A">
        <w:t xml:space="preserve"> were not extended. </w:t>
      </w:r>
      <w:r>
        <w:t xml:space="preserve">They also requested PTS to make their </w:t>
      </w:r>
      <w:proofErr w:type="spellStart"/>
      <w:r w:rsidRPr="002E5A4A">
        <w:t>licences</w:t>
      </w:r>
      <w:proofErr w:type="spellEnd"/>
      <w:r w:rsidRPr="002E5A4A">
        <w:t xml:space="preserve"> technology- and service-neutral in line with the European Commission's statements</w:t>
      </w:r>
      <w:r>
        <w:t>.</w:t>
      </w:r>
      <w:r w:rsidRPr="002E5A4A">
        <w:t xml:space="preserve"> </w:t>
      </w:r>
    </w:p>
    <w:p w:rsidR="007A5BDD" w:rsidRPr="00F6740C"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F6740C">
        <w:t>Furthermore, Telenor, Tele2 and HI3G also requested that PTS allows Telenor and Tele2 to transf</w:t>
      </w:r>
      <w:r>
        <w:t>er the 2 x 2.5 MHz each to HI3G</w:t>
      </w:r>
      <w:r w:rsidRPr="00F6740C">
        <w:t xml:space="preserve"> and that a </w:t>
      </w:r>
      <w:proofErr w:type="spellStart"/>
      <w:r w:rsidRPr="00F6740C">
        <w:t>licence</w:t>
      </w:r>
      <w:proofErr w:type="spellEnd"/>
      <w:r w:rsidRPr="00F6740C">
        <w:t xml:space="preserve"> is issued to HI3G. If HI3G gains access to frequencies in the 900 MHz band, </w:t>
      </w:r>
      <w:r w:rsidRPr="00E50ED9">
        <w:t>this</w:t>
      </w:r>
      <w:r w:rsidRPr="00F6740C">
        <w:t xml:space="preserve"> would eliminate the risk of the competitive disadvantages.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PalatinoLinotype-Roman"/>
        </w:rPr>
      </w:pPr>
      <w:r w:rsidRPr="00F6740C">
        <w:rPr>
          <w:rFonts w:cs="PalatinoLinotype-Roman"/>
        </w:rPr>
        <w:t>P</w:t>
      </w:r>
      <w:r w:rsidRPr="00F30AB7">
        <w:rPr>
          <w:rFonts w:cs="PalatinoLinotype-Roman"/>
        </w:rPr>
        <w:t xml:space="preserve">TS </w:t>
      </w:r>
      <w:r w:rsidRPr="006775DC">
        <w:t>concluded</w:t>
      </w:r>
      <w:r w:rsidRPr="00F30AB7">
        <w:rPr>
          <w:rFonts w:cs="PalatinoLinotype-Roman"/>
        </w:rPr>
        <w:t xml:space="preserve"> </w:t>
      </w:r>
      <w:r>
        <w:rPr>
          <w:rFonts w:cs="PalatinoLinotype-Roman"/>
        </w:rPr>
        <w:t xml:space="preserve">that </w:t>
      </w:r>
      <w:r w:rsidRPr="00F30AB7">
        <w:rPr>
          <w:rFonts w:cs="PalatinoLinotype-Roman"/>
        </w:rPr>
        <w:t>continued use for securing GSM services being offered and renewing the</w:t>
      </w:r>
      <w:r>
        <w:rPr>
          <w:rFonts w:cs="PalatinoLinotype-Roman"/>
        </w:rPr>
        <w:t xml:space="preserve"> </w:t>
      </w:r>
      <w:r w:rsidRPr="00F30AB7">
        <w:rPr>
          <w:rFonts w:cs="PalatinoLinotype-Roman"/>
        </w:rPr>
        <w:t xml:space="preserve">incumbents licenses </w:t>
      </w:r>
      <w:r w:rsidRPr="001959E4">
        <w:t>were</w:t>
      </w:r>
      <w:r w:rsidRPr="00F30AB7">
        <w:rPr>
          <w:rFonts w:cs="PalatinoLinotype-Roman"/>
        </w:rPr>
        <w:t xml:space="preserve"> the most efficient use of the 900 MH</w:t>
      </w:r>
      <w:r w:rsidRPr="001959E4">
        <w:t>z</w:t>
      </w:r>
      <w:r w:rsidRPr="00F30AB7">
        <w:rPr>
          <w:rFonts w:cs="PalatinoLinotype-Roman"/>
        </w:rPr>
        <w:t xml:space="preserve"> band resources.</w:t>
      </w:r>
      <w:r>
        <w:rPr>
          <w:rFonts w:cs="PalatinoLinotype-Roman"/>
        </w:rPr>
        <w:t xml:space="preserve"> Also, </w:t>
      </w:r>
      <w:r w:rsidRPr="00F30AB7">
        <w:rPr>
          <w:rFonts w:cs="PalatinoLinotype-Roman"/>
        </w:rPr>
        <w:t xml:space="preserve">need for continuing the provision of GSM </w:t>
      </w:r>
      <w:r w:rsidRPr="008F2F1B">
        <w:t>services</w:t>
      </w:r>
      <w:r w:rsidRPr="00F30AB7">
        <w:rPr>
          <w:rFonts w:cs="PalatinoLinotype-Roman"/>
        </w:rPr>
        <w:t xml:space="preserve"> was considered very important to the Swedish society and its consumers</w:t>
      </w:r>
      <w:r>
        <w:rPr>
          <w:rFonts w:cs="PalatinoLinotype-Roman"/>
        </w:rPr>
        <w:t>. Therefore,</w:t>
      </w:r>
      <w:r w:rsidRPr="00F30AB7">
        <w:rPr>
          <w:rFonts w:cs="PalatinoLinotype-Roman"/>
        </w:rPr>
        <w:t xml:space="preserve"> </w:t>
      </w:r>
      <w:r>
        <w:rPr>
          <w:rFonts w:cs="PalatinoLinotype-Roman"/>
        </w:rPr>
        <w:t>r</w:t>
      </w:r>
      <w:r w:rsidRPr="00F30AB7">
        <w:rPr>
          <w:rFonts w:cs="PalatinoLinotype-Roman"/>
        </w:rPr>
        <w:t>enewal of the licenses and assignment of some additional bandwidth was granted</w:t>
      </w:r>
      <w:r>
        <w:rPr>
          <w:rFonts w:cs="PalatinoLinotype-Roman"/>
        </w:rPr>
        <w:t xml:space="preserve">. </w:t>
      </w:r>
      <w:r w:rsidRPr="00F30AB7">
        <w:rPr>
          <w:rFonts w:cs="PalatinoLinotype-Roman"/>
        </w:rPr>
        <w:t xml:space="preserve">Assignment of some </w:t>
      </w:r>
      <w:r w:rsidRPr="00F30AB7">
        <w:rPr>
          <w:rFonts w:cs="PalatinoLinotype-Roman"/>
        </w:rPr>
        <w:lastRenderedPageBreak/>
        <w:t xml:space="preserve">additional bandwidth was possible after </w:t>
      </w:r>
      <w:r>
        <w:rPr>
          <w:rFonts w:cs="PalatinoLinotype-Roman"/>
        </w:rPr>
        <w:t>the band was expanded from 2x30 MHz to 2x</w:t>
      </w:r>
      <w:r w:rsidRPr="00F30AB7">
        <w:rPr>
          <w:rFonts w:cs="PalatinoLinotype-Roman"/>
        </w:rPr>
        <w:t xml:space="preserve">35 </w:t>
      </w:r>
      <w:proofErr w:type="spellStart"/>
      <w:r w:rsidRPr="00F30AB7">
        <w:rPr>
          <w:rFonts w:cs="PalatinoLinotype-Roman"/>
        </w:rPr>
        <w:t>MHz.</w:t>
      </w:r>
      <w:proofErr w:type="spellEnd"/>
      <w:r w:rsidRPr="00F30AB7">
        <w:rPr>
          <w:rFonts w:cs="PalatinoLinotype-Roman"/>
        </w:rPr>
        <w:t xml:space="preserve"> </w:t>
      </w:r>
    </w:p>
    <w:p w:rsidR="007A5BDD" w:rsidRPr="000C1A79"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5574CC">
        <w:rPr>
          <w:rFonts w:cs="PalatinoLinotype-Roman"/>
        </w:rPr>
        <w:t xml:space="preserve">The first phase of the Swedish 900 MHz band restructuring process was about renewing incumbent’s licenses and granting them some additional bandwidth. The second phase of the restructuring process was about two incumbent operators each transferring 2x2.5 MHz of spectrum to the mobile operator without access to 900 MHz band </w:t>
      </w:r>
      <w:r w:rsidRPr="001959E4">
        <w:t>spectrum</w:t>
      </w:r>
      <w:r w:rsidRPr="005574CC">
        <w:rPr>
          <w:rFonts w:cs="PalatinoLinotype-Roman"/>
        </w:rPr>
        <w:t xml:space="preserve">. HI3G </w:t>
      </w:r>
      <w:r w:rsidRPr="008F2F1B">
        <w:t>became</w:t>
      </w:r>
      <w:r w:rsidRPr="005574CC">
        <w:rPr>
          <w:rFonts w:cs="PalatinoLinotype-Roman"/>
        </w:rPr>
        <w:t xml:space="preserve"> the fifth 900 MHz band licensee controlling 2x5 MHz of </w:t>
      </w:r>
      <w:r w:rsidRPr="00E50ED9">
        <w:t>bandwidth</w:t>
      </w:r>
      <w:r w:rsidRPr="005574CC">
        <w:rPr>
          <w:rFonts w:cs="PalatinoLinotype-Roman"/>
        </w:rPr>
        <w:t xml:space="preserve"> through the secondary market transaction. In the process of reconfiguring the 2x35 MHz 900 MHz band, all four incumbents had to move spectrally and consequently engage in adjusting their existing networks etc. The third phase of the restructuring process was to lift the GSM technology restrictions simultaneously when the reconfiguration of the band was finalized</w:t>
      </w:r>
      <w:r>
        <w:rPr>
          <w:rFonts w:cs="PalatinoLinotype-Roman"/>
        </w:rPr>
        <w:t>.</w:t>
      </w:r>
    </w:p>
    <w:p w:rsidR="007A5BDD" w:rsidRPr="00CE3784" w:rsidRDefault="007A5BDD" w:rsidP="007A5BDD">
      <w:pPr>
        <w:pStyle w:val="ListParagraph"/>
        <w:tabs>
          <w:tab w:val="left" w:pos="1134"/>
        </w:tabs>
        <w:autoSpaceDE w:val="0"/>
        <w:autoSpaceDN w:val="0"/>
        <w:adjustRightInd w:val="0"/>
        <w:spacing w:before="120" w:after="240" w:line="360" w:lineRule="auto"/>
        <w:ind w:left="1134" w:hanging="414"/>
        <w:rPr>
          <w:b/>
        </w:rPr>
      </w:pPr>
      <w:r w:rsidRPr="00CE3784">
        <w:rPr>
          <w:b/>
        </w:rPr>
        <w:t>Ireland</w:t>
      </w:r>
    </w:p>
    <w:p w:rsidR="007A5BDD" w:rsidRPr="00E50ED9"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312B7E">
        <w:t xml:space="preserve">Irish Regulator </w:t>
      </w:r>
      <w:proofErr w:type="spellStart"/>
      <w:r w:rsidRPr="00312B7E">
        <w:t>ComReg</w:t>
      </w:r>
      <w:proofErr w:type="spellEnd"/>
      <w:r w:rsidRPr="00312B7E">
        <w:t xml:space="preserve"> conducted a multi-band spectrum auction in 2012. This auction awarded spectrum rights in 900 MHz, 18</w:t>
      </w:r>
      <w:r>
        <w:t>00 MHz) and in the 800 MHz band.</w:t>
      </w:r>
    </w:p>
    <w:p w:rsidR="007A5BDD" w:rsidRPr="007B35D4"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7B35D4">
        <w:t xml:space="preserve">The core proposition followed was not to make any administrative assignment to incumbents of 900/1800MHz on expiry of their </w:t>
      </w:r>
      <w:proofErr w:type="spellStart"/>
      <w:r w:rsidRPr="007B35D4">
        <w:t>licences</w:t>
      </w:r>
      <w:proofErr w:type="spellEnd"/>
      <w:r w:rsidRPr="007B35D4">
        <w:t xml:space="preserve"> or to new entrant, but all the spectrum held by them was put up for auction. Two of these three spectrum bands (900 MHz and 1800 MHz) are used for providing the 2G mobile services); the third band (800 MHz) was used for broadcasting analogue terrestrial signals. After the auction, the licensees are free to launch any technology.</w:t>
      </w:r>
    </w:p>
    <w:p w:rsidR="007A5BDD" w:rsidRPr="000D1786"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33324B">
        <w:t xml:space="preserve">The Award Process includes an “early </w:t>
      </w:r>
      <w:proofErr w:type="spellStart"/>
      <w:r w:rsidRPr="0033324B">
        <w:t>liberalisation</w:t>
      </w:r>
      <w:proofErr w:type="spellEnd"/>
      <w:r w:rsidRPr="0033324B">
        <w:t xml:space="preserve"> option” whereby</w:t>
      </w:r>
      <w:r w:rsidRPr="000D1786">
        <w:t xml:space="preserve"> an existing GSM licensee has the option to surrender their 2G </w:t>
      </w:r>
      <w:proofErr w:type="spellStart"/>
      <w:r w:rsidRPr="000D1786">
        <w:t>licences</w:t>
      </w:r>
      <w:proofErr w:type="spellEnd"/>
      <w:r w:rsidRPr="000D1786">
        <w:t xml:space="preserve"> before their expiry and take part in auction and thus getting the opportunity to getting </w:t>
      </w:r>
      <w:proofErr w:type="spellStart"/>
      <w:r w:rsidRPr="000D1786">
        <w:t>liberalised</w:t>
      </w:r>
      <w:proofErr w:type="spellEnd"/>
      <w:r w:rsidRPr="000D1786">
        <w:t xml:space="preserve"> spectrum instead of 2G restricted </w:t>
      </w:r>
      <w:proofErr w:type="gramStart"/>
      <w:r w:rsidRPr="000D1786">
        <w:t>spectrum</w:t>
      </w:r>
      <w:proofErr w:type="gramEnd"/>
      <w:r w:rsidRPr="000D1786">
        <w:t xml:space="preserve">. In case, these licensees fail to acquire spectrum through the auction, they will be allowed to hold their spectrum but its use will be restricted to 2G only.  For this purpose, a concept of ‘Party-specific Lots’ has been introduced in the auction which refer to the lots which can be acquired by the existing licensees opting for </w:t>
      </w:r>
      <w:r w:rsidRPr="0033324B">
        <w:t xml:space="preserve">“early </w:t>
      </w:r>
      <w:proofErr w:type="spellStart"/>
      <w:r w:rsidRPr="0033324B">
        <w:t>liberalisation</w:t>
      </w:r>
      <w:proofErr w:type="spellEnd"/>
      <w:r w:rsidRPr="0033324B">
        <w:t xml:space="preserve"> option</w:t>
      </w:r>
      <w:r>
        <w:t>.”</w:t>
      </w:r>
      <w:r w:rsidRPr="000D1786">
        <w:t xml:space="preserve"> </w:t>
      </w:r>
    </w:p>
    <w:p w:rsidR="007A5BDD" w:rsidRPr="00CE3784" w:rsidRDefault="007A5BDD" w:rsidP="007A5BDD">
      <w:pPr>
        <w:pStyle w:val="ListParagraph"/>
        <w:tabs>
          <w:tab w:val="left" w:pos="1134"/>
        </w:tabs>
        <w:autoSpaceDE w:val="0"/>
        <w:autoSpaceDN w:val="0"/>
        <w:adjustRightInd w:val="0"/>
        <w:spacing w:before="120" w:after="240" w:line="360" w:lineRule="auto"/>
        <w:ind w:left="1134" w:hanging="324"/>
        <w:rPr>
          <w:b/>
        </w:rPr>
      </w:pPr>
      <w:r w:rsidRPr="00CE3784">
        <w:rPr>
          <w:b/>
        </w:rPr>
        <w:t>UK</w:t>
      </w:r>
    </w:p>
    <w:p w:rsidR="007A5BDD" w:rsidRPr="00E50ED9"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E50ED9">
        <w:lastRenderedPageBreak/>
        <w:t xml:space="preserve">In their February 2009 consultation, OFCOM said that they believed that </w:t>
      </w:r>
      <w:proofErr w:type="spellStart"/>
      <w:r w:rsidRPr="00E50ED9">
        <w:t>liberalisation</w:t>
      </w:r>
      <w:proofErr w:type="spellEnd"/>
      <w:r w:rsidRPr="00E50ED9">
        <w:t xml:space="preserve"> of the 900MHz and 1800MHz spectrum had the potential to bring significant benefits to consumers but they were also concerned that </w:t>
      </w:r>
      <w:proofErr w:type="spellStart"/>
      <w:r w:rsidRPr="008F2F1B">
        <w:t>liberalisation</w:t>
      </w:r>
      <w:proofErr w:type="spellEnd"/>
      <w:r w:rsidRPr="00E50ED9">
        <w:t xml:space="preserve"> of the 900MHz spectrum in the hands of the incumbent holders could lead to competition issues. To address this risk, OFCOM proposed that O2 and Vodafone release 1 block (2x5 MHz) of 900MHz spectrum in total (i.e. 2x2.5 MHz each) and that this spectrum be awarded to a third party. </w:t>
      </w:r>
    </w:p>
    <w:p w:rsidR="007A5BDD" w:rsidRPr="00E50ED9"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E50ED9">
        <w:t xml:space="preserve">In the OFCOM’s subsequent assessment, the likelihood and size of a competitive distortion arising out of the </w:t>
      </w:r>
      <w:proofErr w:type="spellStart"/>
      <w:r w:rsidRPr="00E50ED9">
        <w:t>liberisation</w:t>
      </w:r>
      <w:proofErr w:type="spellEnd"/>
      <w:r w:rsidRPr="00E50ED9">
        <w:t xml:space="preserve"> of 900/1800 MHz bands was significantly reduced when it prepared the advice to the Government in October 2010. The most important factor contributing to the change in </w:t>
      </w:r>
      <w:r w:rsidRPr="008F2F1B">
        <w:t>the</w:t>
      </w:r>
      <w:r w:rsidRPr="00E50ED9">
        <w:t xml:space="preserve"> perception of OFCOM is the merger between Orange and T-Mobile creating Everything Everywhere (EE) which has the largest amount of 2100 MHz spectrum and access to the largest number of base station sites.</w:t>
      </w:r>
    </w:p>
    <w:p w:rsidR="007A5BDD" w:rsidRPr="00E50ED9"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E50ED9">
        <w:t xml:space="preserve">Accordingly, 2G </w:t>
      </w:r>
      <w:proofErr w:type="spellStart"/>
      <w:r w:rsidRPr="00E50ED9">
        <w:t>licences</w:t>
      </w:r>
      <w:proofErr w:type="spellEnd"/>
      <w:r w:rsidRPr="00E50ED9">
        <w:t xml:space="preserve"> (900/1800 MHz) were </w:t>
      </w:r>
      <w:proofErr w:type="spellStart"/>
      <w:r w:rsidRPr="00E50ED9">
        <w:t>liberalised</w:t>
      </w:r>
      <w:proofErr w:type="spellEnd"/>
      <w:r w:rsidRPr="00E50ED9">
        <w:t xml:space="preserve"> in the hands of existing </w:t>
      </w:r>
      <w:proofErr w:type="spellStart"/>
      <w:r w:rsidRPr="008F2F1B">
        <w:t>licence</w:t>
      </w:r>
      <w:proofErr w:type="spellEnd"/>
      <w:r w:rsidRPr="00E50ED9">
        <w:t xml:space="preserve"> holders.</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18695A">
        <w:t>There can be other challenges like measures</w:t>
      </w:r>
      <w:r>
        <w:t xml:space="preserve"> that</w:t>
      </w:r>
      <w:r w:rsidRPr="0018695A">
        <w:t xml:space="preserve"> need to be taken to avoid interference and regulatory intervention required to avoid interference, if </w:t>
      </w:r>
      <w:r w:rsidRPr="008E4CF8">
        <w:t>spectrum</w:t>
      </w:r>
      <w:r w:rsidRPr="0018695A">
        <w:t xml:space="preserve"> being auctioned is liberalized.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C10757">
        <w:t xml:space="preserve">Regulators in at least 73 countries and territories allow or are considering UMTS900 deployments: Angola, Armenia, Australia, Austria, Belgium, Benin, Bosnia &amp; Herzegovina, Bulgaria, Croatia, Cyprus, Denmark, Dominican Rep, Egypt, Estonia, Faroe Isles, Finland, France, French Guiana, Georgia, Germany, Ghana, Greece, Greenland, Guadeloupe, Hong Kong, Hungary, Iceland, Indonesia, Ireland, Israel, Italy, Japan, Kazakhstan, Kosovo, Kuwait, Latvia, Lithuania, Luxembourg, Macedonia, Malaysia, Malta, Martinique, Mozambique, Netherlands, New Caledonia, New Zealand, Norway, Oman, Papua New Guinea, Paraguay, Philippines, Poland, Portugal, Qatar, </w:t>
      </w:r>
      <w:proofErr w:type="spellStart"/>
      <w:r w:rsidRPr="00C10757">
        <w:t>Réunion</w:t>
      </w:r>
      <w:proofErr w:type="spellEnd"/>
      <w:r w:rsidRPr="00C10757">
        <w:t>, Romania, Russia, Saudi Arabia, Singapore, Slovakia, Slovenia, South Africa, Spain, Sweden, Switzerland, Tanzania, Thailand, Tunisia, Turkey*, UAE, UK, Ukraine*, Venezuela (* = under consideration)</w:t>
      </w:r>
      <w:r>
        <w:t xml:space="preserve">. </w:t>
      </w:r>
      <w:r w:rsidRPr="00C10757">
        <w:t>As on February</w:t>
      </w:r>
      <w:r>
        <w:t xml:space="preserve"> 2014, 80 commercial UMTS networks have been deployed in 53 countries and around 1500-2000 UMTS900 user devices have been announced. </w:t>
      </w:r>
    </w:p>
    <w:p w:rsidR="007A5BDD" w:rsidRPr="00670973" w:rsidRDefault="007A5BDD" w:rsidP="007A5BDD">
      <w:pPr>
        <w:pStyle w:val="ListParagraph"/>
        <w:numPr>
          <w:ilvl w:val="0"/>
          <w:numId w:val="12"/>
        </w:numPr>
        <w:spacing w:before="120" w:after="240" w:line="360" w:lineRule="auto"/>
        <w:jc w:val="both"/>
        <w:rPr>
          <w:b/>
        </w:rPr>
      </w:pPr>
      <w:r>
        <w:lastRenderedPageBreak/>
        <w:t xml:space="preserve"> </w:t>
      </w:r>
      <w:r>
        <w:rPr>
          <w:b/>
        </w:rPr>
        <w:t>SPECTRUM TRADING</w:t>
      </w:r>
      <w:r w:rsidRPr="00670973">
        <w:rPr>
          <w:b/>
        </w:rPr>
        <w:t xml:space="preserve">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8C1F24">
        <w:t xml:space="preserve">Spectrum trading is a mechanism whereby rights and any associated obligations to use spectrum can be transferred from one party to another by way of a </w:t>
      </w:r>
      <w:r w:rsidRPr="004335C4">
        <w:t>market</w:t>
      </w:r>
      <w:r w:rsidRPr="008C1F24">
        <w:t xml:space="preserve">-based exchange for a certain price. In contrast to spectrum re-assignment, in a spectrum trade, the right to use the spectrum is transferred voluntarily by the present user either in full or in part of its total holding in exchange of its monetary value. </w:t>
      </w:r>
    </w:p>
    <w:p w:rsidR="007A5BDD" w:rsidRDefault="007A5BDD" w:rsidP="007A5BDD">
      <w:pPr>
        <w:autoSpaceDE w:val="0"/>
        <w:autoSpaceDN w:val="0"/>
        <w:adjustRightInd w:val="0"/>
        <w:spacing w:before="120" w:after="240" w:line="360" w:lineRule="auto"/>
        <w:ind w:left="720" w:hanging="630"/>
        <w:rPr>
          <w:b/>
        </w:rPr>
      </w:pPr>
      <w:r>
        <w:rPr>
          <w:b/>
        </w:rPr>
        <w:t>Benefits of Trading</w:t>
      </w:r>
    </w:p>
    <w:p w:rsidR="007A5BDD" w:rsidRPr="008C1F24"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8C1F24">
        <w:t xml:space="preserve">While spectrum auctions initially help to achieve an economically efficient allocation of spectrum, spectrum trading seeks to ensure that operators </w:t>
      </w:r>
      <w:r>
        <w:t>are constantly</w:t>
      </w:r>
      <w:r w:rsidRPr="008C1F24">
        <w:t xml:space="preserve"> </w:t>
      </w:r>
      <w:r>
        <w:t>encouraged</w:t>
      </w:r>
      <w:r w:rsidRPr="008C1F24">
        <w:t xml:space="preserve"> to target </w:t>
      </w:r>
      <w:r>
        <w:t>optimal</w:t>
      </w:r>
      <w:r w:rsidRPr="008C1F24">
        <w:t xml:space="preserve"> use of the </w:t>
      </w:r>
      <w:r>
        <w:t>spectrum</w:t>
      </w:r>
      <w:r w:rsidRPr="008C1F24">
        <w:t xml:space="preserve"> </w:t>
      </w:r>
      <w:r>
        <w:t>because</w:t>
      </w:r>
      <w:r w:rsidRPr="008C1F24">
        <w:t xml:space="preserve"> </w:t>
      </w:r>
      <w:r>
        <w:t>incentive</w:t>
      </w:r>
      <w:r w:rsidRPr="008C1F24">
        <w:t xml:space="preserve"> for </w:t>
      </w:r>
      <w:r>
        <w:t xml:space="preserve">selling </w:t>
      </w:r>
      <w:r w:rsidRPr="008C1F24">
        <w:t>unused spectrum is always available to them.   As such, trading is likely to result in more efficient use of spectrum.</w:t>
      </w:r>
      <w:r>
        <w:t xml:space="preserve"> It</w:t>
      </w:r>
      <w:r w:rsidRPr="008C1F24">
        <w:t xml:space="preserve"> can </w:t>
      </w:r>
      <w:r>
        <w:t xml:space="preserve">also </w:t>
      </w:r>
      <w:r w:rsidRPr="008C1F24">
        <w:t xml:space="preserve">help in introducing new players, thereby promoting the competition in the market. Spectrum trading may facilitate optimal </w:t>
      </w:r>
      <w:r w:rsidRPr="004335C4">
        <w:t>use</w:t>
      </w:r>
      <w:r w:rsidRPr="008C1F24">
        <w:t xml:space="preserve"> of spectrum by way the consolidation of spectrum or by encouraging the licensees to retain the minimum amount of spectrum with it and trade the rest.</w:t>
      </w:r>
      <w:r>
        <w:t xml:space="preserve"> </w:t>
      </w:r>
    </w:p>
    <w:p w:rsidR="007A5BDD" w:rsidRPr="00F8275E" w:rsidRDefault="007A5BDD" w:rsidP="007A5BDD">
      <w:pPr>
        <w:pStyle w:val="ListParagraph"/>
        <w:numPr>
          <w:ilvl w:val="0"/>
          <w:numId w:val="15"/>
        </w:numPr>
        <w:shd w:val="clear" w:color="auto" w:fill="FFFFFF"/>
        <w:tabs>
          <w:tab w:val="left" w:pos="810"/>
        </w:tabs>
        <w:spacing w:before="120" w:after="240" w:line="360" w:lineRule="auto"/>
        <w:ind w:left="810" w:hanging="810"/>
        <w:jc w:val="both"/>
        <w:rPr>
          <w:lang w:val="en-AU"/>
        </w:rPr>
      </w:pPr>
      <w:r w:rsidRPr="00F8275E">
        <w:t xml:space="preserve">Secondary trading in spectrum can overcome inefficiencies in the initial allocation of spectrum. Operators will be more willing to invest in spectrum with the knowledge that they have the opportunity to sell the spectrum rights, in case their business models are not successful. It also </w:t>
      </w:r>
      <w:r w:rsidRPr="004335C4">
        <w:t>allows</w:t>
      </w:r>
      <w:r w:rsidRPr="00F8275E">
        <w:t xml:space="preserve"> flexibility and speedy re-assignments between users helping the facilitation of new services being launched. </w:t>
      </w:r>
      <w:r>
        <w:t xml:space="preserve"> In short, spectrum trading </w:t>
      </w:r>
      <w:r w:rsidRPr="00F8275E">
        <w:t>may lead to greater competition</w:t>
      </w:r>
      <w:r>
        <w:t>s</w:t>
      </w:r>
      <w:r w:rsidRPr="00F8275E">
        <w:t xml:space="preserve"> provide incentives to innovation, greater certainty to service providers over their rights on spectrum, access to spectrum by those who value it most, greater return to service providers, better/new services being available to consumers at cheaper tariffs, greater choice to consumers, etc. </w:t>
      </w:r>
      <w:r w:rsidRPr="00F8275E">
        <w:rPr>
          <w:lang w:val="en-AU"/>
        </w:rPr>
        <w:t>A report on spectrum trading to the European Commission</w:t>
      </w:r>
      <w:r w:rsidRPr="00134D58">
        <w:rPr>
          <w:vertAlign w:val="superscript"/>
          <w:lang w:val="en-AU"/>
        </w:rPr>
        <w:footnoteReference w:id="6"/>
      </w:r>
      <w:r w:rsidRPr="00F8275E">
        <w:rPr>
          <w:lang w:val="en-AU"/>
        </w:rPr>
        <w:t xml:space="preserve"> identified four mechanisms through which trading could increase welfare:</w:t>
      </w:r>
    </w:p>
    <w:p w:rsidR="007A5BDD" w:rsidRPr="00134D58" w:rsidRDefault="007A5BDD" w:rsidP="007A5BDD">
      <w:pPr>
        <w:numPr>
          <w:ilvl w:val="0"/>
          <w:numId w:val="41"/>
        </w:numPr>
        <w:tabs>
          <w:tab w:val="clear" w:pos="720"/>
        </w:tabs>
        <w:spacing w:before="120" w:after="240" w:line="360" w:lineRule="auto"/>
        <w:ind w:left="1440"/>
        <w:jc w:val="both"/>
        <w:rPr>
          <w:lang w:val="en-AU"/>
        </w:rPr>
      </w:pPr>
      <w:r w:rsidRPr="00813B05">
        <w:rPr>
          <w:b/>
          <w:lang w:val="en-AU"/>
        </w:rPr>
        <w:t>Direct effects</w:t>
      </w:r>
      <w:r w:rsidRPr="00134D58">
        <w:rPr>
          <w:lang w:val="en-AU"/>
        </w:rPr>
        <w:t xml:space="preserve"> – incumbents have incentives to put spectrum to the most efficient use or to trade to a party who will.</w:t>
      </w:r>
    </w:p>
    <w:p w:rsidR="007A5BDD" w:rsidRPr="00134D58" w:rsidRDefault="007A5BDD" w:rsidP="007A5BDD">
      <w:pPr>
        <w:numPr>
          <w:ilvl w:val="0"/>
          <w:numId w:val="41"/>
        </w:numPr>
        <w:tabs>
          <w:tab w:val="clear" w:pos="720"/>
        </w:tabs>
        <w:spacing w:before="120" w:after="240" w:line="360" w:lineRule="auto"/>
        <w:ind w:left="1440"/>
        <w:jc w:val="both"/>
        <w:rPr>
          <w:lang w:val="en-AU"/>
        </w:rPr>
      </w:pPr>
      <w:r w:rsidRPr="00B7585D">
        <w:rPr>
          <w:b/>
          <w:lang w:val="en-AU"/>
        </w:rPr>
        <w:lastRenderedPageBreak/>
        <w:t>Transparency of opportunity cost</w:t>
      </w:r>
      <w:r>
        <w:rPr>
          <w:b/>
          <w:lang w:val="en-AU"/>
        </w:rPr>
        <w:t xml:space="preserve"> </w:t>
      </w:r>
      <w:r w:rsidRPr="00134D58">
        <w:rPr>
          <w:lang w:val="en-AU"/>
        </w:rPr>
        <w:t>– increased understanding of the value of the spectrum reduces entry barriers, raises awareness of entry opportunities, and helps identify the value of government-held spectrum.</w:t>
      </w:r>
    </w:p>
    <w:p w:rsidR="007A5BDD" w:rsidRPr="00134D58" w:rsidRDefault="007A5BDD" w:rsidP="007A5BDD">
      <w:pPr>
        <w:numPr>
          <w:ilvl w:val="0"/>
          <w:numId w:val="41"/>
        </w:numPr>
        <w:tabs>
          <w:tab w:val="clear" w:pos="720"/>
        </w:tabs>
        <w:spacing w:before="120" w:after="240" w:line="360" w:lineRule="auto"/>
        <w:ind w:left="1440"/>
        <w:jc w:val="both"/>
        <w:rPr>
          <w:lang w:val="en-AU"/>
        </w:rPr>
      </w:pPr>
      <w:r w:rsidRPr="00B7585D">
        <w:rPr>
          <w:b/>
          <w:lang w:val="en-AU"/>
        </w:rPr>
        <w:t>Competition</w:t>
      </w:r>
      <w:r w:rsidRPr="00134D58">
        <w:rPr>
          <w:lang w:val="en-AU"/>
        </w:rPr>
        <w:t xml:space="preserve"> – trading can encourage new entry or expansion.</w:t>
      </w:r>
    </w:p>
    <w:p w:rsidR="007A5BDD" w:rsidRPr="00134D58" w:rsidRDefault="007A5BDD" w:rsidP="007A5BDD">
      <w:pPr>
        <w:numPr>
          <w:ilvl w:val="0"/>
          <w:numId w:val="41"/>
        </w:numPr>
        <w:tabs>
          <w:tab w:val="clear" w:pos="720"/>
        </w:tabs>
        <w:spacing w:before="120" w:after="240" w:line="360" w:lineRule="auto"/>
        <w:ind w:left="1440"/>
        <w:jc w:val="both"/>
        <w:rPr>
          <w:lang w:val="en-AU"/>
        </w:rPr>
      </w:pPr>
      <w:r w:rsidRPr="00B7585D">
        <w:rPr>
          <w:b/>
          <w:lang w:val="en-AU"/>
        </w:rPr>
        <w:t>Innovation and shifts in market demand</w:t>
      </w:r>
      <w:r w:rsidRPr="00134D58">
        <w:rPr>
          <w:lang w:val="en-AU"/>
        </w:rPr>
        <w:t xml:space="preserve"> – changes in market demand or technology can be accommodated with changes in use or user, and this also enhances incentives to innovate.   </w:t>
      </w:r>
    </w:p>
    <w:p w:rsidR="007A5BDD" w:rsidRPr="00134D58"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134D58">
        <w:t>While the benefits of trading are well acknowledged, many regulators are still working through issues involved with practical implementation.</w:t>
      </w:r>
    </w:p>
    <w:p w:rsidR="007A5BDD" w:rsidRPr="00134D58" w:rsidRDefault="007A5BDD" w:rsidP="007A5BDD">
      <w:pPr>
        <w:tabs>
          <w:tab w:val="left" w:pos="1440"/>
        </w:tabs>
        <w:autoSpaceDE w:val="0"/>
        <w:autoSpaceDN w:val="0"/>
        <w:adjustRightInd w:val="0"/>
        <w:spacing w:before="120" w:after="240" w:line="360" w:lineRule="auto"/>
        <w:rPr>
          <w:b/>
        </w:rPr>
      </w:pPr>
      <w:r w:rsidRPr="00134D58">
        <w:rPr>
          <w:rFonts w:eastAsia="Batang"/>
          <w:b/>
          <w:lang w:eastAsia="ko-KR"/>
        </w:rPr>
        <w:t>Types of Trades</w:t>
      </w:r>
    </w:p>
    <w:p w:rsidR="007A5BDD" w:rsidRPr="00071431"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071431">
        <w:t>‘</w:t>
      </w:r>
      <w:r w:rsidRPr="00071431">
        <w:rPr>
          <w:b/>
        </w:rPr>
        <w:t>Spectrum transfers</w:t>
      </w:r>
      <w:r w:rsidRPr="00071431">
        <w:t xml:space="preserve">’ is one form of spectrum trading, wherein the ownership of the usage right is transferred to another party. It may necessitate the </w:t>
      </w:r>
      <w:r w:rsidRPr="004335C4">
        <w:t>issuance</w:t>
      </w:r>
      <w:r w:rsidRPr="00071431">
        <w:t xml:space="preserve"> of a new </w:t>
      </w:r>
      <w:proofErr w:type="spellStart"/>
      <w:r w:rsidRPr="00071431">
        <w:t>licence</w:t>
      </w:r>
      <w:proofErr w:type="spellEnd"/>
      <w:r w:rsidRPr="00071431">
        <w:t xml:space="preserve"> for the operator who has acquired the spectrum. Another form of spectrum trading is ‘</w:t>
      </w:r>
      <w:r w:rsidRPr="00071431">
        <w:rPr>
          <w:b/>
        </w:rPr>
        <w:t>spectrum leases’</w:t>
      </w:r>
      <w:r w:rsidRPr="00071431">
        <w:t xml:space="preserve">, wherein  the right to exploit the usage right is transferred to another party for a defined period of time but ownership, including the obligations this imposes, remains with the original rights holder. </w:t>
      </w:r>
    </w:p>
    <w:p w:rsidR="007A5BDD" w:rsidRDefault="007A5BDD" w:rsidP="007A5BDD">
      <w:pPr>
        <w:tabs>
          <w:tab w:val="left" w:pos="1440"/>
        </w:tabs>
        <w:autoSpaceDE w:val="0"/>
        <w:autoSpaceDN w:val="0"/>
        <w:adjustRightInd w:val="0"/>
        <w:spacing w:before="120" w:after="240" w:line="360" w:lineRule="auto"/>
        <w:rPr>
          <w:rFonts w:eastAsia="Batang"/>
          <w:b/>
          <w:lang w:eastAsia="ko-KR"/>
        </w:rPr>
      </w:pPr>
      <w:r w:rsidRPr="0044152B">
        <w:rPr>
          <w:rFonts w:eastAsia="Batang"/>
          <w:b/>
          <w:lang w:eastAsia="ko-KR"/>
        </w:rPr>
        <w:t>Various mechanism of Spectrum Trade</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t xml:space="preserve">There are various </w:t>
      </w:r>
      <w:r w:rsidRPr="004335C4">
        <w:t>mechanisms</w:t>
      </w:r>
      <w:r w:rsidRPr="007052E1">
        <w:t xml:space="preserve"> </w:t>
      </w:r>
      <w:r>
        <w:t>also</w:t>
      </w:r>
      <w:r w:rsidRPr="007052E1">
        <w:t xml:space="preserve"> that can be used</w:t>
      </w:r>
      <w:r>
        <w:t xml:space="preserve"> to facilitate the trade</w:t>
      </w:r>
      <w:r w:rsidRPr="007052E1">
        <w:t>. These include:</w:t>
      </w:r>
    </w:p>
    <w:p w:rsidR="007A5BDD" w:rsidRDefault="007A5BDD" w:rsidP="007A5BDD">
      <w:pPr>
        <w:numPr>
          <w:ilvl w:val="0"/>
          <w:numId w:val="39"/>
        </w:numPr>
        <w:tabs>
          <w:tab w:val="clear" w:pos="720"/>
          <w:tab w:val="num" w:pos="1260"/>
        </w:tabs>
        <w:autoSpaceDE w:val="0"/>
        <w:autoSpaceDN w:val="0"/>
        <w:adjustRightInd w:val="0"/>
        <w:spacing w:before="120" w:after="240" w:line="360" w:lineRule="auto"/>
        <w:ind w:left="1260"/>
        <w:jc w:val="both"/>
      </w:pPr>
      <w:r w:rsidRPr="00573772">
        <w:rPr>
          <w:b/>
        </w:rPr>
        <w:t>Bilateral negotiation</w:t>
      </w:r>
      <w:r w:rsidRPr="007052E1">
        <w:t>: The seller and (prospective) buyer directly negotiate the terms</w:t>
      </w:r>
      <w:r>
        <w:t xml:space="preserve"> </w:t>
      </w:r>
      <w:r w:rsidRPr="007052E1">
        <w:t>of the sale and are not subject to any particular constraints set by the regulator.</w:t>
      </w:r>
      <w:r>
        <w:t xml:space="preserve"> </w:t>
      </w:r>
    </w:p>
    <w:p w:rsidR="007A5BDD" w:rsidRDefault="007A5BDD" w:rsidP="007A5BDD">
      <w:pPr>
        <w:numPr>
          <w:ilvl w:val="0"/>
          <w:numId w:val="39"/>
        </w:numPr>
        <w:tabs>
          <w:tab w:val="clear" w:pos="720"/>
          <w:tab w:val="num" w:pos="1260"/>
        </w:tabs>
        <w:autoSpaceDE w:val="0"/>
        <w:autoSpaceDN w:val="0"/>
        <w:adjustRightInd w:val="0"/>
        <w:spacing w:before="120" w:after="240" w:line="360" w:lineRule="auto"/>
        <w:ind w:left="1260"/>
        <w:jc w:val="both"/>
      </w:pPr>
      <w:r w:rsidRPr="00573772">
        <w:rPr>
          <w:b/>
        </w:rPr>
        <w:t>Auctions</w:t>
      </w:r>
      <w:r w:rsidRPr="007052E1">
        <w:t>:</w:t>
      </w:r>
      <w:r>
        <w:t xml:space="preserve"> </w:t>
      </w:r>
      <w:r w:rsidRPr="007052E1">
        <w:t>Once a type of auction has been chosen and the rules have been decided</w:t>
      </w:r>
      <w:r>
        <w:t xml:space="preserve"> </w:t>
      </w:r>
      <w:r w:rsidRPr="007052E1">
        <w:t>primarily by the seller, prospective buyers have the opportunity to acquire the</w:t>
      </w:r>
      <w:r>
        <w:t xml:space="preserve"> </w:t>
      </w:r>
      <w:r w:rsidRPr="007052E1">
        <w:t>spectrum usage rights by bidding in the auction.</w:t>
      </w:r>
    </w:p>
    <w:p w:rsidR="007A5BDD" w:rsidRDefault="007A5BDD" w:rsidP="007A5BDD">
      <w:pPr>
        <w:numPr>
          <w:ilvl w:val="0"/>
          <w:numId w:val="39"/>
        </w:numPr>
        <w:tabs>
          <w:tab w:val="clear" w:pos="720"/>
          <w:tab w:val="num" w:pos="1260"/>
        </w:tabs>
        <w:autoSpaceDE w:val="0"/>
        <w:autoSpaceDN w:val="0"/>
        <w:adjustRightInd w:val="0"/>
        <w:spacing w:before="120" w:after="240" w:line="360" w:lineRule="auto"/>
        <w:ind w:left="1260"/>
        <w:jc w:val="both"/>
      </w:pPr>
      <w:r w:rsidRPr="00573772">
        <w:rPr>
          <w:b/>
        </w:rPr>
        <w:t>Brokerage</w:t>
      </w:r>
      <w:r w:rsidRPr="007052E1">
        <w:t>:</w:t>
      </w:r>
      <w:r>
        <w:t xml:space="preserve"> </w:t>
      </w:r>
      <w:r w:rsidRPr="007052E1">
        <w:t>Buyers and sellers employ a broker to negotiate, with their consent, the</w:t>
      </w:r>
      <w:r>
        <w:t xml:space="preserve"> </w:t>
      </w:r>
      <w:r w:rsidRPr="007052E1">
        <w:t>contractual terms under which the transfer of usage rights can take place.</w:t>
      </w:r>
    </w:p>
    <w:p w:rsidR="007A5BDD" w:rsidRDefault="007A5BDD" w:rsidP="007A5BDD">
      <w:pPr>
        <w:numPr>
          <w:ilvl w:val="0"/>
          <w:numId w:val="39"/>
        </w:numPr>
        <w:tabs>
          <w:tab w:val="clear" w:pos="720"/>
          <w:tab w:val="num" w:pos="1260"/>
        </w:tabs>
        <w:autoSpaceDE w:val="0"/>
        <w:autoSpaceDN w:val="0"/>
        <w:adjustRightInd w:val="0"/>
        <w:spacing w:before="120" w:after="240" w:line="360" w:lineRule="auto"/>
        <w:ind w:left="1260"/>
        <w:jc w:val="both"/>
      </w:pPr>
      <w:r w:rsidRPr="00573772">
        <w:rPr>
          <w:b/>
        </w:rPr>
        <w:lastRenderedPageBreak/>
        <w:t>Exchange</w:t>
      </w:r>
      <w:r w:rsidRPr="007052E1">
        <w:t>:</w:t>
      </w:r>
      <w:r>
        <w:t xml:space="preserve"> </w:t>
      </w:r>
      <w:r w:rsidRPr="007052E1">
        <w:t>This refers to the establishment of a trading platform, similar to a stock</w:t>
      </w:r>
      <w:r>
        <w:t xml:space="preserve"> </w:t>
      </w:r>
      <w:r w:rsidRPr="007052E1">
        <w:t>market, where transfers take place according to specific rules.</w:t>
      </w:r>
    </w:p>
    <w:p w:rsidR="007A5BDD" w:rsidRPr="004A71F7" w:rsidRDefault="007A5BDD" w:rsidP="007A5BDD">
      <w:pPr>
        <w:spacing w:before="120" w:after="240" w:line="360" w:lineRule="auto"/>
        <w:ind w:left="720" w:hanging="630"/>
        <w:rPr>
          <w:b/>
        </w:rPr>
      </w:pPr>
      <w:r w:rsidRPr="004A71F7">
        <w:rPr>
          <w:b/>
        </w:rPr>
        <w:t xml:space="preserve">Issues that needs to be addressed by the NRAs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76294B">
        <w:t xml:space="preserve">The success of spectrum trading depends on appropriate institutional framework that precisely determines how rights of use of spectrum are transferred. There are some concerns that need to be addressed through appropriate measures while permitting the spectrum trading. Main regulatory concern is related to competitive issues. By spectrum trading, the spectrum may be concentrated in the hands of few players. Operators may resort to spectrum hoarding in order to restrict the entry of new players. By allowing companies to purchase more </w:t>
      </w:r>
      <w:proofErr w:type="gramStart"/>
      <w:r w:rsidRPr="0076294B">
        <w:t>spectrum</w:t>
      </w:r>
      <w:proofErr w:type="gramEnd"/>
      <w:r w:rsidRPr="0076294B">
        <w:t>, trading could lead to the acquisition of market power both in the market for a particular type of spectrum, and in a related services. Anti-competitive market behavior needs to be regulated for successful spectrum trading. Hence, there will be a need to define the conditions including safeguards to check monopolistic practices, duties.</w:t>
      </w:r>
      <w:r w:rsidRPr="0076294B">
        <w:rPr>
          <w:rFonts w:eastAsia="Batang"/>
          <w:sz w:val="18"/>
          <w:szCs w:val="18"/>
          <w:lang w:eastAsia="ko-KR"/>
        </w:rPr>
        <w:t xml:space="preserve">  </w:t>
      </w:r>
      <w:r w:rsidRPr="0076294B">
        <w:t xml:space="preserve">There may be other issues such as possibility of too much fragmented spectrum, high transactional cost or interference issues.  Therefore, it </w:t>
      </w:r>
      <w:r>
        <w:t xml:space="preserve">is </w:t>
      </w:r>
      <w:r w:rsidRPr="0076294B">
        <w:t>necessary to lay down rules of spectrum trading.</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t>S</w:t>
      </w:r>
      <w:r w:rsidRPr="007D27E3">
        <w:t xml:space="preserve">pectrum trading </w:t>
      </w:r>
      <w:r>
        <w:t>needs to</w:t>
      </w:r>
      <w:r w:rsidRPr="007D27E3">
        <w:t xml:space="preserve"> be designed to work within</w:t>
      </w:r>
      <w:r>
        <w:t xml:space="preserve"> </w:t>
      </w:r>
      <w:r w:rsidRPr="007D27E3">
        <w:t>the constraints</w:t>
      </w:r>
      <w:r>
        <w:t>,</w:t>
      </w:r>
      <w:r w:rsidRPr="007D27E3">
        <w:t xml:space="preserve"> that current and future</w:t>
      </w:r>
      <w:r>
        <w:t xml:space="preserve"> </w:t>
      </w:r>
      <w:r w:rsidRPr="007D27E3">
        <w:t>international arrangements impose</w:t>
      </w:r>
      <w:r>
        <w:t xml:space="preserve">, regarding </w:t>
      </w:r>
      <w:r w:rsidRPr="004335C4">
        <w:t>the</w:t>
      </w:r>
      <w:r w:rsidRPr="007D27E3">
        <w:t xml:space="preserve"> </w:t>
      </w:r>
      <w:proofErr w:type="spellStart"/>
      <w:r>
        <w:t>harmonised</w:t>
      </w:r>
      <w:proofErr w:type="spellEnd"/>
      <w:r>
        <w:t xml:space="preserve"> use of</w:t>
      </w:r>
      <w:r w:rsidRPr="007D27E3">
        <w:t xml:space="preserve"> spectrum</w:t>
      </w:r>
      <w:r>
        <w:t xml:space="preserve">, interference </w:t>
      </w:r>
      <w:r w:rsidRPr="001A0934">
        <w:t>management particularly</w:t>
      </w:r>
      <w:r>
        <w:t xml:space="preserve"> in the bordering areas and other international commitments.</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t>Either of t</w:t>
      </w:r>
      <w:r w:rsidRPr="007052E1">
        <w:t xml:space="preserve">hese </w:t>
      </w:r>
      <w:r w:rsidRPr="004335C4">
        <w:t>mechanisms</w:t>
      </w:r>
      <w:r w:rsidRPr="007052E1">
        <w:t xml:space="preserve"> </w:t>
      </w:r>
      <w:r>
        <w:t>or a combination of mechanisms can</w:t>
      </w:r>
      <w:r w:rsidRPr="007052E1">
        <w:t xml:space="preserve"> be used. In the first instance an auction </w:t>
      </w:r>
      <w:r>
        <w:t xml:space="preserve">may </w:t>
      </w:r>
      <w:r w:rsidRPr="007052E1">
        <w:t>be used as</w:t>
      </w:r>
      <w:r>
        <w:t xml:space="preserve"> the primary means of assignment.</w:t>
      </w:r>
      <w:r w:rsidRPr="007052E1">
        <w:t xml:space="preserve"> Tradable spectrum </w:t>
      </w:r>
      <w:r>
        <w:t>may be</w:t>
      </w:r>
      <w:r w:rsidRPr="007052E1">
        <w:t xml:space="preserve"> </w:t>
      </w:r>
      <w:r>
        <w:t>identified by the seller</w:t>
      </w:r>
      <w:r w:rsidRPr="007052E1">
        <w:t xml:space="preserve"> and</w:t>
      </w:r>
      <w:r>
        <w:t xml:space="preserve"> </w:t>
      </w:r>
      <w:r w:rsidRPr="007052E1">
        <w:t xml:space="preserve">either direct negotiation or brokerage </w:t>
      </w:r>
      <w:r>
        <w:t xml:space="preserve">may </w:t>
      </w:r>
      <w:r w:rsidRPr="007052E1">
        <w:t xml:space="preserve">facilitate the transfer of spectrum user rights. </w:t>
      </w:r>
      <w:r>
        <w:t>The issue of concern is whether any methodology should be mandated or left to the market forces.</w:t>
      </w:r>
    </w:p>
    <w:p w:rsidR="007A5BDD" w:rsidRPr="0076294B"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t>In many countries, allocation</w:t>
      </w:r>
      <w:r w:rsidRPr="0076294B">
        <w:t xml:space="preserve"> of the spectrum is associated with certain obligations on the part of license. These obligations may be related to the roll out of network in the remote areas, primarily with the aim to ensure better coverage to the uncovered areas especially for rural population. In such case, issue for consideration would be whether licensees who have not fulfilled their roll out obligations be permitted spectrum trading. One view may be that </w:t>
      </w:r>
      <w:r w:rsidRPr="0076294B">
        <w:rPr>
          <w:rFonts w:eastAsia="Batang" w:cs="Arial"/>
          <w:lang w:eastAsia="ko-KR"/>
        </w:rPr>
        <w:t xml:space="preserve">unless a licensee transfers the entire spectrum assigned, the unmet roll-out obligations of the seller should continue to hold. Penalties, if any, liable </w:t>
      </w:r>
      <w:r w:rsidRPr="0076294B">
        <w:rPr>
          <w:rFonts w:eastAsia="Batang" w:cs="Arial"/>
          <w:lang w:eastAsia="ko-KR"/>
        </w:rPr>
        <w:lastRenderedPageBreak/>
        <w:t>to be paid by the seller prior to the date of the sale will remain payable by the seller. In case of sale of full spectrum holding no further penalties should be imposed on the seller after the date of the sale for unmet roll-out obligation.</w:t>
      </w:r>
    </w:p>
    <w:p w:rsidR="007A5BDD" w:rsidRPr="006838D3"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6838D3">
        <w:t xml:space="preserve">Trading allows the users to transfer usage rights to other parties whereas </w:t>
      </w:r>
      <w:proofErr w:type="spellStart"/>
      <w:r w:rsidRPr="006838D3">
        <w:t>Liberalisation</w:t>
      </w:r>
      <w:proofErr w:type="spellEnd"/>
      <w:r w:rsidRPr="006838D3">
        <w:t xml:space="preserve"> provides users with increased flexibility to change technologies and alter their service provision. In the use of spectrum is not </w:t>
      </w:r>
      <w:proofErr w:type="spellStart"/>
      <w:r w:rsidRPr="006838D3">
        <w:t>liberalised</w:t>
      </w:r>
      <w:proofErr w:type="spellEnd"/>
      <w:r w:rsidRPr="006838D3">
        <w:t xml:space="preserve">, new users would have to deploy the same type of services and technologies as their predecessors. The advantage is that it will not create any interference concerns for </w:t>
      </w:r>
      <w:proofErr w:type="spellStart"/>
      <w:r w:rsidRPr="006838D3">
        <w:t>neighbouring</w:t>
      </w:r>
      <w:proofErr w:type="spellEnd"/>
      <w:r w:rsidRPr="006838D3">
        <w:t xml:space="preserve"> users but on the flip side it shall limit their ability to exploit the spectrum. Both trading and </w:t>
      </w:r>
      <w:proofErr w:type="spellStart"/>
      <w:r w:rsidRPr="006838D3">
        <w:t>liberalisation</w:t>
      </w:r>
      <w:proofErr w:type="spellEnd"/>
      <w:r w:rsidRPr="006838D3">
        <w:t xml:space="preserve"> could potentially involve reconfiguration (redefinition) of existing usage rights, for example, by separating a single </w:t>
      </w:r>
      <w:proofErr w:type="spellStart"/>
      <w:r w:rsidRPr="006838D3">
        <w:t>licence</w:t>
      </w:r>
      <w:proofErr w:type="spellEnd"/>
      <w:r w:rsidRPr="006838D3">
        <w:t xml:space="preserve"> in two, or amalgamating two </w:t>
      </w:r>
      <w:proofErr w:type="spellStart"/>
      <w:r w:rsidRPr="006838D3">
        <w:t>licences</w:t>
      </w:r>
      <w:proofErr w:type="spellEnd"/>
      <w:r w:rsidRPr="006838D3">
        <w:t xml:space="preserve"> that are adjacent in terms of geography or frequency. </w:t>
      </w:r>
      <w:proofErr w:type="spellStart"/>
      <w:r w:rsidRPr="006838D3">
        <w:t>Liberalisation</w:t>
      </w:r>
      <w:proofErr w:type="spellEnd"/>
      <w:r w:rsidRPr="006838D3">
        <w:t xml:space="preserve"> of spectrum use, especially when combined with trading, creates other concerns – for example, harmful interference or possible fragmentation of spectrum allocations – but also offers potentially greater efficiency benefits over time.</w:t>
      </w:r>
    </w:p>
    <w:p w:rsidR="007A5BDD" w:rsidRPr="00134D58" w:rsidRDefault="007A5BDD" w:rsidP="007A5BDD">
      <w:pPr>
        <w:spacing w:before="120" w:after="240" w:line="360" w:lineRule="auto"/>
        <w:ind w:left="720"/>
        <w:rPr>
          <w:b/>
        </w:rPr>
      </w:pPr>
      <w:r w:rsidRPr="00134D58">
        <w:rPr>
          <w:b/>
        </w:rPr>
        <w:t>INTERNATIONAL PRACTICES</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16631B">
        <w:t xml:space="preserve">Spectrum trading has been introduced in Australia, Canada, Guatemala, New Zealand, Norway, USA and UK and on </w:t>
      </w:r>
      <w:r>
        <w:t>rather</w:t>
      </w:r>
      <w:r w:rsidRPr="0016631B">
        <w:t xml:space="preserve"> limited basis in Austria, France, Germany, Netherlands and Sweden. In</w:t>
      </w:r>
      <w:r>
        <w:t xml:space="preserve"> some</w:t>
      </w:r>
      <w:r w:rsidRPr="0016631B">
        <w:t xml:space="preserve"> other countries, individual spectrum trades have sometimes been allowed after regulatory review. However, the number of countries allowing spectrum licensees to trade spectrum on the secondary market has been steadily rising since 2005, showing that this is an area with great potential for further flexibility and liberalization</w:t>
      </w:r>
      <w:r>
        <w:t xml:space="preserve">. </w:t>
      </w:r>
      <w:r w:rsidRPr="009A2D5E">
        <w:t xml:space="preserve">As of 2010, 25 of 156 </w:t>
      </w:r>
      <w:r w:rsidRPr="004335C4">
        <w:t>countries</w:t>
      </w:r>
      <w:r w:rsidRPr="009A2D5E">
        <w:t xml:space="preserve"> responding to the ITU’s survey question</w:t>
      </w:r>
      <w:r w:rsidRPr="009A2D5E">
        <w:rPr>
          <w:vertAlign w:val="superscript"/>
        </w:rPr>
        <w:footnoteReference w:id="7"/>
      </w:r>
      <w:r w:rsidRPr="009A2D5E">
        <w:t xml:space="preserve"> on secondary spectrum trading indicated that secondary trading is permissible while six of these countries stated that there may be a change in spectrum use permitted on transfer.</w:t>
      </w:r>
    </w:p>
    <w:p w:rsidR="007A5BDD" w:rsidRDefault="007A5BDD" w:rsidP="007A5BDD">
      <w:pPr>
        <w:tabs>
          <w:tab w:val="num" w:pos="2160"/>
        </w:tabs>
        <w:spacing w:before="120" w:after="240" w:line="360" w:lineRule="auto"/>
        <w:rPr>
          <w:rFonts w:cs="Bookman Old Style"/>
          <w:b/>
        </w:rPr>
      </w:pPr>
      <w:r w:rsidRPr="002F01EF">
        <w:rPr>
          <w:b/>
        </w:rPr>
        <w:t>EU</w:t>
      </w:r>
      <w:r>
        <w:rPr>
          <w:rStyle w:val="FootnoteReference"/>
          <w:rFonts w:cs="Bookman Old Style"/>
          <w:b/>
        </w:rPr>
        <w:footnoteReference w:id="8"/>
      </w:r>
    </w:p>
    <w:p w:rsidR="007A5BDD" w:rsidRPr="00755579" w:rsidRDefault="007A5BDD" w:rsidP="007A5BDD">
      <w:pPr>
        <w:spacing w:before="120" w:after="240" w:line="360" w:lineRule="auto"/>
        <w:ind w:left="720"/>
        <w:rPr>
          <w:rFonts w:cs="Bookman Old Style"/>
          <w:b/>
        </w:rPr>
      </w:pPr>
      <w:r w:rsidRPr="00755579">
        <w:rPr>
          <w:rFonts w:cs="Bookman Old Style"/>
          <w:b/>
        </w:rPr>
        <w:t>EU Regulatory Framework 2002</w:t>
      </w:r>
    </w:p>
    <w:p w:rsidR="007A5BDD" w:rsidRPr="000374A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lang w:eastAsia="en-IN"/>
        </w:rPr>
      </w:pPr>
      <w:r w:rsidRPr="000374AD">
        <w:lastRenderedPageBreak/>
        <w:t xml:space="preserve">Article 9 of the 2002 EU Regulatory Framework, allows Member States to provide for the </w:t>
      </w:r>
      <w:r w:rsidRPr="00A23987">
        <w:rPr>
          <w:b/>
        </w:rPr>
        <w:t>transfe</w:t>
      </w:r>
      <w:r w:rsidRPr="000374AD">
        <w:t xml:space="preserve">r of spectrum rights </w:t>
      </w:r>
      <w:r>
        <w:t>subject to</w:t>
      </w:r>
      <w:r w:rsidRPr="000374AD">
        <w:t xml:space="preserve"> certain requirements about the process. Requirements inter-alia include that any </w:t>
      </w:r>
      <w:r w:rsidRPr="000374AD">
        <w:rPr>
          <w:lang w:eastAsia="en-IN"/>
        </w:rPr>
        <w:t xml:space="preserve">transfer to be in accordance with the procedures laid down by the </w:t>
      </w:r>
      <w:r w:rsidRPr="004335C4">
        <w:t>NRAs</w:t>
      </w:r>
      <w:r w:rsidRPr="000374AD">
        <w:rPr>
          <w:lang w:eastAsia="en-IN"/>
        </w:rPr>
        <w:t xml:space="preserve">, transfers that have taken place must be made public, NRAs to ensure that </w:t>
      </w:r>
      <w:r w:rsidRPr="000374AD">
        <w:rPr>
          <w:rFonts w:cs="Bookman Old Style"/>
        </w:rPr>
        <w:t>competition</w:t>
      </w:r>
      <w:r w:rsidRPr="000374AD">
        <w:rPr>
          <w:lang w:eastAsia="en-IN"/>
        </w:rPr>
        <w:t xml:space="preserve"> is </w:t>
      </w:r>
      <w:r w:rsidRPr="000374AD">
        <w:t>not</w:t>
      </w:r>
      <w:r w:rsidRPr="000374AD">
        <w:rPr>
          <w:lang w:eastAsia="en-IN"/>
        </w:rPr>
        <w:t xml:space="preserve"> distorted as a result of any such transaction and where radio frequency use has been </w:t>
      </w:r>
      <w:proofErr w:type="spellStart"/>
      <w:r w:rsidRPr="000374AD">
        <w:rPr>
          <w:lang w:eastAsia="en-IN"/>
        </w:rPr>
        <w:t>harmonised</w:t>
      </w:r>
      <w:proofErr w:type="spellEnd"/>
      <w:r w:rsidRPr="000374AD">
        <w:rPr>
          <w:lang w:eastAsia="en-IN"/>
        </w:rPr>
        <w:t xml:space="preserve">, spectrum trading shall not result in change of use of that radio frequency. </w:t>
      </w:r>
      <w:r>
        <w:rPr>
          <w:lang w:eastAsia="en-IN"/>
        </w:rPr>
        <w:t>S</w:t>
      </w:r>
      <w:r w:rsidRPr="000374AD">
        <w:rPr>
          <w:lang w:eastAsia="en-IN"/>
        </w:rPr>
        <w:t xml:space="preserve">ince the introduction of the EC Framework Directive in 2002, </w:t>
      </w:r>
      <w:r>
        <w:rPr>
          <w:lang w:eastAsia="en-IN"/>
        </w:rPr>
        <w:t>m</w:t>
      </w:r>
      <w:r w:rsidRPr="000374AD">
        <w:rPr>
          <w:lang w:eastAsia="en-IN"/>
        </w:rPr>
        <w:t xml:space="preserve">ost EU countries have subsequently introduced measures that allow full transfers of existing </w:t>
      </w:r>
      <w:proofErr w:type="spellStart"/>
      <w:r w:rsidRPr="000374AD">
        <w:rPr>
          <w:lang w:eastAsia="en-IN"/>
        </w:rPr>
        <w:t>licences</w:t>
      </w:r>
      <w:proofErr w:type="spellEnd"/>
      <w:r w:rsidRPr="000374AD">
        <w:rPr>
          <w:lang w:eastAsia="en-IN"/>
        </w:rPr>
        <w:t xml:space="preserve">, subject to regulatory approval. However, some other regulators, such as </w:t>
      </w:r>
      <w:proofErr w:type="spellStart"/>
      <w:r w:rsidRPr="000374AD">
        <w:rPr>
          <w:lang w:eastAsia="en-IN"/>
        </w:rPr>
        <w:t>Ofcom</w:t>
      </w:r>
      <w:proofErr w:type="spellEnd"/>
      <w:r w:rsidRPr="000374AD">
        <w:rPr>
          <w:lang w:eastAsia="en-IN"/>
        </w:rPr>
        <w:t xml:space="preserve">, have gone further than this, following in the footsteps of pioneer states outside Europe (such as Australia) by initiating mechanisms to permit more complex trades, including reconfiguration of existing </w:t>
      </w:r>
      <w:proofErr w:type="spellStart"/>
      <w:r w:rsidRPr="000374AD">
        <w:rPr>
          <w:lang w:eastAsia="en-IN"/>
        </w:rPr>
        <w:t>licences</w:t>
      </w:r>
      <w:proofErr w:type="spellEnd"/>
      <w:r w:rsidRPr="000374AD">
        <w:rPr>
          <w:lang w:eastAsia="en-IN"/>
        </w:rPr>
        <w:t>.</w:t>
      </w:r>
    </w:p>
    <w:p w:rsidR="007A5BDD" w:rsidRDefault="007A5BDD" w:rsidP="007A5BDD">
      <w:pPr>
        <w:spacing w:before="120" w:after="240" w:line="360" w:lineRule="auto"/>
        <w:ind w:left="720"/>
        <w:rPr>
          <w:i/>
          <w:iCs/>
          <w:sz w:val="22"/>
          <w:szCs w:val="22"/>
          <w:lang w:eastAsia="en-IN"/>
        </w:rPr>
      </w:pPr>
      <w:r w:rsidRPr="00755579">
        <w:rPr>
          <w:rFonts w:cs="Bookman Old Style"/>
          <w:b/>
        </w:rPr>
        <w:t>EU Regulatory Framework 2009</w:t>
      </w:r>
    </w:p>
    <w:p w:rsidR="007A5BDD" w:rsidRPr="0016631B"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584B32">
        <w:rPr>
          <w:lang w:eastAsia="en-IN"/>
        </w:rPr>
        <w:t xml:space="preserve">New Article 9b of the Amended Framework Directive permitted to </w:t>
      </w:r>
      <w:r w:rsidRPr="00A23987">
        <w:rPr>
          <w:b/>
          <w:lang w:eastAsia="en-IN"/>
        </w:rPr>
        <w:t>lease</w:t>
      </w:r>
      <w:r w:rsidRPr="00584B32">
        <w:rPr>
          <w:lang w:eastAsia="en-IN"/>
        </w:rPr>
        <w:t xml:space="preserve"> individual rights to use radio frequencies to other undertakings.</w:t>
      </w:r>
      <w:r>
        <w:rPr>
          <w:lang w:eastAsia="en-IN"/>
        </w:rPr>
        <w:t xml:space="preserve"> Till then, only transfer of rights was </w:t>
      </w:r>
      <w:r w:rsidRPr="00F8740F">
        <w:rPr>
          <w:lang w:eastAsia="en-IN"/>
        </w:rPr>
        <w:t>permissible. T</w:t>
      </w:r>
      <w:r w:rsidRPr="00F8740F">
        <w:rPr>
          <w:bCs/>
          <w:lang w:eastAsia="en-IN"/>
        </w:rPr>
        <w:t>he</w:t>
      </w:r>
      <w:r w:rsidRPr="001A5189">
        <w:rPr>
          <w:lang w:eastAsia="en-IN"/>
        </w:rPr>
        <w:t xml:space="preserve"> amendments</w:t>
      </w:r>
      <w:r>
        <w:rPr>
          <w:sz w:val="22"/>
          <w:szCs w:val="22"/>
          <w:lang w:eastAsia="en-IN"/>
        </w:rPr>
        <w:t xml:space="preserve"> </w:t>
      </w:r>
      <w:r w:rsidRPr="001A5189">
        <w:rPr>
          <w:lang w:eastAsia="en-IN"/>
        </w:rPr>
        <w:t xml:space="preserve">require Member States to ensure that undertakings may transfer or lease right of use in bands </w:t>
      </w:r>
      <w:r w:rsidRPr="001A5189">
        <w:t>which</w:t>
      </w:r>
      <w:r w:rsidRPr="001A5189">
        <w:rPr>
          <w:lang w:eastAsia="en-IN"/>
        </w:rPr>
        <w:t xml:space="preserve"> have been identified. Member States would only be required to “ensure that an undertaking’s intention to transfer rights to use radio frequencies, as well as effective transfer thereof is notified in accordance with national procedures to the competent national authority responsible for granting individual rights of use and is made public”.</w:t>
      </w:r>
    </w:p>
    <w:p w:rsidR="007A5BDD" w:rsidRPr="00BB1689" w:rsidRDefault="007A5BDD" w:rsidP="007A5BDD">
      <w:pPr>
        <w:spacing w:before="120" w:after="240" w:line="360" w:lineRule="auto"/>
        <w:ind w:left="720"/>
        <w:rPr>
          <w:rStyle w:val="Strong"/>
          <w:rFonts w:cs="Bookman Old Style"/>
        </w:rPr>
      </w:pPr>
      <w:r w:rsidRPr="00246FBA">
        <w:rPr>
          <w:rStyle w:val="Strong"/>
          <w:rFonts w:cs="Bookman Old Style"/>
          <w:b/>
        </w:rPr>
        <w:t>United Kingdom</w:t>
      </w:r>
      <w:r>
        <w:rPr>
          <w:rStyle w:val="FootnoteReference"/>
          <w:rFonts w:cs="Bookman Old Style"/>
          <w:b/>
        </w:rPr>
        <w:footnoteReference w:id="9"/>
      </w:r>
      <w:r>
        <w:rPr>
          <w:rStyle w:val="Strong"/>
          <w:rFonts w:cs="Bookman Old Style"/>
        </w:rPr>
        <w:t>:</w:t>
      </w:r>
      <w:r w:rsidRPr="00C00FA8">
        <w:rPr>
          <w:rStyle w:val="Strong"/>
          <w:rFonts w:cs="Bookman Old Style"/>
        </w:rPr>
        <w:t xml:space="preserve"> </w:t>
      </w:r>
    </w:p>
    <w:p w:rsidR="007A5BDD" w:rsidRPr="00AF4024"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ascii="Arial" w:eastAsia="Batang" w:hAnsi="Arial" w:cs="Arial"/>
          <w:color w:val="000000"/>
          <w:sz w:val="22"/>
          <w:szCs w:val="22"/>
          <w:lang w:eastAsia="en-IN"/>
        </w:rPr>
      </w:pPr>
      <w:r w:rsidRPr="00AF4024">
        <w:rPr>
          <w:rFonts w:eastAsia="Batang"/>
          <w:lang w:eastAsia="ko-KR"/>
        </w:rPr>
        <w:t>It is possible to transfer</w:t>
      </w:r>
      <w:r w:rsidRPr="00BB1689">
        <w:rPr>
          <w:rFonts w:eastAsia="Batang"/>
          <w:lang w:eastAsia="ko-KR"/>
        </w:rPr>
        <w:t xml:space="preserve"> all or part of </w:t>
      </w:r>
      <w:proofErr w:type="spellStart"/>
      <w:r w:rsidRPr="00BB1689">
        <w:rPr>
          <w:rFonts w:eastAsia="Batang"/>
          <w:lang w:eastAsia="ko-KR"/>
        </w:rPr>
        <w:t>licence</w:t>
      </w:r>
      <w:proofErr w:type="spellEnd"/>
      <w:r w:rsidRPr="00BB1689">
        <w:rPr>
          <w:rFonts w:eastAsia="Batang"/>
          <w:lang w:eastAsia="ko-KR"/>
        </w:rPr>
        <w:t xml:space="preserve"> rights and associated obligations to another party</w:t>
      </w:r>
      <w:r w:rsidRPr="00AF4024">
        <w:rPr>
          <w:rFonts w:eastAsia="Batang"/>
          <w:lang w:eastAsia="ko-KR"/>
        </w:rPr>
        <w:t>,</w:t>
      </w:r>
      <w:r w:rsidRPr="00BB1689">
        <w:rPr>
          <w:rFonts w:eastAsia="Batang"/>
          <w:lang w:eastAsia="ko-KR"/>
        </w:rPr>
        <w:t xml:space="preserve"> </w:t>
      </w:r>
      <w:r>
        <w:rPr>
          <w:rFonts w:eastAsia="Batang"/>
          <w:lang w:eastAsia="ko-KR"/>
        </w:rPr>
        <w:t>referred to as ‘</w:t>
      </w:r>
      <w:r w:rsidRPr="00DD7BB2">
        <w:rPr>
          <w:rFonts w:eastAsia="Batang"/>
          <w:b/>
          <w:lang w:eastAsia="ko-KR"/>
        </w:rPr>
        <w:t>transfer’</w:t>
      </w:r>
      <w:r>
        <w:rPr>
          <w:rFonts w:eastAsia="Batang"/>
          <w:lang w:eastAsia="ko-KR"/>
        </w:rPr>
        <w:t xml:space="preserve">, </w:t>
      </w:r>
      <w:r w:rsidRPr="00BB1689">
        <w:rPr>
          <w:rFonts w:eastAsia="Batang"/>
          <w:lang w:eastAsia="ko-KR"/>
        </w:rPr>
        <w:t xml:space="preserve">provided that </w:t>
      </w:r>
      <w:r w:rsidRPr="00AF4024">
        <w:rPr>
          <w:rFonts w:eastAsia="Batang"/>
          <w:lang w:eastAsia="ko-KR"/>
        </w:rPr>
        <w:t>the</w:t>
      </w:r>
      <w:r w:rsidRPr="00BB1689">
        <w:rPr>
          <w:rFonts w:eastAsia="Batang"/>
          <w:lang w:eastAsia="ko-KR"/>
        </w:rPr>
        <w:t xml:space="preserve"> </w:t>
      </w:r>
      <w:proofErr w:type="spellStart"/>
      <w:r w:rsidRPr="00BB1689">
        <w:rPr>
          <w:rFonts w:eastAsia="Batang"/>
          <w:lang w:eastAsia="ko-KR"/>
        </w:rPr>
        <w:t>licence</w:t>
      </w:r>
      <w:proofErr w:type="spellEnd"/>
      <w:r w:rsidRPr="00BB1689">
        <w:rPr>
          <w:rFonts w:eastAsia="Batang"/>
          <w:lang w:eastAsia="ko-KR"/>
        </w:rPr>
        <w:t xml:space="preserve"> is in a class covered </w:t>
      </w:r>
      <w:r w:rsidRPr="00002B46">
        <w:t>Wireless Telegraphy (Spectrum Trading) Regulations 2004 as amended</w:t>
      </w:r>
      <w:r>
        <w:t xml:space="preserve">. </w:t>
      </w:r>
      <w:r w:rsidRPr="00390E95">
        <w:rPr>
          <w:bCs/>
        </w:rPr>
        <w:t xml:space="preserve">The Trading Regulations set out (i) the </w:t>
      </w:r>
      <w:proofErr w:type="spellStart"/>
      <w:r w:rsidRPr="00390E95">
        <w:rPr>
          <w:bCs/>
        </w:rPr>
        <w:t>licence</w:t>
      </w:r>
      <w:proofErr w:type="spellEnd"/>
      <w:r w:rsidRPr="00390E95">
        <w:rPr>
          <w:bCs/>
        </w:rPr>
        <w:t xml:space="preserve"> classes for which spectrum trading is possible, (ii) the types of trading </w:t>
      </w:r>
      <w:r w:rsidRPr="004335C4">
        <w:t>that</w:t>
      </w:r>
      <w:r w:rsidRPr="00390E95">
        <w:rPr>
          <w:bCs/>
        </w:rPr>
        <w:t xml:space="preserve"> may be undertaken and (iii) the procedure to be followed. </w:t>
      </w:r>
      <w:r w:rsidRPr="00002B46">
        <w:t xml:space="preserve">The transfer of Public Wireless Network (PWN) </w:t>
      </w:r>
      <w:proofErr w:type="spellStart"/>
      <w:r w:rsidRPr="00002B46">
        <w:t>licence</w:t>
      </w:r>
      <w:proofErr w:type="spellEnd"/>
      <w:r w:rsidRPr="00002B46">
        <w:t xml:space="preserve"> rights and obligations is regulated separately by the Wireless Telegraphy (Mobile Spectrum Trading) Regulations 2011. These are </w:t>
      </w:r>
      <w:r w:rsidRPr="00002B46">
        <w:lastRenderedPageBreak/>
        <w:t>broadly similar to the general Trading Regulations but include some provisions specific to PWN trades</w:t>
      </w:r>
      <w:r>
        <w:rPr>
          <w:rFonts w:ascii="Arial" w:hAnsi="Arial" w:cs="Arial"/>
          <w:color w:val="000000"/>
          <w:sz w:val="22"/>
          <w:szCs w:val="22"/>
          <w:lang w:eastAsia="en-IN"/>
        </w:rPr>
        <w:t>.</w:t>
      </w:r>
    </w:p>
    <w:p w:rsidR="007A5BDD" w:rsidRPr="00002B46"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eastAsia="Batang"/>
          <w:lang w:eastAsia="ko-KR"/>
        </w:rPr>
      </w:pPr>
      <w:r w:rsidRPr="00002B46">
        <w:rPr>
          <w:rFonts w:eastAsia="Batang"/>
          <w:b/>
          <w:lang w:eastAsia="ko-KR"/>
        </w:rPr>
        <w:t>Leasing</w:t>
      </w:r>
      <w:r w:rsidRPr="00002B46">
        <w:rPr>
          <w:rFonts w:eastAsia="Batang"/>
          <w:lang w:eastAsia="ko-KR"/>
        </w:rPr>
        <w:t xml:space="preserve"> is governed by </w:t>
      </w:r>
      <w:r>
        <w:rPr>
          <w:rFonts w:eastAsia="Batang"/>
          <w:lang w:eastAsia="ko-KR"/>
        </w:rPr>
        <w:t xml:space="preserve">respective </w:t>
      </w:r>
      <w:proofErr w:type="spellStart"/>
      <w:r w:rsidRPr="00002B46">
        <w:rPr>
          <w:rFonts w:eastAsia="Batang"/>
          <w:lang w:eastAsia="ko-KR"/>
        </w:rPr>
        <w:t>licence</w:t>
      </w:r>
      <w:proofErr w:type="spellEnd"/>
      <w:r w:rsidRPr="00002B46">
        <w:rPr>
          <w:rFonts w:eastAsia="Batang"/>
          <w:lang w:eastAsia="ko-KR"/>
        </w:rPr>
        <w:t xml:space="preserve"> terms and conditions. A </w:t>
      </w:r>
      <w:proofErr w:type="spellStart"/>
      <w:r w:rsidRPr="00002B46">
        <w:rPr>
          <w:rFonts w:eastAsia="Batang"/>
          <w:lang w:eastAsia="ko-KR"/>
        </w:rPr>
        <w:t>licence</w:t>
      </w:r>
      <w:proofErr w:type="spellEnd"/>
      <w:r w:rsidRPr="00002B46">
        <w:rPr>
          <w:rFonts w:eastAsia="Batang"/>
          <w:lang w:eastAsia="ko-KR"/>
        </w:rPr>
        <w:t xml:space="preserve">-holder may grant leases only if the </w:t>
      </w:r>
      <w:proofErr w:type="spellStart"/>
      <w:r w:rsidRPr="00002B46">
        <w:rPr>
          <w:rFonts w:eastAsia="Batang"/>
          <w:lang w:eastAsia="ko-KR"/>
        </w:rPr>
        <w:t>licence</w:t>
      </w:r>
      <w:proofErr w:type="spellEnd"/>
      <w:r w:rsidRPr="00002B46">
        <w:rPr>
          <w:rFonts w:eastAsia="Batang"/>
          <w:lang w:eastAsia="ko-KR"/>
        </w:rPr>
        <w:t xml:space="preserve"> contains the necessary terms and </w:t>
      </w:r>
      <w:r w:rsidRPr="00A90A8D">
        <w:t>conditions</w:t>
      </w:r>
      <w:r w:rsidRPr="00002B46">
        <w:rPr>
          <w:rFonts w:eastAsia="Batang"/>
          <w:lang w:eastAsia="ko-KR"/>
        </w:rPr>
        <w:t xml:space="preserve">. Leasing is a simpler process. Leaseholder is not granted its own </w:t>
      </w:r>
      <w:proofErr w:type="spellStart"/>
      <w:r w:rsidRPr="00002B46">
        <w:rPr>
          <w:rFonts w:eastAsia="Batang"/>
          <w:lang w:eastAsia="ko-KR"/>
        </w:rPr>
        <w:t>licence</w:t>
      </w:r>
      <w:proofErr w:type="spellEnd"/>
      <w:r w:rsidRPr="00002B46">
        <w:rPr>
          <w:rFonts w:eastAsia="Batang"/>
          <w:lang w:eastAsia="ko-KR"/>
        </w:rPr>
        <w:t xml:space="preserve"> but uses the spectrum by virtue of a lease contract with a </w:t>
      </w:r>
      <w:proofErr w:type="spellStart"/>
      <w:r w:rsidRPr="00002B46">
        <w:rPr>
          <w:rFonts w:eastAsia="Batang"/>
          <w:lang w:eastAsia="ko-KR"/>
        </w:rPr>
        <w:t>licence</w:t>
      </w:r>
      <w:proofErr w:type="spellEnd"/>
      <w:r w:rsidRPr="00002B46">
        <w:rPr>
          <w:rFonts w:eastAsia="Batang"/>
          <w:lang w:eastAsia="ko-KR"/>
        </w:rPr>
        <w:t xml:space="preserve">-holder.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Bookman Old Style"/>
        </w:rPr>
      </w:pPr>
      <w:r w:rsidRPr="005B0D27">
        <w:rPr>
          <w:rFonts w:cs="Bookman Old Style"/>
        </w:rPr>
        <w:t>The trading framework</w:t>
      </w:r>
      <w:r>
        <w:rPr>
          <w:rFonts w:cs="Bookman Old Style"/>
        </w:rPr>
        <w:t xml:space="preserve">, </w:t>
      </w:r>
      <w:r w:rsidRPr="00A90A8D">
        <w:t>defined</w:t>
      </w:r>
      <w:r>
        <w:rPr>
          <w:rFonts w:cs="Bookman Old Style"/>
        </w:rPr>
        <w:t xml:space="preserve"> in the trading regulations,</w:t>
      </w:r>
      <w:r w:rsidRPr="005B0D27">
        <w:rPr>
          <w:rFonts w:cs="Bookman Old Style"/>
        </w:rPr>
        <w:t xml:space="preserve"> permits different types of </w:t>
      </w:r>
      <w:r w:rsidRPr="004335C4">
        <w:t>transaction</w:t>
      </w:r>
      <w:r w:rsidRPr="005B0D27">
        <w:rPr>
          <w:rFonts w:cs="Bookman Old Style"/>
        </w:rPr>
        <w:t xml:space="preserve"> or ‘modes of</w:t>
      </w:r>
      <w:r>
        <w:rPr>
          <w:rFonts w:cs="Bookman Old Style"/>
        </w:rPr>
        <w:t xml:space="preserve"> </w:t>
      </w:r>
      <w:r w:rsidRPr="005B0D27">
        <w:rPr>
          <w:rFonts w:cs="Bookman Old Style"/>
        </w:rPr>
        <w:t>trading’:</w:t>
      </w:r>
    </w:p>
    <w:p w:rsidR="007A5BDD" w:rsidRDefault="007A5BDD" w:rsidP="007A5BDD">
      <w:pPr>
        <w:pStyle w:val="NormalWeb"/>
        <w:numPr>
          <w:ilvl w:val="0"/>
          <w:numId w:val="40"/>
        </w:numPr>
        <w:tabs>
          <w:tab w:val="clear" w:pos="2160"/>
          <w:tab w:val="num" w:pos="1440"/>
        </w:tabs>
        <w:spacing w:before="120" w:beforeAutospacing="0" w:after="240" w:afterAutospacing="0" w:line="360" w:lineRule="auto"/>
        <w:ind w:left="1440"/>
        <w:jc w:val="both"/>
        <w:rPr>
          <w:rFonts w:ascii="Bookman Old Style" w:hAnsi="Bookman Old Style" w:cs="Bookman Old Style"/>
        </w:rPr>
      </w:pPr>
      <w:r>
        <w:rPr>
          <w:rFonts w:ascii="Bookman Old Style" w:hAnsi="Bookman Old Style" w:cs="Bookman Old Style"/>
          <w:b/>
        </w:rPr>
        <w:t>O</w:t>
      </w:r>
      <w:r w:rsidRPr="00383679">
        <w:rPr>
          <w:rFonts w:ascii="Bookman Old Style" w:hAnsi="Bookman Old Style" w:cs="Bookman Old Style"/>
          <w:b/>
        </w:rPr>
        <w:t>utright total transfers</w:t>
      </w:r>
      <w:r w:rsidRPr="005B0D27">
        <w:rPr>
          <w:rFonts w:ascii="Bookman Old Style" w:hAnsi="Bookman Old Style" w:cs="Bookman Old Style"/>
        </w:rPr>
        <w:t xml:space="preserve"> - all the rights and obligations under a licence are</w:t>
      </w:r>
      <w:r>
        <w:rPr>
          <w:rFonts w:ascii="Bookman Old Style" w:hAnsi="Bookman Old Style" w:cs="Bookman Old Style"/>
        </w:rPr>
        <w:t xml:space="preserve"> </w:t>
      </w:r>
      <w:r w:rsidRPr="005B0D27">
        <w:rPr>
          <w:rFonts w:ascii="Bookman Old Style" w:hAnsi="Bookman Old Style" w:cs="Bookman Old Style"/>
        </w:rPr>
        <w:t>transferred to a third party;</w:t>
      </w:r>
    </w:p>
    <w:p w:rsidR="007A5BDD" w:rsidRDefault="007A5BDD" w:rsidP="007A5BDD">
      <w:pPr>
        <w:pStyle w:val="NormalWeb"/>
        <w:numPr>
          <w:ilvl w:val="0"/>
          <w:numId w:val="40"/>
        </w:numPr>
        <w:tabs>
          <w:tab w:val="clear" w:pos="2160"/>
          <w:tab w:val="num" w:pos="1440"/>
        </w:tabs>
        <w:spacing w:before="120" w:beforeAutospacing="0" w:after="240" w:afterAutospacing="0" w:line="360" w:lineRule="auto"/>
        <w:ind w:left="1440"/>
        <w:jc w:val="both"/>
        <w:rPr>
          <w:rFonts w:ascii="Bookman Old Style" w:hAnsi="Bookman Old Style" w:cs="Bookman Old Style"/>
        </w:rPr>
      </w:pPr>
      <w:r>
        <w:rPr>
          <w:rFonts w:ascii="Bookman Old Style" w:hAnsi="Bookman Old Style" w:cs="Bookman Old Style"/>
          <w:b/>
        </w:rPr>
        <w:t>O</w:t>
      </w:r>
      <w:r w:rsidRPr="00383679">
        <w:rPr>
          <w:rFonts w:ascii="Bookman Old Style" w:hAnsi="Bookman Old Style" w:cs="Bookman Old Style"/>
          <w:b/>
        </w:rPr>
        <w:t>utright partial transfers</w:t>
      </w:r>
      <w:r w:rsidRPr="005B0D27">
        <w:rPr>
          <w:rFonts w:ascii="Bookman Old Style" w:hAnsi="Bookman Old Style" w:cs="Bookman Old Style"/>
        </w:rPr>
        <w:t xml:space="preserve"> - only some of the rights or obligations are transferred to</w:t>
      </w:r>
      <w:r>
        <w:rPr>
          <w:rFonts w:ascii="Bookman Old Style" w:hAnsi="Bookman Old Style" w:cs="Bookman Old Style"/>
        </w:rPr>
        <w:t xml:space="preserve"> </w:t>
      </w:r>
      <w:r w:rsidRPr="005B0D27">
        <w:rPr>
          <w:rFonts w:ascii="Bookman Old Style" w:hAnsi="Bookman Old Style" w:cs="Bookman Old Style"/>
        </w:rPr>
        <w:t>a third party and the rest remain with the original holder;</w:t>
      </w:r>
    </w:p>
    <w:p w:rsidR="007A5BDD" w:rsidRDefault="007A5BDD" w:rsidP="007A5BDD">
      <w:pPr>
        <w:pStyle w:val="NormalWeb"/>
        <w:numPr>
          <w:ilvl w:val="0"/>
          <w:numId w:val="40"/>
        </w:numPr>
        <w:tabs>
          <w:tab w:val="clear" w:pos="2160"/>
          <w:tab w:val="num" w:pos="1440"/>
        </w:tabs>
        <w:spacing w:before="120" w:beforeAutospacing="0" w:after="240" w:afterAutospacing="0" w:line="360" w:lineRule="auto"/>
        <w:ind w:left="1440"/>
        <w:jc w:val="both"/>
        <w:rPr>
          <w:rFonts w:ascii="Bookman Old Style" w:hAnsi="Bookman Old Style" w:cs="Bookman Old Style"/>
        </w:rPr>
      </w:pPr>
      <w:r>
        <w:rPr>
          <w:rFonts w:ascii="Bookman Old Style" w:hAnsi="Bookman Old Style" w:cs="Bookman Old Style"/>
          <w:b/>
        </w:rPr>
        <w:t>C</w:t>
      </w:r>
      <w:r w:rsidRPr="00383679">
        <w:rPr>
          <w:rFonts w:ascii="Bookman Old Style" w:hAnsi="Bookman Old Style" w:cs="Bookman Old Style"/>
          <w:b/>
        </w:rPr>
        <w:t>oncurrent total transfers</w:t>
      </w:r>
      <w:r w:rsidRPr="005B0D27">
        <w:rPr>
          <w:rFonts w:ascii="Bookman Old Style" w:hAnsi="Bookman Old Style" w:cs="Bookman Old Style"/>
        </w:rPr>
        <w:t xml:space="preserve"> - all the licence rights and obligations are transferred to</w:t>
      </w:r>
      <w:r>
        <w:rPr>
          <w:rFonts w:ascii="Bookman Old Style" w:hAnsi="Bookman Old Style" w:cs="Bookman Old Style"/>
        </w:rPr>
        <w:t xml:space="preserve"> </w:t>
      </w:r>
      <w:r w:rsidRPr="005B0D27">
        <w:rPr>
          <w:rFonts w:ascii="Bookman Old Style" w:hAnsi="Bookman Old Style" w:cs="Bookman Old Style"/>
        </w:rPr>
        <w:t>a third party while continuing at the same time to apply also to the original holder;</w:t>
      </w:r>
      <w:r>
        <w:rPr>
          <w:rFonts w:ascii="Bookman Old Style" w:hAnsi="Bookman Old Style" w:cs="Bookman Old Style"/>
        </w:rPr>
        <w:t xml:space="preserve"> </w:t>
      </w:r>
      <w:r w:rsidRPr="005B0D27">
        <w:rPr>
          <w:rFonts w:ascii="Bookman Old Style" w:hAnsi="Bookman Old Style" w:cs="Bookman Old Style"/>
        </w:rPr>
        <w:t>and</w:t>
      </w:r>
    </w:p>
    <w:p w:rsidR="007A5BDD" w:rsidRPr="005B0D27" w:rsidRDefault="007A5BDD" w:rsidP="007A5BDD">
      <w:pPr>
        <w:pStyle w:val="NormalWeb"/>
        <w:numPr>
          <w:ilvl w:val="0"/>
          <w:numId w:val="40"/>
        </w:numPr>
        <w:tabs>
          <w:tab w:val="clear" w:pos="2160"/>
          <w:tab w:val="num" w:pos="1440"/>
        </w:tabs>
        <w:spacing w:before="120" w:beforeAutospacing="0" w:after="240" w:afterAutospacing="0" w:line="360" w:lineRule="auto"/>
        <w:ind w:left="1440"/>
        <w:jc w:val="both"/>
        <w:rPr>
          <w:rFonts w:ascii="Bookman Old Style" w:hAnsi="Bookman Old Style" w:cs="Bookman Old Style"/>
        </w:rPr>
      </w:pPr>
      <w:r w:rsidRPr="00383679">
        <w:rPr>
          <w:rFonts w:ascii="Bookman Old Style" w:hAnsi="Bookman Old Style" w:cs="Bookman Old Style"/>
          <w:b/>
        </w:rPr>
        <w:t>Concurrent partial transfers</w:t>
      </w:r>
      <w:r w:rsidRPr="005B0D27">
        <w:rPr>
          <w:rFonts w:ascii="Bookman Old Style" w:hAnsi="Bookman Old Style" w:cs="Bookman Old Style"/>
        </w:rPr>
        <w:t xml:space="preserve"> - some of the licence rights and obligations are</w:t>
      </w:r>
      <w:r>
        <w:rPr>
          <w:rFonts w:ascii="Bookman Old Style" w:hAnsi="Bookman Old Style" w:cs="Bookman Old Style"/>
        </w:rPr>
        <w:t xml:space="preserve"> </w:t>
      </w:r>
      <w:r w:rsidRPr="005B0D27">
        <w:rPr>
          <w:rFonts w:ascii="Bookman Old Style" w:hAnsi="Bookman Old Style" w:cs="Bookman Old Style"/>
        </w:rPr>
        <w:t>transferred to a third party while continuing at the same time to apply also to the</w:t>
      </w:r>
      <w:r>
        <w:rPr>
          <w:rFonts w:ascii="Bookman Old Style" w:hAnsi="Bookman Old Style" w:cs="Bookman Old Style"/>
        </w:rPr>
        <w:t xml:space="preserve"> </w:t>
      </w:r>
      <w:r w:rsidRPr="005B0D27">
        <w:rPr>
          <w:rFonts w:ascii="Bookman Old Style" w:hAnsi="Bookman Old Style" w:cs="Bookman Old Style"/>
        </w:rPr>
        <w:t>original holder and the rest of the rights and obligations remain with the original</w:t>
      </w:r>
      <w:r>
        <w:rPr>
          <w:rFonts w:ascii="Bookman Old Style" w:hAnsi="Bookman Old Style" w:cs="Bookman Old Style"/>
        </w:rPr>
        <w:t xml:space="preserve"> </w:t>
      </w:r>
      <w:r w:rsidRPr="005B0D27">
        <w:rPr>
          <w:rFonts w:ascii="Bookman Old Style" w:hAnsi="Bookman Old Style" w:cs="Bookman Old Style"/>
        </w:rPr>
        <w:t>holder.</w:t>
      </w:r>
    </w:p>
    <w:p w:rsidR="007A5BDD" w:rsidRPr="00C33276"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eastAsia="Batang" w:cs="Arial"/>
          <w:lang w:eastAsia="ko-KR"/>
        </w:rPr>
      </w:pPr>
      <w:r w:rsidRPr="00C33276">
        <w:rPr>
          <w:rFonts w:cs="Bookman Old Style"/>
          <w:bCs/>
        </w:rPr>
        <w:t xml:space="preserve">In partial transfers, the rights or obligations may be divided by frequency band, geographical coverage or time. Sub-division by time is not currently allowed under the present Trading Regulations. </w:t>
      </w:r>
      <w:r w:rsidRPr="00C33276">
        <w:rPr>
          <w:rFonts w:eastAsia="Batang" w:cs="Arial"/>
          <w:bCs/>
          <w:lang w:eastAsia="ko-KR"/>
        </w:rPr>
        <w:t xml:space="preserve">The </w:t>
      </w:r>
      <w:proofErr w:type="gramStart"/>
      <w:r w:rsidRPr="00C33276">
        <w:rPr>
          <w:rFonts w:eastAsia="Batang" w:cs="Arial"/>
          <w:bCs/>
          <w:lang w:eastAsia="ko-KR"/>
        </w:rPr>
        <w:t>tables below gives</w:t>
      </w:r>
      <w:proofErr w:type="gramEnd"/>
      <w:r w:rsidRPr="00C33276">
        <w:rPr>
          <w:rFonts w:eastAsia="Batang" w:cs="Arial"/>
          <w:bCs/>
          <w:lang w:eastAsia="ko-KR"/>
        </w:rPr>
        <w:t xml:space="preserve"> </w:t>
      </w:r>
      <w:r w:rsidRPr="00C33276">
        <w:t>the</w:t>
      </w:r>
      <w:r w:rsidRPr="00C33276">
        <w:rPr>
          <w:rFonts w:eastAsia="Batang" w:cs="Arial"/>
          <w:bCs/>
          <w:lang w:eastAsia="ko-KR"/>
        </w:rPr>
        <w:t xml:space="preserve"> </w:t>
      </w:r>
      <w:r w:rsidRPr="00A90A8D">
        <w:t>details</w:t>
      </w:r>
      <w:r w:rsidRPr="00C33276">
        <w:rPr>
          <w:rFonts w:eastAsia="Batang" w:cs="Arial"/>
          <w:bCs/>
          <w:lang w:eastAsia="ko-KR"/>
        </w:rPr>
        <w:t xml:space="preserve"> of </w:t>
      </w:r>
      <w:proofErr w:type="spellStart"/>
      <w:r w:rsidRPr="00C33276">
        <w:rPr>
          <w:rFonts w:eastAsia="Batang" w:cs="Arial"/>
          <w:bCs/>
          <w:lang w:eastAsia="ko-KR"/>
        </w:rPr>
        <w:t>licences</w:t>
      </w:r>
      <w:proofErr w:type="spellEnd"/>
      <w:r w:rsidRPr="00C33276">
        <w:rPr>
          <w:rFonts w:eastAsia="Batang" w:cs="Arial"/>
          <w:bCs/>
          <w:lang w:eastAsia="ko-KR"/>
        </w:rPr>
        <w:t xml:space="preserve"> which can be leased out and also currently tradable </w:t>
      </w:r>
      <w:proofErr w:type="spellStart"/>
      <w:r w:rsidRPr="00C33276">
        <w:rPr>
          <w:rFonts w:eastAsia="Batang" w:cs="Arial"/>
          <w:bCs/>
          <w:lang w:eastAsia="ko-KR"/>
        </w:rPr>
        <w:t>licence</w:t>
      </w:r>
      <w:proofErr w:type="spellEnd"/>
      <w:r w:rsidRPr="00C33276">
        <w:rPr>
          <w:rFonts w:eastAsia="Batang" w:cs="Arial"/>
          <w:bCs/>
          <w:lang w:eastAsia="ko-KR"/>
        </w:rPr>
        <w:t xml:space="preserve"> in UK.</w:t>
      </w:r>
    </w:p>
    <w:p w:rsidR="007A5BDD" w:rsidRPr="00002B46" w:rsidRDefault="007A5BDD" w:rsidP="007A5BDD">
      <w:pPr>
        <w:spacing w:before="120" w:after="240" w:line="360" w:lineRule="auto"/>
        <w:ind w:left="720"/>
        <w:rPr>
          <w:rFonts w:eastAsia="Batang" w:cs="Arial"/>
          <w:lang w:eastAsia="ko-KR"/>
        </w:rPr>
      </w:pPr>
    </w:p>
    <w:p w:rsidR="007A5BDD" w:rsidRDefault="007A5BDD" w:rsidP="007A5BDD">
      <w:pPr>
        <w:pStyle w:val="NormalWeb"/>
        <w:spacing w:before="120" w:beforeAutospacing="0" w:after="240" w:afterAutospacing="0" w:line="360" w:lineRule="auto"/>
        <w:ind w:left="1080" w:hanging="990"/>
        <w:jc w:val="both"/>
        <w:rPr>
          <w:rFonts w:ascii="Bookman Old Style" w:eastAsia="Batang" w:hAnsi="Bookman Old Style" w:cs="Arial"/>
          <w:lang w:eastAsia="ko-KR"/>
        </w:rPr>
      </w:pPr>
      <w:r>
        <w:rPr>
          <w:rFonts w:ascii="Bookman Old Style" w:eastAsia="Batang" w:hAnsi="Bookman Old Style" w:cs="Arial"/>
          <w:noProof/>
          <w:lang w:val="en-US" w:eastAsia="en-US"/>
        </w:rPr>
        <w:lastRenderedPageBreak/>
        <w:drawing>
          <wp:inline distT="0" distB="0" distL="0" distR="0" wp14:anchorId="787D4ACE" wp14:editId="79ABCC20">
            <wp:extent cx="5486400" cy="542099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5486400" cy="5420995"/>
                    </a:xfrm>
                    <a:prstGeom prst="rect">
                      <a:avLst/>
                    </a:prstGeom>
                    <a:noFill/>
                    <a:ln w="9525">
                      <a:noFill/>
                      <a:miter lim="800000"/>
                      <a:headEnd/>
                      <a:tailEnd/>
                    </a:ln>
                  </pic:spPr>
                </pic:pic>
              </a:graphicData>
            </a:graphic>
          </wp:inline>
        </w:drawing>
      </w:r>
    </w:p>
    <w:p w:rsidR="007A5BDD" w:rsidRDefault="007A5BDD" w:rsidP="007A5BDD">
      <w:pPr>
        <w:pStyle w:val="NormalWeb"/>
        <w:spacing w:before="120" w:beforeAutospacing="0" w:after="240" w:afterAutospacing="0" w:line="360" w:lineRule="auto"/>
        <w:ind w:left="1080" w:hanging="900"/>
        <w:rPr>
          <w:rFonts w:ascii="Bookman Old Style" w:eastAsia="Batang" w:hAnsi="Bookman Old Style" w:cs="Arial"/>
          <w:lang w:eastAsia="ko-KR"/>
        </w:rPr>
      </w:pPr>
      <w:r>
        <w:rPr>
          <w:rFonts w:ascii="Bookman Old Style" w:eastAsia="Batang" w:hAnsi="Bookman Old Style" w:cs="Arial"/>
          <w:noProof/>
          <w:lang w:val="en-US" w:eastAsia="en-US"/>
        </w:rPr>
        <w:drawing>
          <wp:inline distT="0" distB="0" distL="0" distR="0" wp14:anchorId="2461977E" wp14:editId="4EFD7891">
            <wp:extent cx="4781546" cy="217714"/>
            <wp:effectExtent l="19050" t="0" r="4"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4786329" cy="217932"/>
                    </a:xfrm>
                    <a:prstGeom prst="rect">
                      <a:avLst/>
                    </a:prstGeom>
                    <a:noFill/>
                    <a:ln w="9525">
                      <a:noFill/>
                      <a:miter lim="800000"/>
                      <a:headEnd/>
                      <a:tailEnd/>
                    </a:ln>
                  </pic:spPr>
                </pic:pic>
              </a:graphicData>
            </a:graphic>
          </wp:inline>
        </w:drawing>
      </w:r>
    </w:p>
    <w:p w:rsidR="007A5BDD" w:rsidRPr="002F78DD" w:rsidRDefault="007A5BDD" w:rsidP="007A5BDD">
      <w:pPr>
        <w:tabs>
          <w:tab w:val="num" w:pos="2160"/>
        </w:tabs>
        <w:spacing w:before="120" w:after="240" w:line="360" w:lineRule="auto"/>
        <w:rPr>
          <w:rFonts w:cs="Bookman Old Style"/>
          <w:b/>
        </w:rPr>
      </w:pPr>
      <w:r w:rsidRPr="002F78DD">
        <w:rPr>
          <w:b/>
        </w:rPr>
        <w:t xml:space="preserve">Australia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675388">
        <w:t xml:space="preserve">Under the </w:t>
      </w:r>
      <w:proofErr w:type="spellStart"/>
      <w:r w:rsidRPr="00675388">
        <w:rPr>
          <w:rFonts w:cs="Bookman Old Style"/>
          <w:bCs/>
        </w:rPr>
        <w:t>Radiocommunications</w:t>
      </w:r>
      <w:proofErr w:type="spellEnd"/>
      <w:r w:rsidRPr="00675388">
        <w:rPr>
          <w:rFonts w:cs="Bookman Old Style"/>
          <w:bCs/>
        </w:rPr>
        <w:t xml:space="preserve"> Act 1992</w:t>
      </w:r>
      <w:r w:rsidRPr="00675388">
        <w:t xml:space="preserve">, there are </w:t>
      </w:r>
      <w:r>
        <w:t>three</w:t>
      </w:r>
      <w:r w:rsidRPr="00675388">
        <w:t xml:space="preserve"> types of </w:t>
      </w:r>
      <w:proofErr w:type="spellStart"/>
      <w:r w:rsidRPr="00675388">
        <w:t>licences</w:t>
      </w:r>
      <w:proofErr w:type="spellEnd"/>
      <w:r>
        <w:t xml:space="preserve"> in Australia</w:t>
      </w:r>
      <w:r w:rsidRPr="00675388">
        <w:t xml:space="preserve">. </w:t>
      </w:r>
      <w:r w:rsidRPr="00A37647">
        <w:rPr>
          <w:b/>
        </w:rPr>
        <w:t xml:space="preserve">Spectrum </w:t>
      </w:r>
      <w:proofErr w:type="spellStart"/>
      <w:r w:rsidRPr="00A37647">
        <w:rPr>
          <w:b/>
        </w:rPr>
        <w:t>licences</w:t>
      </w:r>
      <w:proofErr w:type="spellEnd"/>
      <w:r w:rsidRPr="00A37647">
        <w:rPr>
          <w:b/>
        </w:rPr>
        <w:t>,</w:t>
      </w:r>
      <w:r w:rsidRPr="00675388">
        <w:t xml:space="preserve"> which are initially auctioned</w:t>
      </w:r>
      <w:r>
        <w:t>,</w:t>
      </w:r>
      <w:r w:rsidRPr="00675388">
        <w:t xml:space="preserve"> are fully tradable whereas </w:t>
      </w:r>
      <w:r w:rsidRPr="00A37647">
        <w:rPr>
          <w:b/>
        </w:rPr>
        <w:t xml:space="preserve">apparatus </w:t>
      </w:r>
      <w:proofErr w:type="spellStart"/>
      <w:r w:rsidRPr="00A37647">
        <w:rPr>
          <w:b/>
        </w:rPr>
        <w:t>licences</w:t>
      </w:r>
      <w:proofErr w:type="spellEnd"/>
      <w:r w:rsidRPr="00675388">
        <w:t xml:space="preserve"> which are site, service and technology specific, </w:t>
      </w:r>
      <w:r>
        <w:t>are</w:t>
      </w:r>
      <w:r w:rsidRPr="00675388">
        <w:t xml:space="preserve"> transferable. </w:t>
      </w:r>
      <w:r w:rsidRPr="00675388">
        <w:rPr>
          <w:rFonts w:cs="Bookman Old Style"/>
          <w:bCs/>
        </w:rPr>
        <w:t xml:space="preserve">While spectrum </w:t>
      </w:r>
      <w:proofErr w:type="spellStart"/>
      <w:r w:rsidRPr="00675388">
        <w:rPr>
          <w:rFonts w:cs="Bookman Old Style"/>
          <w:bCs/>
        </w:rPr>
        <w:t>licences</w:t>
      </w:r>
      <w:proofErr w:type="spellEnd"/>
      <w:r w:rsidRPr="00675388">
        <w:rPr>
          <w:rFonts w:cs="Bookman Old Style"/>
          <w:bCs/>
        </w:rPr>
        <w:t xml:space="preserve"> can be divided and aggregated, apparatus </w:t>
      </w:r>
      <w:proofErr w:type="spellStart"/>
      <w:r w:rsidRPr="00675388">
        <w:rPr>
          <w:rFonts w:cs="Bookman Old Style"/>
          <w:bCs/>
        </w:rPr>
        <w:t>licences</w:t>
      </w:r>
      <w:proofErr w:type="spellEnd"/>
      <w:r w:rsidRPr="00675388">
        <w:rPr>
          <w:rFonts w:cs="Bookman Old Style"/>
          <w:bCs/>
        </w:rPr>
        <w:t xml:space="preserve"> are transferred in whole, with no changes to terms and conditions</w:t>
      </w:r>
      <w:r w:rsidRPr="00675388">
        <w:rPr>
          <w:bCs/>
        </w:rPr>
        <w:t xml:space="preserve">. </w:t>
      </w:r>
      <w:r w:rsidRPr="00675388">
        <w:t xml:space="preserve">There are also a number of </w:t>
      </w:r>
      <w:r>
        <w:t>c</w:t>
      </w:r>
      <w:r w:rsidRPr="00675388">
        <w:t xml:space="preserve">lass </w:t>
      </w:r>
      <w:proofErr w:type="spellStart"/>
      <w:r w:rsidRPr="00675388">
        <w:t>licences</w:t>
      </w:r>
      <w:proofErr w:type="spellEnd"/>
      <w:r w:rsidRPr="00675388">
        <w:t>, which sets out the conditions under which any person is permitted to operate on a shared, un-licensed basis</w:t>
      </w:r>
      <w:r>
        <w:t xml:space="preserve">. Class </w:t>
      </w:r>
      <w:proofErr w:type="spellStart"/>
      <w:r>
        <w:t>licences</w:t>
      </w:r>
      <w:proofErr w:type="spellEnd"/>
      <w:r w:rsidRPr="00675388">
        <w:t xml:space="preserve"> are not issued to individual users. As such, tradin</w:t>
      </w:r>
      <w:r>
        <w:t>g</w:t>
      </w:r>
      <w:r w:rsidRPr="00675388">
        <w:t xml:space="preserve"> is not relevant to Class </w:t>
      </w:r>
      <w:proofErr w:type="spellStart"/>
      <w:r w:rsidRPr="00675388">
        <w:t>licences</w:t>
      </w:r>
      <w:proofErr w:type="spellEnd"/>
      <w:r w:rsidRPr="00675388">
        <w:t xml:space="preserve">.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E46CCF">
        <w:lastRenderedPageBreak/>
        <w:t xml:space="preserve">Spectrum </w:t>
      </w:r>
      <w:proofErr w:type="spellStart"/>
      <w:r w:rsidRPr="00E46CCF">
        <w:t>licences</w:t>
      </w:r>
      <w:proofErr w:type="spellEnd"/>
      <w:r w:rsidRPr="00E46CCF">
        <w:t xml:space="preserve"> may be combined or sub-divided to form new </w:t>
      </w:r>
      <w:proofErr w:type="spellStart"/>
      <w:r w:rsidRPr="00E46CCF">
        <w:t>licences</w:t>
      </w:r>
      <w:proofErr w:type="spellEnd"/>
      <w:r w:rsidRPr="00E46CCF">
        <w:t>.</w:t>
      </w:r>
      <w:r>
        <w:t xml:space="preserve"> However, t</w:t>
      </w:r>
      <w:r w:rsidRPr="00E46CCF">
        <w:t xml:space="preserve">here are certain technical restrictions specific to spectrum </w:t>
      </w:r>
      <w:proofErr w:type="spellStart"/>
      <w:r w:rsidRPr="00E46CCF">
        <w:t>licence</w:t>
      </w:r>
      <w:proofErr w:type="spellEnd"/>
      <w:r w:rsidRPr="00E46CCF">
        <w:t xml:space="preserve"> trades. A spectrum </w:t>
      </w:r>
      <w:proofErr w:type="spellStart"/>
      <w:r w:rsidRPr="00E46CCF">
        <w:t>licence</w:t>
      </w:r>
      <w:proofErr w:type="spellEnd"/>
      <w:r w:rsidRPr="00E46CCF">
        <w:t xml:space="preserve"> can be sold in whole or in part:  by geographic area and/or bandwidth although they may not be subdivided smaller than a standard trading unit (STU</w:t>
      </w:r>
      <w:r>
        <w:rPr>
          <w:rStyle w:val="FootnoteReference"/>
        </w:rPr>
        <w:footnoteReference w:id="10"/>
      </w:r>
      <w:r w:rsidRPr="00E46CCF">
        <w:t xml:space="preserve">).  STUs are defined by geographical area and radio frequency bandwidth. This </w:t>
      </w:r>
      <w:r>
        <w:t>is</w:t>
      </w:r>
      <w:r w:rsidRPr="00E46CCF">
        <w:t xml:space="preserve"> intended to prevent fragmentation of the band.  STUs can be stacked horizontally to enable greater coverage, or vertically to provide greater bandwidth. The geographical coverage is constant for all bands, while the frequency bandwidths of STUs vary in size depending on the </w:t>
      </w:r>
      <w:r w:rsidRPr="004335C4">
        <w:t>spectrum</w:t>
      </w:r>
      <w:r w:rsidRPr="00E46CCF">
        <w:t xml:space="preserve"> band in which </w:t>
      </w:r>
      <w:proofErr w:type="spellStart"/>
      <w:r w:rsidRPr="00E46CCF">
        <w:t>licences</w:t>
      </w:r>
      <w:proofErr w:type="spellEnd"/>
      <w:r w:rsidRPr="00E46CCF">
        <w:t xml:space="preserve"> are issued. Spectrum </w:t>
      </w:r>
      <w:proofErr w:type="spellStart"/>
      <w:r w:rsidRPr="00E46CCF">
        <w:t>licences</w:t>
      </w:r>
      <w:proofErr w:type="spellEnd"/>
      <w:r w:rsidRPr="00E46CCF">
        <w:t xml:space="preserve"> are made up of one or more STUs. Further, each </w:t>
      </w:r>
      <w:proofErr w:type="spellStart"/>
      <w:r w:rsidRPr="00E46CCF">
        <w:t>licence</w:t>
      </w:r>
      <w:proofErr w:type="spellEnd"/>
      <w:r w:rsidRPr="00E46CCF">
        <w:t xml:space="preserve"> must </w:t>
      </w:r>
      <w:r>
        <w:t>have</w:t>
      </w:r>
      <w:r w:rsidRPr="00E46CCF">
        <w:t xml:space="preserve"> at least the Minimum Contiguous Bandwidth (MCB). Minimum bandwidths range from 1</w:t>
      </w:r>
      <w:r>
        <w:t xml:space="preserve"> </w:t>
      </w:r>
      <w:r w:rsidRPr="00E46CCF">
        <w:t>MHz to 5</w:t>
      </w:r>
      <w:r>
        <w:t xml:space="preserve"> </w:t>
      </w:r>
      <w:r w:rsidRPr="00E46CCF">
        <w:t xml:space="preserve">MHz depending on the frequency band. </w:t>
      </w:r>
    </w:p>
    <w:p w:rsidR="007A5BDD" w:rsidRPr="00823692" w:rsidRDefault="007A5BDD" w:rsidP="007A5BDD">
      <w:pPr>
        <w:tabs>
          <w:tab w:val="left" w:pos="900"/>
        </w:tabs>
        <w:spacing w:before="120" w:after="240" w:line="360" w:lineRule="auto"/>
        <w:ind w:left="720"/>
        <w:rPr>
          <w:rFonts w:cs="Bookman Old Style"/>
        </w:rPr>
      </w:pPr>
      <w:r>
        <w:rPr>
          <w:rFonts w:cs="Bookman Old Style"/>
          <w:b/>
        </w:rPr>
        <w:t xml:space="preserve"> </w:t>
      </w:r>
      <w:r w:rsidRPr="00823692">
        <w:rPr>
          <w:rFonts w:cs="Bookman Old Style"/>
          <w:b/>
        </w:rPr>
        <w:t>New Zealand</w:t>
      </w:r>
      <w:r>
        <w:rPr>
          <w:rStyle w:val="FootnoteReference"/>
          <w:rFonts w:cs="Bookman Old Style"/>
          <w:b/>
          <w:bCs/>
        </w:rPr>
        <w:footnoteReference w:id="11"/>
      </w:r>
      <w:r w:rsidRPr="00823692">
        <w:rPr>
          <w:rFonts w:cs="Bookman Old Style"/>
          <w:b/>
          <w:bCs/>
        </w:rPr>
        <w:t xml:space="preserve">:  </w:t>
      </w:r>
    </w:p>
    <w:p w:rsidR="007A5BDD" w:rsidRPr="00AC2D4C" w:rsidRDefault="007A5BDD" w:rsidP="007A5BDD">
      <w:pPr>
        <w:pStyle w:val="ListParagraph"/>
        <w:numPr>
          <w:ilvl w:val="0"/>
          <w:numId w:val="15"/>
        </w:numPr>
        <w:shd w:val="clear" w:color="auto" w:fill="FFFFFF"/>
        <w:tabs>
          <w:tab w:val="left" w:pos="810"/>
        </w:tabs>
        <w:spacing w:before="120" w:after="240" w:line="360" w:lineRule="auto"/>
        <w:ind w:left="810" w:hanging="810"/>
        <w:jc w:val="both"/>
        <w:rPr>
          <w:lang w:eastAsia="en-IN"/>
        </w:rPr>
      </w:pPr>
      <w:r w:rsidRPr="00AC2D4C">
        <w:rPr>
          <w:lang w:eastAsia="en-IN"/>
        </w:rPr>
        <w:t xml:space="preserve">New Zealand was the first country in the world to allow secondary </w:t>
      </w:r>
      <w:r>
        <w:rPr>
          <w:lang w:eastAsia="en-IN"/>
        </w:rPr>
        <w:t>t</w:t>
      </w:r>
      <w:r w:rsidRPr="00AC2D4C">
        <w:rPr>
          <w:lang w:eastAsia="en-IN"/>
        </w:rPr>
        <w:t xml:space="preserve">rading of radio spectrum. The </w:t>
      </w:r>
      <w:proofErr w:type="spellStart"/>
      <w:r w:rsidRPr="00AC2D4C">
        <w:rPr>
          <w:lang w:eastAsia="en-IN"/>
        </w:rPr>
        <w:t>Radiocommunications</w:t>
      </w:r>
      <w:proofErr w:type="spellEnd"/>
      <w:r w:rsidRPr="00AC2D4C">
        <w:rPr>
          <w:lang w:eastAsia="en-IN"/>
        </w:rPr>
        <w:t xml:space="preserve"> Act of 1989 introduced a scheme of tradable spectrum rights. Since 1989, the Government has progressively transferred more frequencies to the market based </w:t>
      </w:r>
      <w:r w:rsidRPr="004335C4">
        <w:t>framework</w:t>
      </w:r>
      <w:r w:rsidRPr="00AC2D4C">
        <w:rPr>
          <w:lang w:eastAsia="en-IN"/>
        </w:rPr>
        <w:t xml:space="preserve"> by creating Management Rights for more frequency bands.</w:t>
      </w:r>
    </w:p>
    <w:p w:rsidR="007A5BDD" w:rsidRPr="00C00FA8"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Bookman Old Style"/>
        </w:rPr>
      </w:pPr>
      <w:r w:rsidRPr="00C00FA8">
        <w:rPr>
          <w:rFonts w:cs="Bookman Old Style"/>
        </w:rPr>
        <w:t xml:space="preserve">The </w:t>
      </w:r>
      <w:proofErr w:type="spellStart"/>
      <w:r w:rsidRPr="004335C4">
        <w:t>Radiocommunications</w:t>
      </w:r>
      <w:proofErr w:type="spellEnd"/>
      <w:r w:rsidRPr="00C00FA8">
        <w:rPr>
          <w:rFonts w:cs="Bookman Old Style"/>
        </w:rPr>
        <w:t xml:space="preserve"> Act 1989 put in place a two-tier market-based mechanism for managing spectrum access: </w:t>
      </w:r>
    </w:p>
    <w:p w:rsidR="007A5BDD" w:rsidRPr="00D47873" w:rsidRDefault="007A5BDD" w:rsidP="007A5BDD">
      <w:pPr>
        <w:pStyle w:val="NormalWeb"/>
        <w:numPr>
          <w:ilvl w:val="0"/>
          <w:numId w:val="38"/>
        </w:numPr>
        <w:tabs>
          <w:tab w:val="clear" w:pos="720"/>
          <w:tab w:val="num" w:pos="1260"/>
        </w:tabs>
        <w:spacing w:before="120" w:beforeAutospacing="0" w:after="240" w:afterAutospacing="0" w:line="360" w:lineRule="auto"/>
        <w:ind w:left="1260"/>
        <w:jc w:val="both"/>
        <w:rPr>
          <w:rFonts w:ascii="Bookman Old Style" w:hAnsi="Bookman Old Style" w:cs="Bookman Old Style"/>
        </w:rPr>
      </w:pPr>
      <w:r w:rsidRPr="002B229C">
        <w:rPr>
          <w:rFonts w:ascii="Bookman Old Style" w:hAnsi="Bookman Old Style" w:cs="Bookman Old Style"/>
          <w:b/>
        </w:rPr>
        <w:t>Management Rights</w:t>
      </w:r>
      <w:r w:rsidRPr="00D47873">
        <w:rPr>
          <w:rFonts w:ascii="Bookman Old Style" w:hAnsi="Bookman Old Style" w:cs="Bookman Old Style"/>
        </w:rPr>
        <w:t>, which are 20 year leases, giving the manager the exclusive right to manage a nationwide band of frequencies. The Government can either retain the Management Right of a particular band or allocate a tradable Management Right to a private entity. Within this band the manager can issue spectrum licences.</w:t>
      </w:r>
    </w:p>
    <w:p w:rsidR="007A5BDD" w:rsidRPr="00D5428E" w:rsidRDefault="007A5BDD" w:rsidP="007A5BDD">
      <w:pPr>
        <w:pStyle w:val="NormalWeb"/>
        <w:numPr>
          <w:ilvl w:val="0"/>
          <w:numId w:val="38"/>
        </w:numPr>
        <w:tabs>
          <w:tab w:val="clear" w:pos="720"/>
          <w:tab w:val="num" w:pos="1260"/>
        </w:tabs>
        <w:spacing w:before="120" w:beforeAutospacing="0" w:after="240" w:afterAutospacing="0" w:line="360" w:lineRule="auto"/>
        <w:ind w:left="1260"/>
        <w:jc w:val="both"/>
        <w:rPr>
          <w:rFonts w:ascii="Bookman Old Style" w:hAnsi="Bookman Old Style" w:cs="Bookman Old Style"/>
        </w:rPr>
      </w:pPr>
      <w:r w:rsidRPr="002B229C">
        <w:rPr>
          <w:rFonts w:ascii="Bookman Old Style" w:hAnsi="Bookman Old Style" w:cs="Bookman Old Style"/>
          <w:b/>
        </w:rPr>
        <w:t>Spectrum Licences</w:t>
      </w:r>
      <w:r w:rsidRPr="00D47873">
        <w:rPr>
          <w:rFonts w:ascii="Bookman Old Style" w:hAnsi="Bookman Old Style" w:cs="Bookman Old Style"/>
        </w:rPr>
        <w:t xml:space="preserve">, which </w:t>
      </w:r>
      <w:r>
        <w:rPr>
          <w:rFonts w:ascii="Bookman Old Style" w:hAnsi="Bookman Old Style" w:cs="Bookman Old Style"/>
        </w:rPr>
        <w:t>assigns</w:t>
      </w:r>
      <w:r w:rsidRPr="00D47873">
        <w:rPr>
          <w:rFonts w:ascii="Bookman Old Style" w:hAnsi="Bookman Old Style" w:cs="Bookman Old Style"/>
        </w:rPr>
        <w:t xml:space="preserve"> the holder the right to use spectrum within the band specified within a defined area. The range of uses to which spectrum can be put is unlimited, other than by interference constraints.</w:t>
      </w:r>
      <w:r>
        <w:rPr>
          <w:rFonts w:ascii="Bookman Old Style" w:hAnsi="Bookman Old Style" w:cs="Bookman Old Style"/>
        </w:rPr>
        <w:t xml:space="preserve">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2A24C7">
        <w:rPr>
          <w:rFonts w:cs="Bookman Old Style"/>
        </w:rPr>
        <w:lastRenderedPageBreak/>
        <w:t xml:space="preserve">The </w:t>
      </w:r>
      <w:proofErr w:type="spellStart"/>
      <w:r w:rsidRPr="002A24C7">
        <w:rPr>
          <w:rFonts w:cs="Bookman Old Style"/>
        </w:rPr>
        <w:t>Radiocommunications</w:t>
      </w:r>
      <w:proofErr w:type="spellEnd"/>
      <w:r w:rsidRPr="002A24C7">
        <w:rPr>
          <w:rFonts w:cs="Bookman Old Style"/>
        </w:rPr>
        <w:t xml:space="preserve"> Amendment Act 2000 gave government the power to sell or auction management rights. It follows that spectrum management rights may be sold, assigned, </w:t>
      </w:r>
      <w:r w:rsidRPr="002A24C7">
        <w:rPr>
          <w:lang w:eastAsia="en-IN"/>
        </w:rPr>
        <w:t>leased</w:t>
      </w:r>
      <w:r w:rsidRPr="002A24C7">
        <w:rPr>
          <w:rFonts w:cs="Bookman Old Style"/>
        </w:rPr>
        <w:t xml:space="preserve">, </w:t>
      </w:r>
      <w:r w:rsidRPr="002A24C7">
        <w:t>transferred</w:t>
      </w:r>
      <w:r w:rsidRPr="002A24C7">
        <w:rPr>
          <w:rFonts w:cs="Bookman Old Style"/>
        </w:rPr>
        <w:t xml:space="preserve"> and traded, initially by the Crown and subsequently by right holders in secondary markets. </w:t>
      </w:r>
      <w:r w:rsidRPr="002A24C7">
        <w:t xml:space="preserve">It is a matter for the spectrum managers concerned whether or not to trade their rights and, if so, on what basis. There are no restrictions on the activities of operators or on the number of entrants into the market, or </w:t>
      </w:r>
      <w:proofErr w:type="spellStart"/>
      <w:r w:rsidRPr="002A24C7">
        <w:t>specialised</w:t>
      </w:r>
      <w:proofErr w:type="spellEnd"/>
      <w:r w:rsidRPr="002A24C7">
        <w:t xml:space="preserve"> licensing requirements. Private management rights cover various spectrum areas including cellular telephone, broadcasting and fixed link services. Managers in these bands are free to issue </w:t>
      </w:r>
      <w:proofErr w:type="spellStart"/>
      <w:r w:rsidRPr="002A24C7">
        <w:t>licences</w:t>
      </w:r>
      <w:proofErr w:type="spellEnd"/>
      <w:r w:rsidRPr="002A24C7">
        <w:t xml:space="preserve"> according to their own policies.</w:t>
      </w:r>
    </w:p>
    <w:p w:rsidR="007A5BDD" w:rsidRPr="00566E23"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566E23">
        <w:t xml:space="preserve">Management rights are under the protection of limits on frequency emissions from adjacent bands that define the strength of out-of-band emissions. Spectrum </w:t>
      </w:r>
      <w:proofErr w:type="spellStart"/>
      <w:r w:rsidRPr="00566E23">
        <w:t>licences</w:t>
      </w:r>
      <w:proofErr w:type="spellEnd"/>
      <w:r w:rsidRPr="00566E23">
        <w:t xml:space="preserve"> have unwanted emission limits and maximum permitted interference limits. There are no sector-specific competition rules. Instead, such concerns within the industry are dealt with </w:t>
      </w:r>
      <w:r w:rsidRPr="004335C4">
        <w:t>using</w:t>
      </w:r>
      <w:r w:rsidRPr="00566E23">
        <w:t xml:space="preserve"> general competition law.</w:t>
      </w:r>
      <w:r>
        <w:t xml:space="preserve"> </w:t>
      </w:r>
      <w:r w:rsidRPr="00566E23">
        <w:t xml:space="preserve">The New Zealand Register of Frequencies is available online. </w:t>
      </w:r>
    </w:p>
    <w:p w:rsidR="007A5BDD" w:rsidRPr="000C4240" w:rsidRDefault="007A5BDD" w:rsidP="007A5BDD">
      <w:pPr>
        <w:pStyle w:val="NormalWeb"/>
        <w:tabs>
          <w:tab w:val="left" w:pos="900"/>
        </w:tabs>
        <w:spacing w:before="120" w:beforeAutospacing="0" w:after="240" w:afterAutospacing="0" w:line="360" w:lineRule="auto"/>
        <w:ind w:firstLine="810"/>
        <w:jc w:val="both"/>
        <w:rPr>
          <w:rStyle w:val="Strong"/>
          <w:rFonts w:cs="Bookman Old Style"/>
          <w:b/>
          <w:bCs w:val="0"/>
        </w:rPr>
      </w:pPr>
      <w:r w:rsidRPr="000C4240">
        <w:rPr>
          <w:rStyle w:val="Strong"/>
          <w:rFonts w:cs="Bookman Old Style"/>
          <w:b/>
        </w:rPr>
        <w:t xml:space="preserve">United States of America (USA) </w:t>
      </w:r>
    </w:p>
    <w:p w:rsidR="007A5BDD" w:rsidRPr="00972EE1"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Bookman Old Style"/>
        </w:rPr>
      </w:pPr>
      <w:r w:rsidRPr="00CC2EAE">
        <w:t>The Federal Communications Commission (FCC) has been introducing measures to promote secondary markets and gradually mov</w:t>
      </w:r>
      <w:r>
        <w:t>ing</w:t>
      </w:r>
      <w:r w:rsidRPr="00CC2EAE">
        <w:t xml:space="preserve"> away from a command and control approach</w:t>
      </w:r>
      <w:r w:rsidRPr="00972EE1">
        <w:t xml:space="preserve"> in the direction of flexible use of spectrum, in conjunction with generally liberalized practices.</w:t>
      </w:r>
      <w:r>
        <w:t xml:space="preserve"> </w:t>
      </w:r>
      <w:r w:rsidRPr="00972EE1">
        <w:t xml:space="preserve">Trades involving the transfer of a whole </w:t>
      </w:r>
      <w:proofErr w:type="spellStart"/>
      <w:r w:rsidRPr="00972EE1">
        <w:t>licence</w:t>
      </w:r>
      <w:proofErr w:type="spellEnd"/>
      <w:r w:rsidRPr="00972EE1">
        <w:t xml:space="preserve"> </w:t>
      </w:r>
      <w:r>
        <w:t>are permitted</w:t>
      </w:r>
      <w:r w:rsidRPr="00972EE1">
        <w:t xml:space="preserve"> subject to individual FCC approval. </w:t>
      </w:r>
    </w:p>
    <w:p w:rsidR="007A5BDD" w:rsidRPr="00786B56"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Style w:val="Strong"/>
          <w:rFonts w:cs="Bookman Old Style"/>
          <w:b/>
          <w:bCs w:val="0"/>
        </w:rPr>
      </w:pPr>
      <w:r w:rsidRPr="00786B56">
        <w:t xml:space="preserve">In 2003, FCC introduced new regulations </w:t>
      </w:r>
      <w:proofErr w:type="spellStart"/>
      <w:r w:rsidRPr="00786B56">
        <w:t>authorising</w:t>
      </w:r>
      <w:proofErr w:type="spellEnd"/>
      <w:r w:rsidRPr="00786B56">
        <w:t xml:space="preserve"> most wireless radio licensees with exclusive rights to their assigned spectrum to enter into spectrum-leasing arrangements. Licensees in the Wireless Radio Services covered may lease some or</w:t>
      </w:r>
      <w:r w:rsidRPr="00786B56">
        <w:rPr>
          <w:rFonts w:cs="Bookman Old Style"/>
        </w:rPr>
        <w:t xml:space="preserve"> all of their spectrum usage rights to third parties, for any amount of spectrum and in any geographic area encompassed by the license, and for any period of time within the term of the license.  These policies and rules affect both mobile and fixed services, including (but not limited to) cellular, personal communications services (PCS), </w:t>
      </w:r>
      <w:proofErr w:type="spellStart"/>
      <w:r w:rsidRPr="00786B56">
        <w:rPr>
          <w:rFonts w:cs="Bookman Old Style"/>
        </w:rPr>
        <w:t>specialised</w:t>
      </w:r>
      <w:proofErr w:type="spellEnd"/>
      <w:r w:rsidRPr="00786B56">
        <w:rPr>
          <w:rFonts w:cs="Bookman Old Style"/>
        </w:rPr>
        <w:t xml:space="preserve"> mobile radio (SMR), local multipoint distribution service (LMDS), fixed microwave, 24GHz and 39GHz.</w:t>
      </w:r>
      <w:r>
        <w:rPr>
          <w:rFonts w:cs="Bookman Old Style"/>
        </w:rPr>
        <w:t xml:space="preserve"> </w:t>
      </w:r>
      <w:r w:rsidRPr="00786B56">
        <w:rPr>
          <w:rFonts w:cs="Bookman Old Style"/>
        </w:rPr>
        <w:t xml:space="preserve">FCC provides parties to spectrum lease transactions through two different approaches based on the scope of the rights and </w:t>
      </w:r>
      <w:r w:rsidRPr="00786B56">
        <w:t>responsibilitie</w:t>
      </w:r>
      <w:r w:rsidRPr="00786B56">
        <w:rPr>
          <w:rFonts w:cs="Bookman Old Style"/>
        </w:rPr>
        <w:t xml:space="preserve">s to be assumed by the lessee when leasing spectrum.  These two approaches are </w:t>
      </w:r>
      <w:proofErr w:type="spellStart"/>
      <w:r w:rsidRPr="00786B56">
        <w:rPr>
          <w:rFonts w:cs="Bookman Old Style"/>
        </w:rPr>
        <w:t>give</w:t>
      </w:r>
      <w:proofErr w:type="spellEnd"/>
      <w:r w:rsidRPr="00786B56">
        <w:rPr>
          <w:rFonts w:cs="Bookman Old Style"/>
        </w:rPr>
        <w:t xml:space="preserve"> below:</w:t>
      </w:r>
    </w:p>
    <w:p w:rsidR="007A5BDD" w:rsidRPr="00C00FA8"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Style w:val="Strong"/>
          <w:rFonts w:cs="Bookman Old Style"/>
          <w:b/>
          <w:bCs w:val="0"/>
        </w:rPr>
      </w:pPr>
      <w:r w:rsidRPr="00C00FA8">
        <w:rPr>
          <w:rFonts w:cs="Bookman Old Style"/>
          <w:b/>
          <w:bCs/>
          <w:i/>
          <w:iCs/>
        </w:rPr>
        <w:lastRenderedPageBreak/>
        <w:t>“Spectrum manager” leasing</w:t>
      </w:r>
      <w:r w:rsidRPr="00C00FA8">
        <w:rPr>
          <w:rFonts w:cs="Bookman Old Style"/>
          <w:i/>
          <w:iCs/>
        </w:rPr>
        <w:t>:</w:t>
      </w:r>
      <w:r w:rsidRPr="00C00FA8">
        <w:rPr>
          <w:rFonts w:cs="Bookman Old Style"/>
        </w:rPr>
        <w:t xml:space="preserve">  Under the “spectrum manager” leasing option, licensees and spectrum lessees may enter into spectrum leasing arrangements without the need for prior Commission approval, provided that licensees retain </w:t>
      </w:r>
      <w:r w:rsidRPr="00C00FA8">
        <w:rPr>
          <w:rFonts w:cs="Bookman Old Style"/>
          <w:i/>
          <w:iCs/>
        </w:rPr>
        <w:t xml:space="preserve">de facto </w:t>
      </w:r>
      <w:r>
        <w:rPr>
          <w:rFonts w:cs="Bookman Old Style"/>
        </w:rPr>
        <w:t xml:space="preserve">control </w:t>
      </w:r>
      <w:r w:rsidRPr="00C00FA8">
        <w:rPr>
          <w:rFonts w:cs="Bookman Old Style"/>
        </w:rPr>
        <w:t>over the leased spectrum.  Under this leasing option, the licensee acts as a “spectrum manager” with regard to the spectrum rights it chooses to lease.</w:t>
      </w:r>
      <w:r>
        <w:rPr>
          <w:rFonts w:cs="Bookman Old Style"/>
        </w:rPr>
        <w:t xml:space="preserve"> </w:t>
      </w:r>
      <w:r w:rsidRPr="00A90A8D">
        <w:t>Under</w:t>
      </w:r>
      <w:r>
        <w:rPr>
          <w:rFonts w:cs="Bookman Old Style"/>
        </w:rPr>
        <w:t xml:space="preserve"> this option, w</w:t>
      </w:r>
      <w:r w:rsidRPr="0051299C">
        <w:rPr>
          <w:rFonts w:cs="Bookman Old Style"/>
        </w:rPr>
        <w:t>here spectrum is leased to third parties, the original licensee is responsible for ensuring that interference limits are upheld. In addition, the licensee is responsible for ensuring that the lessee complies with the FCC’s safety guidelines relating to human exposure to radio frequency radiation.</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Bookman Old Style"/>
        </w:rPr>
      </w:pPr>
      <w:r w:rsidRPr="00C00FA8">
        <w:rPr>
          <w:rFonts w:cs="Bookman Old Style"/>
          <w:b/>
          <w:bCs/>
          <w:i/>
          <w:iCs/>
        </w:rPr>
        <w:t>“De facto transfer” leasing</w:t>
      </w:r>
      <w:r w:rsidRPr="00C00FA8">
        <w:rPr>
          <w:rFonts w:cs="Bookman Old Style"/>
          <w:i/>
          <w:iCs/>
        </w:rPr>
        <w:t xml:space="preserve">:  </w:t>
      </w:r>
      <w:r w:rsidRPr="00C00FA8">
        <w:rPr>
          <w:rFonts w:cs="Bookman Old Style"/>
        </w:rPr>
        <w:t xml:space="preserve">Under this option, licensees and spectrum lessees </w:t>
      </w:r>
      <w:r w:rsidRPr="004335C4">
        <w:t>may</w:t>
      </w:r>
      <w:r w:rsidRPr="00C00FA8">
        <w:rPr>
          <w:rFonts w:cs="Bookman Old Style"/>
        </w:rPr>
        <w:t xml:space="preserve"> enter into spectrum l</w:t>
      </w:r>
      <w:r>
        <w:rPr>
          <w:rFonts w:cs="Bookman Old Style"/>
        </w:rPr>
        <w:t xml:space="preserve">easing arrangements, </w:t>
      </w:r>
      <w:r w:rsidRPr="00C00FA8">
        <w:rPr>
          <w:rFonts w:cs="Bookman Old Style"/>
        </w:rPr>
        <w:t xml:space="preserve">in which </w:t>
      </w:r>
      <w:r w:rsidRPr="00C00FA8">
        <w:rPr>
          <w:rFonts w:cs="Bookman Old Style"/>
          <w:i/>
          <w:iCs/>
        </w:rPr>
        <w:t xml:space="preserve">de facto </w:t>
      </w:r>
      <w:r w:rsidRPr="00C00FA8">
        <w:rPr>
          <w:rFonts w:cs="Bookman Old Style"/>
        </w:rPr>
        <w:t xml:space="preserve">control of the leased spectrum is transferred to the </w:t>
      </w:r>
      <w:r w:rsidRPr="00966EE7">
        <w:t>spectrum</w:t>
      </w:r>
      <w:r w:rsidRPr="00C00FA8">
        <w:rPr>
          <w:rFonts w:cs="Bookman Old Style"/>
        </w:rPr>
        <w:t xml:space="preserve"> lessee(s) for the duration of the lease.  Policies and procedures under this option differ depending on whether the parties enter into “long-term” arrangements (leases longer than 360 days) or “short-term” arrangements (leases of 360 days or less).</w:t>
      </w:r>
    </w:p>
    <w:p w:rsidR="007A5BDD" w:rsidRPr="00972EE1"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cs="Bookman Old Style"/>
        </w:rPr>
      </w:pPr>
      <w:r w:rsidRPr="00A84C7B">
        <w:rPr>
          <w:rFonts w:cs="Bookman Old Style"/>
        </w:rPr>
        <w:t>Interference issues are dealt with by the FCC</w:t>
      </w:r>
      <w:r>
        <w:rPr>
          <w:rFonts w:cs="Bookman Old Style"/>
        </w:rPr>
        <w:t>, which sets g</w:t>
      </w:r>
      <w:r w:rsidRPr="00A84C7B">
        <w:rPr>
          <w:rFonts w:cs="Bookman Old Style"/>
        </w:rPr>
        <w:t>eneral emissions limits.</w:t>
      </w:r>
      <w:r>
        <w:rPr>
          <w:rFonts w:cs="Bookman Old Style"/>
        </w:rPr>
        <w:t xml:space="preserve"> </w:t>
      </w:r>
      <w:r w:rsidRPr="00A84C7B">
        <w:rPr>
          <w:rFonts w:cs="Bookman Old Style"/>
        </w:rPr>
        <w:t>Licensing information is available online, including maps showing licensee</w:t>
      </w:r>
      <w:r>
        <w:rPr>
          <w:rFonts w:cs="Bookman Old Style"/>
        </w:rPr>
        <w:t xml:space="preserve"> </w:t>
      </w:r>
      <w:r w:rsidRPr="00A84C7B">
        <w:rPr>
          <w:rFonts w:cs="Bookman Old Style"/>
        </w:rPr>
        <w:t xml:space="preserve">areas and service providers. The private sector provides most </w:t>
      </w:r>
      <w:r w:rsidRPr="004335C4">
        <w:t>of</w:t>
      </w:r>
      <w:r w:rsidRPr="00A84C7B">
        <w:rPr>
          <w:rFonts w:cs="Bookman Old Style"/>
        </w:rPr>
        <w:t xml:space="preserve"> this</w:t>
      </w:r>
      <w:r>
        <w:rPr>
          <w:rFonts w:cs="Bookman Old Style"/>
        </w:rPr>
        <w:t xml:space="preserve"> </w:t>
      </w:r>
      <w:r w:rsidRPr="00A84C7B">
        <w:rPr>
          <w:rFonts w:cs="Bookman Old Style"/>
        </w:rPr>
        <w:t xml:space="preserve">information: for example, </w:t>
      </w:r>
      <w:proofErr w:type="spellStart"/>
      <w:r w:rsidRPr="00A84C7B">
        <w:rPr>
          <w:rFonts w:cs="Bookman Old Style"/>
        </w:rPr>
        <w:t>Comsearch</w:t>
      </w:r>
      <w:proofErr w:type="spellEnd"/>
      <w:r w:rsidRPr="00A84C7B">
        <w:rPr>
          <w:rFonts w:cs="Bookman Old Style"/>
        </w:rPr>
        <w:t xml:space="preserve"> maintains a commercial spectrum</w:t>
      </w:r>
      <w:r>
        <w:rPr>
          <w:rFonts w:cs="Bookman Old Style"/>
        </w:rPr>
        <w:t xml:space="preserve"> </w:t>
      </w:r>
      <w:r w:rsidRPr="00A84C7B">
        <w:rPr>
          <w:rFonts w:cs="Bookman Old Style"/>
        </w:rPr>
        <w:t>database.</w:t>
      </w:r>
    </w:p>
    <w:p w:rsidR="007A5BDD" w:rsidRPr="0003582E" w:rsidRDefault="007A5BDD" w:rsidP="007A5BDD">
      <w:pPr>
        <w:pStyle w:val="NormalWeb"/>
        <w:tabs>
          <w:tab w:val="left" w:pos="900"/>
        </w:tabs>
        <w:spacing w:before="120" w:beforeAutospacing="0" w:after="240" w:afterAutospacing="0" w:line="360" w:lineRule="auto"/>
        <w:jc w:val="both"/>
      </w:pPr>
      <w:r w:rsidRPr="0003582E">
        <w:rPr>
          <w:rFonts w:ascii="Bookman Old Style" w:hAnsi="Bookman Old Style" w:cs="Bookman Old Style"/>
          <w:b/>
        </w:rPr>
        <w:t>Canada</w:t>
      </w:r>
      <w:r w:rsidRPr="0003582E">
        <w:t xml:space="preserve">: </w:t>
      </w:r>
    </w:p>
    <w:p w:rsidR="007A5BDD" w:rsidRPr="00A90A8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A90A8D">
        <w:rPr>
          <w:bCs/>
        </w:rPr>
        <w:t>Access to the spectrum is gained through one of the four forms of authorization: </w:t>
      </w:r>
      <w:r w:rsidRPr="004335C4">
        <w:t>apparatus</w:t>
      </w:r>
      <w:r w:rsidRPr="00A90A8D">
        <w:rPr>
          <w:bCs/>
        </w:rPr>
        <w:t xml:space="preserve"> </w:t>
      </w:r>
      <w:proofErr w:type="spellStart"/>
      <w:r w:rsidRPr="00A90A8D">
        <w:rPr>
          <w:bCs/>
        </w:rPr>
        <w:t>licences</w:t>
      </w:r>
      <w:proofErr w:type="spellEnd"/>
      <w:r w:rsidRPr="00A90A8D">
        <w:rPr>
          <w:bCs/>
        </w:rPr>
        <w:t xml:space="preserve">, spectrum </w:t>
      </w:r>
      <w:proofErr w:type="spellStart"/>
      <w:r w:rsidRPr="00A90A8D">
        <w:rPr>
          <w:bCs/>
        </w:rPr>
        <w:t>licences</w:t>
      </w:r>
      <w:proofErr w:type="spellEnd"/>
      <w:r w:rsidRPr="00A90A8D">
        <w:rPr>
          <w:bCs/>
        </w:rPr>
        <w:t xml:space="preserve">, broadcasting certificates and radio operator certificates. Radio operator certificates deal specifically with authorizing </w:t>
      </w:r>
      <w:r w:rsidRPr="00A90A8D">
        <w:t>persons</w:t>
      </w:r>
      <w:r w:rsidRPr="00A90A8D">
        <w:rPr>
          <w:bCs/>
        </w:rPr>
        <w:t xml:space="preserve"> to operate radio transmitters, </w:t>
      </w:r>
      <w:r w:rsidRPr="00A17680">
        <w:rPr>
          <w:rFonts w:cs="Bookman Old Style"/>
        </w:rPr>
        <w:t>whereas</w:t>
      </w:r>
      <w:r w:rsidRPr="00A90A8D">
        <w:rPr>
          <w:bCs/>
        </w:rPr>
        <w:t xml:space="preserve"> broadcast certificates authorize spectrum use related to a broadcasting </w:t>
      </w:r>
      <w:proofErr w:type="spellStart"/>
      <w:r w:rsidRPr="00A90A8D">
        <w:rPr>
          <w:bCs/>
        </w:rPr>
        <w:t>licence</w:t>
      </w:r>
      <w:proofErr w:type="spellEnd"/>
      <w:r w:rsidRPr="00A90A8D">
        <w:rPr>
          <w:bCs/>
        </w:rPr>
        <w:t xml:space="preserve"> issued by the CRTC. </w:t>
      </w:r>
    </w:p>
    <w:p w:rsidR="007A5BDD" w:rsidRPr="00A90A8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A90A8D">
        <w:rPr>
          <w:bCs/>
        </w:rPr>
        <w:t xml:space="preserve">Apparatus </w:t>
      </w:r>
      <w:proofErr w:type="spellStart"/>
      <w:r w:rsidRPr="00A90A8D">
        <w:rPr>
          <w:bCs/>
        </w:rPr>
        <w:t>Licences</w:t>
      </w:r>
      <w:proofErr w:type="spellEnd"/>
      <w:r w:rsidRPr="00A90A8D">
        <w:rPr>
          <w:bCs/>
        </w:rPr>
        <w:t xml:space="preserve"> represent the traditional form of licensing which generally authorizes the operation of a transmitter or receiver at a particular location. There are 9 apparatus </w:t>
      </w:r>
      <w:proofErr w:type="spellStart"/>
      <w:r w:rsidRPr="00A90A8D">
        <w:rPr>
          <w:bCs/>
        </w:rPr>
        <w:t>licence</w:t>
      </w:r>
      <w:proofErr w:type="spellEnd"/>
      <w:r w:rsidRPr="00A90A8D">
        <w:rPr>
          <w:bCs/>
        </w:rPr>
        <w:t xml:space="preserve"> types listed in the Radio Regulations with</w:t>
      </w:r>
      <w:r w:rsidRPr="003D3F65">
        <w:rPr>
          <w:rStyle w:val="Strong"/>
          <w:rFonts w:cs="Bookman Old Style"/>
        </w:rPr>
        <w:t xml:space="preserve"> </w:t>
      </w:r>
      <w:r w:rsidRPr="00A90A8D">
        <w:rPr>
          <w:bCs/>
        </w:rPr>
        <w:t xml:space="preserve">the </w:t>
      </w:r>
      <w:proofErr w:type="spellStart"/>
      <w:r w:rsidRPr="00A90A8D">
        <w:rPr>
          <w:bCs/>
        </w:rPr>
        <w:t>licence</w:t>
      </w:r>
      <w:proofErr w:type="spellEnd"/>
      <w:r w:rsidRPr="00A90A8D">
        <w:rPr>
          <w:bCs/>
        </w:rPr>
        <w:t xml:space="preserve"> specifying the category of service including: </w:t>
      </w:r>
      <w:r w:rsidRPr="004335C4">
        <w:t>aeronautical</w:t>
      </w:r>
      <w:r w:rsidRPr="00A90A8D">
        <w:rPr>
          <w:bCs/>
        </w:rPr>
        <w:t xml:space="preserve">, amateur radio, public information, </w:t>
      </w:r>
      <w:r w:rsidRPr="00A90A8D">
        <w:t>developmental</w:t>
      </w:r>
      <w:r w:rsidRPr="00A90A8D">
        <w:rPr>
          <w:bCs/>
        </w:rPr>
        <w:t xml:space="preserve">, fixed, inter-satellite, land mobile, maritime and radio determination. Such </w:t>
      </w:r>
      <w:proofErr w:type="spellStart"/>
      <w:r w:rsidRPr="00A90A8D">
        <w:rPr>
          <w:bCs/>
        </w:rPr>
        <w:t>licences</w:t>
      </w:r>
      <w:proofErr w:type="spellEnd"/>
      <w:r w:rsidRPr="00A90A8D">
        <w:rPr>
          <w:bCs/>
        </w:rPr>
        <w:t xml:space="preserve"> are issued with technical conditions to manage interference. </w:t>
      </w:r>
    </w:p>
    <w:p w:rsidR="007A5BDD" w:rsidRPr="00A90A8D" w:rsidRDefault="007A5BDD" w:rsidP="007A5BDD">
      <w:pPr>
        <w:pStyle w:val="ListParagraph"/>
        <w:numPr>
          <w:ilvl w:val="0"/>
          <w:numId w:val="15"/>
        </w:numPr>
        <w:shd w:val="clear" w:color="auto" w:fill="FFFFFF"/>
        <w:tabs>
          <w:tab w:val="left" w:pos="810"/>
        </w:tabs>
        <w:spacing w:before="120" w:after="240" w:line="360" w:lineRule="auto"/>
        <w:ind w:left="810" w:hanging="810"/>
        <w:jc w:val="both"/>
      </w:pPr>
      <w:r w:rsidRPr="00A90A8D">
        <w:rPr>
          <w:bCs/>
        </w:rPr>
        <w:lastRenderedPageBreak/>
        <w:t xml:space="preserve">Spectrum </w:t>
      </w:r>
      <w:proofErr w:type="spellStart"/>
      <w:r w:rsidRPr="00A90A8D">
        <w:rPr>
          <w:bCs/>
        </w:rPr>
        <w:t>Licences</w:t>
      </w:r>
      <w:proofErr w:type="spellEnd"/>
      <w:r w:rsidRPr="00A90A8D">
        <w:rPr>
          <w:bCs/>
        </w:rPr>
        <w:t xml:space="preserve"> represent the more market-oriented form of licensing in the mixed market/administrative system. They authorize the operation of (</w:t>
      </w:r>
      <w:r w:rsidRPr="004335C4">
        <w:t>non</w:t>
      </w:r>
      <w:r w:rsidRPr="00A90A8D">
        <w:rPr>
          <w:bCs/>
        </w:rPr>
        <w:t xml:space="preserve">-specified) devices within a defined geography. The geography is be defined by bandwidth, geographic area, and time. Licensees are free to use any type of equipment for any purpose, although they are subject to </w:t>
      </w:r>
      <w:proofErr w:type="spellStart"/>
      <w:r w:rsidRPr="00A90A8D">
        <w:rPr>
          <w:bCs/>
        </w:rPr>
        <w:t>licence</w:t>
      </w:r>
      <w:proofErr w:type="spellEnd"/>
      <w:r w:rsidRPr="00A90A8D">
        <w:rPr>
          <w:bCs/>
        </w:rPr>
        <w:t xml:space="preserve"> conditions and technical frameworks designed to minimize the risk of interference with other spectrum users. Spectrum </w:t>
      </w:r>
      <w:proofErr w:type="spellStart"/>
      <w:r w:rsidRPr="00A90A8D">
        <w:rPr>
          <w:bCs/>
        </w:rPr>
        <w:t>licences</w:t>
      </w:r>
      <w:proofErr w:type="spellEnd"/>
      <w:r w:rsidRPr="00A90A8D">
        <w:rPr>
          <w:bCs/>
        </w:rPr>
        <w:t xml:space="preserve"> are transferable and can be divided </w:t>
      </w:r>
      <w:r w:rsidRPr="00A17680">
        <w:rPr>
          <w:rFonts w:cs="Bookman Old Style"/>
        </w:rPr>
        <w:t>and</w:t>
      </w:r>
      <w:r w:rsidRPr="00A90A8D">
        <w:rPr>
          <w:bCs/>
        </w:rPr>
        <w:t xml:space="preserve"> aggregated. They are issued for periods of up to 10 year and are generally renewable under certain circumstances. </w:t>
      </w:r>
    </w:p>
    <w:p w:rsidR="007A5BDD" w:rsidRDefault="007A5BDD" w:rsidP="007A5BDD">
      <w:pPr>
        <w:pStyle w:val="ListParagraph"/>
        <w:numPr>
          <w:ilvl w:val="0"/>
          <w:numId w:val="12"/>
        </w:numPr>
        <w:spacing w:before="120" w:after="240" w:line="360" w:lineRule="auto"/>
        <w:jc w:val="both"/>
        <w:rPr>
          <w:b/>
        </w:rPr>
      </w:pPr>
      <w:r>
        <w:rPr>
          <w:b/>
        </w:rPr>
        <w:t>SPECTRUM SHARING</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bCs/>
        </w:rPr>
      </w:pPr>
      <w:r w:rsidRPr="0029050B">
        <w:rPr>
          <w:rFonts w:eastAsia="Calibri"/>
        </w:rPr>
        <w:t>Implementation of sharing of frequencies varies from relatively simple ways such as geographical separation between users of the same frequencies to very complex ways which are still evolving.</w:t>
      </w:r>
      <w:r>
        <w:rPr>
          <w:rFonts w:eastAsia="Calibri"/>
        </w:rPr>
        <w:t xml:space="preserve"> Regulators</w:t>
      </w:r>
      <w:r w:rsidRPr="00142EA5">
        <w:rPr>
          <w:rFonts w:eastAsia="Calibri"/>
        </w:rPr>
        <w:t xml:space="preserve"> are following diverse approaches to </w:t>
      </w:r>
      <w:r>
        <w:rPr>
          <w:rFonts w:eastAsia="Calibri"/>
        </w:rPr>
        <w:t xml:space="preserve">facilitate </w:t>
      </w:r>
      <w:r w:rsidRPr="00142EA5">
        <w:rPr>
          <w:rFonts w:eastAsia="Calibri"/>
        </w:rPr>
        <w:t xml:space="preserve">sharing </w:t>
      </w:r>
      <w:r>
        <w:rPr>
          <w:rFonts w:eastAsia="Calibri"/>
        </w:rPr>
        <w:t>of spectrum such as</w:t>
      </w:r>
      <w:r w:rsidRPr="00142EA5">
        <w:rPr>
          <w:rFonts w:eastAsia="Calibri"/>
        </w:rPr>
        <w:t xml:space="preserve"> </w:t>
      </w:r>
      <w:r>
        <w:rPr>
          <w:rFonts w:eastAsia="Calibri"/>
        </w:rPr>
        <w:t xml:space="preserve">allowing </w:t>
      </w:r>
      <w:r w:rsidRPr="001309FE">
        <w:rPr>
          <w:bCs/>
        </w:rPr>
        <w:t>in</w:t>
      </w:r>
      <w:r>
        <w:rPr>
          <w:rFonts w:eastAsia="Calibri"/>
        </w:rPr>
        <w:t>-band sharing/pooling of spectrum, permitting market based spectrum methods</w:t>
      </w:r>
      <w:r w:rsidRPr="00142EA5">
        <w:rPr>
          <w:rFonts w:eastAsia="Calibri"/>
        </w:rPr>
        <w:t xml:space="preserve"> such as leasing</w:t>
      </w:r>
      <w:r>
        <w:rPr>
          <w:rFonts w:eastAsia="Calibri"/>
        </w:rPr>
        <w:t>/trading and promoting use of</w:t>
      </w:r>
      <w:r w:rsidRPr="00142EA5">
        <w:rPr>
          <w:rFonts w:eastAsia="Calibri"/>
        </w:rPr>
        <w:t xml:space="preserve"> unlicensed spectrum combined with the use of low power radios</w:t>
      </w:r>
      <w:r>
        <w:rPr>
          <w:rFonts w:eastAsia="Calibri"/>
        </w:rPr>
        <w:t xml:space="preserve"> and/</w:t>
      </w:r>
      <w:r w:rsidRPr="00142EA5">
        <w:rPr>
          <w:rFonts w:eastAsia="Calibri"/>
        </w:rPr>
        <w:t>or advanced radio technologies</w:t>
      </w:r>
      <w:r>
        <w:rPr>
          <w:rFonts w:eastAsia="Calibri"/>
        </w:rPr>
        <w:t>.</w:t>
      </w:r>
    </w:p>
    <w:p w:rsidR="007A5BDD" w:rsidRPr="008530D0"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eastAsia="Calibri"/>
        </w:rPr>
      </w:pPr>
      <w:r w:rsidRPr="00E86C80">
        <w:rPr>
          <w:rFonts w:eastAsia="Calibri"/>
        </w:rPr>
        <w:t xml:space="preserve">Shared networks can provide an answer for </w:t>
      </w:r>
      <w:r>
        <w:rPr>
          <w:rFonts w:eastAsia="Calibri"/>
        </w:rPr>
        <w:t>T</w:t>
      </w:r>
      <w:r w:rsidRPr="00E86C80">
        <w:rPr>
          <w:rFonts w:eastAsia="Calibri"/>
        </w:rPr>
        <w:t xml:space="preserve">SPs facing very diverse market conditions. For instance, coverage is the primary consideration for radio network deployment in remote or rural areas, and significant CAPEX savings are easily achievable for </w:t>
      </w:r>
      <w:r>
        <w:rPr>
          <w:rFonts w:eastAsia="Calibri"/>
        </w:rPr>
        <w:t>T</w:t>
      </w:r>
      <w:r w:rsidRPr="00E86C80">
        <w:rPr>
          <w:rFonts w:eastAsia="Calibri"/>
        </w:rPr>
        <w:t xml:space="preserve">SPs </w:t>
      </w:r>
      <w:r>
        <w:rPr>
          <w:rFonts w:eastAsia="Calibri"/>
        </w:rPr>
        <w:t>if they</w:t>
      </w:r>
      <w:r w:rsidRPr="00E86C80">
        <w:rPr>
          <w:rFonts w:eastAsia="Calibri"/>
        </w:rPr>
        <w:t xml:space="preserve"> share the radio access network (RAN). Network roll-out and time-to-market also speed up, since only one set of new sites needs to be acquired and built. Restricted site availability is a big driver for </w:t>
      </w:r>
      <w:r>
        <w:rPr>
          <w:rFonts w:eastAsia="Calibri"/>
        </w:rPr>
        <w:t>T</w:t>
      </w:r>
      <w:r w:rsidRPr="00E86C80">
        <w:rPr>
          <w:rFonts w:eastAsia="Calibri"/>
        </w:rPr>
        <w:t>SPs in urban areas, where sharing sites can be the only feasible way to increase capacity</w:t>
      </w:r>
      <w:r>
        <w:rPr>
          <w:rFonts w:eastAsia="Calibri"/>
        </w:rPr>
        <w:t>. T</w:t>
      </w:r>
      <w:r w:rsidRPr="00E86C80">
        <w:rPr>
          <w:rFonts w:eastAsia="Calibri"/>
        </w:rPr>
        <w:t xml:space="preserve">SPs can remain competitors in other aspects of their businesses but generate major savings by sharing network resources. It may be </w:t>
      </w:r>
      <w:r>
        <w:rPr>
          <w:rFonts w:eastAsia="Calibri"/>
        </w:rPr>
        <w:t>difficult</w:t>
      </w:r>
      <w:r w:rsidRPr="00E86C80">
        <w:rPr>
          <w:rFonts w:eastAsia="Calibri"/>
        </w:rPr>
        <w:t xml:space="preserve"> for rivals to work together effectively, so setting up a separate joint venture entity is often the </w:t>
      </w:r>
      <w:proofErr w:type="spellStart"/>
      <w:r w:rsidRPr="00E86C80">
        <w:rPr>
          <w:rFonts w:eastAsia="Calibri"/>
        </w:rPr>
        <w:t>favo</w:t>
      </w:r>
      <w:r>
        <w:rPr>
          <w:rFonts w:eastAsia="Calibri"/>
        </w:rPr>
        <w:t>u</w:t>
      </w:r>
      <w:r w:rsidRPr="00E86C80">
        <w:rPr>
          <w:rFonts w:eastAsia="Calibri"/>
        </w:rPr>
        <w:t>red</w:t>
      </w:r>
      <w:proofErr w:type="spellEnd"/>
      <w:r w:rsidRPr="00E86C80">
        <w:rPr>
          <w:rFonts w:eastAsia="Calibri"/>
        </w:rPr>
        <w:t xml:space="preserve"> solution. Some joint venture partners go further and bring in a neutral third party to deploy and operate the shared network in a managed services deal</w:t>
      </w:r>
      <w:r>
        <w:rPr>
          <w:rFonts w:eastAsia="Calibri"/>
        </w:rPr>
        <w:t>.</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eastAsia="Calibri"/>
        </w:rPr>
      </w:pPr>
      <w:r>
        <w:rPr>
          <w:rFonts w:eastAsia="Calibri"/>
        </w:rPr>
        <w:t xml:space="preserve">Radio Access Network (RAN) and Core Network are the main components of any wireless network. Spectrum is the vital component of RAN. To avoid duplicity of the infrastructure elements, to reduce the cost and to </w:t>
      </w:r>
      <w:r w:rsidRPr="001309FE">
        <w:rPr>
          <w:bCs/>
        </w:rPr>
        <w:t>ensure</w:t>
      </w:r>
      <w:r>
        <w:rPr>
          <w:rFonts w:eastAsia="Calibri"/>
        </w:rPr>
        <w:t xml:space="preserve"> fast rollout of the network, many NRAs allow sharing of infrastructure elements. However, the depth of sharing may differ in different sharing models.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eastAsia="Calibri"/>
        </w:rPr>
      </w:pPr>
      <w:r>
        <w:rPr>
          <w:rFonts w:eastAsia="Calibri"/>
        </w:rPr>
        <w:lastRenderedPageBreak/>
        <w:t xml:space="preserve">Many NRAs have permitted to share the passive infrastructure elements such as tower, dark </w:t>
      </w:r>
      <w:proofErr w:type="spellStart"/>
      <w:r>
        <w:rPr>
          <w:rFonts w:eastAsia="Calibri"/>
        </w:rPr>
        <w:t>fibre</w:t>
      </w:r>
      <w:proofErr w:type="spellEnd"/>
      <w:r>
        <w:rPr>
          <w:rFonts w:eastAsia="Calibri"/>
        </w:rPr>
        <w:t xml:space="preserve">, duct space etc. These constitute a major portion of capital as well as operational cost. Also, there is no compromise on the independence of each regulator as each operator is free to decide </w:t>
      </w:r>
      <w:r w:rsidRPr="004335C4">
        <w:t>coverage</w:t>
      </w:r>
      <w:r>
        <w:rPr>
          <w:rFonts w:eastAsia="Calibri"/>
        </w:rPr>
        <w:t xml:space="preserve">, quality of service </w:t>
      </w:r>
      <w:proofErr w:type="spellStart"/>
      <w:r>
        <w:rPr>
          <w:rFonts w:eastAsia="Calibri"/>
        </w:rPr>
        <w:t>etc</w:t>
      </w:r>
      <w:proofErr w:type="spellEnd"/>
      <w:r>
        <w:rPr>
          <w:rFonts w:eastAsia="Calibri"/>
        </w:rPr>
        <w:t xml:space="preserve"> of its network and can go for its own additional sites.</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eastAsia="Calibri"/>
        </w:rPr>
      </w:pPr>
      <w:r>
        <w:rPr>
          <w:rFonts w:eastAsia="Calibri"/>
        </w:rPr>
        <w:t xml:space="preserve">Depending upon the depth of sharing, there can be different models of sharing of Active Infrastructure. Sharing of web-guide, transmission </w:t>
      </w:r>
      <w:r w:rsidRPr="004335C4">
        <w:t>bandwidth</w:t>
      </w:r>
      <w:r>
        <w:rPr>
          <w:rFonts w:eastAsia="Calibri"/>
        </w:rPr>
        <w:t xml:space="preserve"> and antenna is possible, while each of the </w:t>
      </w:r>
      <w:proofErr w:type="gramStart"/>
      <w:r>
        <w:rPr>
          <w:rFonts w:eastAsia="Calibri"/>
        </w:rPr>
        <w:t>licensee</w:t>
      </w:r>
      <w:proofErr w:type="gramEnd"/>
      <w:r>
        <w:rPr>
          <w:rFonts w:eastAsia="Calibri"/>
        </w:rPr>
        <w:t xml:space="preserve"> can use its own BTSs/Node </w:t>
      </w:r>
      <w:proofErr w:type="spellStart"/>
      <w:r>
        <w:rPr>
          <w:rFonts w:eastAsia="Calibri"/>
        </w:rPr>
        <w:t>Bs</w:t>
      </w:r>
      <w:proofErr w:type="spellEnd"/>
      <w:r>
        <w:rPr>
          <w:rFonts w:eastAsia="Calibri"/>
        </w:rPr>
        <w:t xml:space="preserve">. It is possible to share the cabinet, power supply </w:t>
      </w:r>
      <w:proofErr w:type="spellStart"/>
      <w:r>
        <w:rPr>
          <w:rFonts w:eastAsia="Calibri"/>
        </w:rPr>
        <w:t>etc</w:t>
      </w:r>
      <w:proofErr w:type="spellEnd"/>
      <w:r>
        <w:rPr>
          <w:rFonts w:eastAsia="Calibri"/>
        </w:rPr>
        <w:t xml:space="preserve"> of BTS/Nodes B while using power amplifier and TRXs separately. It is also possible to share the BSC/RNC by logical </w:t>
      </w:r>
      <w:proofErr w:type="spellStart"/>
      <w:r>
        <w:rPr>
          <w:rFonts w:eastAsia="Calibri"/>
        </w:rPr>
        <w:t>logical</w:t>
      </w:r>
      <w:proofErr w:type="spellEnd"/>
      <w:r>
        <w:rPr>
          <w:rFonts w:eastAsia="Calibri"/>
        </w:rPr>
        <w:t xml:space="preserve"> partitioning.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eastAsia="Calibri"/>
        </w:rPr>
      </w:pPr>
      <w:r>
        <w:rPr>
          <w:rFonts w:eastAsia="Calibri"/>
        </w:rPr>
        <w:t xml:space="preserve">If sharing of spectrum is permitted, then both licensees can pool their spectrum and it shall be complete sharing of RAN. It shall result in the most optimal use of spectrum. However, there shall not be individual control of the licenses over the use of their radio resources. </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eastAsia="Calibri"/>
        </w:rPr>
      </w:pPr>
      <w:r>
        <w:rPr>
          <w:rFonts w:eastAsia="Calibri"/>
        </w:rPr>
        <w:t xml:space="preserve">There can be another model of sharing of spectrum based on roaming. One </w:t>
      </w:r>
      <w:r w:rsidRPr="004335C4">
        <w:t>operator</w:t>
      </w:r>
      <w:r>
        <w:rPr>
          <w:rFonts w:eastAsia="Calibri"/>
        </w:rPr>
        <w:t xml:space="preserve"> can ride over the network of another network to give its subscribers the mobile services in the areas where it has not rolled out its network. In such scenarios, it uses the complete network (RAN including spectrum and Core network) of other operator based on roaming agreement between the two.</w:t>
      </w:r>
    </w:p>
    <w:p w:rsidR="007A5BDD" w:rsidRDefault="007A5BDD" w:rsidP="007A5BDD">
      <w:pPr>
        <w:pStyle w:val="ListParagraph"/>
        <w:numPr>
          <w:ilvl w:val="0"/>
          <w:numId w:val="15"/>
        </w:numPr>
        <w:shd w:val="clear" w:color="auto" w:fill="FFFFFF"/>
        <w:tabs>
          <w:tab w:val="left" w:pos="810"/>
        </w:tabs>
        <w:spacing w:before="120" w:after="240" w:line="360" w:lineRule="auto"/>
        <w:ind w:left="810" w:hanging="810"/>
        <w:jc w:val="both"/>
        <w:rPr>
          <w:rFonts w:eastAsia="Calibri"/>
        </w:rPr>
      </w:pPr>
      <w:r w:rsidRPr="00810299">
        <w:rPr>
          <w:rFonts w:eastAsia="Calibri"/>
        </w:rPr>
        <w:t>Network sharing agreements may help</w:t>
      </w:r>
      <w:r>
        <w:rPr>
          <w:rFonts w:eastAsia="Calibri"/>
        </w:rPr>
        <w:t xml:space="preserve"> </w:t>
      </w:r>
      <w:r w:rsidRPr="00810299">
        <w:rPr>
          <w:rFonts w:eastAsia="Calibri"/>
        </w:rPr>
        <w:t>operators to make the service available and leave operators to compete on more important</w:t>
      </w:r>
      <w:r>
        <w:rPr>
          <w:rFonts w:eastAsia="Calibri"/>
        </w:rPr>
        <w:t xml:space="preserve"> </w:t>
      </w:r>
      <w:r w:rsidRPr="00810299">
        <w:rPr>
          <w:rFonts w:eastAsia="Calibri"/>
        </w:rPr>
        <w:t>parameters from a consumer perspective, such as brand, price and customer service.</w:t>
      </w:r>
      <w:r>
        <w:rPr>
          <w:rFonts w:eastAsia="Calibri"/>
        </w:rPr>
        <w:t xml:space="preserve"> </w:t>
      </w:r>
      <w:r w:rsidRPr="00810299">
        <w:rPr>
          <w:rFonts w:eastAsia="Calibri"/>
        </w:rPr>
        <w:t>This applies</w:t>
      </w:r>
      <w:r>
        <w:rPr>
          <w:rFonts w:eastAsia="Calibri"/>
        </w:rPr>
        <w:t xml:space="preserve"> </w:t>
      </w:r>
      <w:r w:rsidRPr="00810299">
        <w:rPr>
          <w:rFonts w:eastAsia="Calibri"/>
        </w:rPr>
        <w:t>in particular to rural and remote areas.</w:t>
      </w:r>
      <w:r>
        <w:rPr>
          <w:rFonts w:eastAsia="Calibri"/>
        </w:rPr>
        <w:t xml:space="preserve"> On the flip side, </w:t>
      </w:r>
      <w:r w:rsidRPr="00810299">
        <w:rPr>
          <w:rFonts w:eastAsia="Calibri"/>
        </w:rPr>
        <w:t>MNOs</w:t>
      </w:r>
      <w:r>
        <w:rPr>
          <w:rFonts w:eastAsia="Calibri"/>
        </w:rPr>
        <w:t xml:space="preserve"> </w:t>
      </w:r>
      <w:r w:rsidRPr="00810299">
        <w:rPr>
          <w:rFonts w:eastAsia="Calibri"/>
        </w:rPr>
        <w:t xml:space="preserve">could collaborate on network development </w:t>
      </w:r>
      <w:r>
        <w:rPr>
          <w:rFonts w:eastAsia="Calibri"/>
        </w:rPr>
        <w:t xml:space="preserve">and </w:t>
      </w:r>
      <w:r w:rsidRPr="00810299">
        <w:rPr>
          <w:rFonts w:eastAsia="Calibri"/>
        </w:rPr>
        <w:t>efficiency may also be</w:t>
      </w:r>
      <w:r>
        <w:rPr>
          <w:rFonts w:eastAsia="Calibri"/>
        </w:rPr>
        <w:t xml:space="preserve"> </w:t>
      </w:r>
      <w:r w:rsidRPr="00810299">
        <w:rPr>
          <w:rFonts w:eastAsia="Calibri"/>
        </w:rPr>
        <w:t>lower with fewer networks able to provide high quality mobile broadband services.</w:t>
      </w:r>
      <w:r>
        <w:rPr>
          <w:rFonts w:eastAsia="Calibri"/>
        </w:rPr>
        <w:t xml:space="preserve"> R</w:t>
      </w:r>
      <w:r w:rsidRPr="00810299">
        <w:rPr>
          <w:rFonts w:eastAsia="Calibri"/>
        </w:rPr>
        <w:t>egulatory authorities</w:t>
      </w:r>
      <w:r>
        <w:rPr>
          <w:rFonts w:eastAsia="Calibri"/>
        </w:rPr>
        <w:t xml:space="preserve"> </w:t>
      </w:r>
      <w:r w:rsidRPr="00810299">
        <w:rPr>
          <w:rFonts w:eastAsia="Calibri"/>
        </w:rPr>
        <w:t>must a</w:t>
      </w:r>
      <w:r>
        <w:rPr>
          <w:rFonts w:eastAsia="Calibri"/>
        </w:rPr>
        <w:t xml:space="preserve">ssess the competitive situation and they may like to </w:t>
      </w:r>
      <w:r w:rsidRPr="00810299">
        <w:rPr>
          <w:rFonts w:eastAsia="Calibri"/>
        </w:rPr>
        <w:t>aim to ensure that all operators comply with the applicable regulatory obligations,</w:t>
      </w:r>
      <w:r>
        <w:rPr>
          <w:rFonts w:eastAsia="Calibri"/>
        </w:rPr>
        <w:t xml:space="preserve"> </w:t>
      </w:r>
      <w:r w:rsidRPr="00810299">
        <w:rPr>
          <w:rFonts w:eastAsia="Calibri"/>
        </w:rPr>
        <w:t>including coverage. Authorities may also wish to distinguish between urban and</w:t>
      </w:r>
      <w:r>
        <w:rPr>
          <w:rFonts w:eastAsia="Calibri"/>
        </w:rPr>
        <w:t xml:space="preserve"> </w:t>
      </w:r>
      <w:r w:rsidRPr="00810299">
        <w:rPr>
          <w:rFonts w:eastAsia="Calibri"/>
        </w:rPr>
        <w:t>rural areas when judging network sharing agreements.</w:t>
      </w:r>
      <w:r>
        <w:rPr>
          <w:rFonts w:eastAsia="Calibri"/>
        </w:rPr>
        <w:t xml:space="preserve"> </w:t>
      </w:r>
      <w:r w:rsidRPr="00810299">
        <w:rPr>
          <w:rFonts w:eastAsia="Calibri"/>
        </w:rPr>
        <w:t>In particular, authorities that have anticompetitive</w:t>
      </w:r>
      <w:r>
        <w:rPr>
          <w:rFonts w:eastAsia="Calibri"/>
        </w:rPr>
        <w:t xml:space="preserve"> </w:t>
      </w:r>
      <w:r w:rsidRPr="00810299">
        <w:rPr>
          <w:rFonts w:eastAsia="Calibri"/>
        </w:rPr>
        <w:t>concerns may choose to limit sharing for a period of time until operators have acquired</w:t>
      </w:r>
      <w:r>
        <w:rPr>
          <w:rFonts w:eastAsia="Calibri"/>
        </w:rPr>
        <w:t xml:space="preserve"> </w:t>
      </w:r>
      <w:r w:rsidRPr="00810299">
        <w:rPr>
          <w:rFonts w:eastAsia="Calibri"/>
        </w:rPr>
        <w:t>a substantial customer base in rural areas in order to satisfy their business case. Subsequently,</w:t>
      </w:r>
      <w:r>
        <w:rPr>
          <w:rFonts w:eastAsia="Calibri"/>
        </w:rPr>
        <w:t xml:space="preserve"> </w:t>
      </w:r>
      <w:r w:rsidRPr="00810299">
        <w:rPr>
          <w:rFonts w:eastAsia="Calibri"/>
        </w:rPr>
        <w:t>operators may be required to deploy their own network.</w:t>
      </w:r>
    </w:p>
    <w:p w:rsidR="007A5BDD" w:rsidRDefault="007A5BDD" w:rsidP="007A5BDD">
      <w:pPr>
        <w:pStyle w:val="ListParagraph"/>
        <w:shd w:val="clear" w:color="auto" w:fill="FFFFFF"/>
        <w:tabs>
          <w:tab w:val="left" w:pos="810"/>
        </w:tabs>
        <w:spacing w:before="120" w:after="240" w:line="360" w:lineRule="auto"/>
        <w:ind w:left="810"/>
        <w:rPr>
          <w:rFonts w:eastAsia="Calibri"/>
        </w:rPr>
      </w:pPr>
    </w:p>
    <w:p w:rsidR="007A5BDD" w:rsidRDefault="007A5BDD" w:rsidP="007A5BDD">
      <w:r>
        <w:br w:type="page"/>
      </w:r>
    </w:p>
    <w:p w:rsidR="007A5BDD" w:rsidRDefault="007A5BDD" w:rsidP="007A5BDD">
      <w:pPr>
        <w:pStyle w:val="ListParagraph"/>
        <w:shd w:val="clear" w:color="auto" w:fill="FFFFFF"/>
        <w:tabs>
          <w:tab w:val="left" w:pos="810"/>
        </w:tabs>
        <w:spacing w:before="120" w:after="240" w:line="360" w:lineRule="auto"/>
        <w:ind w:left="810"/>
        <w:jc w:val="center"/>
        <w:rPr>
          <w:b/>
        </w:rPr>
      </w:pPr>
      <w:r w:rsidRPr="00447F9D">
        <w:rPr>
          <w:b/>
        </w:rPr>
        <w:lastRenderedPageBreak/>
        <w:t>CHAPTER-IV</w:t>
      </w:r>
    </w:p>
    <w:p w:rsidR="007A5BDD" w:rsidRPr="00241ADB" w:rsidRDefault="007A5BDD" w:rsidP="007A5BDD">
      <w:pPr>
        <w:pStyle w:val="ListParagraph"/>
        <w:spacing w:before="120" w:after="240" w:line="360" w:lineRule="auto"/>
        <w:jc w:val="center"/>
      </w:pPr>
      <w:r>
        <w:rPr>
          <w:b/>
        </w:rPr>
        <w:t>SATRC COUNRIES</w:t>
      </w:r>
      <w:r w:rsidRPr="008A5F0A">
        <w:rPr>
          <w:b/>
        </w:rPr>
        <w:t xml:space="preserve"> PERSPECTIVE</w:t>
      </w:r>
      <w:r>
        <w:rPr>
          <w:b/>
        </w:rPr>
        <w:t xml:space="preserve"> AND THE RECOMMENDATIONS</w:t>
      </w:r>
    </w:p>
    <w:p w:rsidR="007A5BDD" w:rsidRDefault="007A5BDD" w:rsidP="007A5BDD">
      <w:pPr>
        <w:pStyle w:val="ListParagraph"/>
        <w:numPr>
          <w:ilvl w:val="0"/>
          <w:numId w:val="11"/>
        </w:numPr>
        <w:spacing w:before="120" w:after="240" w:line="360" w:lineRule="auto"/>
        <w:ind w:left="1170"/>
        <w:jc w:val="both"/>
        <w:rPr>
          <w:b/>
        </w:rPr>
      </w:pPr>
      <w:r w:rsidRPr="00666E45">
        <w:rPr>
          <w:b/>
        </w:rPr>
        <w:t>INDIA</w:t>
      </w:r>
    </w:p>
    <w:p w:rsidR="007A5BDD" w:rsidRPr="00F207B3"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F207B3">
        <w:t>In India, at present spectrum bands</w:t>
      </w:r>
      <w:r>
        <w:t xml:space="preserve"> shown in the table below</w:t>
      </w:r>
      <w:r w:rsidRPr="00F207B3">
        <w:t xml:space="preserve"> are used for providing commercial </w:t>
      </w:r>
      <w:r>
        <w:t xml:space="preserve">mobile services. The spectrum in the 800 MHz band has been used for CDMA services whereas the spectrum in the 900 MHz and 1800 MHz band has been used for GSM band. The spectrum in the 2100 MHz band is being used for providing 3G services (HSPA) services. The spectrum in the 2300 MHz band is being used for providing high speed wireless services using   LTE-TDD technology. </w:t>
      </w:r>
    </w:p>
    <w:tbl>
      <w:tblPr>
        <w:tblW w:w="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674"/>
        <w:gridCol w:w="1674"/>
        <w:gridCol w:w="1674"/>
      </w:tblGrid>
      <w:tr w:rsidR="007A5BDD" w:rsidRPr="00B66D3D" w:rsidTr="00440CBA">
        <w:trPr>
          <w:trHeight w:val="575"/>
          <w:jc w:val="center"/>
        </w:trPr>
        <w:tc>
          <w:tcPr>
            <w:tcW w:w="684" w:type="dxa"/>
            <w:vMerge w:val="restart"/>
          </w:tcPr>
          <w:p w:rsidR="007A5BDD" w:rsidRPr="00B66D3D" w:rsidRDefault="007A5BDD" w:rsidP="00440CBA">
            <w:pPr>
              <w:rPr>
                <w:rFonts w:eastAsia="Calibri"/>
                <w:b/>
                <w:sz w:val="22"/>
                <w:szCs w:val="22"/>
              </w:rPr>
            </w:pPr>
            <w:r w:rsidRPr="00B66D3D">
              <w:rPr>
                <w:rFonts w:eastAsia="Calibri"/>
                <w:b/>
                <w:sz w:val="22"/>
                <w:szCs w:val="22"/>
              </w:rPr>
              <w:t>Sl. No.</w:t>
            </w:r>
          </w:p>
        </w:tc>
        <w:tc>
          <w:tcPr>
            <w:tcW w:w="1674" w:type="dxa"/>
            <w:vMerge w:val="restart"/>
          </w:tcPr>
          <w:p w:rsidR="007A5BDD" w:rsidRPr="00B66D3D" w:rsidRDefault="007A5BDD" w:rsidP="00440CBA">
            <w:pPr>
              <w:rPr>
                <w:b/>
                <w:sz w:val="22"/>
                <w:szCs w:val="22"/>
              </w:rPr>
            </w:pPr>
            <w:r>
              <w:rPr>
                <w:b/>
                <w:sz w:val="22"/>
                <w:szCs w:val="22"/>
              </w:rPr>
              <w:t>Spectrum Band</w:t>
            </w:r>
          </w:p>
        </w:tc>
        <w:tc>
          <w:tcPr>
            <w:tcW w:w="3348" w:type="dxa"/>
            <w:gridSpan w:val="2"/>
          </w:tcPr>
          <w:p w:rsidR="007A5BDD" w:rsidRPr="00B66D3D" w:rsidRDefault="007A5BDD" w:rsidP="00440CBA">
            <w:pPr>
              <w:rPr>
                <w:b/>
                <w:sz w:val="22"/>
                <w:szCs w:val="22"/>
              </w:rPr>
            </w:pPr>
            <w:r w:rsidRPr="00B66D3D">
              <w:rPr>
                <w:b/>
                <w:sz w:val="22"/>
                <w:szCs w:val="22"/>
              </w:rPr>
              <w:t>Frequency</w:t>
            </w:r>
            <w:r w:rsidRPr="00B66D3D">
              <w:rPr>
                <w:rFonts w:eastAsia="Calibri"/>
                <w:b/>
                <w:sz w:val="22"/>
                <w:szCs w:val="22"/>
              </w:rPr>
              <w:t xml:space="preserve"> Band</w:t>
            </w:r>
            <w:r w:rsidRPr="00B66D3D">
              <w:rPr>
                <w:b/>
                <w:sz w:val="22"/>
                <w:szCs w:val="22"/>
              </w:rPr>
              <w:t xml:space="preserve"> (in MHz)</w:t>
            </w:r>
          </w:p>
        </w:tc>
      </w:tr>
      <w:tr w:rsidR="007A5BDD" w:rsidRPr="00B66D3D" w:rsidTr="00440CBA">
        <w:trPr>
          <w:trHeight w:val="440"/>
          <w:jc w:val="center"/>
        </w:trPr>
        <w:tc>
          <w:tcPr>
            <w:tcW w:w="684" w:type="dxa"/>
            <w:vMerge/>
          </w:tcPr>
          <w:p w:rsidR="007A5BDD" w:rsidRPr="00B66D3D" w:rsidRDefault="007A5BDD" w:rsidP="00440CBA">
            <w:pPr>
              <w:rPr>
                <w:rFonts w:eastAsia="Calibri"/>
                <w:b/>
                <w:sz w:val="22"/>
                <w:szCs w:val="22"/>
              </w:rPr>
            </w:pPr>
          </w:p>
        </w:tc>
        <w:tc>
          <w:tcPr>
            <w:tcW w:w="1674" w:type="dxa"/>
            <w:vMerge/>
          </w:tcPr>
          <w:p w:rsidR="007A5BDD" w:rsidRDefault="007A5BDD" w:rsidP="00440CBA">
            <w:pPr>
              <w:rPr>
                <w:b/>
                <w:sz w:val="22"/>
                <w:szCs w:val="22"/>
              </w:rPr>
            </w:pPr>
          </w:p>
        </w:tc>
        <w:tc>
          <w:tcPr>
            <w:tcW w:w="1674" w:type="dxa"/>
          </w:tcPr>
          <w:p w:rsidR="007A5BDD" w:rsidRPr="00B66D3D" w:rsidRDefault="007A5BDD" w:rsidP="00440CBA">
            <w:pPr>
              <w:rPr>
                <w:b/>
                <w:sz w:val="22"/>
                <w:szCs w:val="22"/>
              </w:rPr>
            </w:pPr>
            <w:r>
              <w:rPr>
                <w:b/>
                <w:sz w:val="22"/>
                <w:szCs w:val="22"/>
              </w:rPr>
              <w:t>Uplink</w:t>
            </w:r>
          </w:p>
        </w:tc>
        <w:tc>
          <w:tcPr>
            <w:tcW w:w="1674" w:type="dxa"/>
          </w:tcPr>
          <w:p w:rsidR="007A5BDD" w:rsidRPr="00B66D3D" w:rsidRDefault="007A5BDD" w:rsidP="00440CBA">
            <w:pPr>
              <w:rPr>
                <w:b/>
                <w:sz w:val="22"/>
                <w:szCs w:val="22"/>
              </w:rPr>
            </w:pPr>
            <w:r>
              <w:rPr>
                <w:b/>
                <w:sz w:val="22"/>
                <w:szCs w:val="22"/>
              </w:rPr>
              <w:t>Downlink</w:t>
            </w:r>
          </w:p>
        </w:tc>
      </w:tr>
      <w:tr w:rsidR="007A5BDD" w:rsidRPr="00B66D3D" w:rsidTr="00440CBA">
        <w:trPr>
          <w:trHeight w:val="422"/>
          <w:jc w:val="center"/>
        </w:trPr>
        <w:tc>
          <w:tcPr>
            <w:tcW w:w="684" w:type="dxa"/>
          </w:tcPr>
          <w:p w:rsidR="007A5BDD" w:rsidRPr="00B66D3D" w:rsidRDefault="007A5BDD" w:rsidP="00440CBA">
            <w:pPr>
              <w:rPr>
                <w:sz w:val="22"/>
                <w:szCs w:val="22"/>
              </w:rPr>
            </w:pPr>
            <w:r>
              <w:rPr>
                <w:sz w:val="22"/>
                <w:szCs w:val="22"/>
              </w:rPr>
              <w:t>1.</w:t>
            </w:r>
          </w:p>
        </w:tc>
        <w:tc>
          <w:tcPr>
            <w:tcW w:w="1674" w:type="dxa"/>
          </w:tcPr>
          <w:p w:rsidR="007A5BDD" w:rsidRPr="00B66D3D" w:rsidRDefault="007A5BDD" w:rsidP="00440CBA">
            <w:pPr>
              <w:rPr>
                <w:sz w:val="22"/>
                <w:szCs w:val="22"/>
              </w:rPr>
            </w:pPr>
            <w:r>
              <w:rPr>
                <w:sz w:val="22"/>
                <w:szCs w:val="22"/>
              </w:rPr>
              <w:t>800 MHz Band</w:t>
            </w:r>
          </w:p>
        </w:tc>
        <w:tc>
          <w:tcPr>
            <w:tcW w:w="1674" w:type="dxa"/>
          </w:tcPr>
          <w:p w:rsidR="007A5BDD" w:rsidRPr="00B66D3D" w:rsidRDefault="007A5BDD" w:rsidP="00440CBA">
            <w:pPr>
              <w:rPr>
                <w:sz w:val="22"/>
                <w:szCs w:val="22"/>
              </w:rPr>
            </w:pPr>
            <w:r w:rsidRPr="00B66D3D">
              <w:rPr>
                <w:sz w:val="22"/>
                <w:szCs w:val="22"/>
              </w:rPr>
              <w:t xml:space="preserve">824-844 </w:t>
            </w:r>
            <w:r>
              <w:rPr>
                <w:sz w:val="22"/>
                <w:szCs w:val="22"/>
              </w:rPr>
              <w:t>MHz</w:t>
            </w:r>
          </w:p>
        </w:tc>
        <w:tc>
          <w:tcPr>
            <w:tcW w:w="1674" w:type="dxa"/>
          </w:tcPr>
          <w:p w:rsidR="007A5BDD" w:rsidRPr="00B66D3D" w:rsidRDefault="007A5BDD" w:rsidP="00440CBA">
            <w:pPr>
              <w:rPr>
                <w:sz w:val="22"/>
                <w:szCs w:val="22"/>
              </w:rPr>
            </w:pPr>
            <w:r w:rsidRPr="00B66D3D">
              <w:rPr>
                <w:sz w:val="22"/>
                <w:szCs w:val="22"/>
              </w:rPr>
              <w:t>869-889</w:t>
            </w:r>
            <w:r>
              <w:rPr>
                <w:sz w:val="22"/>
                <w:szCs w:val="22"/>
              </w:rPr>
              <w:t xml:space="preserve"> MHz</w:t>
            </w:r>
          </w:p>
        </w:tc>
      </w:tr>
      <w:tr w:rsidR="007A5BDD" w:rsidRPr="00B66D3D" w:rsidTr="00440CBA">
        <w:trPr>
          <w:trHeight w:val="422"/>
          <w:jc w:val="center"/>
        </w:trPr>
        <w:tc>
          <w:tcPr>
            <w:tcW w:w="684" w:type="dxa"/>
          </w:tcPr>
          <w:p w:rsidR="007A5BDD" w:rsidRPr="00B66D3D" w:rsidRDefault="007A5BDD" w:rsidP="00440CBA">
            <w:pPr>
              <w:rPr>
                <w:sz w:val="22"/>
                <w:szCs w:val="22"/>
              </w:rPr>
            </w:pPr>
            <w:r>
              <w:rPr>
                <w:sz w:val="22"/>
                <w:szCs w:val="22"/>
              </w:rPr>
              <w:t>2.</w:t>
            </w:r>
          </w:p>
        </w:tc>
        <w:tc>
          <w:tcPr>
            <w:tcW w:w="1674" w:type="dxa"/>
          </w:tcPr>
          <w:p w:rsidR="007A5BDD" w:rsidRPr="00B66D3D" w:rsidRDefault="007A5BDD" w:rsidP="00440CBA">
            <w:pPr>
              <w:rPr>
                <w:sz w:val="22"/>
                <w:szCs w:val="22"/>
              </w:rPr>
            </w:pPr>
            <w:r>
              <w:rPr>
                <w:sz w:val="22"/>
                <w:szCs w:val="22"/>
              </w:rPr>
              <w:t>900 MHz</w:t>
            </w:r>
          </w:p>
        </w:tc>
        <w:tc>
          <w:tcPr>
            <w:tcW w:w="1674" w:type="dxa"/>
          </w:tcPr>
          <w:p w:rsidR="007A5BDD" w:rsidRPr="00B66D3D" w:rsidRDefault="007A5BDD" w:rsidP="00440CBA">
            <w:pPr>
              <w:rPr>
                <w:sz w:val="22"/>
                <w:szCs w:val="22"/>
              </w:rPr>
            </w:pPr>
            <w:r w:rsidRPr="00B66D3D">
              <w:rPr>
                <w:sz w:val="22"/>
                <w:szCs w:val="22"/>
              </w:rPr>
              <w:t xml:space="preserve">890-915 </w:t>
            </w:r>
          </w:p>
        </w:tc>
        <w:tc>
          <w:tcPr>
            <w:tcW w:w="1674" w:type="dxa"/>
          </w:tcPr>
          <w:p w:rsidR="007A5BDD" w:rsidRPr="00B66D3D" w:rsidRDefault="007A5BDD" w:rsidP="00440CBA">
            <w:pPr>
              <w:rPr>
                <w:sz w:val="22"/>
                <w:szCs w:val="22"/>
              </w:rPr>
            </w:pPr>
            <w:r>
              <w:rPr>
                <w:sz w:val="22"/>
                <w:szCs w:val="22"/>
              </w:rPr>
              <w:t>935</w:t>
            </w:r>
            <w:r w:rsidRPr="00B66D3D">
              <w:rPr>
                <w:sz w:val="22"/>
                <w:szCs w:val="22"/>
              </w:rPr>
              <w:t>-9</w:t>
            </w:r>
            <w:r>
              <w:rPr>
                <w:sz w:val="22"/>
                <w:szCs w:val="22"/>
              </w:rPr>
              <w:t>60</w:t>
            </w:r>
          </w:p>
        </w:tc>
      </w:tr>
      <w:tr w:rsidR="007A5BDD" w:rsidRPr="00B66D3D" w:rsidTr="00440CBA">
        <w:trPr>
          <w:jc w:val="center"/>
        </w:trPr>
        <w:tc>
          <w:tcPr>
            <w:tcW w:w="684" w:type="dxa"/>
          </w:tcPr>
          <w:p w:rsidR="007A5BDD" w:rsidRPr="00B66D3D" w:rsidRDefault="007A5BDD" w:rsidP="00440CBA">
            <w:pPr>
              <w:rPr>
                <w:rFonts w:eastAsia="Calibri"/>
                <w:sz w:val="22"/>
                <w:szCs w:val="22"/>
              </w:rPr>
            </w:pPr>
            <w:r>
              <w:rPr>
                <w:sz w:val="22"/>
                <w:szCs w:val="22"/>
              </w:rPr>
              <w:t>3.</w:t>
            </w:r>
          </w:p>
        </w:tc>
        <w:tc>
          <w:tcPr>
            <w:tcW w:w="1674" w:type="dxa"/>
          </w:tcPr>
          <w:p w:rsidR="007A5BDD" w:rsidRPr="00B66D3D" w:rsidRDefault="007A5BDD" w:rsidP="00440CBA">
            <w:pPr>
              <w:rPr>
                <w:rFonts w:eastAsia="Calibri"/>
                <w:sz w:val="22"/>
                <w:szCs w:val="22"/>
              </w:rPr>
            </w:pPr>
            <w:r>
              <w:rPr>
                <w:rFonts w:eastAsia="Calibri"/>
                <w:sz w:val="22"/>
                <w:szCs w:val="22"/>
              </w:rPr>
              <w:t>1800 MHz</w:t>
            </w:r>
          </w:p>
        </w:tc>
        <w:tc>
          <w:tcPr>
            <w:tcW w:w="1674" w:type="dxa"/>
          </w:tcPr>
          <w:p w:rsidR="007A5BDD" w:rsidRPr="00B66D3D" w:rsidRDefault="007A5BDD" w:rsidP="00440CBA">
            <w:pPr>
              <w:rPr>
                <w:rFonts w:eastAsia="Calibri"/>
                <w:sz w:val="22"/>
                <w:szCs w:val="22"/>
              </w:rPr>
            </w:pPr>
            <w:r w:rsidRPr="00B66D3D">
              <w:rPr>
                <w:rFonts w:eastAsia="Calibri"/>
                <w:sz w:val="22"/>
                <w:szCs w:val="22"/>
              </w:rPr>
              <w:t>1710-1785</w:t>
            </w:r>
          </w:p>
        </w:tc>
        <w:tc>
          <w:tcPr>
            <w:tcW w:w="1674" w:type="dxa"/>
          </w:tcPr>
          <w:p w:rsidR="007A5BDD" w:rsidRPr="00B66D3D" w:rsidRDefault="007A5BDD" w:rsidP="00440CBA">
            <w:pPr>
              <w:rPr>
                <w:rFonts w:eastAsia="Calibri"/>
                <w:sz w:val="22"/>
                <w:szCs w:val="22"/>
              </w:rPr>
            </w:pPr>
            <w:r w:rsidRPr="00B66D3D">
              <w:rPr>
                <w:rFonts w:eastAsia="Calibri"/>
                <w:sz w:val="22"/>
                <w:szCs w:val="22"/>
              </w:rPr>
              <w:t>1805-1880</w:t>
            </w:r>
          </w:p>
        </w:tc>
      </w:tr>
      <w:tr w:rsidR="007A5BDD" w:rsidRPr="00B66D3D" w:rsidTr="00440CBA">
        <w:trPr>
          <w:jc w:val="center"/>
        </w:trPr>
        <w:tc>
          <w:tcPr>
            <w:tcW w:w="684" w:type="dxa"/>
          </w:tcPr>
          <w:p w:rsidR="007A5BDD" w:rsidRPr="00B66D3D" w:rsidRDefault="007A5BDD" w:rsidP="00440CBA">
            <w:pPr>
              <w:rPr>
                <w:rFonts w:eastAsia="Calibri"/>
                <w:sz w:val="22"/>
                <w:szCs w:val="22"/>
              </w:rPr>
            </w:pPr>
            <w:r>
              <w:rPr>
                <w:sz w:val="22"/>
                <w:szCs w:val="22"/>
              </w:rPr>
              <w:t>4.</w:t>
            </w:r>
          </w:p>
        </w:tc>
        <w:tc>
          <w:tcPr>
            <w:tcW w:w="1674" w:type="dxa"/>
          </w:tcPr>
          <w:p w:rsidR="007A5BDD" w:rsidRPr="00B66D3D" w:rsidRDefault="007A5BDD" w:rsidP="00440CBA">
            <w:pPr>
              <w:rPr>
                <w:sz w:val="22"/>
                <w:szCs w:val="22"/>
              </w:rPr>
            </w:pPr>
            <w:r>
              <w:rPr>
                <w:sz w:val="22"/>
                <w:szCs w:val="22"/>
              </w:rPr>
              <w:t>2100 MHz (‘3G  Band’)</w:t>
            </w:r>
          </w:p>
        </w:tc>
        <w:tc>
          <w:tcPr>
            <w:tcW w:w="1674" w:type="dxa"/>
          </w:tcPr>
          <w:p w:rsidR="007A5BDD" w:rsidRPr="00B66D3D" w:rsidRDefault="007A5BDD" w:rsidP="00440CBA">
            <w:pPr>
              <w:rPr>
                <w:rFonts w:eastAsia="Calibri"/>
                <w:sz w:val="22"/>
                <w:szCs w:val="22"/>
              </w:rPr>
            </w:pPr>
            <w:r w:rsidRPr="00B66D3D">
              <w:rPr>
                <w:sz w:val="22"/>
                <w:szCs w:val="22"/>
              </w:rPr>
              <w:t>1920-1980</w:t>
            </w:r>
            <w:r w:rsidRPr="00B66D3D">
              <w:rPr>
                <w:rFonts w:eastAsia="Calibri"/>
                <w:sz w:val="22"/>
                <w:szCs w:val="22"/>
              </w:rPr>
              <w:t xml:space="preserve"> </w:t>
            </w:r>
          </w:p>
        </w:tc>
        <w:tc>
          <w:tcPr>
            <w:tcW w:w="1674" w:type="dxa"/>
          </w:tcPr>
          <w:p w:rsidR="007A5BDD" w:rsidRPr="00B66D3D" w:rsidRDefault="007A5BDD" w:rsidP="00440CBA">
            <w:pPr>
              <w:rPr>
                <w:sz w:val="22"/>
                <w:szCs w:val="22"/>
              </w:rPr>
            </w:pPr>
            <w:r w:rsidRPr="00B66D3D">
              <w:rPr>
                <w:rFonts w:eastAsia="Calibri"/>
                <w:sz w:val="22"/>
                <w:szCs w:val="22"/>
              </w:rPr>
              <w:t>2110-2170</w:t>
            </w:r>
          </w:p>
        </w:tc>
      </w:tr>
      <w:tr w:rsidR="007A5BDD" w:rsidRPr="00B66D3D" w:rsidTr="00440CBA">
        <w:trPr>
          <w:jc w:val="center"/>
        </w:trPr>
        <w:tc>
          <w:tcPr>
            <w:tcW w:w="684" w:type="dxa"/>
          </w:tcPr>
          <w:p w:rsidR="007A5BDD" w:rsidRPr="00B66D3D" w:rsidRDefault="007A5BDD" w:rsidP="00440CBA">
            <w:pPr>
              <w:rPr>
                <w:rFonts w:eastAsia="Calibri"/>
                <w:sz w:val="22"/>
                <w:szCs w:val="22"/>
              </w:rPr>
            </w:pPr>
            <w:r>
              <w:rPr>
                <w:sz w:val="22"/>
                <w:szCs w:val="22"/>
              </w:rPr>
              <w:t>5.</w:t>
            </w:r>
          </w:p>
        </w:tc>
        <w:tc>
          <w:tcPr>
            <w:tcW w:w="1674" w:type="dxa"/>
          </w:tcPr>
          <w:p w:rsidR="007A5BDD" w:rsidRPr="00B66D3D" w:rsidRDefault="007A5BDD" w:rsidP="00440CBA">
            <w:pPr>
              <w:rPr>
                <w:sz w:val="22"/>
                <w:szCs w:val="22"/>
              </w:rPr>
            </w:pPr>
            <w:r>
              <w:rPr>
                <w:sz w:val="22"/>
                <w:szCs w:val="22"/>
              </w:rPr>
              <w:t>2300 MHz (‘BWA’ band)</w:t>
            </w:r>
          </w:p>
        </w:tc>
        <w:tc>
          <w:tcPr>
            <w:tcW w:w="1674" w:type="dxa"/>
          </w:tcPr>
          <w:p w:rsidR="007A5BDD" w:rsidRPr="00B66D3D" w:rsidRDefault="007A5BDD" w:rsidP="00440CBA">
            <w:pPr>
              <w:rPr>
                <w:rFonts w:eastAsia="Calibri"/>
                <w:sz w:val="22"/>
                <w:szCs w:val="22"/>
              </w:rPr>
            </w:pPr>
            <w:r w:rsidRPr="00B66D3D">
              <w:rPr>
                <w:sz w:val="22"/>
                <w:szCs w:val="22"/>
              </w:rPr>
              <w:t>2</w:t>
            </w:r>
            <w:r w:rsidRPr="00B66D3D">
              <w:rPr>
                <w:rFonts w:eastAsia="Calibri"/>
                <w:sz w:val="22"/>
                <w:szCs w:val="22"/>
              </w:rPr>
              <w:t>3</w:t>
            </w:r>
            <w:r w:rsidRPr="00B66D3D">
              <w:rPr>
                <w:sz w:val="22"/>
                <w:szCs w:val="22"/>
              </w:rPr>
              <w:t>00-2</w:t>
            </w:r>
            <w:r w:rsidRPr="00B66D3D">
              <w:rPr>
                <w:rFonts w:eastAsia="Calibri"/>
                <w:sz w:val="22"/>
                <w:szCs w:val="22"/>
              </w:rPr>
              <w:t>4</w:t>
            </w:r>
            <w:r w:rsidRPr="00B66D3D">
              <w:rPr>
                <w:sz w:val="22"/>
                <w:szCs w:val="22"/>
              </w:rPr>
              <w:t>00</w:t>
            </w:r>
            <w:r w:rsidRPr="00B66D3D">
              <w:rPr>
                <w:rFonts w:eastAsia="Calibri"/>
                <w:sz w:val="22"/>
                <w:szCs w:val="22"/>
              </w:rPr>
              <w:t xml:space="preserve"> </w:t>
            </w:r>
          </w:p>
        </w:tc>
        <w:tc>
          <w:tcPr>
            <w:tcW w:w="1674" w:type="dxa"/>
          </w:tcPr>
          <w:p w:rsidR="007A5BDD" w:rsidRPr="00B66D3D" w:rsidRDefault="007A5BDD" w:rsidP="00440CBA">
            <w:pPr>
              <w:rPr>
                <w:sz w:val="22"/>
                <w:szCs w:val="22"/>
              </w:rPr>
            </w:pPr>
            <w:r>
              <w:rPr>
                <w:sz w:val="22"/>
                <w:szCs w:val="22"/>
              </w:rPr>
              <w:t>TDD Duplexing Scheme</w:t>
            </w:r>
          </w:p>
        </w:tc>
      </w:tr>
    </w:tbl>
    <w:p w:rsidR="007A5BDD" w:rsidRPr="00626CBB"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Pr>
          <w:rFonts w:eastAsia="Calibri"/>
        </w:rPr>
        <w:t xml:space="preserve">The process for the award of Cellular Mobile Telecommunications Services (CMTS) was initiated by the </w:t>
      </w:r>
      <w:r w:rsidRPr="00B8536E">
        <w:rPr>
          <w:rFonts w:eastAsia="Calibri"/>
        </w:rPr>
        <w:t>D</w:t>
      </w:r>
      <w:r>
        <w:rPr>
          <w:rFonts w:eastAsia="Calibri"/>
        </w:rPr>
        <w:t>epartment of Telecommunications (D</w:t>
      </w:r>
      <w:r w:rsidRPr="00B8536E">
        <w:rPr>
          <w:rFonts w:eastAsia="Calibri"/>
        </w:rPr>
        <w:t>oT</w:t>
      </w:r>
      <w:r>
        <w:rPr>
          <w:rFonts w:eastAsia="Calibri"/>
        </w:rPr>
        <w:t>) for the time i</w:t>
      </w:r>
      <w:r w:rsidRPr="00B8536E">
        <w:rPr>
          <w:rFonts w:eastAsia="Calibri"/>
        </w:rPr>
        <w:t>n March 1992</w:t>
      </w:r>
      <w:r>
        <w:rPr>
          <w:rFonts w:eastAsia="Calibri"/>
        </w:rPr>
        <w:t>, when it</w:t>
      </w:r>
      <w:r w:rsidRPr="00B8536E">
        <w:rPr>
          <w:rFonts w:eastAsia="Calibri"/>
        </w:rPr>
        <w:t xml:space="preserve"> </w:t>
      </w:r>
      <w:r>
        <w:rPr>
          <w:rFonts w:eastAsia="Calibri"/>
        </w:rPr>
        <w:t>floated</w:t>
      </w:r>
      <w:r w:rsidRPr="00B8536E">
        <w:rPr>
          <w:rFonts w:eastAsia="Calibri"/>
        </w:rPr>
        <w:t xml:space="preserve"> tenders for grant of GSM based cellular mobile </w:t>
      </w:r>
      <w:r w:rsidRPr="007B6EA4">
        <w:t>telephone</w:t>
      </w:r>
      <w:r w:rsidRPr="00B8536E">
        <w:rPr>
          <w:rFonts w:eastAsia="Calibri"/>
        </w:rPr>
        <w:t xml:space="preserve"> service license in four Metropolitan cities of In</w:t>
      </w:r>
      <w:r>
        <w:t>dia and</w:t>
      </w:r>
      <w:r w:rsidRPr="00B8536E">
        <w:rPr>
          <w:rFonts w:eastAsia="Calibri"/>
        </w:rPr>
        <w:t xml:space="preserve"> </w:t>
      </w:r>
      <w:r>
        <w:rPr>
          <w:rFonts w:eastAsia="Calibri"/>
        </w:rPr>
        <w:t xml:space="preserve">as a result, </w:t>
      </w:r>
      <w:r w:rsidRPr="00B8536E">
        <w:rPr>
          <w:rFonts w:eastAsia="Calibri"/>
        </w:rPr>
        <w:t xml:space="preserve">eight (8) CMTS licenses in the four Metros were awarded to private </w:t>
      </w:r>
      <w:r w:rsidRPr="00875170">
        <w:t>companies</w:t>
      </w:r>
      <w:r w:rsidRPr="00B8536E">
        <w:rPr>
          <w:rFonts w:eastAsia="Calibri"/>
        </w:rPr>
        <w:t xml:space="preserve"> </w:t>
      </w:r>
      <w:r w:rsidRPr="00CD6BA5">
        <w:t>in</w:t>
      </w:r>
      <w:r w:rsidRPr="00B8536E">
        <w:rPr>
          <w:rFonts w:eastAsia="Calibri"/>
        </w:rPr>
        <w:t xml:space="preserve"> November, 1994</w:t>
      </w:r>
      <w:r>
        <w:rPr>
          <w:rFonts w:eastAsia="Calibri"/>
        </w:rPr>
        <w:t xml:space="preserve"> on beauty contest principle</w:t>
      </w:r>
      <w:r w:rsidRPr="00B8536E">
        <w:rPr>
          <w:rFonts w:eastAsia="Calibri"/>
        </w:rPr>
        <w:t xml:space="preserve">. In year 1995, after following competitive bidding process, 34 Cellular Mobile Telephone Service (CMTS) </w:t>
      </w:r>
      <w:proofErr w:type="spellStart"/>
      <w:r w:rsidRPr="00B8536E">
        <w:rPr>
          <w:rFonts w:eastAsia="Calibri"/>
        </w:rPr>
        <w:t>licences</w:t>
      </w:r>
      <w:proofErr w:type="spellEnd"/>
      <w:r w:rsidRPr="00B8536E">
        <w:rPr>
          <w:rFonts w:eastAsia="Calibri"/>
        </w:rPr>
        <w:t xml:space="preserve"> were awarded in 18 </w:t>
      </w:r>
      <w:proofErr w:type="spellStart"/>
      <w:r>
        <w:rPr>
          <w:rFonts w:eastAsia="Calibri"/>
        </w:rPr>
        <w:t>licence</w:t>
      </w:r>
      <w:proofErr w:type="spellEnd"/>
      <w:r>
        <w:rPr>
          <w:rFonts w:eastAsia="Calibri"/>
        </w:rPr>
        <w:t xml:space="preserve"> </w:t>
      </w:r>
      <w:r w:rsidRPr="00B8536E">
        <w:rPr>
          <w:rFonts w:eastAsia="Calibri"/>
        </w:rPr>
        <w:t xml:space="preserve">service area. </w:t>
      </w:r>
      <w:r>
        <w:rPr>
          <w:rFonts w:eastAsia="Calibri"/>
        </w:rPr>
        <w:t xml:space="preserve">It is worth mentioning here that the country is divided in to 22 </w:t>
      </w:r>
      <w:proofErr w:type="spellStart"/>
      <w:r>
        <w:rPr>
          <w:rFonts w:eastAsia="Calibri"/>
        </w:rPr>
        <w:t>licence</w:t>
      </w:r>
      <w:proofErr w:type="spellEnd"/>
      <w:r>
        <w:rPr>
          <w:rFonts w:eastAsia="Calibri"/>
        </w:rPr>
        <w:t xml:space="preserve"> service areas (LSAs) and separate </w:t>
      </w:r>
      <w:proofErr w:type="spellStart"/>
      <w:r>
        <w:rPr>
          <w:rFonts w:eastAsia="Calibri"/>
        </w:rPr>
        <w:t>licences</w:t>
      </w:r>
      <w:proofErr w:type="spellEnd"/>
      <w:r>
        <w:rPr>
          <w:rFonts w:eastAsia="Calibri"/>
        </w:rPr>
        <w:t xml:space="preserve"> are awarded for each of these LSAs. </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 xml:space="preserve">The government companied (MTNL/BSNL) were given CMTS </w:t>
      </w:r>
      <w:proofErr w:type="spellStart"/>
      <w:r>
        <w:t>licence</w:t>
      </w:r>
      <w:proofErr w:type="spellEnd"/>
      <w:r>
        <w:t xml:space="preserve"> as the third CMTS </w:t>
      </w:r>
      <w:r w:rsidRPr="00EC7952">
        <w:t>operator</w:t>
      </w:r>
      <w:r>
        <w:t xml:space="preserve">. MTNL, which operates in </w:t>
      </w:r>
      <w:r w:rsidRPr="00B8536E">
        <w:t>Delhi and Mumbai</w:t>
      </w:r>
      <w:r>
        <w:t xml:space="preserve">, was given CMTS </w:t>
      </w:r>
      <w:proofErr w:type="spellStart"/>
      <w:r>
        <w:t>licence</w:t>
      </w:r>
      <w:proofErr w:type="spellEnd"/>
      <w:r>
        <w:t xml:space="preserve"> in 1997, whereas BSNL, which operates in</w:t>
      </w:r>
      <w:r w:rsidRPr="00B8536E">
        <w:t xml:space="preserve"> rest of the country</w:t>
      </w:r>
      <w:r>
        <w:t xml:space="preserve">, was given CMTS </w:t>
      </w:r>
      <w:proofErr w:type="spellStart"/>
      <w:r>
        <w:t>licence</w:t>
      </w:r>
      <w:proofErr w:type="spellEnd"/>
      <w:r>
        <w:t xml:space="preserve"> in the year 2000</w:t>
      </w:r>
      <w:r w:rsidRPr="00B8536E">
        <w:t xml:space="preserve">. </w:t>
      </w:r>
      <w:r>
        <w:t xml:space="preserve">The fourth cellular operator was chosen through a multi-stage bidding in the year 2001 and </w:t>
      </w:r>
      <w:proofErr w:type="spellStart"/>
      <w:r>
        <w:t>licences</w:t>
      </w:r>
      <w:proofErr w:type="spellEnd"/>
      <w:r>
        <w:t xml:space="preserve"> were issued in 2001/2002.</w:t>
      </w:r>
      <w:r w:rsidRPr="00B8536E">
        <w:t xml:space="preserve"> </w:t>
      </w:r>
      <w:r w:rsidRPr="00197F51">
        <w:t xml:space="preserve">Afterwards, Universal </w:t>
      </w:r>
      <w:r w:rsidRPr="00197F51">
        <w:lastRenderedPageBreak/>
        <w:t xml:space="preserve">Access Service </w:t>
      </w:r>
      <w:proofErr w:type="spellStart"/>
      <w:r w:rsidRPr="00197F51">
        <w:t>Licences</w:t>
      </w:r>
      <w:proofErr w:type="spellEnd"/>
      <w:r>
        <w:t xml:space="preserve"> </w:t>
      </w:r>
      <w:r w:rsidRPr="00197F51">
        <w:t>(UASL)</w:t>
      </w:r>
      <w:r>
        <w:rPr>
          <w:rStyle w:val="FootnoteReference"/>
        </w:rPr>
        <w:footnoteReference w:id="12"/>
      </w:r>
      <w:r w:rsidRPr="00197F51">
        <w:t xml:space="preserve"> </w:t>
      </w:r>
      <w:r>
        <w:t>were</w:t>
      </w:r>
      <w:r w:rsidRPr="00197F51">
        <w:t xml:space="preserve"> given in </w:t>
      </w:r>
      <w:r>
        <w:t xml:space="preserve">the years 2003, 2004, 2006, 2007 and 2008 </w:t>
      </w:r>
      <w:r w:rsidRPr="00197F51">
        <w:t xml:space="preserve">following the principle of First Come First Served (FCFS). </w:t>
      </w:r>
      <w:r>
        <w:t xml:space="preserve">The Entry Fee discovered in the 2001 auction was applied for all the UAS </w:t>
      </w:r>
      <w:proofErr w:type="spellStart"/>
      <w:r>
        <w:t>licences</w:t>
      </w:r>
      <w:proofErr w:type="spellEnd"/>
      <w:r>
        <w:t>. There was no separate fee for the assignment for the spectrum, which was bundled with the spectrum. Initially, 2x4.4 MHz of 900/1800 spectrum for GSM or 2x2.5 MHz of 800 MHz for CDMA service providers was allotted and subsequently additional spectrum was assigned based on the subscriber linked allocation criteria administratively.</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 xml:space="preserve">The </w:t>
      </w:r>
      <w:proofErr w:type="spellStart"/>
      <w:r>
        <w:t>Hon’ble</w:t>
      </w:r>
      <w:proofErr w:type="spellEnd"/>
      <w:r>
        <w:t xml:space="preserve"> Supreme Court of India found the process of award of </w:t>
      </w:r>
      <w:proofErr w:type="spellStart"/>
      <w:r>
        <w:t>licences</w:t>
      </w:r>
      <w:proofErr w:type="spellEnd"/>
      <w:r>
        <w:t xml:space="preserve"> FCFS as arbitrary and flawed and through its order dated 2</w:t>
      </w:r>
      <w:r w:rsidRPr="00006579">
        <w:rPr>
          <w:vertAlign w:val="superscript"/>
        </w:rPr>
        <w:t>nd</w:t>
      </w:r>
      <w:r>
        <w:t xml:space="preserve"> February 2012, cancelled </w:t>
      </w:r>
      <w:r w:rsidRPr="00B8536E">
        <w:t xml:space="preserve">122 new </w:t>
      </w:r>
      <w:proofErr w:type="spellStart"/>
      <w:r w:rsidRPr="00B8536E">
        <w:t>licences</w:t>
      </w:r>
      <w:proofErr w:type="spellEnd"/>
      <w:r>
        <w:t>, which were</w:t>
      </w:r>
      <w:r w:rsidRPr="00B8536E">
        <w:t xml:space="preserve"> awarded</w:t>
      </w:r>
      <w:r>
        <w:t xml:space="preserve"> in the year 2008. </w:t>
      </w:r>
      <w:proofErr w:type="spellStart"/>
      <w:r w:rsidRPr="00EC7952">
        <w:t>Hon’ble</w:t>
      </w:r>
      <w:proofErr w:type="spellEnd"/>
      <w:r>
        <w:t xml:space="preserve"> court ordered that auction, being the scare natural resource, must be assigned through the process of market based mechanism. </w:t>
      </w:r>
    </w:p>
    <w:p w:rsidR="007A5BDD" w:rsidRDefault="007A5BDD" w:rsidP="007A5BDD">
      <w:pPr>
        <w:pStyle w:val="ListParagraph"/>
        <w:shd w:val="clear" w:color="auto" w:fill="FFFFFF"/>
        <w:tabs>
          <w:tab w:val="left" w:pos="810"/>
        </w:tabs>
        <w:spacing w:before="120" w:after="240" w:line="360" w:lineRule="auto"/>
        <w:ind w:left="810"/>
      </w:pPr>
      <w:r>
        <w:rPr>
          <w:noProof/>
          <w:lang w:bidi="ar-SA"/>
        </w:rPr>
        <w:drawing>
          <wp:inline distT="0" distB="0" distL="0" distR="0" wp14:anchorId="45B083A1" wp14:editId="1FB69CCB">
            <wp:extent cx="5731510" cy="2638840"/>
            <wp:effectExtent l="19050" t="0" r="254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31510" cy="2638840"/>
                    </a:xfrm>
                    <a:prstGeom prst="rect">
                      <a:avLst/>
                    </a:prstGeom>
                    <a:noFill/>
                    <a:ln w="9525">
                      <a:noFill/>
                      <a:miter lim="800000"/>
                      <a:headEnd/>
                      <a:tailEnd/>
                    </a:ln>
                  </pic:spPr>
                </pic:pic>
              </a:graphicData>
            </a:graphic>
          </wp:inline>
        </w:drawing>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In Feb 2012, the DoT announced</w:t>
      </w:r>
      <w:r>
        <w:rPr>
          <w:rStyle w:val="FootnoteReference"/>
        </w:rPr>
        <w:footnoteReference w:id="13"/>
      </w:r>
      <w:r>
        <w:t xml:space="preserve"> that in future, the spectrum will not be bundled with the </w:t>
      </w:r>
      <w:proofErr w:type="spellStart"/>
      <w:r>
        <w:t>licence</w:t>
      </w:r>
      <w:proofErr w:type="spellEnd"/>
      <w:r>
        <w:t xml:space="preserve">. The </w:t>
      </w:r>
      <w:proofErr w:type="spellStart"/>
      <w:r w:rsidRPr="004970E6">
        <w:t>licence</w:t>
      </w:r>
      <w:proofErr w:type="spellEnd"/>
      <w:r>
        <w:t xml:space="preserve"> to be issued to telecom operators will be in the nature of a ‘unified </w:t>
      </w:r>
      <w:proofErr w:type="spellStart"/>
      <w:r>
        <w:t>licence</w:t>
      </w:r>
      <w:proofErr w:type="spellEnd"/>
      <w:r>
        <w:t xml:space="preserve">’ and the </w:t>
      </w:r>
      <w:proofErr w:type="spellStart"/>
      <w:r>
        <w:t>licence</w:t>
      </w:r>
      <w:proofErr w:type="spellEnd"/>
      <w:r>
        <w:t xml:space="preserve"> holder will be free to offer any of the multifarious telecom services. In the event the </w:t>
      </w:r>
      <w:proofErr w:type="spellStart"/>
      <w:r>
        <w:t>licence</w:t>
      </w:r>
      <w:proofErr w:type="spellEnd"/>
      <w:r>
        <w:t xml:space="preserve"> holder would like to offer wireless services, it will have to obtain spectrum through a market-driven process. In future, there will be no concept of contracted spectrum and, therefore, no concept of initial or start-up spectrum. </w:t>
      </w:r>
      <w:r w:rsidRPr="004970E6">
        <w:t>Spectrum will be made available only through a market-driven process</w:t>
      </w:r>
      <w:r w:rsidRPr="00B04FE2">
        <w:rPr>
          <w:b/>
        </w:rPr>
        <w:t>.</w:t>
      </w:r>
      <w:r>
        <w:rPr>
          <w:b/>
        </w:rPr>
        <w:t xml:space="preserve"> </w:t>
      </w:r>
    </w:p>
    <w:p w:rsidR="007A5BDD" w:rsidRPr="001C598B"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1C598B">
        <w:lastRenderedPageBreak/>
        <w:t xml:space="preserve">Later on, the DoT </w:t>
      </w:r>
      <w:r w:rsidRPr="00EC7952">
        <w:t>has</w:t>
      </w:r>
      <w:r w:rsidRPr="001C598B">
        <w:t xml:space="preserve"> conducted three rounds of auctions so far for the award of spectrum in the 800MHz/900MHz and 1800 </w:t>
      </w:r>
      <w:proofErr w:type="spellStart"/>
      <w:r w:rsidRPr="001C598B">
        <w:t>MHz.</w:t>
      </w:r>
      <w:proofErr w:type="spellEnd"/>
      <w:r w:rsidRPr="001C598B">
        <w:t xml:space="preserve"> The auctions were conducted in November 2012, March 2013 and February 2013. ‘3G Spectrum in </w:t>
      </w:r>
      <w:r w:rsidRPr="001C598B">
        <w:rPr>
          <w:rFonts w:eastAsia="Calibri"/>
        </w:rPr>
        <w:t>2100</w:t>
      </w:r>
      <w:r w:rsidRPr="001C598B">
        <w:t xml:space="preserve"> MHz band’ and ‘BWA spectrum in 2300 MHz’ band was assigned through two </w:t>
      </w:r>
      <w:r w:rsidRPr="00CD6BA5">
        <w:t>separate</w:t>
      </w:r>
      <w:r w:rsidRPr="001C598B">
        <w:t xml:space="preserve"> e-Auctions in 2010. </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 xml:space="preserve">The summary of the above discussion is that, in India, there would not be any </w:t>
      </w:r>
      <w:r w:rsidRPr="00EC7952">
        <w:t>assignment</w:t>
      </w:r>
      <w:r>
        <w:t xml:space="preserve"> of spectrum for IMT services through administrative methods, but only market based mechanisms are being followed.</w:t>
      </w:r>
    </w:p>
    <w:p w:rsidR="007A5BDD" w:rsidRDefault="007A5BDD" w:rsidP="007A5BDD">
      <w:pPr>
        <w:pStyle w:val="ListParagraph"/>
        <w:spacing w:before="120" w:after="240" w:line="360" w:lineRule="auto"/>
        <w:rPr>
          <w:b/>
        </w:rPr>
      </w:pPr>
    </w:p>
    <w:p w:rsidR="007A5BDD" w:rsidRDefault="007A5BDD" w:rsidP="007A5BDD">
      <w:pPr>
        <w:pStyle w:val="ListParagraph"/>
        <w:spacing w:before="120" w:after="240" w:line="360" w:lineRule="auto"/>
      </w:pPr>
      <w:proofErr w:type="spellStart"/>
      <w:r>
        <w:rPr>
          <w:b/>
        </w:rPr>
        <w:t>Liberalised</w:t>
      </w:r>
      <w:proofErr w:type="spellEnd"/>
      <w:r>
        <w:rPr>
          <w:b/>
        </w:rPr>
        <w:t xml:space="preserve"> use of Spectrum</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18695A">
        <w:t xml:space="preserve">In India, </w:t>
      </w:r>
      <w:r w:rsidRPr="0018695A">
        <w:rPr>
          <w:rFonts w:cs="Calibri"/>
        </w:rPr>
        <w:t>spectrum</w:t>
      </w:r>
      <w:r w:rsidRPr="0018695A">
        <w:t xml:space="preserve"> for </w:t>
      </w:r>
      <w:r w:rsidRPr="008E4CF8">
        <w:t>mobile</w:t>
      </w:r>
      <w:r w:rsidRPr="0018695A">
        <w:t xml:space="preserve"> services has been assigned from different spectrum bands depending upon whether licensee is deploying CDMA or GSM technology. Therefore, the spectrum assigned </w:t>
      </w:r>
      <w:r>
        <w:t>in 800/900/</w:t>
      </w:r>
      <w:r w:rsidRPr="00DD60CC">
        <w:t>1800</w:t>
      </w:r>
      <w:r>
        <w:t xml:space="preserve"> </w:t>
      </w:r>
      <w:r w:rsidRPr="0018695A">
        <w:t xml:space="preserve">for </w:t>
      </w:r>
      <w:r>
        <w:t xml:space="preserve">2G </w:t>
      </w:r>
      <w:r w:rsidRPr="0018695A">
        <w:t>mobile services is bound with the te</w:t>
      </w:r>
      <w:r>
        <w:t>chnology chosen by the licensee, whereas</w:t>
      </w:r>
      <w:r w:rsidRPr="0018695A">
        <w:t xml:space="preserve"> </w:t>
      </w:r>
      <w:r w:rsidRPr="003113D7">
        <w:t>ITU has assigned the spectrum in the 800,</w:t>
      </w:r>
      <w:r>
        <w:t xml:space="preserve"> </w:t>
      </w:r>
      <w:r w:rsidRPr="003113D7">
        <w:t>900 and 1800 MHz bands for IMT applications.</w:t>
      </w:r>
      <w:r>
        <w:t xml:space="preserve"> However, the spectrum that has been assigned through auctioned in the 900MHz/1800 MHz band is a </w:t>
      </w:r>
      <w:proofErr w:type="spellStart"/>
      <w:r>
        <w:t>liberalised</w:t>
      </w:r>
      <w:proofErr w:type="spellEnd"/>
      <w:r>
        <w:t xml:space="preserve"> spectrum. Also, there has been a provision that a TSP may convert its existing spectrum holding to </w:t>
      </w:r>
      <w:proofErr w:type="spellStart"/>
      <w:r>
        <w:t>liberalised</w:t>
      </w:r>
      <w:proofErr w:type="spellEnd"/>
      <w:r>
        <w:t xml:space="preserve"> form by paying market determined price pro-rated for the remaining </w:t>
      </w:r>
      <w:proofErr w:type="spellStart"/>
      <w:r>
        <w:t>licence</w:t>
      </w:r>
      <w:proofErr w:type="spellEnd"/>
      <w:r>
        <w:t xml:space="preserve"> validity period. </w:t>
      </w:r>
    </w:p>
    <w:p w:rsidR="007A5BDD" w:rsidRPr="00241ADB" w:rsidRDefault="007A5BDD" w:rsidP="007A5BDD">
      <w:pPr>
        <w:pStyle w:val="ListParagraph"/>
        <w:shd w:val="clear" w:color="auto" w:fill="FFFFFF"/>
        <w:tabs>
          <w:tab w:val="left" w:pos="810"/>
        </w:tabs>
        <w:spacing w:before="120" w:after="240" w:line="360" w:lineRule="auto"/>
        <w:ind w:left="810"/>
        <w:rPr>
          <w:b/>
        </w:rPr>
      </w:pPr>
      <w:r w:rsidRPr="00241ADB">
        <w:rPr>
          <w:b/>
        </w:rPr>
        <w:t>Spectrum Trading</w:t>
      </w:r>
    </w:p>
    <w:p w:rsidR="007A5BDD" w:rsidRPr="0033199A" w:rsidRDefault="007A5BDD" w:rsidP="007A5BDD">
      <w:pPr>
        <w:pStyle w:val="ListParagraph"/>
        <w:numPr>
          <w:ilvl w:val="0"/>
          <w:numId w:val="46"/>
        </w:numPr>
        <w:shd w:val="clear" w:color="auto" w:fill="FFFFFF"/>
        <w:tabs>
          <w:tab w:val="left" w:pos="810"/>
        </w:tabs>
        <w:spacing w:before="120" w:after="240" w:line="360" w:lineRule="auto"/>
        <w:ind w:left="810" w:hanging="810"/>
        <w:jc w:val="both"/>
        <w:rPr>
          <w:rFonts w:cs="Arial"/>
          <w:bCs/>
          <w:color w:val="000000" w:themeColor="text1"/>
          <w:spacing w:val="5"/>
        </w:rPr>
      </w:pPr>
      <w:r w:rsidRPr="0033199A">
        <w:rPr>
          <w:rFonts w:cs="Tahoma"/>
        </w:rPr>
        <w:t>TRAI in its recommendations on ‘Valuation and Reserve price of Spectrum’ dated 9</w:t>
      </w:r>
      <w:r w:rsidRPr="0033199A">
        <w:rPr>
          <w:rFonts w:cs="Tahoma"/>
          <w:vertAlign w:val="superscript"/>
        </w:rPr>
        <w:t>th</w:t>
      </w:r>
      <w:r w:rsidRPr="0033199A">
        <w:rPr>
          <w:rFonts w:cs="Tahoma"/>
        </w:rPr>
        <w:t xml:space="preserve"> September 2013 had recommended that spectrum trading should be permitted in the country. </w:t>
      </w:r>
      <w:r w:rsidRPr="0033199A">
        <w:rPr>
          <w:rFonts w:cs="Arial"/>
          <w:bCs/>
          <w:color w:val="000000" w:themeColor="text1"/>
          <w:spacing w:val="5"/>
        </w:rPr>
        <w:t xml:space="preserve">In October 2013, the DoT conveyed its in-principle acceptance of </w:t>
      </w:r>
      <w:r w:rsidRPr="0033199A">
        <w:rPr>
          <w:rFonts w:cs="Tahoma"/>
        </w:rPr>
        <w:t>Authority's</w:t>
      </w:r>
      <w:r w:rsidRPr="0033199A">
        <w:rPr>
          <w:rFonts w:cs="Arial"/>
          <w:bCs/>
          <w:color w:val="000000" w:themeColor="text1"/>
          <w:spacing w:val="5"/>
        </w:rPr>
        <w:t xml:space="preserve"> recommendation to permit spectrum trading in the country. Subsequently, the Authority has finalized its recommendations on ‘Working Guidelines on Spectrum Trading’. The salient features of the recommendations are given below:</w:t>
      </w:r>
    </w:p>
    <w:p w:rsidR="007A5BDD" w:rsidRPr="00DE24FC" w:rsidRDefault="007A5BDD" w:rsidP="007A5BDD">
      <w:pPr>
        <w:pStyle w:val="ListParagraph"/>
        <w:numPr>
          <w:ilvl w:val="0"/>
          <w:numId w:val="45"/>
        </w:numPr>
        <w:shd w:val="clear" w:color="auto" w:fill="FFFFFF"/>
        <w:tabs>
          <w:tab w:val="left" w:pos="810"/>
        </w:tabs>
        <w:spacing w:before="120" w:after="240" w:line="360" w:lineRule="auto"/>
        <w:jc w:val="both"/>
      </w:pPr>
      <w:r w:rsidRPr="00DE24FC">
        <w:t xml:space="preserve">Under </w:t>
      </w:r>
      <w:r>
        <w:t>s</w:t>
      </w:r>
      <w:r w:rsidRPr="00DE24FC">
        <w:t xml:space="preserve">pectrum </w:t>
      </w:r>
      <w:r>
        <w:t>t</w:t>
      </w:r>
      <w:r w:rsidRPr="00DE24FC">
        <w:t xml:space="preserve">rading, only outright transfer of spectrum </w:t>
      </w:r>
      <w:r w:rsidRPr="00A51AAC">
        <w:t>is</w:t>
      </w:r>
      <w:r w:rsidRPr="00DE24FC">
        <w:t xml:space="preserve"> permitted, i.e. the ownership of the usage right is transferred to the buyer. Spectrum leasing is </w:t>
      </w:r>
      <w:r w:rsidRPr="00BE7636">
        <w:rPr>
          <w:u w:val="single"/>
        </w:rPr>
        <w:t>not</w:t>
      </w:r>
      <w:r w:rsidRPr="00DE24FC">
        <w:t xml:space="preserve"> permitted at this point of time.</w:t>
      </w:r>
    </w:p>
    <w:p w:rsidR="007A5BDD" w:rsidRDefault="007A5BDD" w:rsidP="007A5BDD">
      <w:pPr>
        <w:pStyle w:val="ListParagraph"/>
        <w:numPr>
          <w:ilvl w:val="0"/>
          <w:numId w:val="45"/>
        </w:numPr>
        <w:shd w:val="clear" w:color="auto" w:fill="FFFFFF"/>
        <w:tabs>
          <w:tab w:val="left" w:pos="810"/>
        </w:tabs>
        <w:spacing w:before="120" w:after="240" w:line="360" w:lineRule="auto"/>
        <w:jc w:val="both"/>
        <w:rPr>
          <w:bCs/>
          <w:color w:val="000000"/>
        </w:rPr>
      </w:pPr>
      <w:r w:rsidRPr="00A51AAC">
        <w:lastRenderedPageBreak/>
        <w:t>Spectrum</w:t>
      </w:r>
      <w:r w:rsidRPr="00DE24FC">
        <w:t xml:space="preserve"> </w:t>
      </w:r>
      <w:r>
        <w:t>t</w:t>
      </w:r>
      <w:r w:rsidRPr="00DE24FC">
        <w:t>rading</w:t>
      </w:r>
      <w:r w:rsidRPr="00DE24FC">
        <w:rPr>
          <w:bCs/>
          <w:color w:val="000000"/>
        </w:rPr>
        <w:t xml:space="preserve"> will not </w:t>
      </w:r>
      <w:r w:rsidRPr="00EB5DBC">
        <w:t>alter</w:t>
      </w:r>
      <w:r w:rsidRPr="00DE24FC">
        <w:rPr>
          <w:bCs/>
          <w:color w:val="000000"/>
        </w:rPr>
        <w:t xml:space="preserve"> the original validity period of spectrum assignment.</w:t>
      </w:r>
    </w:p>
    <w:p w:rsidR="007A5BDD" w:rsidRDefault="007A5BDD" w:rsidP="007A5BDD">
      <w:pPr>
        <w:pStyle w:val="ListParagraph"/>
        <w:numPr>
          <w:ilvl w:val="0"/>
          <w:numId w:val="45"/>
        </w:numPr>
        <w:shd w:val="clear" w:color="auto" w:fill="FFFFFF"/>
        <w:tabs>
          <w:tab w:val="left" w:pos="810"/>
        </w:tabs>
        <w:spacing w:before="120" w:after="240" w:line="360" w:lineRule="auto"/>
        <w:jc w:val="both"/>
        <w:rPr>
          <w:bCs/>
          <w:color w:val="000000"/>
        </w:rPr>
      </w:pPr>
      <w:r w:rsidRPr="008B69BB">
        <w:rPr>
          <w:bCs/>
          <w:color w:val="000000"/>
        </w:rPr>
        <w:t>For the present, Spectrum Trading shall be permitted only on a pan-LSA (Licensed Service Area) basis i.e. spectrum cannot be traded for a part of the LSA.</w:t>
      </w:r>
    </w:p>
    <w:p w:rsidR="007A5BDD" w:rsidRDefault="007A5BDD" w:rsidP="007A5BDD">
      <w:pPr>
        <w:pStyle w:val="ListParagraph"/>
        <w:numPr>
          <w:ilvl w:val="0"/>
          <w:numId w:val="45"/>
        </w:numPr>
        <w:shd w:val="clear" w:color="auto" w:fill="FFFFFF"/>
        <w:tabs>
          <w:tab w:val="left" w:pos="810"/>
        </w:tabs>
        <w:spacing w:before="120" w:after="240" w:line="360" w:lineRule="auto"/>
        <w:jc w:val="both"/>
        <w:rPr>
          <w:bCs/>
        </w:rPr>
      </w:pPr>
      <w:r>
        <w:rPr>
          <w:bCs/>
        </w:rPr>
        <w:t>T</w:t>
      </w:r>
      <w:r w:rsidRPr="00DE24FC">
        <w:rPr>
          <w:bCs/>
        </w:rPr>
        <w:t xml:space="preserve">he seller and the buyer shall be required to </w:t>
      </w:r>
      <w:r w:rsidRPr="00DE24FC">
        <w:rPr>
          <w:bCs/>
          <w:u w:val="single"/>
        </w:rPr>
        <w:t>inform</w:t>
      </w:r>
      <w:r w:rsidRPr="00DE24FC">
        <w:rPr>
          <w:bCs/>
        </w:rPr>
        <w:t xml:space="preserve"> the Licensor </w:t>
      </w:r>
      <w:r w:rsidRPr="00A51AAC">
        <w:t>regarding</w:t>
      </w:r>
      <w:r w:rsidRPr="00DE24FC">
        <w:rPr>
          <w:bCs/>
        </w:rPr>
        <w:t xml:space="preserve"> the </w:t>
      </w:r>
      <w:r w:rsidRPr="008B69BB">
        <w:rPr>
          <w:bCs/>
          <w:color w:val="000000"/>
        </w:rPr>
        <w:t>spectrum</w:t>
      </w:r>
      <w:r w:rsidRPr="00DE24FC">
        <w:rPr>
          <w:bCs/>
        </w:rPr>
        <w:t xml:space="preserve"> trade</w:t>
      </w:r>
      <w:r>
        <w:rPr>
          <w:bCs/>
        </w:rPr>
        <w:t>,</w:t>
      </w:r>
      <w:r w:rsidRPr="00DE24FC">
        <w:rPr>
          <w:bCs/>
        </w:rPr>
        <w:t xml:space="preserve"> 6 weeks prior to the effective date of trade. However, no permission will be required from the Licensor/Government for Spectrum Trading. </w:t>
      </w:r>
    </w:p>
    <w:p w:rsidR="007A5BDD" w:rsidRPr="00DE24FC" w:rsidRDefault="007A5BDD" w:rsidP="007A5BDD">
      <w:pPr>
        <w:pStyle w:val="ListParagraph"/>
        <w:numPr>
          <w:ilvl w:val="0"/>
          <w:numId w:val="45"/>
        </w:numPr>
        <w:shd w:val="clear" w:color="auto" w:fill="FFFFFF"/>
        <w:tabs>
          <w:tab w:val="left" w:pos="810"/>
        </w:tabs>
        <w:spacing w:before="120" w:after="240" w:line="360" w:lineRule="auto"/>
        <w:jc w:val="both"/>
        <w:rPr>
          <w:bCs/>
          <w:color w:val="000000"/>
        </w:rPr>
      </w:pPr>
      <w:r w:rsidRPr="00DE24FC">
        <w:rPr>
          <w:bCs/>
          <w:color w:val="000000"/>
        </w:rPr>
        <w:t xml:space="preserve">All </w:t>
      </w:r>
      <w:r w:rsidRPr="00A51AAC">
        <w:t>spectrum</w:t>
      </w:r>
      <w:r w:rsidRPr="00DE24FC">
        <w:rPr>
          <w:bCs/>
          <w:color w:val="000000"/>
        </w:rPr>
        <w:t xml:space="preserve"> bands earmarked for Access Services by the Licensor will be treated as tradable spectrum bands. Currently spectrum in 800MHz, 900MHz, 1800MHz, 2100MHz, 2300MHz and 2500MHz spectrum bands have been </w:t>
      </w:r>
      <w:r w:rsidRPr="008B69BB">
        <w:rPr>
          <w:bCs/>
        </w:rPr>
        <w:t>allocated</w:t>
      </w:r>
      <w:r w:rsidRPr="00DE24FC">
        <w:rPr>
          <w:bCs/>
          <w:color w:val="000000"/>
        </w:rPr>
        <w:t xml:space="preserve"> for Access Services.</w:t>
      </w:r>
    </w:p>
    <w:p w:rsidR="007A5BDD" w:rsidRPr="00DE24FC" w:rsidRDefault="007A5BDD" w:rsidP="007A5BDD">
      <w:pPr>
        <w:pStyle w:val="ListParagraph"/>
        <w:numPr>
          <w:ilvl w:val="0"/>
          <w:numId w:val="45"/>
        </w:numPr>
        <w:shd w:val="clear" w:color="auto" w:fill="FFFFFF"/>
        <w:tabs>
          <w:tab w:val="left" w:pos="810"/>
        </w:tabs>
        <w:spacing w:before="120" w:after="240" w:line="360" w:lineRule="auto"/>
        <w:jc w:val="both"/>
      </w:pPr>
      <w:r w:rsidRPr="00DE24FC">
        <w:t>Only CMTS/</w:t>
      </w:r>
      <w:r w:rsidRPr="008B69BB">
        <w:rPr>
          <w:bCs/>
        </w:rPr>
        <w:t>UASL</w:t>
      </w:r>
      <w:r w:rsidRPr="00DE24FC">
        <w:t xml:space="preserve">/UL (AS)/UL licensees shall be eligible </w:t>
      </w:r>
      <w:r>
        <w:t>to participate in the spectrum t</w:t>
      </w:r>
      <w:r w:rsidRPr="00DE24FC">
        <w:t>rading. The entire spectrum held by the licensee in a particular spectrum band within an LSA sho</w:t>
      </w:r>
      <w:r>
        <w:t xml:space="preserve">uld be tradable i.e. </w:t>
      </w:r>
      <w:r>
        <w:rPr>
          <w:bCs/>
        </w:rPr>
        <w:t>it</w:t>
      </w:r>
      <w:r w:rsidRPr="0003186C">
        <w:rPr>
          <w:bCs/>
        </w:rPr>
        <w:t xml:space="preserve"> has either been assigned through an auction in the year 2010 or afterwards, or on which the TSP has already </w:t>
      </w:r>
      <w:r w:rsidRPr="00A51AAC">
        <w:t>paid</w:t>
      </w:r>
      <w:r w:rsidRPr="0003186C">
        <w:rPr>
          <w:bCs/>
        </w:rPr>
        <w:t xml:space="preserve"> the prescribed market value (as decided by the Government from time to time) to the Government</w:t>
      </w:r>
      <w:r>
        <w:rPr>
          <w:bCs/>
        </w:rPr>
        <w:t>.</w:t>
      </w:r>
    </w:p>
    <w:p w:rsidR="007A5BDD" w:rsidRDefault="007A5BDD" w:rsidP="007A5BDD">
      <w:pPr>
        <w:pStyle w:val="ListParagraph"/>
        <w:numPr>
          <w:ilvl w:val="0"/>
          <w:numId w:val="45"/>
        </w:numPr>
        <w:shd w:val="clear" w:color="auto" w:fill="FFFFFF"/>
        <w:tabs>
          <w:tab w:val="left" w:pos="810"/>
        </w:tabs>
        <w:spacing w:before="120" w:after="240" w:line="360" w:lineRule="auto"/>
        <w:jc w:val="both"/>
        <w:rPr>
          <w:bCs/>
          <w:color w:val="000000"/>
        </w:rPr>
      </w:pPr>
      <w:r>
        <w:rPr>
          <w:bCs/>
          <w:color w:val="000000"/>
        </w:rPr>
        <w:t>A TSP</w:t>
      </w:r>
      <w:r w:rsidRPr="00DE24FC">
        <w:rPr>
          <w:bCs/>
          <w:color w:val="000000"/>
        </w:rPr>
        <w:t xml:space="preserve"> will not be permitted to trade any spectrum in the spectrum band in which it has acquired any spectrum through </w:t>
      </w:r>
      <w:r>
        <w:rPr>
          <w:bCs/>
          <w:color w:val="000000"/>
        </w:rPr>
        <w:t>t</w:t>
      </w:r>
      <w:r w:rsidRPr="00DE24FC">
        <w:rPr>
          <w:bCs/>
          <w:color w:val="000000"/>
        </w:rPr>
        <w:t xml:space="preserve">rading </w:t>
      </w:r>
      <w:r w:rsidRPr="00D743B0">
        <w:rPr>
          <w:bCs/>
          <w:color w:val="000000"/>
        </w:rPr>
        <w:t xml:space="preserve">(or auction) </w:t>
      </w:r>
      <w:r w:rsidRPr="00DE24FC">
        <w:rPr>
          <w:bCs/>
          <w:color w:val="000000"/>
        </w:rPr>
        <w:t xml:space="preserve">for </w:t>
      </w:r>
      <w:r w:rsidRPr="00D743B0">
        <w:rPr>
          <w:bCs/>
          <w:color w:val="000000"/>
        </w:rPr>
        <w:t>a period of 2 years</w:t>
      </w:r>
      <w:r w:rsidRPr="00DE24FC">
        <w:rPr>
          <w:bCs/>
          <w:color w:val="000000"/>
        </w:rPr>
        <w:t xml:space="preserve"> from the effective date of </w:t>
      </w:r>
      <w:r w:rsidRPr="00A51AAC">
        <w:t>transfer</w:t>
      </w:r>
      <w:r w:rsidRPr="00DE24FC">
        <w:rPr>
          <w:bCs/>
          <w:color w:val="000000"/>
        </w:rPr>
        <w:t xml:space="preserve"> of spectrum</w:t>
      </w:r>
      <w:r w:rsidRPr="00D743B0">
        <w:rPr>
          <w:bCs/>
          <w:color w:val="000000"/>
        </w:rPr>
        <w:t xml:space="preserve"> (or effective date of assignment), i.e. TSP is required to hold spectrum </w:t>
      </w:r>
      <w:r>
        <w:rPr>
          <w:bCs/>
          <w:color w:val="000000"/>
        </w:rPr>
        <w:t xml:space="preserve">for </w:t>
      </w:r>
      <w:r w:rsidRPr="00D743B0">
        <w:rPr>
          <w:bCs/>
          <w:color w:val="000000"/>
        </w:rPr>
        <w:t>at</w:t>
      </w:r>
      <w:r>
        <w:rPr>
          <w:bCs/>
          <w:color w:val="000000"/>
        </w:rPr>
        <w:t xml:space="preserve"> </w:t>
      </w:r>
      <w:r w:rsidRPr="00D743B0">
        <w:rPr>
          <w:bCs/>
          <w:color w:val="000000"/>
        </w:rPr>
        <w:t>least two years from the date it acquires the spectrum.</w:t>
      </w:r>
    </w:p>
    <w:p w:rsidR="007A5BDD" w:rsidRPr="0033199A" w:rsidRDefault="007A5BDD" w:rsidP="007A5BDD">
      <w:pPr>
        <w:shd w:val="clear" w:color="auto" w:fill="FFFFFF"/>
        <w:tabs>
          <w:tab w:val="left" w:pos="810"/>
        </w:tabs>
        <w:spacing w:before="120" w:after="240" w:line="360" w:lineRule="auto"/>
        <w:ind w:firstLine="810"/>
        <w:rPr>
          <w:rFonts w:eastAsia="Times New Roman"/>
          <w:b/>
          <w:bCs/>
          <w:color w:val="000000"/>
        </w:rPr>
      </w:pPr>
      <w:r w:rsidRPr="0033199A">
        <w:rPr>
          <w:rFonts w:eastAsia="Times New Roman"/>
          <w:b/>
          <w:bCs/>
          <w:color w:val="000000"/>
        </w:rPr>
        <w:t>Spectrum Sharing</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In February 2012, the Government had issued the following broad guidelines for the sharing of 2G spectrum (800/900/1800 MHz), but the detailed guidelines for the sharing of spectrum are still awaited.</w:t>
      </w:r>
    </w:p>
    <w:p w:rsidR="007A5BDD" w:rsidRDefault="007A5BDD" w:rsidP="007A5BDD">
      <w:pPr>
        <w:numPr>
          <w:ilvl w:val="0"/>
          <w:numId w:val="18"/>
        </w:numPr>
        <w:tabs>
          <w:tab w:val="clear" w:pos="720"/>
          <w:tab w:val="num" w:pos="851"/>
        </w:tabs>
        <w:spacing w:before="120" w:after="240" w:line="360" w:lineRule="auto"/>
        <w:ind w:left="851" w:hanging="284"/>
        <w:jc w:val="both"/>
      </w:pPr>
      <w:r w:rsidRPr="002525DE">
        <w:t xml:space="preserve">Spectrum sharing only within the same </w:t>
      </w:r>
      <w:proofErr w:type="spellStart"/>
      <w:r w:rsidRPr="002525DE">
        <w:t>licence</w:t>
      </w:r>
      <w:proofErr w:type="spellEnd"/>
      <w:r w:rsidRPr="002525DE">
        <w:t xml:space="preserve"> service area with the prior permission of the licensor. Permission for Spectrum sharing will be given initially for a period of 5 </w:t>
      </w:r>
      <w:r w:rsidRPr="002525DE">
        <w:lastRenderedPageBreak/>
        <w:t xml:space="preserve">years. Government may renew the permission for a further one term of five years, on terms to be prescribed. Spectrum can be shared only between two spectrum holders both of which are holding spectrum either in 900/1800 MHz band or in 800 MHz band. Total quantum of spectrum, as a result of the spectrum sharing, shall not exceed the limit prescribed in case of mergers of </w:t>
      </w:r>
      <w:proofErr w:type="spellStart"/>
      <w:r w:rsidRPr="002525DE">
        <w:t>licences</w:t>
      </w:r>
      <w:proofErr w:type="spellEnd"/>
      <w:r w:rsidRPr="002525DE">
        <w:t>.</w:t>
      </w:r>
      <w:r>
        <w:t xml:space="preserve"> As per the existing guidelines of</w:t>
      </w:r>
      <w:r w:rsidRPr="004E22F3">
        <w:t xml:space="preserve"> the merger of </w:t>
      </w:r>
      <w:proofErr w:type="spellStart"/>
      <w:r w:rsidRPr="004E22F3">
        <w:t>licences</w:t>
      </w:r>
      <w:proofErr w:type="spellEnd"/>
      <w:r w:rsidRPr="004E22F3">
        <w:t xml:space="preserve"> in a service area, the total spectrum held by the Resultant entity shall not exceed 25% of the spectrum assigned, by way of auction or otherwise, in the concerned service area in case of 900 and 1800 MHz bands. In respect of 800 MHz band, the ceiling will be 10 </w:t>
      </w:r>
      <w:proofErr w:type="spellStart"/>
      <w:r w:rsidRPr="004E22F3">
        <w:t>MHz.</w:t>
      </w:r>
      <w:proofErr w:type="spellEnd"/>
      <w:r w:rsidRPr="004E22F3">
        <w:t xml:space="preserve"> </w:t>
      </w:r>
      <w:r w:rsidRPr="002525DE">
        <w:t xml:space="preserve"> </w:t>
      </w:r>
    </w:p>
    <w:p w:rsidR="007A5BDD" w:rsidRPr="002525DE" w:rsidRDefault="007A5BDD" w:rsidP="007A5BDD">
      <w:pPr>
        <w:numPr>
          <w:ilvl w:val="0"/>
          <w:numId w:val="18"/>
        </w:numPr>
        <w:tabs>
          <w:tab w:val="clear" w:pos="720"/>
          <w:tab w:val="num" w:pos="851"/>
        </w:tabs>
        <w:spacing w:before="120" w:after="240" w:line="360" w:lineRule="auto"/>
        <w:ind w:left="851" w:hanging="284"/>
        <w:jc w:val="both"/>
      </w:pPr>
      <w:r w:rsidRPr="002525DE">
        <w:t xml:space="preserve">In respect of spectrum obtained through auction, spectrum sharing will be permitted only if the auction conditions provide for the same. Parties sharing the spectrum will be deemed to be sharing their entire spectrum for the purpose of charging. Both the parties shall fulfill individually the roll out obligations as well as the </w:t>
      </w:r>
      <w:proofErr w:type="spellStart"/>
      <w:r w:rsidRPr="002525DE">
        <w:t>QoS</w:t>
      </w:r>
      <w:proofErr w:type="spellEnd"/>
      <w:r w:rsidRPr="002525DE">
        <w:t xml:space="preserve"> obligations prescribed under the </w:t>
      </w:r>
      <w:proofErr w:type="spellStart"/>
      <w:r w:rsidRPr="002525DE">
        <w:t>licence</w:t>
      </w:r>
      <w:proofErr w:type="spellEnd"/>
      <w:r w:rsidRPr="002525DE">
        <w:t xml:space="preserve">. </w:t>
      </w:r>
    </w:p>
    <w:p w:rsidR="007A5BDD" w:rsidRPr="00E728D7" w:rsidRDefault="007A5BDD" w:rsidP="007A5BDD">
      <w:pPr>
        <w:numPr>
          <w:ilvl w:val="0"/>
          <w:numId w:val="18"/>
        </w:numPr>
        <w:tabs>
          <w:tab w:val="clear" w:pos="720"/>
          <w:tab w:val="num" w:pos="851"/>
        </w:tabs>
        <w:spacing w:before="120" w:after="240" w:line="360" w:lineRule="auto"/>
        <w:ind w:left="851" w:hanging="284"/>
        <w:jc w:val="both"/>
      </w:pPr>
      <w:r w:rsidRPr="00E728D7">
        <w:t>Spectrum usage charges will be levied on both the operators individually but on the total spectrum held by both the operators together. In other words, if an operator ‘X’ having 4.4MHz of spectrum shares 4.4 MHz of spectrum of another operator ‘Y’, then both ‘X’ and ‘Y’ will be liable to pay spectrum usage charges applicable to 8.8 MHz of spectrum.</w:t>
      </w:r>
    </w:p>
    <w:p w:rsidR="007A5BDD" w:rsidRDefault="007A5BDD" w:rsidP="007A5BDD">
      <w:pPr>
        <w:numPr>
          <w:ilvl w:val="0"/>
          <w:numId w:val="18"/>
        </w:numPr>
        <w:tabs>
          <w:tab w:val="clear" w:pos="720"/>
          <w:tab w:val="num" w:pos="851"/>
        </w:tabs>
        <w:spacing w:before="120" w:after="240" w:line="360" w:lineRule="auto"/>
        <w:ind w:left="851" w:hanging="284"/>
        <w:jc w:val="both"/>
      </w:pPr>
      <w:r w:rsidRPr="002525DE">
        <w:t xml:space="preserve">Spectrum sharing would involve both the service providers </w:t>
      </w:r>
      <w:proofErr w:type="spellStart"/>
      <w:r w:rsidRPr="002525DE">
        <w:t>utilising</w:t>
      </w:r>
      <w:proofErr w:type="spellEnd"/>
      <w:r w:rsidRPr="002525DE">
        <w:t xml:space="preserve"> the spectrum. Leasing of spectrum is not permitted. Decision on matters related to pricing of spectrum, post sharing, would be taken separately. Spectrum sharing will not be permitted among licensees having 3G spectrum.</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 xml:space="preserve">TRAI has formed a Steering Committee with representatives from the Industry and TRAI to frame the detailed guidelines for sharing of spectrum. </w:t>
      </w:r>
    </w:p>
    <w:p w:rsidR="007A5BDD" w:rsidRPr="00666E45" w:rsidRDefault="007A5BDD" w:rsidP="007A5BDD">
      <w:pPr>
        <w:pStyle w:val="ListParagraph"/>
        <w:numPr>
          <w:ilvl w:val="0"/>
          <w:numId w:val="11"/>
        </w:numPr>
        <w:spacing w:before="120" w:after="240" w:line="360" w:lineRule="auto"/>
        <w:ind w:left="1170"/>
        <w:jc w:val="both"/>
        <w:rPr>
          <w:b/>
        </w:rPr>
      </w:pPr>
      <w:r w:rsidRPr="004C0402">
        <w:rPr>
          <w:b/>
        </w:rPr>
        <w:t>BANGLADESH</w:t>
      </w:r>
    </w:p>
    <w:p w:rsidR="007A5BDD" w:rsidRPr="00135FA7" w:rsidRDefault="007A5BDD" w:rsidP="007A5BDD">
      <w:pPr>
        <w:pStyle w:val="ListParagraph"/>
        <w:numPr>
          <w:ilvl w:val="0"/>
          <w:numId w:val="46"/>
        </w:numPr>
        <w:shd w:val="clear" w:color="auto" w:fill="FFFFFF"/>
        <w:tabs>
          <w:tab w:val="left" w:pos="810"/>
        </w:tabs>
        <w:spacing w:before="120" w:after="240" w:line="360" w:lineRule="auto"/>
        <w:ind w:left="810" w:hanging="810"/>
        <w:jc w:val="both"/>
        <w:rPr>
          <w:rStyle w:val="Strong"/>
          <w:b/>
          <w:bCs w:val="0"/>
          <w:color w:val="000000"/>
        </w:rPr>
      </w:pPr>
      <w:r w:rsidRPr="00B464B6">
        <w:rPr>
          <w:color w:val="000000"/>
        </w:rPr>
        <w:t>Bangladesh Telecommunication Regulatory Commission (BTRC)</w:t>
      </w:r>
      <w:r w:rsidRPr="00147B44">
        <w:rPr>
          <w:rStyle w:val="FootnoteReference"/>
          <w:rFonts w:cs="Arial"/>
          <w:color w:val="000000"/>
        </w:rPr>
        <w:footnoteReference w:id="14"/>
      </w:r>
      <w:r w:rsidRPr="00B464B6">
        <w:rPr>
          <w:color w:val="000000"/>
        </w:rPr>
        <w:t xml:space="preserve"> is the body responsible for the award of </w:t>
      </w:r>
      <w:proofErr w:type="spellStart"/>
      <w:r w:rsidRPr="00B464B6">
        <w:rPr>
          <w:color w:val="000000"/>
        </w:rPr>
        <w:t>licence</w:t>
      </w:r>
      <w:proofErr w:type="spellEnd"/>
      <w:r w:rsidRPr="00B464B6">
        <w:rPr>
          <w:color w:val="000000"/>
        </w:rPr>
        <w:t xml:space="preserve"> and the assignment of spectrum. It was established in 2001 under </w:t>
      </w:r>
      <w:r w:rsidRPr="00B464B6">
        <w:rPr>
          <w:color w:val="000000"/>
          <w:shd w:val="clear" w:color="auto" w:fill="FFFFFF"/>
        </w:rPr>
        <w:t xml:space="preserve">Bangladesh </w:t>
      </w:r>
      <w:r w:rsidRPr="00666E45">
        <w:t>Telecommunication</w:t>
      </w:r>
      <w:r>
        <w:rPr>
          <w:color w:val="000000"/>
          <w:shd w:val="clear" w:color="auto" w:fill="FFFFFF"/>
        </w:rPr>
        <w:t xml:space="preserve"> Act, 2001</w:t>
      </w:r>
      <w:r w:rsidRPr="00B464B6">
        <w:rPr>
          <w:color w:val="000000"/>
          <w:shd w:val="clear" w:color="auto" w:fill="FFFFFF"/>
        </w:rPr>
        <w:t xml:space="preserve">. </w:t>
      </w:r>
      <w:r w:rsidRPr="00B464B6">
        <w:rPr>
          <w:rStyle w:val="Strong"/>
          <w:color w:val="000000"/>
        </w:rPr>
        <w:t xml:space="preserve">The applicant has to </w:t>
      </w:r>
      <w:r w:rsidRPr="005627BE">
        <w:rPr>
          <w:bCs/>
        </w:rPr>
        <w:t>submit</w:t>
      </w:r>
      <w:r w:rsidRPr="00B464B6">
        <w:rPr>
          <w:rStyle w:val="Strong"/>
          <w:color w:val="000000"/>
        </w:rPr>
        <w:t xml:space="preserve"> Application for Cellular Mobile Services Operator </w:t>
      </w:r>
      <w:r w:rsidRPr="00B464B6">
        <w:rPr>
          <w:rStyle w:val="Strong"/>
          <w:color w:val="000000"/>
        </w:rPr>
        <w:lastRenderedPageBreak/>
        <w:t xml:space="preserve">License to the commission. The Commission decides the eligibility of the </w:t>
      </w:r>
      <w:r w:rsidRPr="00B464B6">
        <w:rPr>
          <w:bCs/>
          <w:shd w:val="clear" w:color="auto" w:fill="FFFFFF"/>
        </w:rPr>
        <w:t>applicant</w:t>
      </w:r>
      <w:r w:rsidRPr="00B464B6">
        <w:rPr>
          <w:rStyle w:val="Strong"/>
          <w:color w:val="000000"/>
        </w:rPr>
        <w:t xml:space="preserve"> and also licensing procedure either auction or others. After awarding license, the licensee shall have to obtain separate Radio</w:t>
      </w:r>
      <w:r w:rsidRPr="00B464B6">
        <w:rPr>
          <w:rFonts w:cs="Arial"/>
          <w:color w:val="000000"/>
        </w:rPr>
        <w:t xml:space="preserve"> </w:t>
      </w:r>
      <w:r w:rsidRPr="00B464B6">
        <w:rPr>
          <w:rStyle w:val="Strong"/>
          <w:color w:val="000000"/>
        </w:rPr>
        <w:t xml:space="preserve">Communications Equipment license for spectrum use from the Commission. </w:t>
      </w:r>
      <w:r>
        <w:rPr>
          <w:rStyle w:val="Strong"/>
          <w:color w:val="000000"/>
        </w:rPr>
        <w:t xml:space="preserve">For obtaining the </w:t>
      </w:r>
      <w:proofErr w:type="spellStart"/>
      <w:r>
        <w:rPr>
          <w:rStyle w:val="Strong"/>
          <w:color w:val="000000"/>
        </w:rPr>
        <w:t>licence</w:t>
      </w:r>
      <w:proofErr w:type="spellEnd"/>
      <w:r>
        <w:rPr>
          <w:rStyle w:val="Strong"/>
          <w:color w:val="000000"/>
        </w:rPr>
        <w:t>, the Licensee shall have to for frequency to BTRC, which is</w:t>
      </w:r>
      <w:r w:rsidRPr="00B464B6">
        <w:rPr>
          <w:rStyle w:val="Strong"/>
          <w:color w:val="000000"/>
        </w:rPr>
        <w:t xml:space="preserve"> placed to the Spectrum Management Committee (SMC) for their opinion. The SMC recommends the proposal to the commission. Based on this, the commission takes the final decision.</w:t>
      </w:r>
      <w:r>
        <w:rPr>
          <w:rStyle w:val="Strong"/>
          <w:color w:val="000000"/>
        </w:rPr>
        <w:t xml:space="preserve"> The commission reserves all the rights and sole responsibility of assigning spectrum to the licensee either auction or others. </w:t>
      </w:r>
    </w:p>
    <w:p w:rsidR="007A5BDD" w:rsidRPr="008C30F5" w:rsidRDefault="007A5BDD" w:rsidP="007A5BDD">
      <w:pPr>
        <w:pStyle w:val="ListParagraph"/>
        <w:numPr>
          <w:ilvl w:val="0"/>
          <w:numId w:val="46"/>
        </w:numPr>
        <w:shd w:val="clear" w:color="auto" w:fill="FFFFFF"/>
        <w:tabs>
          <w:tab w:val="left" w:pos="810"/>
        </w:tabs>
        <w:spacing w:before="120" w:after="240" w:line="360" w:lineRule="auto"/>
        <w:ind w:left="810" w:hanging="810"/>
        <w:jc w:val="both"/>
        <w:rPr>
          <w:rStyle w:val="Strong"/>
          <w:b/>
          <w:bCs w:val="0"/>
          <w:color w:val="000000"/>
        </w:rPr>
      </w:pPr>
      <w:r>
        <w:rPr>
          <w:rStyle w:val="Strong"/>
          <w:color w:val="000000"/>
        </w:rPr>
        <w:t xml:space="preserve">As per the BTRC (Licensing Procedure) Regulations, 2004 (as amended from time to time), the new </w:t>
      </w:r>
      <w:proofErr w:type="spellStart"/>
      <w:r>
        <w:rPr>
          <w:rStyle w:val="Strong"/>
          <w:color w:val="000000"/>
        </w:rPr>
        <w:t>licences</w:t>
      </w:r>
      <w:proofErr w:type="spellEnd"/>
      <w:r>
        <w:rPr>
          <w:rStyle w:val="Strong"/>
          <w:color w:val="000000"/>
        </w:rPr>
        <w:t xml:space="preserve"> for the Cellular Mobile Phone shall be granted through competitive bidding (and/or auction) procedure and the number of such licensee shall be subjected to the availability of the scarce spectrum resource.</w:t>
      </w:r>
    </w:p>
    <w:p w:rsidR="007A5BDD" w:rsidRPr="008C30F5" w:rsidRDefault="007A5BDD" w:rsidP="007A5BDD">
      <w:pPr>
        <w:pStyle w:val="ListParagraph"/>
        <w:numPr>
          <w:ilvl w:val="0"/>
          <w:numId w:val="46"/>
        </w:numPr>
        <w:shd w:val="clear" w:color="auto" w:fill="FFFFFF"/>
        <w:tabs>
          <w:tab w:val="left" w:pos="810"/>
        </w:tabs>
        <w:spacing w:before="120" w:after="240" w:line="360" w:lineRule="auto"/>
        <w:ind w:left="810" w:hanging="810"/>
        <w:jc w:val="both"/>
        <w:rPr>
          <w:rFonts w:cs="Arial"/>
          <w:color w:val="000000"/>
        </w:rPr>
      </w:pPr>
      <w:r w:rsidRPr="008C30F5">
        <w:rPr>
          <w:rStyle w:val="Strong"/>
          <w:b/>
          <w:color w:val="000000"/>
        </w:rPr>
        <w:t xml:space="preserve">Assignment of 2G </w:t>
      </w:r>
      <w:proofErr w:type="spellStart"/>
      <w:r w:rsidRPr="008C30F5">
        <w:rPr>
          <w:rStyle w:val="Strong"/>
          <w:b/>
          <w:color w:val="000000"/>
        </w:rPr>
        <w:t>licences</w:t>
      </w:r>
      <w:proofErr w:type="spellEnd"/>
      <w:r w:rsidRPr="008C30F5">
        <w:rPr>
          <w:rStyle w:val="Strong"/>
          <w:color w:val="000000"/>
        </w:rPr>
        <w:t xml:space="preserve">: Bangladesh has followed administrative methods for </w:t>
      </w:r>
      <w:r w:rsidRPr="008C30F5">
        <w:rPr>
          <w:bCs/>
        </w:rPr>
        <w:t>the</w:t>
      </w:r>
      <w:r w:rsidRPr="008C30F5">
        <w:rPr>
          <w:rStyle w:val="Strong"/>
          <w:color w:val="000000"/>
        </w:rPr>
        <w:t xml:space="preserve"> assignment of 2G </w:t>
      </w:r>
      <w:proofErr w:type="spellStart"/>
      <w:r w:rsidRPr="008C30F5">
        <w:rPr>
          <w:rStyle w:val="Strong"/>
          <w:color w:val="000000"/>
        </w:rPr>
        <w:t>licences</w:t>
      </w:r>
      <w:proofErr w:type="spellEnd"/>
      <w:r w:rsidRPr="008C30F5">
        <w:rPr>
          <w:rStyle w:val="Strong"/>
          <w:color w:val="000000"/>
        </w:rPr>
        <w:t xml:space="preserve">. </w:t>
      </w:r>
      <w:r w:rsidRPr="008C30F5">
        <w:rPr>
          <w:rFonts w:cs="Arial"/>
          <w:color w:val="000000"/>
        </w:rPr>
        <w:t>Pacific Bangladesh Telephone Limited (</w:t>
      </w:r>
      <w:proofErr w:type="spellStart"/>
      <w:r w:rsidRPr="008C30F5">
        <w:rPr>
          <w:rFonts w:cs="Arial"/>
          <w:color w:val="000000"/>
        </w:rPr>
        <w:t>Citycell</w:t>
      </w:r>
      <w:proofErr w:type="spellEnd"/>
      <w:r w:rsidRPr="008C30F5">
        <w:rPr>
          <w:rFonts w:cs="Arial"/>
          <w:color w:val="000000"/>
        </w:rPr>
        <w:t xml:space="preserve">) got license </w:t>
      </w:r>
      <w:r w:rsidRPr="00666E45">
        <w:rPr>
          <w:rStyle w:val="Strong"/>
        </w:rPr>
        <w:t>for</w:t>
      </w:r>
      <w:r w:rsidRPr="008C30F5">
        <w:rPr>
          <w:rFonts w:cs="Arial"/>
          <w:color w:val="000000"/>
        </w:rPr>
        <w:t xml:space="preserve"> cellular services in 1989 for 20 years. However, service started commercially in the year 1993 under AMPS technology. Later it converted the technology to CDMA in the year 1999. </w:t>
      </w:r>
      <w:proofErr w:type="spellStart"/>
      <w:r w:rsidRPr="008C30F5">
        <w:rPr>
          <w:rStyle w:val="spelle"/>
          <w:rFonts w:eastAsiaTheme="majorEastAsia" w:cs="Arial"/>
          <w:color w:val="000000"/>
        </w:rPr>
        <w:t>Grameen</w:t>
      </w:r>
      <w:proofErr w:type="spellEnd"/>
      <w:r w:rsidRPr="008C30F5">
        <w:rPr>
          <w:rStyle w:val="apple-converted-space"/>
          <w:rFonts w:cs="Arial"/>
          <w:color w:val="000000"/>
        </w:rPr>
        <w:t> </w:t>
      </w:r>
      <w:r w:rsidRPr="008C30F5">
        <w:rPr>
          <w:rFonts w:cs="Arial"/>
          <w:color w:val="000000"/>
        </w:rPr>
        <w:t xml:space="preserve">Phone along with two other operators Roby </w:t>
      </w:r>
      <w:proofErr w:type="spellStart"/>
      <w:r w:rsidRPr="008C30F5">
        <w:rPr>
          <w:rFonts w:cs="Arial"/>
          <w:color w:val="000000"/>
        </w:rPr>
        <w:t>Axatia</w:t>
      </w:r>
      <w:proofErr w:type="spellEnd"/>
      <w:r w:rsidRPr="008C30F5">
        <w:rPr>
          <w:rFonts w:cs="Arial"/>
          <w:color w:val="000000"/>
        </w:rPr>
        <w:t xml:space="preserve"> and </w:t>
      </w:r>
      <w:proofErr w:type="spellStart"/>
      <w:r w:rsidRPr="008C30F5">
        <w:rPr>
          <w:rFonts w:cs="Arial"/>
          <w:color w:val="000000"/>
        </w:rPr>
        <w:t>Banglalink</w:t>
      </w:r>
      <w:proofErr w:type="spellEnd"/>
      <w:r w:rsidRPr="008C30F5">
        <w:rPr>
          <w:rFonts w:cs="Arial"/>
          <w:color w:val="000000"/>
        </w:rPr>
        <w:t xml:space="preserve"> got GSM licenses in the year 1996 for 15 years and started operations in 1997. GSM license to </w:t>
      </w:r>
      <w:proofErr w:type="spellStart"/>
      <w:r w:rsidRPr="008C30F5">
        <w:rPr>
          <w:rFonts w:cs="Arial"/>
          <w:color w:val="000000"/>
        </w:rPr>
        <w:t>Teletalk</w:t>
      </w:r>
      <w:proofErr w:type="spellEnd"/>
      <w:r w:rsidRPr="008C30F5">
        <w:rPr>
          <w:rFonts w:cs="Arial"/>
          <w:color w:val="000000"/>
        </w:rPr>
        <w:t xml:space="preserve"> (govt. owned company) awarded and </w:t>
      </w:r>
      <w:proofErr w:type="spellStart"/>
      <w:r w:rsidRPr="008C30F5">
        <w:rPr>
          <w:rFonts w:cs="Arial"/>
          <w:color w:val="000000"/>
        </w:rPr>
        <w:t>Warid</w:t>
      </w:r>
      <w:proofErr w:type="spellEnd"/>
      <w:r w:rsidRPr="008C30F5">
        <w:rPr>
          <w:rFonts w:cs="Arial"/>
          <w:color w:val="000000"/>
        </w:rPr>
        <w:t xml:space="preserve"> allotted in 2004 and 2005 respectively. At present five operators are providing this second generation mobile service by GSM technology and one operator using CDMA technology. </w:t>
      </w:r>
    </w:p>
    <w:p w:rsidR="007A5BDD" w:rsidRPr="00A851EF" w:rsidRDefault="007A5BDD" w:rsidP="007A5BDD">
      <w:pPr>
        <w:spacing w:line="360" w:lineRule="auto"/>
        <w:jc w:val="center"/>
        <w:rPr>
          <w:rFonts w:cs="Arial"/>
          <w:b/>
          <w:color w:val="000000"/>
          <w:sz w:val="20"/>
        </w:rPr>
      </w:pPr>
      <w:r>
        <w:rPr>
          <w:rFonts w:cs="Arial"/>
          <w:b/>
          <w:color w:val="000000"/>
        </w:rPr>
        <w:t xml:space="preserve">               </w:t>
      </w:r>
      <w:r w:rsidRPr="00A851EF">
        <w:rPr>
          <w:rFonts w:cs="Arial"/>
          <w:b/>
          <w:color w:val="000000"/>
          <w:sz w:val="20"/>
        </w:rPr>
        <w:t>Table</w:t>
      </w:r>
    </w:p>
    <w:p w:rsidR="007A5BDD" w:rsidRPr="00FE76CA" w:rsidRDefault="007A5BDD" w:rsidP="007A5BDD">
      <w:pPr>
        <w:spacing w:line="360" w:lineRule="auto"/>
        <w:ind w:left="360"/>
        <w:jc w:val="right"/>
        <w:rPr>
          <w:b/>
          <w:bCs/>
          <w:color w:val="000000"/>
          <w:sz w:val="22"/>
        </w:rPr>
      </w:pPr>
      <w:r w:rsidRPr="00FE76CA">
        <w:rPr>
          <w:b/>
          <w:bCs/>
          <w:color w:val="000000"/>
          <w:sz w:val="22"/>
        </w:rPr>
        <w:lastRenderedPageBreak/>
        <w:t>Total Access Frequency Assigned to the Existing Mobile Operators</w:t>
      </w:r>
    </w:p>
    <w:tbl>
      <w:tblPr>
        <w:tblStyle w:val="TableGrid"/>
        <w:tblW w:w="7798" w:type="dxa"/>
        <w:jc w:val="right"/>
        <w:tblLayout w:type="fixed"/>
        <w:tblCellMar>
          <w:left w:w="58" w:type="dxa"/>
          <w:right w:w="58" w:type="dxa"/>
        </w:tblCellMar>
        <w:tblLook w:val="01E0" w:firstRow="1" w:lastRow="1" w:firstColumn="1" w:lastColumn="1" w:noHBand="0" w:noVBand="0"/>
      </w:tblPr>
      <w:tblGrid>
        <w:gridCol w:w="648"/>
        <w:gridCol w:w="1480"/>
        <w:gridCol w:w="1530"/>
        <w:gridCol w:w="1530"/>
        <w:gridCol w:w="1260"/>
        <w:gridCol w:w="1350"/>
      </w:tblGrid>
      <w:tr w:rsidR="007A5BDD" w:rsidRPr="00FE76CA" w:rsidTr="00440CBA">
        <w:trPr>
          <w:trHeight w:val="998"/>
          <w:tblHeader/>
          <w:jc w:val="right"/>
        </w:trPr>
        <w:tc>
          <w:tcPr>
            <w:tcW w:w="648" w:type="dxa"/>
          </w:tcPr>
          <w:p w:rsidR="007A5BDD" w:rsidRPr="00FE76CA" w:rsidRDefault="007A5BDD" w:rsidP="00440CBA">
            <w:pPr>
              <w:spacing w:line="360" w:lineRule="auto"/>
              <w:rPr>
                <w:rFonts w:cs="Arial"/>
                <w:b/>
                <w:color w:val="000000"/>
                <w:sz w:val="18"/>
                <w:szCs w:val="20"/>
              </w:rPr>
            </w:pPr>
            <w:r w:rsidRPr="00FE76CA">
              <w:rPr>
                <w:rFonts w:cs="Arial"/>
                <w:b/>
                <w:color w:val="000000"/>
                <w:sz w:val="18"/>
                <w:szCs w:val="20"/>
              </w:rPr>
              <w:t>SL No.</w:t>
            </w:r>
          </w:p>
        </w:tc>
        <w:tc>
          <w:tcPr>
            <w:tcW w:w="1480" w:type="dxa"/>
          </w:tcPr>
          <w:p w:rsidR="007A5BDD" w:rsidRPr="00FE76CA" w:rsidRDefault="007A5BDD" w:rsidP="00440CBA">
            <w:pPr>
              <w:spacing w:line="360" w:lineRule="auto"/>
              <w:ind w:left="72"/>
              <w:rPr>
                <w:b/>
                <w:color w:val="000000"/>
                <w:sz w:val="18"/>
                <w:szCs w:val="20"/>
              </w:rPr>
            </w:pPr>
            <w:r w:rsidRPr="00FE76CA">
              <w:rPr>
                <w:b/>
                <w:color w:val="000000"/>
                <w:sz w:val="18"/>
                <w:szCs w:val="20"/>
              </w:rPr>
              <w:t>Operators</w:t>
            </w:r>
          </w:p>
        </w:tc>
        <w:tc>
          <w:tcPr>
            <w:tcW w:w="1530" w:type="dxa"/>
          </w:tcPr>
          <w:p w:rsidR="007A5BDD" w:rsidRPr="00FE76CA" w:rsidRDefault="007A5BDD" w:rsidP="00440CBA">
            <w:pPr>
              <w:spacing w:line="360" w:lineRule="auto"/>
              <w:rPr>
                <w:b/>
                <w:bCs/>
                <w:color w:val="000000"/>
                <w:sz w:val="18"/>
                <w:szCs w:val="20"/>
              </w:rPr>
            </w:pPr>
            <w:r w:rsidRPr="00FE76CA">
              <w:rPr>
                <w:b/>
                <w:bCs/>
                <w:color w:val="000000"/>
                <w:sz w:val="18"/>
                <w:szCs w:val="20"/>
              </w:rPr>
              <w:t>Assigned in</w:t>
            </w:r>
          </w:p>
          <w:p w:rsidR="007A5BDD" w:rsidRPr="00FE76CA" w:rsidRDefault="007A5BDD" w:rsidP="00440CBA">
            <w:pPr>
              <w:spacing w:line="360" w:lineRule="auto"/>
              <w:rPr>
                <w:b/>
                <w:bCs/>
                <w:color w:val="000000"/>
                <w:sz w:val="18"/>
                <w:szCs w:val="20"/>
              </w:rPr>
            </w:pPr>
            <w:r w:rsidRPr="00FE76CA">
              <w:rPr>
                <w:b/>
                <w:bCs/>
                <w:color w:val="000000"/>
                <w:sz w:val="18"/>
                <w:szCs w:val="20"/>
              </w:rPr>
              <w:t>800MHz CDMA</w:t>
            </w:r>
          </w:p>
          <w:p w:rsidR="007A5BDD" w:rsidRPr="00FE76CA" w:rsidRDefault="007A5BDD" w:rsidP="00440CBA">
            <w:pPr>
              <w:spacing w:line="360" w:lineRule="auto"/>
              <w:rPr>
                <w:rFonts w:cs="Arial"/>
                <w:b/>
                <w:color w:val="000000"/>
                <w:sz w:val="18"/>
                <w:szCs w:val="20"/>
              </w:rPr>
            </w:pPr>
            <w:r w:rsidRPr="00FE76CA">
              <w:rPr>
                <w:b/>
                <w:bCs/>
                <w:color w:val="000000"/>
                <w:sz w:val="18"/>
                <w:szCs w:val="20"/>
              </w:rPr>
              <w:t>Band (MHz)</w:t>
            </w:r>
          </w:p>
        </w:tc>
        <w:tc>
          <w:tcPr>
            <w:tcW w:w="1530" w:type="dxa"/>
          </w:tcPr>
          <w:p w:rsidR="007A5BDD" w:rsidRPr="00FE76CA" w:rsidRDefault="007A5BDD" w:rsidP="00440CBA">
            <w:pPr>
              <w:spacing w:line="360" w:lineRule="auto"/>
              <w:rPr>
                <w:b/>
                <w:bCs/>
                <w:color w:val="000000"/>
                <w:sz w:val="18"/>
                <w:szCs w:val="20"/>
              </w:rPr>
            </w:pPr>
            <w:r w:rsidRPr="00FE76CA">
              <w:rPr>
                <w:b/>
                <w:bCs/>
                <w:color w:val="000000"/>
                <w:sz w:val="18"/>
                <w:szCs w:val="20"/>
              </w:rPr>
              <w:t>Assigned in</w:t>
            </w:r>
          </w:p>
          <w:p w:rsidR="007A5BDD" w:rsidRPr="00FE76CA" w:rsidRDefault="007A5BDD" w:rsidP="00440CBA">
            <w:pPr>
              <w:spacing w:line="360" w:lineRule="auto"/>
              <w:rPr>
                <w:b/>
                <w:bCs/>
                <w:color w:val="000000"/>
                <w:sz w:val="18"/>
                <w:szCs w:val="20"/>
              </w:rPr>
            </w:pPr>
            <w:r w:rsidRPr="00FE76CA">
              <w:rPr>
                <w:b/>
                <w:bCs/>
                <w:color w:val="000000"/>
                <w:sz w:val="18"/>
                <w:szCs w:val="20"/>
              </w:rPr>
              <w:t>900MHz GSM/</w:t>
            </w:r>
          </w:p>
          <w:p w:rsidR="007A5BDD" w:rsidRPr="00FE76CA" w:rsidRDefault="007A5BDD" w:rsidP="00440CBA">
            <w:pPr>
              <w:spacing w:line="360" w:lineRule="auto"/>
              <w:rPr>
                <w:b/>
                <w:bCs/>
                <w:color w:val="000000"/>
                <w:sz w:val="18"/>
                <w:szCs w:val="20"/>
              </w:rPr>
            </w:pPr>
            <w:r w:rsidRPr="00FE76CA">
              <w:rPr>
                <w:b/>
                <w:bCs/>
                <w:color w:val="000000"/>
                <w:sz w:val="18"/>
                <w:szCs w:val="20"/>
              </w:rPr>
              <w:t>EGSM Band</w:t>
            </w:r>
          </w:p>
          <w:p w:rsidR="007A5BDD" w:rsidRPr="00FE76CA" w:rsidRDefault="007A5BDD" w:rsidP="00440CBA">
            <w:pPr>
              <w:spacing w:line="360" w:lineRule="auto"/>
              <w:rPr>
                <w:rFonts w:cs="Arial"/>
                <w:b/>
                <w:color w:val="000000"/>
                <w:sz w:val="18"/>
                <w:szCs w:val="20"/>
              </w:rPr>
            </w:pPr>
            <w:r w:rsidRPr="00FE76CA">
              <w:rPr>
                <w:b/>
                <w:bCs/>
                <w:color w:val="000000"/>
                <w:sz w:val="18"/>
                <w:szCs w:val="20"/>
              </w:rPr>
              <w:t>(MHz)</w:t>
            </w:r>
          </w:p>
        </w:tc>
        <w:tc>
          <w:tcPr>
            <w:tcW w:w="1260" w:type="dxa"/>
          </w:tcPr>
          <w:p w:rsidR="007A5BDD" w:rsidRPr="00FE76CA" w:rsidRDefault="007A5BDD" w:rsidP="00440CBA">
            <w:pPr>
              <w:spacing w:line="360" w:lineRule="auto"/>
              <w:ind w:left="-18"/>
              <w:rPr>
                <w:b/>
                <w:bCs/>
                <w:color w:val="000000"/>
                <w:sz w:val="18"/>
                <w:szCs w:val="20"/>
              </w:rPr>
            </w:pPr>
            <w:r w:rsidRPr="00FE76CA">
              <w:rPr>
                <w:b/>
                <w:bCs/>
                <w:color w:val="000000"/>
                <w:sz w:val="18"/>
                <w:szCs w:val="20"/>
              </w:rPr>
              <w:t>Assigned in</w:t>
            </w:r>
          </w:p>
          <w:p w:rsidR="007A5BDD" w:rsidRPr="00FE76CA" w:rsidRDefault="007A5BDD" w:rsidP="00440CBA">
            <w:pPr>
              <w:spacing w:line="360" w:lineRule="auto"/>
              <w:ind w:left="-18"/>
              <w:rPr>
                <w:b/>
                <w:bCs/>
                <w:color w:val="000000"/>
                <w:sz w:val="18"/>
                <w:szCs w:val="20"/>
              </w:rPr>
            </w:pPr>
            <w:r w:rsidRPr="00FE76CA">
              <w:rPr>
                <w:b/>
                <w:bCs/>
                <w:color w:val="000000"/>
                <w:sz w:val="18"/>
                <w:szCs w:val="20"/>
              </w:rPr>
              <w:t>1800MHz</w:t>
            </w:r>
          </w:p>
          <w:p w:rsidR="007A5BDD" w:rsidRPr="00FE76CA" w:rsidRDefault="007A5BDD" w:rsidP="00440CBA">
            <w:pPr>
              <w:spacing w:line="360" w:lineRule="auto"/>
              <w:ind w:left="-18"/>
              <w:rPr>
                <w:b/>
                <w:bCs/>
                <w:color w:val="000000"/>
                <w:sz w:val="18"/>
                <w:szCs w:val="20"/>
              </w:rPr>
            </w:pPr>
            <w:r w:rsidRPr="00FE76CA">
              <w:rPr>
                <w:b/>
                <w:bCs/>
                <w:color w:val="000000"/>
                <w:sz w:val="18"/>
                <w:szCs w:val="20"/>
              </w:rPr>
              <w:t>GSM Band</w:t>
            </w:r>
          </w:p>
          <w:p w:rsidR="007A5BDD" w:rsidRPr="00FE76CA" w:rsidRDefault="007A5BDD" w:rsidP="00440CBA">
            <w:pPr>
              <w:spacing w:line="360" w:lineRule="auto"/>
              <w:ind w:left="-18"/>
              <w:rPr>
                <w:rFonts w:cs="Arial"/>
                <w:b/>
                <w:color w:val="000000"/>
                <w:sz w:val="18"/>
                <w:szCs w:val="20"/>
              </w:rPr>
            </w:pPr>
            <w:r w:rsidRPr="00FE76CA">
              <w:rPr>
                <w:b/>
                <w:bCs/>
                <w:color w:val="000000"/>
                <w:sz w:val="18"/>
                <w:szCs w:val="20"/>
              </w:rPr>
              <w:t>(MHz)</w:t>
            </w:r>
          </w:p>
        </w:tc>
        <w:tc>
          <w:tcPr>
            <w:tcW w:w="1350" w:type="dxa"/>
          </w:tcPr>
          <w:p w:rsidR="007A5BDD" w:rsidRPr="00FE76CA" w:rsidRDefault="007A5BDD" w:rsidP="00440CBA">
            <w:pPr>
              <w:spacing w:line="360" w:lineRule="auto"/>
              <w:rPr>
                <w:b/>
                <w:bCs/>
                <w:color w:val="000000"/>
                <w:sz w:val="18"/>
                <w:szCs w:val="20"/>
              </w:rPr>
            </w:pPr>
            <w:r w:rsidRPr="00FE76CA">
              <w:rPr>
                <w:b/>
                <w:bCs/>
                <w:color w:val="000000"/>
                <w:sz w:val="18"/>
                <w:szCs w:val="20"/>
              </w:rPr>
              <w:t>Total</w:t>
            </w:r>
          </w:p>
          <w:p w:rsidR="007A5BDD" w:rsidRPr="00FE76CA" w:rsidRDefault="007A5BDD" w:rsidP="00440CBA">
            <w:pPr>
              <w:spacing w:line="360" w:lineRule="auto"/>
              <w:rPr>
                <w:b/>
                <w:bCs/>
                <w:color w:val="000000"/>
                <w:sz w:val="18"/>
                <w:szCs w:val="20"/>
              </w:rPr>
            </w:pPr>
            <w:r w:rsidRPr="00FE76CA">
              <w:rPr>
                <w:b/>
                <w:bCs/>
                <w:color w:val="000000"/>
                <w:sz w:val="18"/>
                <w:szCs w:val="20"/>
              </w:rPr>
              <w:t>Assignment</w:t>
            </w:r>
          </w:p>
          <w:p w:rsidR="007A5BDD" w:rsidRPr="00FE76CA" w:rsidRDefault="007A5BDD" w:rsidP="00440CBA">
            <w:pPr>
              <w:spacing w:line="360" w:lineRule="auto"/>
              <w:rPr>
                <w:rFonts w:cs="Arial"/>
                <w:b/>
                <w:color w:val="000000"/>
                <w:sz w:val="18"/>
                <w:szCs w:val="20"/>
              </w:rPr>
            </w:pPr>
            <w:r w:rsidRPr="00FE76CA">
              <w:rPr>
                <w:b/>
                <w:bCs/>
                <w:color w:val="000000"/>
                <w:sz w:val="18"/>
                <w:szCs w:val="20"/>
              </w:rPr>
              <w:t>(MHz)</w:t>
            </w:r>
          </w:p>
        </w:tc>
      </w:tr>
      <w:tr w:rsidR="007A5BDD" w:rsidRPr="00FE76CA" w:rsidTr="00440CBA">
        <w:trPr>
          <w:jc w:val="right"/>
        </w:trPr>
        <w:tc>
          <w:tcPr>
            <w:tcW w:w="648" w:type="dxa"/>
          </w:tcPr>
          <w:p w:rsidR="007A5BDD" w:rsidRPr="000C5776" w:rsidRDefault="007A5BDD" w:rsidP="00440CBA">
            <w:pPr>
              <w:rPr>
                <w:rFonts w:cs="Arial"/>
                <w:color w:val="000000"/>
                <w:sz w:val="18"/>
                <w:szCs w:val="20"/>
              </w:rPr>
            </w:pPr>
            <w:r w:rsidRPr="000C5776">
              <w:rPr>
                <w:rFonts w:cs="Arial"/>
                <w:color w:val="000000"/>
                <w:sz w:val="18"/>
                <w:szCs w:val="20"/>
              </w:rPr>
              <w:t>1.</w:t>
            </w:r>
          </w:p>
        </w:tc>
        <w:tc>
          <w:tcPr>
            <w:tcW w:w="1480" w:type="dxa"/>
          </w:tcPr>
          <w:p w:rsidR="007A5BDD" w:rsidRPr="000C5776" w:rsidRDefault="007A5BDD" w:rsidP="00440CBA">
            <w:pPr>
              <w:rPr>
                <w:rFonts w:cs="TimesNewRomanPSMT"/>
                <w:color w:val="000000"/>
                <w:sz w:val="18"/>
                <w:szCs w:val="20"/>
              </w:rPr>
            </w:pPr>
            <w:r w:rsidRPr="000C5776">
              <w:rPr>
                <w:rFonts w:cs="TimesNewRomanPSMT"/>
                <w:color w:val="000000"/>
                <w:sz w:val="18"/>
                <w:szCs w:val="20"/>
              </w:rPr>
              <w:t>PBTL</w:t>
            </w:r>
          </w:p>
          <w:p w:rsidR="007A5BDD" w:rsidRPr="000C5776" w:rsidRDefault="007A5BDD" w:rsidP="00440CBA">
            <w:pPr>
              <w:rPr>
                <w:rFonts w:cs="Arial"/>
                <w:color w:val="000000"/>
                <w:sz w:val="18"/>
                <w:szCs w:val="20"/>
              </w:rPr>
            </w:pPr>
          </w:p>
        </w:tc>
        <w:tc>
          <w:tcPr>
            <w:tcW w:w="1530" w:type="dxa"/>
          </w:tcPr>
          <w:p w:rsidR="007A5BDD" w:rsidRPr="000C5776" w:rsidRDefault="007A5BDD" w:rsidP="00440CBA">
            <w:pPr>
              <w:rPr>
                <w:rFonts w:cs="Arial"/>
                <w:color w:val="000000"/>
                <w:sz w:val="18"/>
                <w:szCs w:val="20"/>
              </w:rPr>
            </w:pPr>
            <w:r>
              <w:rPr>
                <w:rFonts w:cs="TimesNewRomanPSMT"/>
                <w:color w:val="000000"/>
                <w:sz w:val="18"/>
                <w:szCs w:val="20"/>
              </w:rPr>
              <w:t>8.82</w:t>
            </w:r>
          </w:p>
        </w:tc>
        <w:tc>
          <w:tcPr>
            <w:tcW w:w="1530" w:type="dxa"/>
          </w:tcPr>
          <w:p w:rsidR="007A5BDD" w:rsidRPr="000C5776" w:rsidRDefault="007A5BDD" w:rsidP="00440CBA">
            <w:pPr>
              <w:rPr>
                <w:rFonts w:cs="Arial"/>
                <w:color w:val="000000"/>
                <w:sz w:val="18"/>
                <w:szCs w:val="20"/>
              </w:rPr>
            </w:pPr>
          </w:p>
        </w:tc>
        <w:tc>
          <w:tcPr>
            <w:tcW w:w="1260" w:type="dxa"/>
          </w:tcPr>
          <w:p w:rsidR="007A5BDD" w:rsidRPr="000C5776" w:rsidRDefault="007A5BDD" w:rsidP="00440CBA">
            <w:pPr>
              <w:rPr>
                <w:rFonts w:cs="Arial"/>
                <w:color w:val="000000"/>
                <w:sz w:val="18"/>
                <w:szCs w:val="20"/>
              </w:rPr>
            </w:pPr>
          </w:p>
        </w:tc>
        <w:tc>
          <w:tcPr>
            <w:tcW w:w="1350" w:type="dxa"/>
          </w:tcPr>
          <w:p w:rsidR="007A5BDD" w:rsidRPr="000C5776" w:rsidRDefault="007A5BDD" w:rsidP="00440CBA">
            <w:pPr>
              <w:rPr>
                <w:rFonts w:cs="Arial"/>
                <w:color w:val="000000"/>
                <w:sz w:val="18"/>
                <w:szCs w:val="20"/>
              </w:rPr>
            </w:pPr>
            <w:r>
              <w:rPr>
                <w:rFonts w:cs="TimesNewRomanPSMT"/>
                <w:color w:val="000000"/>
                <w:sz w:val="18"/>
                <w:szCs w:val="20"/>
              </w:rPr>
              <w:t>8.82</w:t>
            </w:r>
          </w:p>
        </w:tc>
      </w:tr>
      <w:tr w:rsidR="007A5BDD" w:rsidRPr="00FE76CA" w:rsidTr="00440CBA">
        <w:trPr>
          <w:jc w:val="right"/>
        </w:trPr>
        <w:tc>
          <w:tcPr>
            <w:tcW w:w="648" w:type="dxa"/>
          </w:tcPr>
          <w:p w:rsidR="007A5BDD" w:rsidRPr="000C5776" w:rsidRDefault="007A5BDD" w:rsidP="00440CBA">
            <w:pPr>
              <w:rPr>
                <w:rFonts w:cs="Arial"/>
                <w:color w:val="000000"/>
                <w:sz w:val="18"/>
                <w:szCs w:val="20"/>
              </w:rPr>
            </w:pPr>
            <w:r w:rsidRPr="000C5776">
              <w:rPr>
                <w:rFonts w:cs="Arial"/>
                <w:color w:val="000000"/>
                <w:sz w:val="18"/>
                <w:szCs w:val="20"/>
              </w:rPr>
              <w:t>2.</w:t>
            </w:r>
          </w:p>
        </w:tc>
        <w:tc>
          <w:tcPr>
            <w:tcW w:w="1480" w:type="dxa"/>
          </w:tcPr>
          <w:p w:rsidR="007A5BDD" w:rsidRPr="000C5776" w:rsidRDefault="007A5BDD" w:rsidP="00440CBA">
            <w:pPr>
              <w:rPr>
                <w:rFonts w:cs="Arial"/>
                <w:color w:val="000000"/>
                <w:sz w:val="18"/>
                <w:szCs w:val="20"/>
              </w:rPr>
            </w:pPr>
            <w:r w:rsidRPr="000C5776">
              <w:rPr>
                <w:rFonts w:cs="TimesNewRomanPSMT"/>
                <w:color w:val="000000"/>
                <w:sz w:val="18"/>
                <w:szCs w:val="20"/>
              </w:rPr>
              <w:t>GP</w:t>
            </w:r>
          </w:p>
        </w:tc>
        <w:tc>
          <w:tcPr>
            <w:tcW w:w="1530" w:type="dxa"/>
          </w:tcPr>
          <w:p w:rsidR="007A5BDD" w:rsidRPr="000C5776" w:rsidRDefault="007A5BDD" w:rsidP="00440CBA">
            <w:pPr>
              <w:rPr>
                <w:rFonts w:cs="Arial"/>
                <w:color w:val="000000"/>
                <w:sz w:val="18"/>
                <w:szCs w:val="20"/>
              </w:rPr>
            </w:pPr>
          </w:p>
        </w:tc>
        <w:tc>
          <w:tcPr>
            <w:tcW w:w="1530" w:type="dxa"/>
          </w:tcPr>
          <w:p w:rsidR="007A5BDD" w:rsidRPr="000C5776" w:rsidRDefault="007A5BDD" w:rsidP="00440CBA">
            <w:pPr>
              <w:rPr>
                <w:rFonts w:cs="Arial"/>
                <w:color w:val="000000"/>
                <w:sz w:val="18"/>
                <w:szCs w:val="20"/>
              </w:rPr>
            </w:pPr>
            <w:r w:rsidRPr="000C5776">
              <w:rPr>
                <w:rFonts w:cs="TimesNewRomanPSMT"/>
                <w:color w:val="000000"/>
                <w:sz w:val="18"/>
                <w:szCs w:val="20"/>
              </w:rPr>
              <w:t>7.4</w:t>
            </w:r>
          </w:p>
        </w:tc>
        <w:tc>
          <w:tcPr>
            <w:tcW w:w="1260" w:type="dxa"/>
          </w:tcPr>
          <w:p w:rsidR="007A5BDD" w:rsidRPr="000C5776" w:rsidRDefault="007A5BDD" w:rsidP="00440CBA">
            <w:pPr>
              <w:rPr>
                <w:rFonts w:cs="Arial"/>
                <w:color w:val="000000"/>
                <w:sz w:val="18"/>
                <w:szCs w:val="20"/>
              </w:rPr>
            </w:pPr>
            <w:r w:rsidRPr="000C5776">
              <w:rPr>
                <w:rFonts w:cs="Arial"/>
                <w:color w:val="000000"/>
                <w:sz w:val="18"/>
                <w:szCs w:val="20"/>
              </w:rPr>
              <w:t>14.6</w:t>
            </w:r>
          </w:p>
        </w:tc>
        <w:tc>
          <w:tcPr>
            <w:tcW w:w="1350" w:type="dxa"/>
          </w:tcPr>
          <w:p w:rsidR="007A5BDD" w:rsidRPr="000C5776" w:rsidRDefault="007A5BDD" w:rsidP="00440CBA">
            <w:pPr>
              <w:rPr>
                <w:rFonts w:cs="Arial"/>
                <w:color w:val="000000"/>
                <w:sz w:val="18"/>
                <w:szCs w:val="20"/>
              </w:rPr>
            </w:pPr>
            <w:r w:rsidRPr="000C5776">
              <w:rPr>
                <w:rFonts w:cs="Arial"/>
                <w:color w:val="000000"/>
                <w:sz w:val="18"/>
                <w:szCs w:val="20"/>
              </w:rPr>
              <w:t>22.0</w:t>
            </w:r>
          </w:p>
        </w:tc>
      </w:tr>
      <w:tr w:rsidR="007A5BDD" w:rsidRPr="00FE76CA" w:rsidTr="00440CBA">
        <w:trPr>
          <w:jc w:val="right"/>
        </w:trPr>
        <w:tc>
          <w:tcPr>
            <w:tcW w:w="648" w:type="dxa"/>
          </w:tcPr>
          <w:p w:rsidR="007A5BDD" w:rsidRPr="000C5776" w:rsidRDefault="007A5BDD" w:rsidP="00440CBA">
            <w:pPr>
              <w:rPr>
                <w:rFonts w:cs="Arial"/>
                <w:color w:val="000000"/>
                <w:sz w:val="18"/>
                <w:szCs w:val="20"/>
              </w:rPr>
            </w:pPr>
            <w:r w:rsidRPr="000C5776">
              <w:rPr>
                <w:rFonts w:cs="Arial"/>
                <w:color w:val="000000"/>
                <w:sz w:val="18"/>
                <w:szCs w:val="20"/>
              </w:rPr>
              <w:t>3.</w:t>
            </w:r>
          </w:p>
        </w:tc>
        <w:tc>
          <w:tcPr>
            <w:tcW w:w="1480" w:type="dxa"/>
          </w:tcPr>
          <w:p w:rsidR="007A5BDD" w:rsidRPr="000C5776" w:rsidRDefault="007A5BDD" w:rsidP="00440CBA">
            <w:pPr>
              <w:rPr>
                <w:rFonts w:cs="Arial"/>
                <w:color w:val="000000"/>
                <w:sz w:val="18"/>
                <w:szCs w:val="20"/>
              </w:rPr>
            </w:pPr>
            <w:r w:rsidRPr="000C5776">
              <w:rPr>
                <w:rFonts w:cs="TimesNewRomanPSMT"/>
                <w:color w:val="000000"/>
                <w:sz w:val="18"/>
                <w:szCs w:val="20"/>
              </w:rPr>
              <w:t>Roby AXIATA</w:t>
            </w:r>
          </w:p>
        </w:tc>
        <w:tc>
          <w:tcPr>
            <w:tcW w:w="1530" w:type="dxa"/>
          </w:tcPr>
          <w:p w:rsidR="007A5BDD" w:rsidRPr="000C5776" w:rsidRDefault="007A5BDD" w:rsidP="00440CBA">
            <w:pPr>
              <w:rPr>
                <w:rFonts w:cs="Arial"/>
                <w:color w:val="000000"/>
                <w:sz w:val="18"/>
                <w:szCs w:val="20"/>
              </w:rPr>
            </w:pPr>
          </w:p>
        </w:tc>
        <w:tc>
          <w:tcPr>
            <w:tcW w:w="1530" w:type="dxa"/>
          </w:tcPr>
          <w:p w:rsidR="007A5BDD" w:rsidRPr="000C5776" w:rsidRDefault="007A5BDD" w:rsidP="00440CBA">
            <w:pPr>
              <w:rPr>
                <w:rFonts w:cs="Arial"/>
                <w:color w:val="000000"/>
                <w:sz w:val="18"/>
                <w:szCs w:val="20"/>
              </w:rPr>
            </w:pPr>
            <w:r w:rsidRPr="000C5776">
              <w:rPr>
                <w:rFonts w:cs="Arial"/>
                <w:color w:val="000000"/>
                <w:sz w:val="18"/>
                <w:szCs w:val="20"/>
              </w:rPr>
              <w:t>7.4</w:t>
            </w:r>
          </w:p>
        </w:tc>
        <w:tc>
          <w:tcPr>
            <w:tcW w:w="1260" w:type="dxa"/>
          </w:tcPr>
          <w:p w:rsidR="007A5BDD" w:rsidRPr="000C5776" w:rsidRDefault="007A5BDD" w:rsidP="00440CBA">
            <w:pPr>
              <w:rPr>
                <w:rFonts w:cs="Arial"/>
                <w:color w:val="000000"/>
                <w:sz w:val="18"/>
                <w:szCs w:val="20"/>
              </w:rPr>
            </w:pPr>
            <w:r w:rsidRPr="000C5776">
              <w:rPr>
                <w:rFonts w:cs="Arial"/>
                <w:color w:val="000000"/>
                <w:sz w:val="18"/>
                <w:szCs w:val="20"/>
              </w:rPr>
              <w:t>7.4</w:t>
            </w:r>
          </w:p>
        </w:tc>
        <w:tc>
          <w:tcPr>
            <w:tcW w:w="1350" w:type="dxa"/>
          </w:tcPr>
          <w:p w:rsidR="007A5BDD" w:rsidRPr="000C5776" w:rsidRDefault="007A5BDD" w:rsidP="00440CBA">
            <w:pPr>
              <w:rPr>
                <w:rFonts w:cs="Arial"/>
                <w:color w:val="000000"/>
                <w:sz w:val="18"/>
                <w:szCs w:val="20"/>
              </w:rPr>
            </w:pPr>
            <w:r w:rsidRPr="000C5776">
              <w:rPr>
                <w:rFonts w:cs="Arial"/>
                <w:color w:val="000000"/>
                <w:sz w:val="18"/>
                <w:szCs w:val="20"/>
              </w:rPr>
              <w:t>14.8</w:t>
            </w:r>
          </w:p>
        </w:tc>
      </w:tr>
      <w:tr w:rsidR="007A5BDD" w:rsidRPr="00FE76CA" w:rsidTr="00440CBA">
        <w:trPr>
          <w:jc w:val="right"/>
        </w:trPr>
        <w:tc>
          <w:tcPr>
            <w:tcW w:w="648" w:type="dxa"/>
          </w:tcPr>
          <w:p w:rsidR="007A5BDD" w:rsidRPr="000C5776" w:rsidRDefault="007A5BDD" w:rsidP="00440CBA">
            <w:pPr>
              <w:rPr>
                <w:rFonts w:cs="Arial"/>
                <w:color w:val="000000"/>
                <w:sz w:val="18"/>
                <w:szCs w:val="20"/>
              </w:rPr>
            </w:pPr>
            <w:r w:rsidRPr="000C5776">
              <w:rPr>
                <w:rFonts w:cs="Arial"/>
                <w:color w:val="000000"/>
                <w:sz w:val="18"/>
                <w:szCs w:val="20"/>
              </w:rPr>
              <w:t>4.</w:t>
            </w:r>
          </w:p>
        </w:tc>
        <w:tc>
          <w:tcPr>
            <w:tcW w:w="1480" w:type="dxa"/>
          </w:tcPr>
          <w:p w:rsidR="007A5BDD" w:rsidRPr="000C5776" w:rsidRDefault="007A5BDD" w:rsidP="00440CBA">
            <w:pPr>
              <w:rPr>
                <w:rFonts w:cs="TimesNewRomanPSMT"/>
                <w:color w:val="000000"/>
                <w:sz w:val="18"/>
                <w:szCs w:val="20"/>
              </w:rPr>
            </w:pPr>
            <w:proofErr w:type="spellStart"/>
            <w:r w:rsidRPr="000C5776">
              <w:rPr>
                <w:rFonts w:cs="TimesNewRomanPSMT"/>
                <w:color w:val="000000"/>
                <w:sz w:val="18"/>
                <w:szCs w:val="20"/>
              </w:rPr>
              <w:t>Orascom</w:t>
            </w:r>
            <w:proofErr w:type="spellEnd"/>
          </w:p>
          <w:p w:rsidR="007A5BDD" w:rsidRPr="000C5776" w:rsidRDefault="007A5BDD" w:rsidP="00440CBA">
            <w:pPr>
              <w:rPr>
                <w:color w:val="000000"/>
                <w:sz w:val="18"/>
                <w:szCs w:val="20"/>
              </w:rPr>
            </w:pPr>
            <w:proofErr w:type="spellStart"/>
            <w:r w:rsidRPr="000C5776">
              <w:rPr>
                <w:rFonts w:cs="TimesNewRomanPSMT"/>
                <w:color w:val="000000"/>
                <w:sz w:val="18"/>
                <w:szCs w:val="20"/>
              </w:rPr>
              <w:t>Banglalink</w:t>
            </w:r>
            <w:proofErr w:type="spellEnd"/>
          </w:p>
        </w:tc>
        <w:tc>
          <w:tcPr>
            <w:tcW w:w="1530" w:type="dxa"/>
          </w:tcPr>
          <w:p w:rsidR="007A5BDD" w:rsidRPr="000C5776" w:rsidRDefault="007A5BDD" w:rsidP="00440CBA">
            <w:pPr>
              <w:rPr>
                <w:rFonts w:cs="Arial"/>
                <w:color w:val="000000"/>
                <w:sz w:val="18"/>
                <w:szCs w:val="20"/>
              </w:rPr>
            </w:pPr>
          </w:p>
        </w:tc>
        <w:tc>
          <w:tcPr>
            <w:tcW w:w="1530" w:type="dxa"/>
          </w:tcPr>
          <w:p w:rsidR="007A5BDD" w:rsidRPr="000C5776" w:rsidRDefault="007A5BDD" w:rsidP="00440CBA">
            <w:pPr>
              <w:rPr>
                <w:rFonts w:cs="Arial"/>
                <w:color w:val="000000"/>
                <w:sz w:val="18"/>
                <w:szCs w:val="20"/>
              </w:rPr>
            </w:pPr>
            <w:r w:rsidRPr="000C5776">
              <w:rPr>
                <w:rFonts w:cs="Arial"/>
                <w:color w:val="000000"/>
                <w:sz w:val="18"/>
                <w:szCs w:val="20"/>
              </w:rPr>
              <w:t>5</w:t>
            </w:r>
          </w:p>
        </w:tc>
        <w:tc>
          <w:tcPr>
            <w:tcW w:w="1260" w:type="dxa"/>
          </w:tcPr>
          <w:p w:rsidR="007A5BDD" w:rsidRPr="000C5776" w:rsidRDefault="007A5BDD" w:rsidP="00440CBA">
            <w:pPr>
              <w:rPr>
                <w:rFonts w:cs="Arial"/>
                <w:color w:val="000000"/>
                <w:sz w:val="18"/>
                <w:szCs w:val="20"/>
              </w:rPr>
            </w:pPr>
            <w:r w:rsidRPr="000C5776">
              <w:rPr>
                <w:rFonts w:cs="Arial"/>
                <w:color w:val="000000"/>
                <w:sz w:val="18"/>
                <w:szCs w:val="20"/>
              </w:rPr>
              <w:t>10</w:t>
            </w:r>
          </w:p>
        </w:tc>
        <w:tc>
          <w:tcPr>
            <w:tcW w:w="1350" w:type="dxa"/>
          </w:tcPr>
          <w:p w:rsidR="007A5BDD" w:rsidRPr="000C5776" w:rsidRDefault="007A5BDD" w:rsidP="00440CBA">
            <w:pPr>
              <w:rPr>
                <w:rFonts w:cs="Arial"/>
                <w:color w:val="000000"/>
                <w:sz w:val="18"/>
                <w:szCs w:val="20"/>
              </w:rPr>
            </w:pPr>
            <w:r w:rsidRPr="000C5776">
              <w:rPr>
                <w:rFonts w:cs="Arial"/>
                <w:color w:val="000000"/>
                <w:sz w:val="18"/>
                <w:szCs w:val="20"/>
              </w:rPr>
              <w:t>15</w:t>
            </w:r>
          </w:p>
        </w:tc>
      </w:tr>
      <w:tr w:rsidR="007A5BDD" w:rsidRPr="00FE76CA" w:rsidTr="00440CBA">
        <w:trPr>
          <w:jc w:val="right"/>
        </w:trPr>
        <w:tc>
          <w:tcPr>
            <w:tcW w:w="648" w:type="dxa"/>
          </w:tcPr>
          <w:p w:rsidR="007A5BDD" w:rsidRPr="000C5776" w:rsidRDefault="007A5BDD" w:rsidP="00440CBA">
            <w:pPr>
              <w:rPr>
                <w:rFonts w:cs="Arial"/>
                <w:color w:val="000000"/>
                <w:sz w:val="18"/>
                <w:szCs w:val="20"/>
              </w:rPr>
            </w:pPr>
            <w:r w:rsidRPr="000C5776">
              <w:rPr>
                <w:rFonts w:cs="Arial"/>
                <w:color w:val="000000"/>
                <w:sz w:val="18"/>
                <w:szCs w:val="20"/>
              </w:rPr>
              <w:t>5.</w:t>
            </w:r>
          </w:p>
        </w:tc>
        <w:tc>
          <w:tcPr>
            <w:tcW w:w="1480" w:type="dxa"/>
          </w:tcPr>
          <w:p w:rsidR="007A5BDD" w:rsidRPr="000C5776" w:rsidRDefault="007A5BDD" w:rsidP="00440CBA">
            <w:pPr>
              <w:rPr>
                <w:rFonts w:cs="Arial"/>
                <w:color w:val="000000"/>
                <w:sz w:val="18"/>
                <w:szCs w:val="20"/>
              </w:rPr>
            </w:pPr>
            <w:proofErr w:type="spellStart"/>
            <w:r w:rsidRPr="000C5776">
              <w:rPr>
                <w:rFonts w:cs="TimesNewRomanPSMT"/>
                <w:color w:val="000000"/>
                <w:sz w:val="18"/>
                <w:szCs w:val="20"/>
              </w:rPr>
              <w:t>Teletalk</w:t>
            </w:r>
            <w:proofErr w:type="spellEnd"/>
          </w:p>
        </w:tc>
        <w:tc>
          <w:tcPr>
            <w:tcW w:w="1530" w:type="dxa"/>
          </w:tcPr>
          <w:p w:rsidR="007A5BDD" w:rsidRPr="000C5776" w:rsidRDefault="007A5BDD" w:rsidP="00440CBA">
            <w:pPr>
              <w:rPr>
                <w:rFonts w:cs="Arial"/>
                <w:color w:val="000000"/>
                <w:sz w:val="18"/>
                <w:szCs w:val="20"/>
              </w:rPr>
            </w:pPr>
          </w:p>
        </w:tc>
        <w:tc>
          <w:tcPr>
            <w:tcW w:w="1530" w:type="dxa"/>
          </w:tcPr>
          <w:p w:rsidR="007A5BDD" w:rsidRPr="000C5776" w:rsidRDefault="007A5BDD" w:rsidP="00440CBA">
            <w:pPr>
              <w:rPr>
                <w:rFonts w:cs="Arial"/>
                <w:color w:val="000000"/>
                <w:sz w:val="18"/>
                <w:szCs w:val="20"/>
              </w:rPr>
            </w:pPr>
            <w:r w:rsidRPr="000C5776">
              <w:rPr>
                <w:rFonts w:cs="Arial"/>
                <w:color w:val="000000"/>
                <w:sz w:val="18"/>
                <w:szCs w:val="20"/>
              </w:rPr>
              <w:t>5.2</w:t>
            </w:r>
          </w:p>
        </w:tc>
        <w:tc>
          <w:tcPr>
            <w:tcW w:w="1260" w:type="dxa"/>
          </w:tcPr>
          <w:p w:rsidR="007A5BDD" w:rsidRPr="000C5776" w:rsidRDefault="007A5BDD" w:rsidP="00440CBA">
            <w:pPr>
              <w:rPr>
                <w:rFonts w:cs="Arial"/>
                <w:color w:val="000000"/>
                <w:sz w:val="18"/>
                <w:szCs w:val="20"/>
              </w:rPr>
            </w:pPr>
            <w:r w:rsidRPr="000C5776">
              <w:rPr>
                <w:rFonts w:cs="Arial"/>
                <w:color w:val="000000"/>
                <w:sz w:val="18"/>
                <w:szCs w:val="20"/>
              </w:rPr>
              <w:t>10</w:t>
            </w:r>
          </w:p>
        </w:tc>
        <w:tc>
          <w:tcPr>
            <w:tcW w:w="1350" w:type="dxa"/>
          </w:tcPr>
          <w:p w:rsidR="007A5BDD" w:rsidRPr="000C5776" w:rsidRDefault="007A5BDD" w:rsidP="00440CBA">
            <w:pPr>
              <w:rPr>
                <w:rFonts w:cs="Arial"/>
                <w:color w:val="000000"/>
                <w:sz w:val="18"/>
                <w:szCs w:val="20"/>
              </w:rPr>
            </w:pPr>
            <w:r w:rsidRPr="000C5776">
              <w:rPr>
                <w:rFonts w:cs="Arial"/>
                <w:color w:val="000000"/>
                <w:sz w:val="18"/>
                <w:szCs w:val="20"/>
              </w:rPr>
              <w:t>15.2</w:t>
            </w:r>
          </w:p>
        </w:tc>
      </w:tr>
      <w:tr w:rsidR="007A5BDD" w:rsidRPr="00FE76CA" w:rsidTr="00440CBA">
        <w:trPr>
          <w:jc w:val="right"/>
        </w:trPr>
        <w:tc>
          <w:tcPr>
            <w:tcW w:w="648" w:type="dxa"/>
          </w:tcPr>
          <w:p w:rsidR="007A5BDD" w:rsidRPr="000C5776" w:rsidRDefault="007A5BDD" w:rsidP="00440CBA">
            <w:pPr>
              <w:rPr>
                <w:rFonts w:cs="Arial"/>
                <w:color w:val="000000"/>
                <w:sz w:val="18"/>
                <w:szCs w:val="20"/>
              </w:rPr>
            </w:pPr>
            <w:r w:rsidRPr="000C5776">
              <w:rPr>
                <w:rFonts w:cs="Arial"/>
                <w:color w:val="000000"/>
                <w:sz w:val="18"/>
                <w:szCs w:val="20"/>
              </w:rPr>
              <w:t>6.</w:t>
            </w:r>
          </w:p>
        </w:tc>
        <w:tc>
          <w:tcPr>
            <w:tcW w:w="1480" w:type="dxa"/>
          </w:tcPr>
          <w:p w:rsidR="007A5BDD" w:rsidRPr="000C5776" w:rsidRDefault="007A5BDD" w:rsidP="00440CBA">
            <w:pPr>
              <w:rPr>
                <w:rFonts w:cs="Arial"/>
                <w:color w:val="000000"/>
                <w:sz w:val="18"/>
                <w:szCs w:val="20"/>
              </w:rPr>
            </w:pPr>
            <w:proofErr w:type="spellStart"/>
            <w:r w:rsidRPr="000C5776">
              <w:rPr>
                <w:rFonts w:cs="TimesNewRomanPSMT"/>
                <w:color w:val="000000"/>
                <w:sz w:val="18"/>
                <w:szCs w:val="20"/>
              </w:rPr>
              <w:t>Warid</w:t>
            </w:r>
            <w:proofErr w:type="spellEnd"/>
          </w:p>
        </w:tc>
        <w:tc>
          <w:tcPr>
            <w:tcW w:w="1530" w:type="dxa"/>
          </w:tcPr>
          <w:p w:rsidR="007A5BDD" w:rsidRPr="000C5776" w:rsidRDefault="007A5BDD" w:rsidP="00440CBA">
            <w:pPr>
              <w:rPr>
                <w:rFonts w:cs="Arial"/>
                <w:color w:val="000000"/>
                <w:sz w:val="18"/>
                <w:szCs w:val="20"/>
              </w:rPr>
            </w:pPr>
          </w:p>
        </w:tc>
        <w:tc>
          <w:tcPr>
            <w:tcW w:w="1530" w:type="dxa"/>
          </w:tcPr>
          <w:p w:rsidR="007A5BDD" w:rsidRPr="000C5776" w:rsidRDefault="007A5BDD" w:rsidP="00440CBA">
            <w:pPr>
              <w:rPr>
                <w:rFonts w:cs="Arial"/>
                <w:color w:val="000000"/>
                <w:sz w:val="18"/>
                <w:szCs w:val="20"/>
              </w:rPr>
            </w:pPr>
            <w:r w:rsidRPr="000C5776">
              <w:rPr>
                <w:rFonts w:cs="Arial"/>
                <w:color w:val="000000"/>
                <w:sz w:val="18"/>
                <w:szCs w:val="20"/>
              </w:rPr>
              <w:t>5</w:t>
            </w:r>
          </w:p>
        </w:tc>
        <w:tc>
          <w:tcPr>
            <w:tcW w:w="1260" w:type="dxa"/>
          </w:tcPr>
          <w:p w:rsidR="007A5BDD" w:rsidRPr="000C5776" w:rsidRDefault="007A5BDD" w:rsidP="00440CBA">
            <w:pPr>
              <w:rPr>
                <w:rFonts w:cs="Arial"/>
                <w:color w:val="000000"/>
                <w:sz w:val="18"/>
                <w:szCs w:val="20"/>
              </w:rPr>
            </w:pPr>
            <w:r w:rsidRPr="000C5776">
              <w:rPr>
                <w:rFonts w:cs="Arial"/>
                <w:color w:val="000000"/>
                <w:sz w:val="18"/>
                <w:szCs w:val="20"/>
              </w:rPr>
              <w:t>10</w:t>
            </w:r>
          </w:p>
        </w:tc>
        <w:tc>
          <w:tcPr>
            <w:tcW w:w="1350" w:type="dxa"/>
          </w:tcPr>
          <w:p w:rsidR="007A5BDD" w:rsidRPr="000C5776" w:rsidRDefault="007A5BDD" w:rsidP="00440CBA">
            <w:pPr>
              <w:rPr>
                <w:rFonts w:cs="Arial"/>
                <w:color w:val="000000"/>
                <w:sz w:val="18"/>
                <w:szCs w:val="20"/>
              </w:rPr>
            </w:pPr>
            <w:r w:rsidRPr="000C5776">
              <w:rPr>
                <w:rFonts w:cs="Arial"/>
                <w:color w:val="000000"/>
                <w:sz w:val="18"/>
                <w:szCs w:val="20"/>
              </w:rPr>
              <w:t>15</w:t>
            </w:r>
          </w:p>
        </w:tc>
      </w:tr>
    </w:tbl>
    <w:p w:rsidR="007A5BDD" w:rsidRPr="00147B44" w:rsidRDefault="007A5BDD" w:rsidP="007A5BDD">
      <w:pPr>
        <w:spacing w:line="360" w:lineRule="auto"/>
        <w:ind w:left="360"/>
        <w:rPr>
          <w:rStyle w:val="Strong"/>
          <w:color w:val="000000"/>
        </w:rPr>
      </w:pPr>
    </w:p>
    <w:p w:rsidR="007A5BDD" w:rsidRPr="00135FA7" w:rsidRDefault="007A5BDD" w:rsidP="007A5BDD">
      <w:pPr>
        <w:pStyle w:val="ListParagraph"/>
        <w:numPr>
          <w:ilvl w:val="0"/>
          <w:numId w:val="46"/>
        </w:numPr>
        <w:shd w:val="clear" w:color="auto" w:fill="FFFFFF"/>
        <w:tabs>
          <w:tab w:val="left" w:pos="810"/>
        </w:tabs>
        <w:spacing w:before="120" w:after="240" w:line="360" w:lineRule="auto"/>
        <w:ind w:left="810" w:hanging="810"/>
        <w:jc w:val="both"/>
        <w:rPr>
          <w:color w:val="000000"/>
        </w:rPr>
      </w:pPr>
      <w:r w:rsidRPr="00135FA7">
        <w:rPr>
          <w:b/>
        </w:rPr>
        <w:t xml:space="preserve">BWA Spectrum (2300 MHz and 2500 MHz band): </w:t>
      </w:r>
      <w:r w:rsidRPr="00135FA7">
        <w:rPr>
          <w:color w:val="000000"/>
        </w:rPr>
        <w:t xml:space="preserve">BTRC issued Regulatory and licensing guidelines on Broadband Wireless Access (BWA) Services Operator Licenses on 06.08.2008. Total 3 (three) licenses were issued to provide </w:t>
      </w:r>
      <w:r w:rsidRPr="00666E45">
        <w:rPr>
          <w:rStyle w:val="Strong"/>
        </w:rPr>
        <w:t>nationwide</w:t>
      </w:r>
      <w:r w:rsidRPr="00135FA7">
        <w:rPr>
          <w:color w:val="000000"/>
        </w:rPr>
        <w:t xml:space="preserve"> BWA Services in 2.3 GHz and 2.5 GHz spectrum bands through auction. </w:t>
      </w:r>
      <w:r>
        <w:rPr>
          <w:color w:val="000000"/>
        </w:rPr>
        <w:t xml:space="preserve">Each licensee was assigned 35 MHz of unpaired spectrum. </w:t>
      </w:r>
      <w:r w:rsidRPr="00135FA7">
        <w:rPr>
          <w:color w:val="000000"/>
        </w:rPr>
        <w:t xml:space="preserve">These licensees were </w:t>
      </w:r>
      <w:proofErr w:type="spellStart"/>
      <w:r w:rsidRPr="00135FA7">
        <w:rPr>
          <w:color w:val="000000"/>
        </w:rPr>
        <w:t>Banglalion</w:t>
      </w:r>
      <w:proofErr w:type="spellEnd"/>
      <w:r w:rsidRPr="00135FA7">
        <w:rPr>
          <w:color w:val="000000"/>
        </w:rPr>
        <w:t xml:space="preserve"> Communication Limited and </w:t>
      </w:r>
      <w:proofErr w:type="spellStart"/>
      <w:r w:rsidRPr="00135FA7">
        <w:rPr>
          <w:color w:val="000000"/>
        </w:rPr>
        <w:t>Augere</w:t>
      </w:r>
      <w:proofErr w:type="spellEnd"/>
      <w:r w:rsidRPr="00135FA7">
        <w:rPr>
          <w:color w:val="000000"/>
        </w:rPr>
        <w:t xml:space="preserve"> Wireless Broadband (Bangladesh)</w:t>
      </w:r>
      <w:r>
        <w:rPr>
          <w:color w:val="000000"/>
        </w:rPr>
        <w:t>.</w:t>
      </w:r>
      <w:r w:rsidRPr="00135FA7">
        <w:rPr>
          <w:color w:val="000000"/>
        </w:rPr>
        <w:t xml:space="preserve"> An additional BWA license (fourth license) may be issued to Bangladesh Telecommunications Company Limited (BTCL) in the same terms and conditions including the License Acquisition Fee (fixed by auction) as shall be applicable to the other BWA licensees.</w:t>
      </w:r>
      <w:r>
        <w:rPr>
          <w:color w:val="000000"/>
        </w:rPr>
        <w:t xml:space="preserve"> </w:t>
      </w:r>
      <w:r w:rsidRPr="00135FA7">
        <w:rPr>
          <w:color w:val="000000"/>
        </w:rPr>
        <w:t xml:space="preserve">Limited who got </w:t>
      </w:r>
      <w:proofErr w:type="spellStart"/>
      <w:r w:rsidRPr="00135FA7">
        <w:rPr>
          <w:color w:val="000000"/>
        </w:rPr>
        <w:t>licences</w:t>
      </w:r>
      <w:proofErr w:type="spellEnd"/>
      <w:r w:rsidRPr="00135FA7">
        <w:rPr>
          <w:color w:val="000000"/>
        </w:rPr>
        <w:t xml:space="preserve"> for 15 years at a cost Taka 2.15 billion.</w:t>
      </w:r>
      <w:r w:rsidRPr="00135FA7">
        <w:t> </w:t>
      </w:r>
    </w:p>
    <w:p w:rsidR="007A5BDD" w:rsidRPr="00930AC2" w:rsidRDefault="007A5BDD" w:rsidP="007A5BDD">
      <w:pPr>
        <w:pStyle w:val="ListParagraph"/>
        <w:numPr>
          <w:ilvl w:val="0"/>
          <w:numId w:val="46"/>
        </w:numPr>
        <w:shd w:val="clear" w:color="auto" w:fill="FFFFFF"/>
        <w:tabs>
          <w:tab w:val="left" w:pos="810"/>
        </w:tabs>
        <w:spacing w:before="120" w:after="240" w:line="360" w:lineRule="auto"/>
        <w:ind w:left="810" w:hanging="810"/>
        <w:jc w:val="both"/>
        <w:rPr>
          <w:rFonts w:cs="Arial"/>
          <w:color w:val="000000"/>
        </w:rPr>
      </w:pPr>
      <w:r w:rsidRPr="00930AC2">
        <w:rPr>
          <w:rStyle w:val="Strong"/>
          <w:rFonts w:cs="Arial"/>
          <w:b/>
          <w:color w:val="000000"/>
        </w:rPr>
        <w:t>3G Cellular Mobile Phone Service</w:t>
      </w:r>
      <w:r w:rsidRPr="00147B44">
        <w:rPr>
          <w:rStyle w:val="FootnoteReference"/>
          <w:rFonts w:cs="Arial"/>
          <w:b/>
          <w:color w:val="000000"/>
        </w:rPr>
        <w:footnoteReference w:id="15"/>
      </w:r>
      <w:r w:rsidRPr="00147B44">
        <w:rPr>
          <w:rStyle w:val="FootnoteReference"/>
          <w:rFonts w:cs="Arial"/>
          <w:b/>
          <w:color w:val="000000"/>
        </w:rPr>
        <w:footnoteReference w:id="16"/>
      </w:r>
      <w:r w:rsidRPr="00147B44">
        <w:rPr>
          <w:rStyle w:val="FootnoteReference"/>
          <w:rFonts w:cs="Arial"/>
          <w:b/>
          <w:color w:val="000000"/>
        </w:rPr>
        <w:footnoteReference w:id="17"/>
      </w:r>
      <w:r w:rsidRPr="00990FF1">
        <w:rPr>
          <w:rStyle w:val="Strong"/>
          <w:rFonts w:cs="Arial"/>
          <w:color w:val="000000"/>
        </w:rPr>
        <w:t xml:space="preserve"> </w:t>
      </w:r>
      <w:r w:rsidRPr="00930AC2">
        <w:rPr>
          <w:rStyle w:val="Strong"/>
          <w:rFonts w:cs="Arial"/>
          <w:color w:val="000000"/>
        </w:rPr>
        <w:t xml:space="preserve">(2100 MHz band): </w:t>
      </w:r>
      <w:r w:rsidRPr="00930AC2">
        <w:rPr>
          <w:color w:val="000000"/>
        </w:rPr>
        <w:t xml:space="preserve">An auction for 3G frequency band 2100 MHz was held on 08 September 2013 and </w:t>
      </w:r>
      <w:r w:rsidRPr="00930AC2">
        <w:rPr>
          <w:rFonts w:cs="Arial"/>
          <w:color w:val="000000"/>
        </w:rPr>
        <w:t>the licenses gra</w:t>
      </w:r>
      <w:r>
        <w:rPr>
          <w:rFonts w:cs="Arial"/>
          <w:color w:val="000000"/>
        </w:rPr>
        <w:t>n</w:t>
      </w:r>
      <w:r w:rsidRPr="00930AC2">
        <w:rPr>
          <w:rFonts w:cs="Arial"/>
          <w:color w:val="000000"/>
        </w:rPr>
        <w:t xml:space="preserve">ted to four telecom companies namely </w:t>
      </w:r>
      <w:proofErr w:type="spellStart"/>
      <w:r w:rsidRPr="00930AC2">
        <w:rPr>
          <w:rFonts w:cs="Arial"/>
          <w:color w:val="000000"/>
        </w:rPr>
        <w:t>Grameenphone</w:t>
      </w:r>
      <w:proofErr w:type="spellEnd"/>
      <w:r w:rsidRPr="00930AC2">
        <w:rPr>
          <w:rFonts w:cs="Arial"/>
          <w:color w:val="000000"/>
        </w:rPr>
        <w:t xml:space="preserve">, </w:t>
      </w:r>
      <w:proofErr w:type="spellStart"/>
      <w:r w:rsidRPr="00930AC2">
        <w:rPr>
          <w:rFonts w:cs="Arial"/>
          <w:color w:val="000000"/>
        </w:rPr>
        <w:t>Robi</w:t>
      </w:r>
      <w:proofErr w:type="spellEnd"/>
      <w:r w:rsidRPr="00930AC2">
        <w:rPr>
          <w:rFonts w:cs="Arial"/>
          <w:color w:val="000000"/>
        </w:rPr>
        <w:t xml:space="preserve"> </w:t>
      </w:r>
      <w:proofErr w:type="spellStart"/>
      <w:r w:rsidRPr="00930AC2">
        <w:rPr>
          <w:rFonts w:cs="Arial"/>
          <w:color w:val="000000"/>
        </w:rPr>
        <w:t>Axiata</w:t>
      </w:r>
      <w:proofErr w:type="spellEnd"/>
      <w:r w:rsidRPr="00930AC2">
        <w:rPr>
          <w:rFonts w:cs="Arial"/>
          <w:color w:val="000000"/>
        </w:rPr>
        <w:t xml:space="preserve">, </w:t>
      </w:r>
      <w:proofErr w:type="spellStart"/>
      <w:r w:rsidRPr="00930AC2">
        <w:rPr>
          <w:rFonts w:cs="Arial"/>
          <w:color w:val="000000"/>
        </w:rPr>
        <w:t>Banglalink</w:t>
      </w:r>
      <w:proofErr w:type="spellEnd"/>
      <w:r w:rsidRPr="00930AC2">
        <w:rPr>
          <w:rFonts w:cs="Arial"/>
          <w:color w:val="000000"/>
        </w:rPr>
        <w:t xml:space="preserve"> and Airtel. </w:t>
      </w:r>
      <w:proofErr w:type="spellStart"/>
      <w:r w:rsidRPr="00930AC2">
        <w:rPr>
          <w:rFonts w:cs="Arial"/>
          <w:color w:val="000000"/>
        </w:rPr>
        <w:t>Grameenphone</w:t>
      </w:r>
      <w:proofErr w:type="spellEnd"/>
      <w:r w:rsidRPr="00930AC2">
        <w:rPr>
          <w:rFonts w:cs="Arial"/>
          <w:color w:val="000000"/>
        </w:rPr>
        <w:t xml:space="preserve"> purchased 10 megahertz </w:t>
      </w:r>
      <w:r w:rsidRPr="00666E45">
        <w:rPr>
          <w:rStyle w:val="Strong"/>
        </w:rPr>
        <w:t>spectrum</w:t>
      </w:r>
      <w:r w:rsidRPr="00930AC2">
        <w:rPr>
          <w:rFonts w:cs="Arial"/>
          <w:color w:val="000000"/>
        </w:rPr>
        <w:t xml:space="preserve"> and </w:t>
      </w:r>
      <w:proofErr w:type="spellStart"/>
      <w:r w:rsidRPr="00930AC2">
        <w:rPr>
          <w:rFonts w:cs="Arial"/>
          <w:color w:val="000000"/>
        </w:rPr>
        <w:t>Banglalink</w:t>
      </w:r>
      <w:proofErr w:type="spellEnd"/>
      <w:r w:rsidRPr="00930AC2">
        <w:rPr>
          <w:rFonts w:cs="Arial"/>
          <w:color w:val="000000"/>
        </w:rPr>
        <w:t xml:space="preserve">, </w:t>
      </w:r>
      <w:proofErr w:type="spellStart"/>
      <w:r w:rsidRPr="00930AC2">
        <w:rPr>
          <w:rFonts w:cs="Arial"/>
          <w:color w:val="000000"/>
        </w:rPr>
        <w:t>Robi</w:t>
      </w:r>
      <w:proofErr w:type="spellEnd"/>
      <w:r w:rsidRPr="00930AC2">
        <w:rPr>
          <w:rFonts w:cs="Arial"/>
          <w:color w:val="000000"/>
        </w:rPr>
        <w:t xml:space="preserve"> </w:t>
      </w:r>
      <w:proofErr w:type="spellStart"/>
      <w:r w:rsidRPr="00930AC2">
        <w:rPr>
          <w:rFonts w:cs="Arial"/>
          <w:color w:val="000000"/>
        </w:rPr>
        <w:t>Axiata</w:t>
      </w:r>
      <w:proofErr w:type="spellEnd"/>
      <w:r w:rsidRPr="00930AC2">
        <w:rPr>
          <w:rFonts w:cs="Arial"/>
          <w:color w:val="000000"/>
        </w:rPr>
        <w:t xml:space="preserve">, Airtel 5 megahertz each in the 3G auction and </w:t>
      </w:r>
      <w:r>
        <w:rPr>
          <w:rFonts w:cs="Arial"/>
          <w:color w:val="000000"/>
        </w:rPr>
        <w:t>15 MHz spectrum remained unsold.</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rPr>
          <w:rFonts w:cs="TimesNewRomanPSMT"/>
          <w:color w:val="000000"/>
        </w:rPr>
      </w:pPr>
      <w:r w:rsidRPr="00990FF1">
        <w:rPr>
          <w:rFonts w:cs="TimesNewRomanPSMT"/>
          <w:b/>
          <w:color w:val="000000"/>
        </w:rPr>
        <w:t>Infrastructure sharing</w:t>
      </w:r>
      <w:r w:rsidRPr="00147B44">
        <w:rPr>
          <w:rStyle w:val="FootnoteReference"/>
          <w:rFonts w:cs="TimesNewRomanPSMT"/>
          <w:b/>
          <w:color w:val="000000"/>
        </w:rPr>
        <w:footnoteReference w:id="18"/>
      </w:r>
      <w:r w:rsidRPr="00990FF1">
        <w:rPr>
          <w:rFonts w:cs="TimesNewRomanPSMT"/>
          <w:b/>
          <w:color w:val="000000"/>
        </w:rPr>
        <w:t xml:space="preserve">: </w:t>
      </w:r>
      <w:r w:rsidRPr="00990FF1">
        <w:rPr>
          <w:rFonts w:cs="TimesNewRomanPSMT"/>
          <w:color w:val="000000"/>
        </w:rPr>
        <w:t xml:space="preserve">The guidelines for sharing of passive infrastructure are issued by BTRC in July 2011. The guidelines are emphasized on sharing of passive infrastructure like building, space, mast, </w:t>
      </w:r>
      <w:proofErr w:type="spellStart"/>
      <w:r w:rsidRPr="00990FF1">
        <w:rPr>
          <w:rFonts w:cs="TimesNewRomanPSMT"/>
          <w:color w:val="000000"/>
        </w:rPr>
        <w:t>earthing</w:t>
      </w:r>
      <w:proofErr w:type="spellEnd"/>
      <w:r w:rsidRPr="00990FF1">
        <w:rPr>
          <w:rFonts w:cs="TimesNewRomanPSMT"/>
          <w:color w:val="000000"/>
        </w:rPr>
        <w:t xml:space="preserve">, air-conditioning, in-house wiring, </w:t>
      </w:r>
      <w:r w:rsidRPr="00990FF1">
        <w:rPr>
          <w:rFonts w:cs="TimesNewRomanPSMT"/>
          <w:color w:val="000000"/>
        </w:rPr>
        <w:lastRenderedPageBreak/>
        <w:t xml:space="preserve">local loop wire etc. The operator shall share its passive infrastructure with other operators on a </w:t>
      </w:r>
      <w:proofErr w:type="spellStart"/>
      <w:r w:rsidRPr="00990FF1">
        <w:rPr>
          <w:rFonts w:cs="TimesNewRomanPSMT"/>
          <w:color w:val="000000"/>
        </w:rPr>
        <w:t>non discriminatory</w:t>
      </w:r>
      <w:proofErr w:type="spellEnd"/>
      <w:r w:rsidRPr="00990FF1">
        <w:rPr>
          <w:rFonts w:cs="TimesNewRomanPSMT"/>
          <w:color w:val="000000"/>
        </w:rPr>
        <w:t xml:space="preserve"> ‘first come-first serve’ basis.  </w:t>
      </w:r>
    </w:p>
    <w:p w:rsidR="007A5BDD" w:rsidRPr="00EF156E" w:rsidRDefault="007A5BDD" w:rsidP="007A5BDD">
      <w:pPr>
        <w:pStyle w:val="ListParagraph"/>
        <w:numPr>
          <w:ilvl w:val="0"/>
          <w:numId w:val="11"/>
        </w:numPr>
        <w:spacing w:before="120" w:after="240" w:line="360" w:lineRule="auto"/>
        <w:ind w:left="1170"/>
        <w:jc w:val="both"/>
        <w:rPr>
          <w:b/>
          <w:sz w:val="18"/>
        </w:rPr>
      </w:pPr>
      <w:r w:rsidRPr="00885AEF">
        <w:rPr>
          <w:b/>
        </w:rPr>
        <w:t>PAKISTAN</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885AEF">
        <w:t xml:space="preserve">Mobile service in Pakistan was introduced by </w:t>
      </w:r>
      <w:proofErr w:type="spellStart"/>
      <w:r w:rsidRPr="00885AEF">
        <w:t>Paktel</w:t>
      </w:r>
      <w:proofErr w:type="spellEnd"/>
      <w:r w:rsidRPr="00885AEF">
        <w:t xml:space="preserve"> with 1st </w:t>
      </w:r>
      <w:r w:rsidRPr="00AE24E5">
        <w:rPr>
          <w:b/>
        </w:rPr>
        <w:t>Generation</w:t>
      </w:r>
      <w:r w:rsidRPr="00885AEF">
        <w:t xml:space="preserve"> </w:t>
      </w:r>
      <w:r w:rsidRPr="00AE24E5">
        <w:t>technology</w:t>
      </w:r>
      <w:r w:rsidRPr="00885AEF">
        <w:t xml:space="preserve"> in 1990 followed by </w:t>
      </w:r>
      <w:proofErr w:type="spellStart"/>
      <w:r w:rsidRPr="00885AEF">
        <w:t>Instaphone</w:t>
      </w:r>
      <w:proofErr w:type="spellEnd"/>
      <w:r>
        <w:rPr>
          <w:rStyle w:val="FootnoteReference"/>
        </w:rPr>
        <w:footnoteReference w:id="19"/>
      </w:r>
      <w:r w:rsidRPr="00885AEF">
        <w:t xml:space="preserve">. The evolution of technology, however, was fast as </w:t>
      </w:r>
      <w:proofErr w:type="spellStart"/>
      <w:r w:rsidRPr="00885AEF">
        <w:t>Mobilink</w:t>
      </w:r>
      <w:proofErr w:type="spellEnd"/>
      <w:r w:rsidRPr="00885AEF">
        <w:t xml:space="preserve"> entered the market carrying 2G technology in 1992. The 2G market got extended with the entry of other firms in the industry over the years. By 2005, a number of these companies upgraded their infrastructure to the so-called 2.5 G </w:t>
      </w:r>
      <w:r w:rsidRPr="00666E45">
        <w:rPr>
          <w:rStyle w:val="Strong"/>
          <w:color w:val="000000"/>
        </w:rPr>
        <w:t>that</w:t>
      </w:r>
      <w:r w:rsidRPr="00885AEF">
        <w:t xml:space="preserve"> contained internet connectivity through General Packet Radio Service (GPRS) on mobile phones.</w:t>
      </w:r>
    </w:p>
    <w:p w:rsidR="007A5BDD" w:rsidRDefault="007A5BDD" w:rsidP="007A5BDD">
      <w:pPr>
        <w:pStyle w:val="ListParagraph"/>
        <w:spacing w:line="360" w:lineRule="auto"/>
      </w:pPr>
      <w:r>
        <w:rPr>
          <w:noProof/>
          <w:lang w:bidi="ar-SA"/>
        </w:rPr>
        <w:drawing>
          <wp:inline distT="0" distB="0" distL="0" distR="0" wp14:anchorId="2851FBE8" wp14:editId="6C39ADCC">
            <wp:extent cx="5476875" cy="10287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86533" cy="1030514"/>
                    </a:xfrm>
                    <a:prstGeom prst="rect">
                      <a:avLst/>
                    </a:prstGeom>
                    <a:noFill/>
                    <a:ln w="9525">
                      <a:noFill/>
                      <a:miter lim="800000"/>
                      <a:headEnd/>
                      <a:tailEnd/>
                    </a:ln>
                  </pic:spPr>
                </pic:pic>
              </a:graphicData>
            </a:graphic>
          </wp:inline>
        </w:drawing>
      </w:r>
    </w:p>
    <w:p w:rsidR="007A5BDD" w:rsidRPr="00EF156E" w:rsidRDefault="007A5BDD" w:rsidP="007A5BDD">
      <w:pPr>
        <w:pStyle w:val="ListParagraph"/>
        <w:spacing w:line="360" w:lineRule="auto"/>
        <w:rPr>
          <w:sz w:val="8"/>
        </w:rPr>
      </w:pPr>
    </w:p>
    <w:p w:rsidR="007A5BDD" w:rsidRPr="00F95860"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F95860">
        <w:t xml:space="preserve">Pakistan modernized its regulatory framework for telecommunications in   1996. Pakistan Telecom Authority (PTA) was established as the telecom sector regulator, </w:t>
      </w:r>
      <w:r w:rsidRPr="00930AC2">
        <w:rPr>
          <w:rStyle w:val="Strong"/>
        </w:rPr>
        <w:t>and</w:t>
      </w:r>
      <w:r w:rsidRPr="00F95860">
        <w:t xml:space="preserve"> the Frequency Allocation Board (FAB)</w:t>
      </w:r>
      <w:r w:rsidRPr="00F95860">
        <w:footnoteReference w:id="20"/>
      </w:r>
      <w:r w:rsidRPr="00F95860">
        <w:t xml:space="preserve"> was constituted to manage the radio frequency spectrum. After 1996, further changes have occurred in the years 2000 and 2004, when the Pakistan Telecommunication Rules and Polices came into force, and more recently in preparation for the liberalization of the sector with the granting of new Licenses. </w:t>
      </w:r>
    </w:p>
    <w:p w:rsidR="007A5BDD" w:rsidRPr="00E067CE"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E067CE">
        <w:t>Spectrum was allocated administratively before 2004</w:t>
      </w:r>
      <w:r>
        <w:t xml:space="preserve"> and </w:t>
      </w:r>
      <w:r w:rsidRPr="00E067CE">
        <w:t xml:space="preserve">the licensing to mobile companies in Pakistan was free, i.e., no license fees were </w:t>
      </w:r>
      <w:r w:rsidRPr="00666E45">
        <w:rPr>
          <w:rStyle w:val="Strong"/>
          <w:color w:val="000000"/>
        </w:rPr>
        <w:t>charged</w:t>
      </w:r>
      <w:r w:rsidRPr="00E067CE">
        <w:t xml:space="preserve"> from cell companies. But after the telecom deregulation in 2004, </w:t>
      </w:r>
      <w:r>
        <w:t xml:space="preserve">it was decided that </w:t>
      </w:r>
      <w:r w:rsidRPr="00E067CE">
        <w:t xml:space="preserve">licenses for 2G services (where demand for spectrum is greater than </w:t>
      </w:r>
      <w:r w:rsidRPr="00930AC2">
        <w:rPr>
          <w:rStyle w:val="Strong"/>
        </w:rPr>
        <w:t>supply</w:t>
      </w:r>
      <w:r w:rsidRPr="00E067CE">
        <w:t xml:space="preserve">) </w:t>
      </w:r>
      <w:r>
        <w:t>would be</w:t>
      </w:r>
      <w:r w:rsidRPr="00E067CE">
        <w:t xml:space="preserve"> auctioned</w:t>
      </w:r>
      <w:r>
        <w:t xml:space="preserve"> keeping </w:t>
      </w:r>
      <w:r w:rsidRPr="00E067CE">
        <w:t xml:space="preserve">in mind the most effective use of the spectrum as a whole. PTA and FAB will define the Blocks in an Information Memorandum (IM) and will set the detailed method </w:t>
      </w:r>
      <w:r w:rsidRPr="00E067CE">
        <w:lastRenderedPageBreak/>
        <w:t xml:space="preserve">for the auction well in advance of the auction date. </w:t>
      </w:r>
      <w:r>
        <w:t>Hence,</w:t>
      </w:r>
      <w:r w:rsidRPr="00E067CE">
        <w:t xml:space="preserve"> in 2004, licenses for 2G services were auctioned, and two new firms -Telenor and </w:t>
      </w:r>
      <w:proofErr w:type="spellStart"/>
      <w:r w:rsidRPr="00E067CE">
        <w:t>Warid</w:t>
      </w:r>
      <w:proofErr w:type="spellEnd"/>
      <w:r w:rsidRPr="00E067CE">
        <w:t xml:space="preserve"> – won these licenses at a price of US$ 291 million in 2004. These auctions were carried out by open outcry method</w:t>
      </w:r>
      <w:r>
        <w:rPr>
          <w:rStyle w:val="FootnoteReference"/>
        </w:rPr>
        <w:footnoteReference w:id="21"/>
      </w:r>
      <w:r w:rsidRPr="00E067CE">
        <w:t xml:space="preserve"> and did not carry a base price. After an initial payment of 50 percent of bid price, the spectrum price had to be paid in equal annual installments. Later, the license of </w:t>
      </w:r>
      <w:proofErr w:type="spellStart"/>
      <w:r w:rsidRPr="00E067CE">
        <w:t>Mobilink</w:t>
      </w:r>
      <w:proofErr w:type="spellEnd"/>
      <w:r w:rsidRPr="00E067CE">
        <w:t xml:space="preserve"> was also renewed at the price of US$ 291 million in 2007.</w:t>
      </w:r>
      <w:r>
        <w:rPr>
          <w:rStyle w:val="FootnoteReference"/>
        </w:rPr>
        <w:footnoteReference w:id="22"/>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 xml:space="preserve">Pakistan possess a very healthy competition in 2G telecom services with presence of five </w:t>
      </w:r>
      <w:r w:rsidRPr="00930AC2">
        <w:rPr>
          <w:rStyle w:val="Strong"/>
        </w:rPr>
        <w:t>telecom</w:t>
      </w:r>
      <w:r>
        <w:t xml:space="preserve"> service providers with </w:t>
      </w:r>
      <w:proofErr w:type="spellStart"/>
      <w:r w:rsidRPr="00D2155B">
        <w:t>Mobilink</w:t>
      </w:r>
      <w:proofErr w:type="spellEnd"/>
      <w:r w:rsidRPr="00D2155B">
        <w:t xml:space="preserve"> being the market leader has 32.20% market share, U-</w:t>
      </w:r>
      <w:proofErr w:type="spellStart"/>
      <w:r w:rsidRPr="00D2155B">
        <w:t>fone</w:t>
      </w:r>
      <w:proofErr w:type="spellEnd"/>
      <w:r w:rsidRPr="00D2155B">
        <w:t xml:space="preserve"> 18.70%, C</w:t>
      </w:r>
      <w:r>
        <w:t xml:space="preserve">hina </w:t>
      </w:r>
      <w:r w:rsidRPr="00D2155B">
        <w:t>M</w:t>
      </w:r>
      <w:r>
        <w:t xml:space="preserve">obile </w:t>
      </w:r>
      <w:r w:rsidRPr="00D2155B">
        <w:t xml:space="preserve">Pak </w:t>
      </w:r>
      <w:r>
        <w:t xml:space="preserve">(previously known as </w:t>
      </w:r>
      <w:proofErr w:type="spellStart"/>
      <w:r>
        <w:t>Paktel</w:t>
      </w:r>
      <w:proofErr w:type="spellEnd"/>
      <w:r>
        <w:t xml:space="preserve">) </w:t>
      </w:r>
      <w:r w:rsidRPr="00D2155B">
        <w:t xml:space="preserve">12.10%, Telenor 24.90% and </w:t>
      </w:r>
      <w:proofErr w:type="spellStart"/>
      <w:r w:rsidRPr="00D2155B">
        <w:t>Warid</w:t>
      </w:r>
      <w:proofErr w:type="spellEnd"/>
      <w:r w:rsidRPr="00D2155B">
        <w:t xml:space="preserve"> 13.90%</w:t>
      </w:r>
      <w:r>
        <w:t>. Current allocation of 2G spectrum is summarized as below:</w:t>
      </w:r>
    </w:p>
    <w:p w:rsidR="007A5BDD" w:rsidRPr="00D2155B" w:rsidRDefault="007A5BDD" w:rsidP="007A5BDD">
      <w:pPr>
        <w:pStyle w:val="ListParagraph"/>
      </w:pPr>
    </w:p>
    <w:tbl>
      <w:tblPr>
        <w:tblStyle w:val="TableGrid"/>
        <w:tblW w:w="8682" w:type="dxa"/>
        <w:tblInd w:w="720" w:type="dxa"/>
        <w:tblLook w:val="04A0" w:firstRow="1" w:lastRow="0" w:firstColumn="1" w:lastColumn="0" w:noHBand="0" w:noVBand="1"/>
      </w:tblPr>
      <w:tblGrid>
        <w:gridCol w:w="648"/>
        <w:gridCol w:w="2790"/>
        <w:gridCol w:w="3060"/>
        <w:gridCol w:w="2184"/>
      </w:tblGrid>
      <w:tr w:rsidR="007A5BDD" w:rsidRPr="008E61D0" w:rsidTr="00440CBA">
        <w:trPr>
          <w:trHeight w:val="395"/>
        </w:trPr>
        <w:tc>
          <w:tcPr>
            <w:tcW w:w="648" w:type="dxa"/>
          </w:tcPr>
          <w:p w:rsidR="007A5BDD" w:rsidRPr="008E61D0" w:rsidRDefault="007A5BDD" w:rsidP="00440CBA">
            <w:pPr>
              <w:pStyle w:val="ListParagraph"/>
              <w:rPr>
                <w:b/>
                <w:sz w:val="22"/>
                <w:szCs w:val="22"/>
              </w:rPr>
            </w:pPr>
            <w:r w:rsidRPr="008E61D0">
              <w:rPr>
                <w:b/>
                <w:sz w:val="22"/>
                <w:szCs w:val="22"/>
              </w:rPr>
              <w:t>S. No.</w:t>
            </w:r>
          </w:p>
        </w:tc>
        <w:tc>
          <w:tcPr>
            <w:tcW w:w="2790" w:type="dxa"/>
          </w:tcPr>
          <w:p w:rsidR="007A5BDD" w:rsidRPr="008E61D0" w:rsidRDefault="007A5BDD" w:rsidP="00440CBA">
            <w:pPr>
              <w:pStyle w:val="ListParagraph"/>
              <w:rPr>
                <w:b/>
                <w:sz w:val="22"/>
                <w:szCs w:val="22"/>
              </w:rPr>
            </w:pPr>
            <w:r w:rsidRPr="008E61D0">
              <w:rPr>
                <w:b/>
                <w:sz w:val="22"/>
                <w:szCs w:val="22"/>
              </w:rPr>
              <w:t>Company Name</w:t>
            </w:r>
          </w:p>
        </w:tc>
        <w:tc>
          <w:tcPr>
            <w:tcW w:w="5244" w:type="dxa"/>
            <w:gridSpan w:val="2"/>
          </w:tcPr>
          <w:p w:rsidR="007A5BDD" w:rsidRPr="008E61D0" w:rsidRDefault="007A5BDD" w:rsidP="00440CBA">
            <w:pPr>
              <w:pStyle w:val="ListParagraph"/>
              <w:rPr>
                <w:b/>
                <w:sz w:val="22"/>
                <w:szCs w:val="22"/>
              </w:rPr>
            </w:pPr>
            <w:r w:rsidRPr="008E61D0">
              <w:rPr>
                <w:b/>
                <w:sz w:val="22"/>
                <w:szCs w:val="22"/>
              </w:rPr>
              <w:t>Assigned Frequencies/ BW in Pakistan</w:t>
            </w:r>
          </w:p>
        </w:tc>
      </w:tr>
      <w:tr w:rsidR="007A5BDD" w:rsidRPr="008E61D0" w:rsidTr="00440CBA">
        <w:tc>
          <w:tcPr>
            <w:tcW w:w="648" w:type="dxa"/>
            <w:vMerge w:val="restart"/>
          </w:tcPr>
          <w:p w:rsidR="007A5BDD" w:rsidRPr="008E61D0" w:rsidRDefault="007A5BDD" w:rsidP="00440CBA">
            <w:pPr>
              <w:pStyle w:val="ListParagraph"/>
              <w:rPr>
                <w:sz w:val="22"/>
                <w:szCs w:val="22"/>
              </w:rPr>
            </w:pPr>
            <w:r w:rsidRPr="008E61D0">
              <w:rPr>
                <w:sz w:val="22"/>
                <w:szCs w:val="22"/>
              </w:rPr>
              <w:t>1</w:t>
            </w:r>
          </w:p>
        </w:tc>
        <w:tc>
          <w:tcPr>
            <w:tcW w:w="2790" w:type="dxa"/>
            <w:vMerge w:val="restart"/>
          </w:tcPr>
          <w:p w:rsidR="007A5BDD" w:rsidRPr="008E61D0" w:rsidRDefault="007A5BDD" w:rsidP="00440CBA">
            <w:pPr>
              <w:pStyle w:val="ListParagraph"/>
              <w:rPr>
                <w:sz w:val="22"/>
                <w:szCs w:val="22"/>
              </w:rPr>
            </w:pPr>
            <w:r w:rsidRPr="008E61D0">
              <w:rPr>
                <w:sz w:val="22"/>
                <w:szCs w:val="22"/>
              </w:rPr>
              <w:t>China Mobile Pak Limited (</w:t>
            </w:r>
            <w:proofErr w:type="spellStart"/>
            <w:r w:rsidRPr="008E61D0">
              <w:rPr>
                <w:sz w:val="22"/>
                <w:szCs w:val="22"/>
              </w:rPr>
              <w:t>Zong</w:t>
            </w:r>
            <w:proofErr w:type="spellEnd"/>
            <w:r w:rsidRPr="008E61D0">
              <w:rPr>
                <w:sz w:val="22"/>
                <w:szCs w:val="22"/>
              </w:rPr>
              <w:t xml:space="preserve">) (Also known previously as </w:t>
            </w:r>
            <w:proofErr w:type="spellStart"/>
            <w:r w:rsidRPr="008E61D0">
              <w:rPr>
                <w:sz w:val="22"/>
                <w:szCs w:val="22"/>
              </w:rPr>
              <w:t>Paktel</w:t>
            </w:r>
            <w:proofErr w:type="spellEnd"/>
            <w:r w:rsidRPr="008E61D0">
              <w:rPr>
                <w:sz w:val="22"/>
                <w:szCs w:val="22"/>
              </w:rPr>
              <w:t>)</w:t>
            </w:r>
          </w:p>
        </w:tc>
        <w:tc>
          <w:tcPr>
            <w:tcW w:w="3060" w:type="dxa"/>
          </w:tcPr>
          <w:p w:rsidR="007A5BDD" w:rsidRPr="008E61D0" w:rsidRDefault="007A5BDD" w:rsidP="00440CBA">
            <w:pPr>
              <w:pStyle w:val="ListParagraph"/>
              <w:rPr>
                <w:sz w:val="22"/>
                <w:szCs w:val="22"/>
              </w:rPr>
            </w:pPr>
            <w:r w:rsidRPr="008E61D0">
              <w:rPr>
                <w:sz w:val="22"/>
                <w:szCs w:val="22"/>
              </w:rPr>
              <w:t>882.5-890.1 MHz/</w:t>
            </w:r>
          </w:p>
          <w:p w:rsidR="007A5BDD" w:rsidRPr="008E61D0" w:rsidRDefault="007A5BDD" w:rsidP="00440CBA">
            <w:pPr>
              <w:pStyle w:val="ListParagraph"/>
              <w:rPr>
                <w:sz w:val="22"/>
                <w:szCs w:val="22"/>
              </w:rPr>
            </w:pPr>
            <w:r w:rsidRPr="008E61D0">
              <w:rPr>
                <w:sz w:val="22"/>
                <w:szCs w:val="22"/>
              </w:rPr>
              <w:t>927.5-935.1 MHz</w:t>
            </w:r>
          </w:p>
        </w:tc>
        <w:tc>
          <w:tcPr>
            <w:tcW w:w="2184" w:type="dxa"/>
          </w:tcPr>
          <w:p w:rsidR="007A5BDD" w:rsidRPr="008E61D0" w:rsidRDefault="007A5BDD" w:rsidP="00440CBA">
            <w:pPr>
              <w:pStyle w:val="ListParagraph"/>
              <w:rPr>
                <w:sz w:val="22"/>
                <w:szCs w:val="22"/>
              </w:rPr>
            </w:pPr>
            <w:r w:rsidRPr="008E61D0">
              <w:rPr>
                <w:sz w:val="22"/>
                <w:szCs w:val="22"/>
              </w:rPr>
              <w:t>(7.6 + 7.6) MHz</w:t>
            </w:r>
          </w:p>
        </w:tc>
      </w:tr>
      <w:tr w:rsidR="007A5BDD" w:rsidRPr="008E61D0" w:rsidTr="00440CBA">
        <w:tc>
          <w:tcPr>
            <w:tcW w:w="648" w:type="dxa"/>
            <w:vMerge/>
          </w:tcPr>
          <w:p w:rsidR="007A5BDD" w:rsidRPr="008E61D0" w:rsidRDefault="007A5BDD" w:rsidP="00440CBA">
            <w:pPr>
              <w:pStyle w:val="ListParagraph"/>
              <w:rPr>
                <w:sz w:val="22"/>
                <w:szCs w:val="22"/>
              </w:rPr>
            </w:pPr>
          </w:p>
        </w:tc>
        <w:tc>
          <w:tcPr>
            <w:tcW w:w="2790" w:type="dxa"/>
            <w:vMerge/>
          </w:tcPr>
          <w:p w:rsidR="007A5BDD" w:rsidRPr="008E61D0" w:rsidRDefault="007A5BDD" w:rsidP="00440CBA">
            <w:pPr>
              <w:pStyle w:val="ListParagraph"/>
              <w:rPr>
                <w:sz w:val="22"/>
                <w:szCs w:val="22"/>
              </w:rPr>
            </w:pPr>
          </w:p>
        </w:tc>
        <w:tc>
          <w:tcPr>
            <w:tcW w:w="3060" w:type="dxa"/>
          </w:tcPr>
          <w:p w:rsidR="007A5BDD" w:rsidRPr="008E61D0" w:rsidRDefault="007A5BDD" w:rsidP="00440CBA">
            <w:pPr>
              <w:pStyle w:val="ListParagraph"/>
              <w:rPr>
                <w:sz w:val="22"/>
                <w:szCs w:val="22"/>
              </w:rPr>
            </w:pPr>
            <w:r w:rsidRPr="008E61D0">
              <w:rPr>
                <w:sz w:val="22"/>
                <w:szCs w:val="22"/>
              </w:rPr>
              <w:t>1739.7-1745 MHz/</w:t>
            </w:r>
          </w:p>
          <w:p w:rsidR="007A5BDD" w:rsidRPr="008E61D0" w:rsidRDefault="007A5BDD" w:rsidP="00440CBA">
            <w:pPr>
              <w:pStyle w:val="ListParagraph"/>
              <w:rPr>
                <w:sz w:val="22"/>
                <w:szCs w:val="22"/>
              </w:rPr>
            </w:pPr>
            <w:r w:rsidRPr="008E61D0">
              <w:rPr>
                <w:sz w:val="22"/>
                <w:szCs w:val="22"/>
              </w:rPr>
              <w:t>1834-1840.7 MHz</w:t>
            </w:r>
          </w:p>
        </w:tc>
        <w:tc>
          <w:tcPr>
            <w:tcW w:w="2184" w:type="dxa"/>
          </w:tcPr>
          <w:p w:rsidR="007A5BDD" w:rsidRPr="008E61D0" w:rsidRDefault="007A5BDD" w:rsidP="00440CBA">
            <w:pPr>
              <w:pStyle w:val="ListParagraph"/>
              <w:rPr>
                <w:sz w:val="22"/>
                <w:szCs w:val="22"/>
              </w:rPr>
            </w:pPr>
            <w:r w:rsidRPr="008E61D0">
              <w:rPr>
                <w:sz w:val="22"/>
                <w:szCs w:val="22"/>
              </w:rPr>
              <w:t>(6 + 6) MHz</w:t>
            </w:r>
          </w:p>
        </w:tc>
      </w:tr>
      <w:tr w:rsidR="007A5BDD" w:rsidRPr="008E61D0" w:rsidTr="00440CBA">
        <w:tc>
          <w:tcPr>
            <w:tcW w:w="648" w:type="dxa"/>
            <w:vMerge w:val="restart"/>
          </w:tcPr>
          <w:p w:rsidR="007A5BDD" w:rsidRPr="008E61D0" w:rsidRDefault="007A5BDD" w:rsidP="00440CBA">
            <w:pPr>
              <w:pStyle w:val="ListParagraph"/>
              <w:rPr>
                <w:sz w:val="22"/>
                <w:szCs w:val="22"/>
              </w:rPr>
            </w:pPr>
            <w:r w:rsidRPr="008E61D0">
              <w:rPr>
                <w:sz w:val="22"/>
                <w:szCs w:val="22"/>
              </w:rPr>
              <w:t>2</w:t>
            </w:r>
          </w:p>
        </w:tc>
        <w:tc>
          <w:tcPr>
            <w:tcW w:w="2790" w:type="dxa"/>
            <w:vMerge w:val="restart"/>
          </w:tcPr>
          <w:p w:rsidR="007A5BDD" w:rsidRPr="008E61D0" w:rsidRDefault="007A5BDD" w:rsidP="00440CBA">
            <w:pPr>
              <w:pStyle w:val="ListParagraph"/>
              <w:rPr>
                <w:sz w:val="22"/>
                <w:szCs w:val="22"/>
              </w:rPr>
            </w:pPr>
            <w:r w:rsidRPr="008E61D0">
              <w:rPr>
                <w:sz w:val="22"/>
                <w:szCs w:val="22"/>
              </w:rPr>
              <w:t xml:space="preserve">Pakistan Telecom Mobile Limited (PTML) (U </w:t>
            </w:r>
            <w:proofErr w:type="spellStart"/>
            <w:r w:rsidRPr="008E61D0">
              <w:rPr>
                <w:sz w:val="22"/>
                <w:szCs w:val="22"/>
              </w:rPr>
              <w:t>Fone</w:t>
            </w:r>
            <w:proofErr w:type="spellEnd"/>
            <w:r w:rsidRPr="008E61D0">
              <w:rPr>
                <w:sz w:val="22"/>
                <w:szCs w:val="22"/>
              </w:rPr>
              <w:t>)</w:t>
            </w:r>
          </w:p>
        </w:tc>
        <w:tc>
          <w:tcPr>
            <w:tcW w:w="3060" w:type="dxa"/>
          </w:tcPr>
          <w:p w:rsidR="007A5BDD" w:rsidRPr="008E61D0" w:rsidRDefault="007A5BDD" w:rsidP="00440CBA">
            <w:pPr>
              <w:pStyle w:val="ListParagraph"/>
              <w:rPr>
                <w:sz w:val="22"/>
                <w:szCs w:val="22"/>
              </w:rPr>
            </w:pPr>
            <w:r w:rsidRPr="008E61D0">
              <w:rPr>
                <w:sz w:val="22"/>
                <w:szCs w:val="22"/>
              </w:rPr>
              <w:t>894.9-902.5 MHz/</w:t>
            </w:r>
          </w:p>
          <w:p w:rsidR="007A5BDD" w:rsidRPr="008E61D0" w:rsidRDefault="007A5BDD" w:rsidP="00440CBA">
            <w:pPr>
              <w:pStyle w:val="ListParagraph"/>
              <w:rPr>
                <w:sz w:val="22"/>
                <w:szCs w:val="22"/>
              </w:rPr>
            </w:pPr>
            <w:r w:rsidRPr="008E61D0">
              <w:rPr>
                <w:sz w:val="22"/>
                <w:szCs w:val="22"/>
              </w:rPr>
              <w:t>939.9-947.5 MHz</w:t>
            </w:r>
          </w:p>
        </w:tc>
        <w:tc>
          <w:tcPr>
            <w:tcW w:w="2184" w:type="dxa"/>
          </w:tcPr>
          <w:p w:rsidR="007A5BDD" w:rsidRPr="008E61D0" w:rsidRDefault="007A5BDD" w:rsidP="00440CBA">
            <w:pPr>
              <w:pStyle w:val="ListParagraph"/>
              <w:rPr>
                <w:sz w:val="22"/>
                <w:szCs w:val="22"/>
              </w:rPr>
            </w:pPr>
            <w:r w:rsidRPr="008E61D0">
              <w:rPr>
                <w:sz w:val="22"/>
                <w:szCs w:val="22"/>
              </w:rPr>
              <w:t>(7.6 + 7.6) MHz</w:t>
            </w:r>
          </w:p>
        </w:tc>
      </w:tr>
      <w:tr w:rsidR="007A5BDD" w:rsidRPr="008E61D0" w:rsidTr="00440CBA">
        <w:tc>
          <w:tcPr>
            <w:tcW w:w="648" w:type="dxa"/>
            <w:vMerge/>
          </w:tcPr>
          <w:p w:rsidR="007A5BDD" w:rsidRPr="008E61D0" w:rsidRDefault="007A5BDD" w:rsidP="00440CBA">
            <w:pPr>
              <w:pStyle w:val="ListParagraph"/>
              <w:rPr>
                <w:sz w:val="22"/>
                <w:szCs w:val="22"/>
              </w:rPr>
            </w:pPr>
          </w:p>
        </w:tc>
        <w:tc>
          <w:tcPr>
            <w:tcW w:w="2790" w:type="dxa"/>
            <w:vMerge/>
          </w:tcPr>
          <w:p w:rsidR="007A5BDD" w:rsidRPr="008E61D0" w:rsidRDefault="007A5BDD" w:rsidP="00440CBA">
            <w:pPr>
              <w:pStyle w:val="ListParagraph"/>
              <w:rPr>
                <w:sz w:val="22"/>
                <w:szCs w:val="22"/>
              </w:rPr>
            </w:pPr>
          </w:p>
        </w:tc>
        <w:tc>
          <w:tcPr>
            <w:tcW w:w="3060" w:type="dxa"/>
          </w:tcPr>
          <w:p w:rsidR="007A5BDD" w:rsidRPr="008E61D0" w:rsidRDefault="007A5BDD" w:rsidP="00440CBA">
            <w:pPr>
              <w:pStyle w:val="ListParagraph"/>
              <w:rPr>
                <w:sz w:val="22"/>
                <w:szCs w:val="22"/>
              </w:rPr>
            </w:pPr>
            <w:r w:rsidRPr="008E61D0">
              <w:rPr>
                <w:sz w:val="22"/>
                <w:szCs w:val="22"/>
              </w:rPr>
              <w:t>1718.9-1724.9 MHz/</w:t>
            </w:r>
          </w:p>
          <w:p w:rsidR="007A5BDD" w:rsidRPr="008E61D0" w:rsidRDefault="007A5BDD" w:rsidP="00440CBA">
            <w:pPr>
              <w:pStyle w:val="ListParagraph"/>
              <w:rPr>
                <w:sz w:val="22"/>
                <w:szCs w:val="22"/>
              </w:rPr>
            </w:pPr>
            <w:r w:rsidRPr="008E61D0">
              <w:rPr>
                <w:sz w:val="22"/>
                <w:szCs w:val="22"/>
              </w:rPr>
              <w:t>1813.9-1819.9 MHz</w:t>
            </w:r>
          </w:p>
        </w:tc>
        <w:tc>
          <w:tcPr>
            <w:tcW w:w="2184" w:type="dxa"/>
          </w:tcPr>
          <w:p w:rsidR="007A5BDD" w:rsidRPr="008E61D0" w:rsidRDefault="007A5BDD" w:rsidP="00440CBA">
            <w:pPr>
              <w:pStyle w:val="ListParagraph"/>
              <w:rPr>
                <w:sz w:val="22"/>
                <w:szCs w:val="22"/>
              </w:rPr>
            </w:pPr>
            <w:r w:rsidRPr="008E61D0">
              <w:rPr>
                <w:sz w:val="22"/>
                <w:szCs w:val="22"/>
              </w:rPr>
              <w:t>(6 + 6) MHz</w:t>
            </w:r>
          </w:p>
        </w:tc>
      </w:tr>
      <w:tr w:rsidR="007A5BDD" w:rsidRPr="008E61D0" w:rsidTr="00440CBA">
        <w:tc>
          <w:tcPr>
            <w:tcW w:w="648" w:type="dxa"/>
            <w:vMerge w:val="restart"/>
          </w:tcPr>
          <w:p w:rsidR="007A5BDD" w:rsidRPr="008E61D0" w:rsidRDefault="007A5BDD" w:rsidP="00440CBA">
            <w:pPr>
              <w:pStyle w:val="ListParagraph"/>
              <w:rPr>
                <w:sz w:val="22"/>
                <w:szCs w:val="22"/>
              </w:rPr>
            </w:pPr>
            <w:r w:rsidRPr="008E61D0">
              <w:rPr>
                <w:sz w:val="22"/>
                <w:szCs w:val="22"/>
              </w:rPr>
              <w:t>3</w:t>
            </w:r>
          </w:p>
        </w:tc>
        <w:tc>
          <w:tcPr>
            <w:tcW w:w="2790" w:type="dxa"/>
            <w:vMerge w:val="restart"/>
          </w:tcPr>
          <w:p w:rsidR="007A5BDD" w:rsidRPr="008E61D0" w:rsidRDefault="007A5BDD" w:rsidP="00440CBA">
            <w:pPr>
              <w:pStyle w:val="ListParagraph"/>
              <w:rPr>
                <w:sz w:val="22"/>
                <w:szCs w:val="22"/>
              </w:rPr>
            </w:pPr>
            <w:r w:rsidRPr="008E61D0">
              <w:rPr>
                <w:sz w:val="22"/>
                <w:szCs w:val="22"/>
              </w:rPr>
              <w:t>Pakistan Mobile Communication Limited (</w:t>
            </w:r>
            <w:proofErr w:type="spellStart"/>
            <w:r w:rsidRPr="008E61D0">
              <w:rPr>
                <w:sz w:val="22"/>
                <w:szCs w:val="22"/>
              </w:rPr>
              <w:t>Mobilink</w:t>
            </w:r>
            <w:proofErr w:type="spellEnd"/>
            <w:r w:rsidRPr="008E61D0">
              <w:rPr>
                <w:sz w:val="22"/>
                <w:szCs w:val="22"/>
              </w:rPr>
              <w:t>)</w:t>
            </w:r>
          </w:p>
        </w:tc>
        <w:tc>
          <w:tcPr>
            <w:tcW w:w="3060" w:type="dxa"/>
          </w:tcPr>
          <w:p w:rsidR="007A5BDD" w:rsidRPr="008E61D0" w:rsidRDefault="007A5BDD" w:rsidP="00440CBA">
            <w:pPr>
              <w:pStyle w:val="ListParagraph"/>
              <w:rPr>
                <w:sz w:val="22"/>
                <w:szCs w:val="22"/>
              </w:rPr>
            </w:pPr>
            <w:r w:rsidRPr="008E61D0">
              <w:rPr>
                <w:sz w:val="22"/>
                <w:szCs w:val="22"/>
              </w:rPr>
              <w:t>907.3-914.9 MHz/</w:t>
            </w:r>
          </w:p>
          <w:p w:rsidR="007A5BDD" w:rsidRPr="008E61D0" w:rsidRDefault="007A5BDD" w:rsidP="00440CBA">
            <w:pPr>
              <w:pStyle w:val="ListParagraph"/>
              <w:rPr>
                <w:sz w:val="22"/>
                <w:szCs w:val="22"/>
              </w:rPr>
            </w:pPr>
            <w:r w:rsidRPr="008E61D0">
              <w:rPr>
                <w:sz w:val="22"/>
                <w:szCs w:val="22"/>
              </w:rPr>
              <w:t>952.3-959.9 MHz</w:t>
            </w:r>
          </w:p>
        </w:tc>
        <w:tc>
          <w:tcPr>
            <w:tcW w:w="2184" w:type="dxa"/>
          </w:tcPr>
          <w:p w:rsidR="007A5BDD" w:rsidRPr="008E61D0" w:rsidRDefault="007A5BDD" w:rsidP="00440CBA">
            <w:pPr>
              <w:pStyle w:val="ListParagraph"/>
              <w:rPr>
                <w:sz w:val="22"/>
                <w:szCs w:val="22"/>
              </w:rPr>
            </w:pPr>
            <w:r w:rsidRPr="008E61D0">
              <w:rPr>
                <w:sz w:val="22"/>
                <w:szCs w:val="22"/>
              </w:rPr>
              <w:t>(7.6 + 7.6) MHz</w:t>
            </w:r>
          </w:p>
        </w:tc>
      </w:tr>
      <w:tr w:rsidR="007A5BDD" w:rsidRPr="008E61D0" w:rsidTr="00440CBA">
        <w:tc>
          <w:tcPr>
            <w:tcW w:w="648" w:type="dxa"/>
            <w:vMerge/>
          </w:tcPr>
          <w:p w:rsidR="007A5BDD" w:rsidRPr="008E61D0" w:rsidRDefault="007A5BDD" w:rsidP="00440CBA">
            <w:pPr>
              <w:pStyle w:val="ListParagraph"/>
              <w:rPr>
                <w:sz w:val="22"/>
                <w:szCs w:val="22"/>
              </w:rPr>
            </w:pPr>
          </w:p>
        </w:tc>
        <w:tc>
          <w:tcPr>
            <w:tcW w:w="2790" w:type="dxa"/>
            <w:vMerge/>
          </w:tcPr>
          <w:p w:rsidR="007A5BDD" w:rsidRPr="008E61D0" w:rsidRDefault="007A5BDD" w:rsidP="00440CBA">
            <w:pPr>
              <w:pStyle w:val="ListParagraph"/>
              <w:rPr>
                <w:b/>
                <w:i/>
                <w:sz w:val="22"/>
                <w:szCs w:val="22"/>
              </w:rPr>
            </w:pPr>
          </w:p>
        </w:tc>
        <w:tc>
          <w:tcPr>
            <w:tcW w:w="3060" w:type="dxa"/>
          </w:tcPr>
          <w:p w:rsidR="007A5BDD" w:rsidRPr="008E61D0" w:rsidRDefault="007A5BDD" w:rsidP="00440CBA">
            <w:pPr>
              <w:pStyle w:val="ListParagraph"/>
              <w:rPr>
                <w:sz w:val="22"/>
                <w:szCs w:val="22"/>
              </w:rPr>
            </w:pPr>
            <w:r w:rsidRPr="008E61D0">
              <w:rPr>
                <w:sz w:val="22"/>
                <w:szCs w:val="22"/>
              </w:rPr>
              <w:t>1733.7-1739.7 MHz /</w:t>
            </w:r>
          </w:p>
          <w:p w:rsidR="007A5BDD" w:rsidRPr="008E61D0" w:rsidRDefault="007A5BDD" w:rsidP="00440CBA">
            <w:pPr>
              <w:pStyle w:val="ListParagraph"/>
              <w:rPr>
                <w:sz w:val="22"/>
                <w:szCs w:val="22"/>
              </w:rPr>
            </w:pPr>
            <w:r w:rsidRPr="008E61D0">
              <w:rPr>
                <w:sz w:val="22"/>
                <w:szCs w:val="22"/>
              </w:rPr>
              <w:t>1828.7-1834.7 MHz</w:t>
            </w:r>
          </w:p>
        </w:tc>
        <w:tc>
          <w:tcPr>
            <w:tcW w:w="2184" w:type="dxa"/>
          </w:tcPr>
          <w:p w:rsidR="007A5BDD" w:rsidRPr="008E61D0" w:rsidRDefault="007A5BDD" w:rsidP="00440CBA">
            <w:pPr>
              <w:pStyle w:val="ListParagraph"/>
              <w:rPr>
                <w:sz w:val="22"/>
                <w:szCs w:val="22"/>
              </w:rPr>
            </w:pPr>
            <w:r w:rsidRPr="008E61D0">
              <w:rPr>
                <w:sz w:val="22"/>
                <w:szCs w:val="22"/>
              </w:rPr>
              <w:t>(6 + 6) MHz</w:t>
            </w:r>
          </w:p>
        </w:tc>
      </w:tr>
      <w:tr w:rsidR="007A5BDD" w:rsidRPr="008E61D0" w:rsidTr="00440CBA">
        <w:tc>
          <w:tcPr>
            <w:tcW w:w="648" w:type="dxa"/>
            <w:vMerge w:val="restart"/>
          </w:tcPr>
          <w:p w:rsidR="007A5BDD" w:rsidRPr="008E61D0" w:rsidRDefault="007A5BDD" w:rsidP="00440CBA">
            <w:pPr>
              <w:pStyle w:val="ListParagraph"/>
              <w:rPr>
                <w:sz w:val="22"/>
                <w:szCs w:val="22"/>
              </w:rPr>
            </w:pPr>
            <w:r w:rsidRPr="008E61D0">
              <w:rPr>
                <w:sz w:val="22"/>
                <w:szCs w:val="22"/>
              </w:rPr>
              <w:t>4</w:t>
            </w:r>
          </w:p>
        </w:tc>
        <w:tc>
          <w:tcPr>
            <w:tcW w:w="2790" w:type="dxa"/>
            <w:vMerge w:val="restart"/>
          </w:tcPr>
          <w:p w:rsidR="007A5BDD" w:rsidRPr="008E61D0" w:rsidRDefault="007A5BDD" w:rsidP="00440CBA">
            <w:pPr>
              <w:pStyle w:val="ListParagraph"/>
              <w:rPr>
                <w:sz w:val="22"/>
                <w:szCs w:val="22"/>
              </w:rPr>
            </w:pPr>
            <w:r w:rsidRPr="008E61D0">
              <w:rPr>
                <w:sz w:val="22"/>
                <w:szCs w:val="22"/>
              </w:rPr>
              <w:t>Telenor Pakistan Limited</w:t>
            </w:r>
          </w:p>
        </w:tc>
        <w:tc>
          <w:tcPr>
            <w:tcW w:w="3060" w:type="dxa"/>
          </w:tcPr>
          <w:p w:rsidR="007A5BDD" w:rsidRPr="008E61D0" w:rsidRDefault="007A5BDD" w:rsidP="00440CBA">
            <w:pPr>
              <w:pStyle w:val="ListParagraph"/>
              <w:rPr>
                <w:sz w:val="22"/>
                <w:szCs w:val="22"/>
              </w:rPr>
            </w:pPr>
            <w:r w:rsidRPr="008E61D0">
              <w:rPr>
                <w:sz w:val="22"/>
                <w:szCs w:val="22"/>
              </w:rPr>
              <w:t>902.5-907.3 MHz/</w:t>
            </w:r>
          </w:p>
          <w:p w:rsidR="007A5BDD" w:rsidRPr="008E61D0" w:rsidRDefault="007A5BDD" w:rsidP="00440CBA">
            <w:pPr>
              <w:pStyle w:val="ListParagraph"/>
              <w:rPr>
                <w:sz w:val="22"/>
                <w:szCs w:val="22"/>
              </w:rPr>
            </w:pPr>
            <w:r w:rsidRPr="008E61D0">
              <w:rPr>
                <w:sz w:val="22"/>
                <w:szCs w:val="22"/>
              </w:rPr>
              <w:t>947.5-952.3 MHz</w:t>
            </w:r>
          </w:p>
        </w:tc>
        <w:tc>
          <w:tcPr>
            <w:tcW w:w="2184" w:type="dxa"/>
          </w:tcPr>
          <w:p w:rsidR="007A5BDD" w:rsidRPr="008E61D0" w:rsidRDefault="007A5BDD" w:rsidP="00440CBA">
            <w:pPr>
              <w:pStyle w:val="ListParagraph"/>
              <w:rPr>
                <w:sz w:val="22"/>
                <w:szCs w:val="22"/>
              </w:rPr>
            </w:pPr>
            <w:r w:rsidRPr="008E61D0">
              <w:rPr>
                <w:sz w:val="22"/>
                <w:szCs w:val="22"/>
              </w:rPr>
              <w:t>(4.8 + 4.8) MHz</w:t>
            </w:r>
          </w:p>
        </w:tc>
      </w:tr>
      <w:tr w:rsidR="007A5BDD" w:rsidRPr="008E61D0" w:rsidTr="00440CBA">
        <w:tc>
          <w:tcPr>
            <w:tcW w:w="648" w:type="dxa"/>
            <w:vMerge/>
          </w:tcPr>
          <w:p w:rsidR="007A5BDD" w:rsidRPr="008E61D0" w:rsidRDefault="007A5BDD" w:rsidP="00440CBA">
            <w:pPr>
              <w:pStyle w:val="ListParagraph"/>
              <w:rPr>
                <w:sz w:val="22"/>
                <w:szCs w:val="22"/>
              </w:rPr>
            </w:pPr>
          </w:p>
        </w:tc>
        <w:tc>
          <w:tcPr>
            <w:tcW w:w="2790" w:type="dxa"/>
            <w:vMerge/>
          </w:tcPr>
          <w:p w:rsidR="007A5BDD" w:rsidRPr="008E61D0" w:rsidRDefault="007A5BDD" w:rsidP="00440CBA">
            <w:pPr>
              <w:pStyle w:val="ListParagraph"/>
              <w:rPr>
                <w:sz w:val="22"/>
                <w:szCs w:val="22"/>
              </w:rPr>
            </w:pPr>
          </w:p>
        </w:tc>
        <w:tc>
          <w:tcPr>
            <w:tcW w:w="3060" w:type="dxa"/>
          </w:tcPr>
          <w:p w:rsidR="007A5BDD" w:rsidRPr="008E61D0" w:rsidRDefault="007A5BDD" w:rsidP="00440CBA">
            <w:pPr>
              <w:pStyle w:val="ListParagraph"/>
              <w:rPr>
                <w:sz w:val="22"/>
                <w:szCs w:val="22"/>
              </w:rPr>
            </w:pPr>
            <w:r w:rsidRPr="008E61D0">
              <w:rPr>
                <w:sz w:val="22"/>
                <w:szCs w:val="22"/>
              </w:rPr>
              <w:t xml:space="preserve">1724.9-1733.7 MHz / </w:t>
            </w:r>
          </w:p>
          <w:p w:rsidR="007A5BDD" w:rsidRPr="008E61D0" w:rsidRDefault="007A5BDD" w:rsidP="00440CBA">
            <w:pPr>
              <w:pStyle w:val="ListParagraph"/>
              <w:rPr>
                <w:sz w:val="22"/>
                <w:szCs w:val="22"/>
              </w:rPr>
            </w:pPr>
            <w:r w:rsidRPr="008E61D0">
              <w:rPr>
                <w:sz w:val="22"/>
                <w:szCs w:val="22"/>
              </w:rPr>
              <w:t>1819.9-1828.7 MHz</w:t>
            </w:r>
          </w:p>
        </w:tc>
        <w:tc>
          <w:tcPr>
            <w:tcW w:w="2184" w:type="dxa"/>
          </w:tcPr>
          <w:p w:rsidR="007A5BDD" w:rsidRPr="008E61D0" w:rsidRDefault="007A5BDD" w:rsidP="00440CBA">
            <w:pPr>
              <w:pStyle w:val="ListParagraph"/>
              <w:rPr>
                <w:sz w:val="22"/>
                <w:szCs w:val="22"/>
              </w:rPr>
            </w:pPr>
            <w:r w:rsidRPr="008E61D0">
              <w:rPr>
                <w:sz w:val="22"/>
                <w:szCs w:val="22"/>
              </w:rPr>
              <w:t>(8.8 + 8.8) MHz</w:t>
            </w:r>
          </w:p>
        </w:tc>
      </w:tr>
      <w:tr w:rsidR="007A5BDD" w:rsidRPr="008E61D0" w:rsidTr="00440CBA">
        <w:tc>
          <w:tcPr>
            <w:tcW w:w="648" w:type="dxa"/>
            <w:vMerge w:val="restart"/>
          </w:tcPr>
          <w:p w:rsidR="007A5BDD" w:rsidRPr="008E61D0" w:rsidRDefault="007A5BDD" w:rsidP="00440CBA">
            <w:pPr>
              <w:pStyle w:val="ListParagraph"/>
              <w:rPr>
                <w:sz w:val="22"/>
                <w:szCs w:val="22"/>
              </w:rPr>
            </w:pPr>
            <w:r w:rsidRPr="008E61D0">
              <w:rPr>
                <w:sz w:val="22"/>
                <w:szCs w:val="22"/>
              </w:rPr>
              <w:t>5</w:t>
            </w:r>
          </w:p>
        </w:tc>
        <w:tc>
          <w:tcPr>
            <w:tcW w:w="2790" w:type="dxa"/>
            <w:vMerge w:val="restart"/>
          </w:tcPr>
          <w:p w:rsidR="007A5BDD" w:rsidRPr="008E61D0" w:rsidRDefault="007A5BDD" w:rsidP="00440CBA">
            <w:pPr>
              <w:pStyle w:val="ListParagraph"/>
              <w:rPr>
                <w:sz w:val="22"/>
                <w:szCs w:val="22"/>
              </w:rPr>
            </w:pPr>
            <w:proofErr w:type="spellStart"/>
            <w:r w:rsidRPr="008E61D0">
              <w:rPr>
                <w:sz w:val="22"/>
                <w:szCs w:val="22"/>
              </w:rPr>
              <w:t>Warid</w:t>
            </w:r>
            <w:proofErr w:type="spellEnd"/>
            <w:r w:rsidRPr="008E61D0">
              <w:rPr>
                <w:sz w:val="22"/>
                <w:szCs w:val="22"/>
              </w:rPr>
              <w:t xml:space="preserve"> Telecom Limited</w:t>
            </w:r>
          </w:p>
        </w:tc>
        <w:tc>
          <w:tcPr>
            <w:tcW w:w="3060" w:type="dxa"/>
          </w:tcPr>
          <w:p w:rsidR="007A5BDD" w:rsidRPr="008E61D0" w:rsidRDefault="007A5BDD" w:rsidP="00440CBA">
            <w:pPr>
              <w:pStyle w:val="ListParagraph"/>
              <w:rPr>
                <w:sz w:val="22"/>
                <w:szCs w:val="22"/>
              </w:rPr>
            </w:pPr>
            <w:r w:rsidRPr="008E61D0">
              <w:rPr>
                <w:sz w:val="22"/>
                <w:szCs w:val="22"/>
              </w:rPr>
              <w:t xml:space="preserve">890-894.8 MHz / </w:t>
            </w:r>
          </w:p>
          <w:p w:rsidR="007A5BDD" w:rsidRPr="008E61D0" w:rsidRDefault="007A5BDD" w:rsidP="00440CBA">
            <w:pPr>
              <w:pStyle w:val="ListParagraph"/>
              <w:rPr>
                <w:sz w:val="22"/>
                <w:szCs w:val="22"/>
              </w:rPr>
            </w:pPr>
            <w:r w:rsidRPr="008E61D0">
              <w:rPr>
                <w:sz w:val="22"/>
                <w:szCs w:val="22"/>
              </w:rPr>
              <w:t xml:space="preserve">935-939.8 MHz </w:t>
            </w:r>
          </w:p>
        </w:tc>
        <w:tc>
          <w:tcPr>
            <w:tcW w:w="2184" w:type="dxa"/>
          </w:tcPr>
          <w:p w:rsidR="007A5BDD" w:rsidRPr="008E61D0" w:rsidRDefault="007A5BDD" w:rsidP="00440CBA">
            <w:pPr>
              <w:pStyle w:val="ListParagraph"/>
              <w:rPr>
                <w:sz w:val="22"/>
                <w:szCs w:val="22"/>
              </w:rPr>
            </w:pPr>
            <w:r w:rsidRPr="008E61D0">
              <w:rPr>
                <w:sz w:val="22"/>
                <w:szCs w:val="22"/>
              </w:rPr>
              <w:t>(4.8 + 4.8) MHz</w:t>
            </w:r>
          </w:p>
        </w:tc>
      </w:tr>
      <w:tr w:rsidR="007A5BDD" w:rsidRPr="008E61D0" w:rsidTr="00440CBA">
        <w:tc>
          <w:tcPr>
            <w:tcW w:w="648" w:type="dxa"/>
            <w:vMerge/>
          </w:tcPr>
          <w:p w:rsidR="007A5BDD" w:rsidRPr="008E61D0" w:rsidRDefault="007A5BDD" w:rsidP="00440CBA">
            <w:pPr>
              <w:pStyle w:val="ListParagraph"/>
              <w:rPr>
                <w:sz w:val="22"/>
                <w:szCs w:val="22"/>
              </w:rPr>
            </w:pPr>
          </w:p>
        </w:tc>
        <w:tc>
          <w:tcPr>
            <w:tcW w:w="2790" w:type="dxa"/>
            <w:vMerge/>
          </w:tcPr>
          <w:p w:rsidR="007A5BDD" w:rsidRPr="008E61D0" w:rsidRDefault="007A5BDD" w:rsidP="00440CBA">
            <w:pPr>
              <w:pStyle w:val="ListParagraph"/>
              <w:rPr>
                <w:sz w:val="22"/>
                <w:szCs w:val="22"/>
              </w:rPr>
            </w:pPr>
          </w:p>
        </w:tc>
        <w:tc>
          <w:tcPr>
            <w:tcW w:w="3060" w:type="dxa"/>
          </w:tcPr>
          <w:p w:rsidR="007A5BDD" w:rsidRPr="008E61D0" w:rsidRDefault="007A5BDD" w:rsidP="00440CBA">
            <w:pPr>
              <w:pStyle w:val="ListParagraph"/>
              <w:rPr>
                <w:sz w:val="22"/>
                <w:szCs w:val="22"/>
              </w:rPr>
            </w:pPr>
            <w:r w:rsidRPr="008E61D0">
              <w:rPr>
                <w:sz w:val="22"/>
                <w:szCs w:val="22"/>
              </w:rPr>
              <w:t xml:space="preserve">1710 – 1718.8 MHz / </w:t>
            </w:r>
          </w:p>
          <w:p w:rsidR="007A5BDD" w:rsidRPr="008E61D0" w:rsidRDefault="007A5BDD" w:rsidP="00440CBA">
            <w:pPr>
              <w:pStyle w:val="ListParagraph"/>
              <w:rPr>
                <w:sz w:val="22"/>
                <w:szCs w:val="22"/>
              </w:rPr>
            </w:pPr>
            <w:r w:rsidRPr="008E61D0">
              <w:rPr>
                <w:sz w:val="22"/>
                <w:szCs w:val="22"/>
              </w:rPr>
              <w:t>1805-1813.8 MHz</w:t>
            </w:r>
          </w:p>
        </w:tc>
        <w:tc>
          <w:tcPr>
            <w:tcW w:w="2184" w:type="dxa"/>
          </w:tcPr>
          <w:p w:rsidR="007A5BDD" w:rsidRPr="008E61D0" w:rsidRDefault="007A5BDD" w:rsidP="00440CBA">
            <w:pPr>
              <w:pStyle w:val="ListParagraph"/>
              <w:rPr>
                <w:sz w:val="22"/>
                <w:szCs w:val="22"/>
              </w:rPr>
            </w:pPr>
            <w:r w:rsidRPr="008E61D0">
              <w:rPr>
                <w:sz w:val="22"/>
                <w:szCs w:val="22"/>
              </w:rPr>
              <w:t>(8.8 + 8.8) MHz</w:t>
            </w:r>
          </w:p>
        </w:tc>
      </w:tr>
    </w:tbl>
    <w:p w:rsidR="007A5BDD" w:rsidRPr="00885AEF" w:rsidRDefault="007A5BDD" w:rsidP="007A5BDD">
      <w:pPr>
        <w:pStyle w:val="ListParagraph"/>
      </w:pP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885AEF">
        <w:t>Continuing with the agenda of technological advancement, PTA wanted to move ahead with 3G auctions in 2007. However, at that time cellular companies strongly recommended delay in the licensing on the plea of almost non</w:t>
      </w:r>
      <w:r>
        <w:t xml:space="preserve">existent mobile internet </w:t>
      </w:r>
      <w:r>
        <w:lastRenderedPageBreak/>
        <w:t xml:space="preserve">demand, </w:t>
      </w:r>
      <w:r w:rsidRPr="00885AEF">
        <w:t>huge investments required for up</w:t>
      </w:r>
      <w:r>
        <w:t>-</w:t>
      </w:r>
      <w:r w:rsidRPr="00885AEF">
        <w:t xml:space="preserve">gradation of infrastructure and very high base price, which was set at US$ 107 </w:t>
      </w:r>
      <w:r w:rsidRPr="00930AC2">
        <w:rPr>
          <w:rStyle w:val="Strong"/>
        </w:rPr>
        <w:t>million</w:t>
      </w:r>
      <w:r w:rsidRPr="00885AEF">
        <w:t xml:space="preserve">. Therefore, no progress could be made at </w:t>
      </w:r>
      <w:r w:rsidRPr="00666E45">
        <w:rPr>
          <w:rStyle w:val="Strong"/>
          <w:color w:val="000000"/>
        </w:rPr>
        <w:t>this</w:t>
      </w:r>
      <w:r w:rsidRPr="00885AEF">
        <w:t xml:space="preserve"> front, except a recent introduction of 3G </w:t>
      </w:r>
      <w:proofErr w:type="spellStart"/>
      <w:r w:rsidRPr="00885AEF">
        <w:t>Evo</w:t>
      </w:r>
      <w:proofErr w:type="spellEnd"/>
      <w:r w:rsidRPr="00885AEF">
        <w:t xml:space="preserve"> </w:t>
      </w:r>
      <w:proofErr w:type="gramStart"/>
      <w:r w:rsidRPr="00885AEF">
        <w:t>Wi-</w:t>
      </w:r>
      <w:proofErr w:type="gramEnd"/>
      <w:r w:rsidRPr="00885AEF">
        <w:t>Fi Cloud by PTCL which is a small mobile hotspot that can provide high speed internet.</w:t>
      </w:r>
    </w:p>
    <w:p w:rsidR="007A5BDD" w:rsidRPr="00885AEF"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Howe</w:t>
      </w:r>
      <w:r w:rsidRPr="00885AEF">
        <w:t xml:space="preserve">ver, in 2011, Government of Pakistan again decided to move ahead with the </w:t>
      </w:r>
      <w:r w:rsidRPr="00666E45">
        <w:rPr>
          <w:rStyle w:val="Strong"/>
          <w:color w:val="000000"/>
        </w:rPr>
        <w:t>technology</w:t>
      </w:r>
      <w:r w:rsidRPr="00885AEF">
        <w:t xml:space="preserve"> neutral spectrum auctions both for enabling the country to reap gains from advancement of mobile technology as well as to fulfill its revenue generation requirements for financing fiscal deficit. According to schedule announced by PTA, the auction had to be held on March 29, 2012 </w:t>
      </w:r>
      <w:r w:rsidRPr="00930AC2">
        <w:rPr>
          <w:rStyle w:val="Strong"/>
        </w:rPr>
        <w:t>and</w:t>
      </w:r>
      <w:r w:rsidRPr="00885AEF">
        <w:t xml:space="preserve"> PTA also issued an Information Memorandum, in January 2012, outlining the basic rules and regulations for the auction as given below:</w:t>
      </w:r>
    </w:p>
    <w:p w:rsidR="007A5BDD" w:rsidRDefault="007A5BDD" w:rsidP="007A5BDD">
      <w:pPr>
        <w:pStyle w:val="ListParagraph"/>
        <w:numPr>
          <w:ilvl w:val="0"/>
          <w:numId w:val="19"/>
        </w:numPr>
        <w:spacing w:after="200" w:line="360" w:lineRule="auto"/>
        <w:ind w:left="1440"/>
        <w:contextualSpacing/>
        <w:jc w:val="both"/>
      </w:pPr>
      <w:r w:rsidRPr="00885AEF">
        <w:t xml:space="preserve">The </w:t>
      </w:r>
      <w:r>
        <w:t>new</w:t>
      </w:r>
      <w:r w:rsidRPr="00885AEF">
        <w:t xml:space="preserve"> spectrum license tenure will be for a period of 15 years.</w:t>
      </w:r>
    </w:p>
    <w:p w:rsidR="007A5BDD" w:rsidRDefault="007A5BDD" w:rsidP="007A5BDD">
      <w:pPr>
        <w:pStyle w:val="ListParagraph"/>
        <w:numPr>
          <w:ilvl w:val="0"/>
          <w:numId w:val="19"/>
        </w:numPr>
        <w:spacing w:after="200" w:line="360" w:lineRule="auto"/>
        <w:ind w:left="1440"/>
        <w:contextualSpacing/>
        <w:jc w:val="both"/>
      </w:pPr>
      <w:r w:rsidRPr="00885AEF">
        <w:t>Government has decided to grant three technology neutral Mobile Cellular License/Spectrum through auction</w:t>
      </w:r>
      <w:r>
        <w:t xml:space="preserve"> in 2100 MHz Band</w:t>
      </w:r>
      <w:r w:rsidRPr="00885AEF">
        <w:t>.</w:t>
      </w:r>
    </w:p>
    <w:p w:rsidR="007A5BDD" w:rsidRDefault="007A5BDD" w:rsidP="007A5BDD">
      <w:pPr>
        <w:pStyle w:val="ListParagraph"/>
        <w:numPr>
          <w:ilvl w:val="0"/>
          <w:numId w:val="19"/>
        </w:numPr>
        <w:spacing w:after="200" w:line="360" w:lineRule="auto"/>
        <w:ind w:left="1440"/>
        <w:contextualSpacing/>
        <w:jc w:val="both"/>
      </w:pPr>
      <w:r w:rsidRPr="00885AEF">
        <w:t xml:space="preserve">Base Price for the Mobile Cellular license/Spectrum is US$ 210 Million. </w:t>
      </w:r>
    </w:p>
    <w:p w:rsidR="007A5BDD" w:rsidRDefault="007A5BDD" w:rsidP="007A5BDD">
      <w:pPr>
        <w:pStyle w:val="ListParagraph"/>
        <w:numPr>
          <w:ilvl w:val="0"/>
          <w:numId w:val="19"/>
        </w:numPr>
        <w:spacing w:after="200" w:line="360" w:lineRule="auto"/>
        <w:ind w:left="1440"/>
        <w:contextualSpacing/>
        <w:jc w:val="both"/>
      </w:pPr>
      <w:r w:rsidRPr="00224595">
        <w:t xml:space="preserve">A bidder may bid for a maximum of two blocks. </w:t>
      </w:r>
    </w:p>
    <w:p w:rsidR="007A5BDD" w:rsidRDefault="007A5BDD" w:rsidP="007A5BDD">
      <w:pPr>
        <w:pStyle w:val="ListParagraph"/>
        <w:numPr>
          <w:ilvl w:val="0"/>
          <w:numId w:val="19"/>
        </w:numPr>
        <w:spacing w:after="200" w:line="360" w:lineRule="auto"/>
        <w:ind w:left="1440"/>
        <w:contextualSpacing/>
        <w:jc w:val="both"/>
      </w:pPr>
      <w:r w:rsidRPr="00885AEF">
        <w:t>Infrastructure sharing shall be considered as a matter of first priority by the Mobile Cellular Operators at the time of roll out. The cellular mobile licensees are required to share infrastructure with other operators as per PTA’s directives.</w:t>
      </w:r>
      <w:r>
        <w:t xml:space="preserve"> </w:t>
      </w:r>
    </w:p>
    <w:p w:rsidR="007A5BDD" w:rsidRDefault="007A5BDD" w:rsidP="007A5BDD">
      <w:pPr>
        <w:pStyle w:val="ListParagraph"/>
        <w:numPr>
          <w:ilvl w:val="0"/>
          <w:numId w:val="19"/>
        </w:numPr>
        <w:spacing w:after="200" w:line="360" w:lineRule="auto"/>
        <w:ind w:left="1440"/>
        <w:contextualSpacing/>
        <w:jc w:val="both"/>
      </w:pPr>
      <w:r w:rsidRPr="00222F5E">
        <w:t>Spectrum for Mobile Cellular licenses is expected to be made available in blocks of 9.8 MHz given below. The winner of auction will have choice to select any block of 9.8+9.8 MHz from the available spectrum in 1900/2100MHz.</w:t>
      </w:r>
      <w:r>
        <w:t xml:space="preserve"> Details of frequency bands expected to be put on auction is given below</w:t>
      </w:r>
      <w:r>
        <w:rPr>
          <w:rStyle w:val="FootnoteReference"/>
        </w:rPr>
        <w:footnoteReference w:id="23"/>
      </w:r>
      <w:r>
        <w:t>:</w:t>
      </w:r>
    </w:p>
    <w:p w:rsidR="007A5BDD" w:rsidRDefault="007A5BDD" w:rsidP="007A5BDD">
      <w:pPr>
        <w:pStyle w:val="ListParagraph"/>
        <w:ind w:left="1440"/>
      </w:pPr>
    </w:p>
    <w:tbl>
      <w:tblPr>
        <w:tblStyle w:val="TableGrid"/>
        <w:tblW w:w="0" w:type="auto"/>
        <w:tblInd w:w="1440" w:type="dxa"/>
        <w:tblLook w:val="04A0" w:firstRow="1" w:lastRow="0" w:firstColumn="1" w:lastColumn="0" w:noHBand="0" w:noVBand="1"/>
      </w:tblPr>
      <w:tblGrid>
        <w:gridCol w:w="1188"/>
        <w:gridCol w:w="3960"/>
        <w:gridCol w:w="2880"/>
      </w:tblGrid>
      <w:tr w:rsidR="007A5BDD" w:rsidRPr="008E61D0" w:rsidTr="00440CBA">
        <w:tc>
          <w:tcPr>
            <w:tcW w:w="1188" w:type="dxa"/>
          </w:tcPr>
          <w:p w:rsidR="007A5BDD" w:rsidRPr="008E61D0" w:rsidRDefault="007A5BDD" w:rsidP="00440CBA">
            <w:pPr>
              <w:pStyle w:val="ListParagraph"/>
              <w:rPr>
                <w:b/>
                <w:sz w:val="22"/>
              </w:rPr>
            </w:pPr>
            <w:r w:rsidRPr="008E61D0">
              <w:rPr>
                <w:b/>
                <w:sz w:val="22"/>
              </w:rPr>
              <w:t>Block</w:t>
            </w:r>
          </w:p>
        </w:tc>
        <w:tc>
          <w:tcPr>
            <w:tcW w:w="3960" w:type="dxa"/>
          </w:tcPr>
          <w:p w:rsidR="007A5BDD" w:rsidRPr="008E61D0" w:rsidRDefault="007A5BDD" w:rsidP="00440CBA">
            <w:pPr>
              <w:pStyle w:val="ListParagraph"/>
              <w:rPr>
                <w:b/>
                <w:sz w:val="22"/>
              </w:rPr>
            </w:pPr>
            <w:r w:rsidRPr="008E61D0">
              <w:rPr>
                <w:b/>
                <w:sz w:val="22"/>
              </w:rPr>
              <w:t xml:space="preserve">Frequency </w:t>
            </w:r>
          </w:p>
        </w:tc>
        <w:tc>
          <w:tcPr>
            <w:tcW w:w="2880" w:type="dxa"/>
          </w:tcPr>
          <w:p w:rsidR="007A5BDD" w:rsidRPr="008E61D0" w:rsidRDefault="007A5BDD" w:rsidP="00440CBA">
            <w:pPr>
              <w:pStyle w:val="ListParagraph"/>
              <w:rPr>
                <w:b/>
                <w:sz w:val="22"/>
              </w:rPr>
            </w:pPr>
            <w:r w:rsidRPr="008E61D0">
              <w:rPr>
                <w:b/>
                <w:sz w:val="22"/>
              </w:rPr>
              <w:t>Block Size</w:t>
            </w:r>
          </w:p>
        </w:tc>
      </w:tr>
      <w:tr w:rsidR="007A5BDD" w:rsidRPr="008E61D0" w:rsidTr="00440CBA">
        <w:tc>
          <w:tcPr>
            <w:tcW w:w="1188" w:type="dxa"/>
          </w:tcPr>
          <w:p w:rsidR="007A5BDD" w:rsidRPr="008E61D0" w:rsidRDefault="007A5BDD" w:rsidP="00440CBA">
            <w:pPr>
              <w:pStyle w:val="ListParagraph"/>
              <w:rPr>
                <w:sz w:val="22"/>
              </w:rPr>
            </w:pPr>
            <w:r w:rsidRPr="008E61D0">
              <w:rPr>
                <w:sz w:val="22"/>
              </w:rPr>
              <w:t>A</w:t>
            </w:r>
          </w:p>
        </w:tc>
        <w:tc>
          <w:tcPr>
            <w:tcW w:w="3960" w:type="dxa"/>
          </w:tcPr>
          <w:p w:rsidR="007A5BDD" w:rsidRPr="008E61D0" w:rsidRDefault="007A5BDD" w:rsidP="00440CBA">
            <w:pPr>
              <w:pStyle w:val="ListParagraph"/>
              <w:rPr>
                <w:sz w:val="22"/>
              </w:rPr>
            </w:pPr>
            <w:r w:rsidRPr="008E61D0">
              <w:rPr>
                <w:sz w:val="22"/>
              </w:rPr>
              <w:t>1920-1929.8/ 2110-2119.8 MHz</w:t>
            </w:r>
          </w:p>
        </w:tc>
        <w:tc>
          <w:tcPr>
            <w:tcW w:w="2880" w:type="dxa"/>
          </w:tcPr>
          <w:p w:rsidR="007A5BDD" w:rsidRPr="008E61D0" w:rsidRDefault="007A5BDD" w:rsidP="00440CBA">
            <w:pPr>
              <w:pStyle w:val="ListParagraph"/>
              <w:rPr>
                <w:sz w:val="22"/>
              </w:rPr>
            </w:pPr>
            <w:r w:rsidRPr="008E61D0">
              <w:rPr>
                <w:sz w:val="22"/>
              </w:rPr>
              <w:t>(9.8 + 9.8 MHz)</w:t>
            </w:r>
          </w:p>
        </w:tc>
      </w:tr>
      <w:tr w:rsidR="007A5BDD" w:rsidRPr="008E61D0" w:rsidTr="00440CBA">
        <w:tc>
          <w:tcPr>
            <w:tcW w:w="1188" w:type="dxa"/>
          </w:tcPr>
          <w:p w:rsidR="007A5BDD" w:rsidRPr="008E61D0" w:rsidRDefault="007A5BDD" w:rsidP="00440CBA">
            <w:pPr>
              <w:pStyle w:val="ListParagraph"/>
              <w:rPr>
                <w:sz w:val="22"/>
              </w:rPr>
            </w:pPr>
            <w:r w:rsidRPr="008E61D0">
              <w:rPr>
                <w:sz w:val="22"/>
              </w:rPr>
              <w:t>B</w:t>
            </w:r>
          </w:p>
        </w:tc>
        <w:tc>
          <w:tcPr>
            <w:tcW w:w="3960" w:type="dxa"/>
          </w:tcPr>
          <w:p w:rsidR="007A5BDD" w:rsidRPr="008E61D0" w:rsidRDefault="007A5BDD" w:rsidP="00440CBA">
            <w:pPr>
              <w:pStyle w:val="ListParagraph"/>
              <w:rPr>
                <w:sz w:val="22"/>
              </w:rPr>
            </w:pPr>
            <w:r w:rsidRPr="008E61D0">
              <w:rPr>
                <w:sz w:val="22"/>
              </w:rPr>
              <w:t>1929.8-1939.6/ 2119.8 -2129.6 MHz</w:t>
            </w:r>
          </w:p>
        </w:tc>
        <w:tc>
          <w:tcPr>
            <w:tcW w:w="2880" w:type="dxa"/>
          </w:tcPr>
          <w:p w:rsidR="007A5BDD" w:rsidRPr="008E61D0" w:rsidRDefault="007A5BDD" w:rsidP="00440CBA">
            <w:pPr>
              <w:pStyle w:val="ListParagraph"/>
              <w:rPr>
                <w:sz w:val="22"/>
              </w:rPr>
            </w:pPr>
            <w:r w:rsidRPr="008E61D0">
              <w:rPr>
                <w:sz w:val="22"/>
              </w:rPr>
              <w:t>(9.8 + 9.8 MHz)</w:t>
            </w:r>
          </w:p>
        </w:tc>
      </w:tr>
      <w:tr w:rsidR="007A5BDD" w:rsidRPr="008E61D0" w:rsidTr="00440CBA">
        <w:tc>
          <w:tcPr>
            <w:tcW w:w="1188" w:type="dxa"/>
          </w:tcPr>
          <w:p w:rsidR="007A5BDD" w:rsidRPr="008E61D0" w:rsidRDefault="007A5BDD" w:rsidP="00440CBA">
            <w:pPr>
              <w:pStyle w:val="ListParagraph"/>
              <w:rPr>
                <w:sz w:val="22"/>
              </w:rPr>
            </w:pPr>
            <w:r w:rsidRPr="008E61D0">
              <w:rPr>
                <w:sz w:val="22"/>
              </w:rPr>
              <w:t>C</w:t>
            </w:r>
          </w:p>
        </w:tc>
        <w:tc>
          <w:tcPr>
            <w:tcW w:w="3960" w:type="dxa"/>
          </w:tcPr>
          <w:p w:rsidR="007A5BDD" w:rsidRPr="008E61D0" w:rsidRDefault="007A5BDD" w:rsidP="00440CBA">
            <w:pPr>
              <w:pStyle w:val="ListParagraph"/>
              <w:rPr>
                <w:sz w:val="22"/>
              </w:rPr>
            </w:pPr>
            <w:r w:rsidRPr="008E61D0">
              <w:rPr>
                <w:sz w:val="22"/>
              </w:rPr>
              <w:t>1939.6-1949.4/ 2129.6-2139.4 MHz</w:t>
            </w:r>
          </w:p>
        </w:tc>
        <w:tc>
          <w:tcPr>
            <w:tcW w:w="2880" w:type="dxa"/>
          </w:tcPr>
          <w:p w:rsidR="007A5BDD" w:rsidRPr="008E61D0" w:rsidRDefault="007A5BDD" w:rsidP="00440CBA">
            <w:pPr>
              <w:pStyle w:val="ListParagraph"/>
              <w:rPr>
                <w:sz w:val="22"/>
              </w:rPr>
            </w:pPr>
            <w:r w:rsidRPr="008E61D0">
              <w:rPr>
                <w:sz w:val="22"/>
              </w:rPr>
              <w:t>(9.8 + 9.8 MHz)</w:t>
            </w:r>
          </w:p>
        </w:tc>
      </w:tr>
    </w:tbl>
    <w:p w:rsidR="007A5BDD" w:rsidRPr="00885AEF" w:rsidRDefault="007A5BDD" w:rsidP="007A5BDD">
      <w:pPr>
        <w:pStyle w:val="ListParagraph"/>
        <w:ind w:left="1440"/>
      </w:pPr>
    </w:p>
    <w:p w:rsidR="007A5BDD" w:rsidRPr="00885AEF" w:rsidRDefault="007A5BDD" w:rsidP="007A5BDD">
      <w:pPr>
        <w:spacing w:line="360" w:lineRule="auto"/>
        <w:ind w:left="1080"/>
      </w:pPr>
      <w:r w:rsidRPr="00885AEF">
        <w:t>The auction was, however, postponed later due to procedural changes in the auction exercise.</w:t>
      </w:r>
      <w:r>
        <w:rPr>
          <w:rStyle w:val="FootnoteReference"/>
        </w:rPr>
        <w:footnoteReference w:id="24"/>
      </w:r>
    </w:p>
    <w:p w:rsidR="007A5BDD" w:rsidRPr="00885AEF"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lastRenderedPageBreak/>
        <w:t xml:space="preserve">Currently, there is no provision of Spectrum Trading and Spectrum Sharing in Pakistan. However, </w:t>
      </w:r>
      <w:r w:rsidRPr="00CE10BD">
        <w:t>all Licensees are encouraged to implement infrastructure sharing in accordance with the guidelines issued by PTA and FAB.</w:t>
      </w:r>
      <w:r>
        <w:t xml:space="preserve"> </w:t>
      </w:r>
      <w:r w:rsidRPr="00930AC2">
        <w:rPr>
          <w:rStyle w:val="Strong"/>
        </w:rPr>
        <w:t>Infrastructure</w:t>
      </w:r>
      <w:r w:rsidRPr="00CE10BD">
        <w:t xml:space="preserve"> sharing includes a requirement to lease facilities on a non</w:t>
      </w:r>
      <w:r>
        <w:t>-</w:t>
      </w:r>
      <w:r w:rsidRPr="00CE10BD">
        <w:t xml:space="preserve">discriminatory basis, to such other service providers. The facilities provided may include space, electrical power, </w:t>
      </w:r>
      <w:r w:rsidRPr="00666E45">
        <w:rPr>
          <w:rStyle w:val="Strong"/>
          <w:color w:val="000000"/>
        </w:rPr>
        <w:t>air</w:t>
      </w:r>
      <w:r w:rsidRPr="00CE10BD">
        <w:t xml:space="preserve"> conditioning, security, cable ducts, space on antenna masts or towers, rooms etc. Infrastructure sharing, including co-location and facility sharing, shall be provided based on the guidelines established by PTA/FAB on the principles of neutrality, non-discrimination, equal access and commercial arrangements.</w:t>
      </w:r>
      <w:r>
        <w:rPr>
          <w:rStyle w:val="FootnoteReference"/>
        </w:rPr>
        <w:footnoteReference w:id="25"/>
      </w:r>
    </w:p>
    <w:p w:rsidR="007A5BDD" w:rsidRDefault="007A5BDD" w:rsidP="007A5BDD">
      <w:pPr>
        <w:pStyle w:val="ListParagraph"/>
        <w:numPr>
          <w:ilvl w:val="0"/>
          <w:numId w:val="11"/>
        </w:numPr>
        <w:spacing w:before="120" w:after="240" w:line="360" w:lineRule="auto"/>
        <w:ind w:left="1170"/>
        <w:jc w:val="both"/>
        <w:rPr>
          <w:b/>
        </w:rPr>
      </w:pPr>
      <w:r>
        <w:rPr>
          <w:b/>
        </w:rPr>
        <w:t>SRI LANKA</w:t>
      </w:r>
    </w:p>
    <w:p w:rsidR="007A5BDD" w:rsidRPr="00F3458B"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F3458B">
        <w:t xml:space="preserve">Sri Lanka started reforming its telecommunications in 1980 with the bifurcation of posts and telecom departments of the government. The telecommunication sector in Sri Lanka was initially state-owned and run by the Department of Telecommunications. The first private operator entered the market in 1989, when </w:t>
      </w:r>
      <w:proofErr w:type="spellStart"/>
      <w:r w:rsidRPr="00F3458B">
        <w:t>Celltel</w:t>
      </w:r>
      <w:proofErr w:type="spellEnd"/>
      <w:r w:rsidRPr="00F3458B">
        <w:t xml:space="preserve"> (now </w:t>
      </w:r>
      <w:proofErr w:type="spellStart"/>
      <w:r w:rsidRPr="00F3458B">
        <w:t>Etisalat</w:t>
      </w:r>
      <w:proofErr w:type="spellEnd"/>
      <w:r w:rsidRPr="00F3458B">
        <w:t xml:space="preserve">), a mobile operator, was licensed. The Office of the Director General of Telecommunications (ODGT) was established as the regulatory body with the enactment of the Sri Lanka Telecommunications Act No. 25 of 1991. Also in 1991 </w:t>
      </w:r>
      <w:r w:rsidRPr="00930AC2">
        <w:rPr>
          <w:rStyle w:val="Strong"/>
        </w:rPr>
        <w:t>thereafter</w:t>
      </w:r>
      <w:r w:rsidRPr="00F3458B">
        <w:t>, the Department of Telecommunications was converted to a state-owned Corporation, the Sri Lanka Telecom Corporation. The liberalization of the telecommunication industry was an important step towards developing the infrastructure to provide the country with a solid platform for economic and social growth. System Operator licenses were also issued to several private operators to provide telecommunication facilities (such as data, mobile and payphone services), paving the way towards deregulation in Sri Lanka. In 1996, the regulator - the Office of the Director General of Telecommunications, became the present Telecommunications Regulatory Commission of Sri Lanka (TRCSL) under the Sri Lanka Telecommunications (Amendment) Act No 27 of 1996.</w:t>
      </w:r>
      <w:r>
        <w:rPr>
          <w:rStyle w:val="FootnoteReference"/>
        </w:rPr>
        <w:footnoteReference w:id="26"/>
      </w:r>
      <w:r w:rsidRPr="00F3458B">
        <w:t xml:space="preserve"> </w:t>
      </w:r>
    </w:p>
    <w:p w:rsidR="007A5BDD" w:rsidRPr="00F55CD6" w:rsidRDefault="007A5BDD" w:rsidP="007A5BDD">
      <w:pPr>
        <w:pStyle w:val="ListParagraph"/>
        <w:ind w:left="1080" w:hanging="720"/>
      </w:pPr>
      <w:r>
        <w:rPr>
          <w:noProof/>
          <w:lang w:bidi="ar-SA"/>
        </w:rPr>
        <w:lastRenderedPageBreak/>
        <w:drawing>
          <wp:inline distT="0" distB="0" distL="0" distR="0" wp14:anchorId="10002882" wp14:editId="711ECEAD">
            <wp:extent cx="5572125" cy="1874108"/>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572125" cy="1874108"/>
                    </a:xfrm>
                    <a:prstGeom prst="rect">
                      <a:avLst/>
                    </a:prstGeom>
                    <a:noFill/>
                    <a:ln w="9525">
                      <a:noFill/>
                      <a:miter lim="800000"/>
                      <a:headEnd/>
                      <a:tailEnd/>
                    </a:ln>
                  </pic:spPr>
                </pic:pic>
              </a:graphicData>
            </a:graphic>
          </wp:inline>
        </w:drawing>
      </w:r>
    </w:p>
    <w:p w:rsidR="007A5BDD" w:rsidRPr="00C04627" w:rsidRDefault="007A5BDD" w:rsidP="007A5BDD">
      <w:pPr>
        <w:pStyle w:val="ListParagraph"/>
        <w:rPr>
          <w:sz w:val="16"/>
          <w:szCs w:val="16"/>
        </w:rPr>
      </w:pPr>
      <w:r>
        <w:rPr>
          <w:sz w:val="16"/>
          <w:szCs w:val="16"/>
        </w:rPr>
        <w:t>Source- GSMA</w:t>
      </w:r>
    </w:p>
    <w:p w:rsidR="007A5BDD" w:rsidRPr="00902452" w:rsidRDefault="007A5BDD" w:rsidP="007A5BDD">
      <w:pPr>
        <w:pStyle w:val="ListParagraph"/>
      </w:pPr>
    </w:p>
    <w:p w:rsidR="007A5BDD" w:rsidRDefault="007A5BDD" w:rsidP="007A5BDD">
      <w:pPr>
        <w:pStyle w:val="ListParagraph"/>
      </w:pP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872B93">
        <w:t>The Telecommunications Regulatory Commission of Sri Lanka is the national regulatory agency. It regulate</w:t>
      </w:r>
      <w:r>
        <w:t>s</w:t>
      </w:r>
      <w:r w:rsidRPr="00872B93">
        <w:t xml:space="preserve"> most aspects impacting on the sector including the allocation of spectrum (including broadcasting spectrum), tariffs, anti-competitive practices and quality of service. </w:t>
      </w:r>
      <w:r>
        <w:t xml:space="preserve">However, it does not have power to issue new licenses to start a telecom </w:t>
      </w:r>
      <w:r w:rsidRPr="00666E45">
        <w:rPr>
          <w:rStyle w:val="Strong"/>
          <w:color w:val="000000"/>
        </w:rPr>
        <w:t>services</w:t>
      </w:r>
      <w:r>
        <w:t xml:space="preserve">. In Sri </w:t>
      </w:r>
      <w:r w:rsidRPr="00930AC2">
        <w:rPr>
          <w:rStyle w:val="Strong"/>
        </w:rPr>
        <w:t>Lanka</w:t>
      </w:r>
      <w:r>
        <w:t>, this significant activity is done by the office of President.</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46208B">
        <w:t xml:space="preserve">Spectrum in Sri Lanka has generally been bundled with operating licenses and allocated on a first-come first-served basis. Typically, a new operator applies first for a systems license (e.g.in the data or voice categories), and </w:t>
      </w:r>
      <w:r w:rsidRPr="00930AC2">
        <w:rPr>
          <w:rStyle w:val="Strong"/>
        </w:rPr>
        <w:t>then</w:t>
      </w:r>
      <w:r w:rsidRPr="0046208B">
        <w:t xml:space="preserve"> applies for spectrum allocations to the TRC. </w:t>
      </w:r>
      <w:r>
        <w:t xml:space="preserve">Telecom licenses in Sri Lanka are given for a period of ten years. </w:t>
      </w:r>
      <w:r w:rsidRPr="0046208B">
        <w:t xml:space="preserve">Operators do not pay an upfront fee but instead pay an annual fee (generally set </w:t>
      </w:r>
      <w:r w:rsidRPr="00666E45">
        <w:rPr>
          <w:rStyle w:val="Strong"/>
          <w:color w:val="000000"/>
        </w:rPr>
        <w:t>according</w:t>
      </w:r>
      <w:r w:rsidRPr="0046208B">
        <w:t xml:space="preserve"> to ITU guidelines) for use of the radio frequency. The one exception to this policy took place in </w:t>
      </w:r>
      <w:r>
        <w:t xml:space="preserve">April, </w:t>
      </w:r>
      <w:r w:rsidRPr="0046208B">
        <w:t xml:space="preserve">2003 when a </w:t>
      </w:r>
      <w:r>
        <w:t xml:space="preserve">closed </w:t>
      </w:r>
      <w:r w:rsidRPr="0046208B">
        <w:t xml:space="preserve">auction was held among the four cellular players for additional spectrum in the 1800 MHz range. </w:t>
      </w:r>
      <w:r w:rsidRPr="00032313">
        <w:t>But only two operators participated in the bidding process. As a result, only these operators were awarded 7.5 MHz in the 1800</w:t>
      </w:r>
      <w:r>
        <w:t xml:space="preserve"> MHz</w:t>
      </w:r>
      <w:r w:rsidRPr="00032313">
        <w:t xml:space="preserve"> band. The bidders paid only slightly above the minimum floor price set by the TRC.</w:t>
      </w:r>
      <w:r>
        <w:rPr>
          <w:rStyle w:val="FootnoteReference"/>
        </w:rPr>
        <w:footnoteReference w:id="27"/>
      </w:r>
      <w:r>
        <w:t xml:space="preserve"> </w:t>
      </w:r>
      <w:r>
        <w:rPr>
          <w:rStyle w:val="FootnoteReference"/>
        </w:rPr>
        <w:footnoteReference w:id="28"/>
      </w:r>
      <w:r>
        <w:t xml:space="preserve"> However, as per the clause 15 of the g</w:t>
      </w:r>
      <w:r w:rsidRPr="00E24534">
        <w:t xml:space="preserve">uidelines and </w:t>
      </w:r>
      <w:r>
        <w:t>p</w:t>
      </w:r>
      <w:r w:rsidRPr="00E24534">
        <w:t>rocedures for issuing, re</w:t>
      </w:r>
      <w:r>
        <w:t>newal and modification of licens</w:t>
      </w:r>
      <w:r w:rsidRPr="00E24534">
        <w:t>es under the Sri Lanka Telecommunications Act, No. 25 of 1991 as amended</w:t>
      </w:r>
      <w:r>
        <w:t xml:space="preserve"> dated 10</w:t>
      </w:r>
      <w:r w:rsidRPr="00E24534">
        <w:rPr>
          <w:vertAlign w:val="superscript"/>
        </w:rPr>
        <w:t>th</w:t>
      </w:r>
      <w:r>
        <w:t xml:space="preserve"> March, 2006</w:t>
      </w:r>
      <w:r>
        <w:rPr>
          <w:rStyle w:val="FootnoteReference"/>
        </w:rPr>
        <w:footnoteReference w:id="29"/>
      </w:r>
      <w:r>
        <w:t xml:space="preserve">, it was stated that </w:t>
      </w:r>
      <w:r w:rsidRPr="00E24534">
        <w:t xml:space="preserve">the allocation and use of limited resources </w:t>
      </w:r>
      <w:r>
        <w:t>should</w:t>
      </w:r>
      <w:r w:rsidRPr="00E24534">
        <w:t xml:space="preserve"> be carried out in an objective, fairly, transparent and non-discriminatory manner.</w:t>
      </w:r>
      <w:r>
        <w:t xml:space="preserve"> Hence, as per the clause 15 of the above said document, an </w:t>
      </w:r>
      <w:r>
        <w:lastRenderedPageBreak/>
        <w:t xml:space="preserve">auction will be conducted for all the applicants whose applications for license are successfully evaluated. Recommendation to minister or office of president for issue of license will be made for those candidates who are the highest bidder of the Auction.  </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9B307A">
        <w:t xml:space="preserve">Telecommunications services in Sri Lanka are competitive, with eight operators in the country making retail offerings at the time of writing. Sri Lanka Telecom (SLT) is the partially privatized incumbent (government owns 52%, Global Telecommunications Holdings N.V of Netherlands owns 44.9% and the general public owns the rest), and the only firm with a copper access network to reach homes and businesses. Of the five mobile operators, four (Dialog </w:t>
      </w:r>
      <w:proofErr w:type="spellStart"/>
      <w:r w:rsidRPr="009B307A">
        <w:t>Axiata</w:t>
      </w:r>
      <w:proofErr w:type="spellEnd"/>
      <w:r w:rsidRPr="009B307A">
        <w:t xml:space="preserve">, </w:t>
      </w:r>
      <w:proofErr w:type="spellStart"/>
      <w:r w:rsidRPr="009B307A">
        <w:t>Etisalat</w:t>
      </w:r>
      <w:proofErr w:type="spellEnd"/>
      <w:r w:rsidRPr="009B307A">
        <w:t>, Airtel and Hutch) are private companies that are part of large international or regional telecom operators, and one (</w:t>
      </w:r>
      <w:proofErr w:type="spellStart"/>
      <w:r w:rsidRPr="009B307A">
        <w:t>Mobitel</w:t>
      </w:r>
      <w:proofErr w:type="spellEnd"/>
      <w:r w:rsidRPr="009B307A">
        <w:t>) is a fully owned subsidiary of the incumbent SLT. Two other operators (</w:t>
      </w:r>
      <w:proofErr w:type="spellStart"/>
      <w:r w:rsidRPr="009B307A">
        <w:t>Suntel</w:t>
      </w:r>
      <w:proofErr w:type="spellEnd"/>
      <w:r w:rsidRPr="009B307A">
        <w:t xml:space="preserve"> and Lanka Bell) primarily provide CDMA based (fixed-wireless) telecommunications services.</w:t>
      </w:r>
      <w:r>
        <w:t xml:space="preserve"> Dialog </w:t>
      </w:r>
      <w:proofErr w:type="spellStart"/>
      <w:r>
        <w:t>Axiata</w:t>
      </w:r>
      <w:proofErr w:type="spellEnd"/>
      <w:r>
        <w:t xml:space="preserve"> is the market leader having one-third market share in the market.</w:t>
      </w:r>
    </w:p>
    <w:p w:rsidR="007A5BDD" w:rsidRPr="00AF10F9" w:rsidRDefault="007A5BDD" w:rsidP="007A5BDD">
      <w:pPr>
        <w:pStyle w:val="ListParagraph"/>
      </w:pPr>
    </w:p>
    <w:p w:rsidR="007A5BDD" w:rsidRDefault="007A5BDD" w:rsidP="007A5BDD">
      <w:pPr>
        <w:pStyle w:val="ListParagraph"/>
        <w:ind w:left="1080"/>
      </w:pPr>
      <w:r>
        <w:rPr>
          <w:noProof/>
          <w:lang w:bidi="ar-SA"/>
        </w:rPr>
        <w:drawing>
          <wp:inline distT="0" distB="0" distL="0" distR="0" wp14:anchorId="23B05131" wp14:editId="3E278098">
            <wp:extent cx="5943600" cy="26670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43600" cy="2667000"/>
                    </a:xfrm>
                    <a:prstGeom prst="rect">
                      <a:avLst/>
                    </a:prstGeom>
                    <a:noFill/>
                    <a:ln w="9525">
                      <a:noFill/>
                      <a:miter lim="800000"/>
                      <a:headEnd/>
                      <a:tailEnd/>
                    </a:ln>
                  </pic:spPr>
                </pic:pic>
              </a:graphicData>
            </a:graphic>
          </wp:inline>
        </w:drawing>
      </w:r>
    </w:p>
    <w:p w:rsidR="007A5BDD" w:rsidRPr="00BE3CBC" w:rsidRDefault="007A5BDD" w:rsidP="007A5BDD">
      <w:pPr>
        <w:pStyle w:val="ListParagraph"/>
        <w:rPr>
          <w:sz w:val="16"/>
          <w:szCs w:val="16"/>
        </w:rPr>
      </w:pPr>
      <w:r>
        <w:rPr>
          <w:sz w:val="16"/>
          <w:szCs w:val="16"/>
        </w:rPr>
        <w:t>Source: GSMA 2013</w:t>
      </w:r>
    </w:p>
    <w:p w:rsidR="007A5BDD" w:rsidRPr="00010434" w:rsidRDefault="007A5BDD" w:rsidP="007A5BDD">
      <w:pPr>
        <w:pStyle w:val="ListParagraph"/>
        <w:rPr>
          <w:sz w:val="6"/>
        </w:rPr>
      </w:pPr>
    </w:p>
    <w:p w:rsidR="007A5BDD" w:rsidRDefault="007A5BDD" w:rsidP="007A5BDD">
      <w:pPr>
        <w:pStyle w:val="ListParagraph"/>
      </w:pP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Further details of the service providers and their spectrum holdings are given below:-</w:t>
      </w:r>
    </w:p>
    <w:p w:rsidR="007A5BDD" w:rsidRPr="00E36049" w:rsidRDefault="007A5BDD" w:rsidP="007A5BDD">
      <w:pPr>
        <w:pStyle w:val="ListParagraph"/>
        <w:rPr>
          <w:sz w:val="8"/>
        </w:rPr>
      </w:pPr>
    </w:p>
    <w:tbl>
      <w:tblPr>
        <w:tblStyle w:val="TableGrid"/>
        <w:tblW w:w="9648" w:type="dxa"/>
        <w:tblInd w:w="720" w:type="dxa"/>
        <w:tblLayout w:type="fixed"/>
        <w:tblLook w:val="04A0" w:firstRow="1" w:lastRow="0" w:firstColumn="1" w:lastColumn="0" w:noHBand="0" w:noVBand="1"/>
      </w:tblPr>
      <w:tblGrid>
        <w:gridCol w:w="1458"/>
        <w:gridCol w:w="1440"/>
        <w:gridCol w:w="1800"/>
        <w:gridCol w:w="1530"/>
        <w:gridCol w:w="1800"/>
        <w:gridCol w:w="1620"/>
      </w:tblGrid>
      <w:tr w:rsidR="007A5BDD" w:rsidRPr="009476CF" w:rsidTr="00440CBA">
        <w:tc>
          <w:tcPr>
            <w:tcW w:w="1458" w:type="dxa"/>
          </w:tcPr>
          <w:p w:rsidR="007A5BDD" w:rsidRPr="009476CF" w:rsidRDefault="007A5BDD" w:rsidP="00440CBA">
            <w:pPr>
              <w:pStyle w:val="ListParagraph"/>
              <w:rPr>
                <w:b/>
                <w:sz w:val="20"/>
                <w:szCs w:val="20"/>
              </w:rPr>
            </w:pPr>
            <w:r w:rsidRPr="009476CF">
              <w:rPr>
                <w:b/>
                <w:sz w:val="20"/>
                <w:szCs w:val="20"/>
              </w:rPr>
              <w:t>Name of Telecom Service Provider</w:t>
            </w:r>
          </w:p>
        </w:tc>
        <w:tc>
          <w:tcPr>
            <w:tcW w:w="1440" w:type="dxa"/>
          </w:tcPr>
          <w:p w:rsidR="007A5BDD" w:rsidRPr="009476CF" w:rsidRDefault="007A5BDD" w:rsidP="00440CBA">
            <w:pPr>
              <w:pStyle w:val="ListParagraph"/>
              <w:rPr>
                <w:b/>
                <w:sz w:val="20"/>
                <w:szCs w:val="20"/>
              </w:rPr>
            </w:pPr>
            <w:r w:rsidRPr="009476CF">
              <w:rPr>
                <w:b/>
                <w:sz w:val="20"/>
                <w:szCs w:val="20"/>
              </w:rPr>
              <w:t>Technology</w:t>
            </w:r>
          </w:p>
        </w:tc>
        <w:tc>
          <w:tcPr>
            <w:tcW w:w="1800" w:type="dxa"/>
          </w:tcPr>
          <w:p w:rsidR="007A5BDD" w:rsidRPr="009476CF" w:rsidRDefault="007A5BDD" w:rsidP="00440CBA">
            <w:pPr>
              <w:pStyle w:val="ListParagraph"/>
              <w:rPr>
                <w:b/>
                <w:sz w:val="20"/>
                <w:szCs w:val="20"/>
              </w:rPr>
            </w:pPr>
            <w:r w:rsidRPr="009476CF">
              <w:rPr>
                <w:b/>
                <w:sz w:val="20"/>
                <w:szCs w:val="20"/>
              </w:rPr>
              <w:t>Details</w:t>
            </w:r>
          </w:p>
        </w:tc>
        <w:tc>
          <w:tcPr>
            <w:tcW w:w="1530" w:type="dxa"/>
          </w:tcPr>
          <w:p w:rsidR="007A5BDD" w:rsidRPr="009476CF" w:rsidRDefault="007A5BDD" w:rsidP="00440CBA">
            <w:pPr>
              <w:pStyle w:val="ListParagraph"/>
              <w:rPr>
                <w:b/>
                <w:sz w:val="20"/>
                <w:szCs w:val="20"/>
              </w:rPr>
            </w:pPr>
            <w:r w:rsidRPr="009476CF">
              <w:rPr>
                <w:b/>
                <w:sz w:val="20"/>
                <w:szCs w:val="20"/>
              </w:rPr>
              <w:t xml:space="preserve">900 MHz </w:t>
            </w:r>
          </w:p>
        </w:tc>
        <w:tc>
          <w:tcPr>
            <w:tcW w:w="1800" w:type="dxa"/>
          </w:tcPr>
          <w:p w:rsidR="007A5BDD" w:rsidRPr="009476CF" w:rsidRDefault="007A5BDD" w:rsidP="00440CBA">
            <w:pPr>
              <w:pStyle w:val="ListParagraph"/>
              <w:rPr>
                <w:b/>
                <w:sz w:val="20"/>
                <w:szCs w:val="20"/>
              </w:rPr>
            </w:pPr>
            <w:r w:rsidRPr="009476CF">
              <w:rPr>
                <w:b/>
                <w:sz w:val="20"/>
                <w:szCs w:val="20"/>
              </w:rPr>
              <w:t>1800 MHz</w:t>
            </w:r>
          </w:p>
        </w:tc>
        <w:tc>
          <w:tcPr>
            <w:tcW w:w="1620" w:type="dxa"/>
          </w:tcPr>
          <w:p w:rsidR="007A5BDD" w:rsidRPr="009476CF" w:rsidRDefault="007A5BDD" w:rsidP="00440CBA">
            <w:pPr>
              <w:pStyle w:val="ListParagraph"/>
              <w:rPr>
                <w:b/>
                <w:sz w:val="20"/>
                <w:szCs w:val="20"/>
              </w:rPr>
            </w:pPr>
            <w:r w:rsidRPr="009476CF">
              <w:rPr>
                <w:b/>
                <w:sz w:val="20"/>
                <w:szCs w:val="20"/>
              </w:rPr>
              <w:t>2100 MHz Band</w:t>
            </w:r>
          </w:p>
        </w:tc>
      </w:tr>
      <w:tr w:rsidR="007A5BDD" w:rsidRPr="009476CF" w:rsidTr="00440CBA">
        <w:trPr>
          <w:trHeight w:val="2825"/>
        </w:trPr>
        <w:tc>
          <w:tcPr>
            <w:tcW w:w="1458" w:type="dxa"/>
          </w:tcPr>
          <w:p w:rsidR="007A5BDD" w:rsidRPr="009476CF" w:rsidRDefault="007A5BDD" w:rsidP="00440CBA">
            <w:pPr>
              <w:pStyle w:val="ListParagraph"/>
              <w:rPr>
                <w:sz w:val="20"/>
                <w:szCs w:val="20"/>
              </w:rPr>
            </w:pPr>
            <w:r w:rsidRPr="009476CF">
              <w:rPr>
                <w:sz w:val="20"/>
                <w:szCs w:val="20"/>
              </w:rPr>
              <w:lastRenderedPageBreak/>
              <w:t>Sri Lanka Telecom (SLT) also known by the name (</w:t>
            </w:r>
            <w:proofErr w:type="spellStart"/>
            <w:r w:rsidRPr="009476CF">
              <w:rPr>
                <w:sz w:val="20"/>
                <w:szCs w:val="20"/>
              </w:rPr>
              <w:t>Mobitel</w:t>
            </w:r>
            <w:proofErr w:type="spellEnd"/>
            <w:r w:rsidRPr="009476CF">
              <w:rPr>
                <w:sz w:val="20"/>
                <w:szCs w:val="20"/>
              </w:rPr>
              <w:t>)</w:t>
            </w:r>
          </w:p>
        </w:tc>
        <w:tc>
          <w:tcPr>
            <w:tcW w:w="1440" w:type="dxa"/>
          </w:tcPr>
          <w:p w:rsidR="007A5BDD" w:rsidRPr="009476CF" w:rsidRDefault="007A5BDD" w:rsidP="00440CBA">
            <w:pPr>
              <w:pStyle w:val="ListParagraph"/>
              <w:rPr>
                <w:sz w:val="20"/>
                <w:szCs w:val="20"/>
              </w:rPr>
            </w:pPr>
            <w:r w:rsidRPr="009476CF">
              <w:rPr>
                <w:sz w:val="20"/>
                <w:szCs w:val="20"/>
              </w:rPr>
              <w:t xml:space="preserve">GSM/ </w:t>
            </w:r>
          </w:p>
          <w:p w:rsidR="007A5BDD" w:rsidRPr="009476CF" w:rsidRDefault="007A5BDD" w:rsidP="00440CBA">
            <w:pPr>
              <w:pStyle w:val="ListParagraph"/>
              <w:rPr>
                <w:sz w:val="20"/>
                <w:szCs w:val="20"/>
              </w:rPr>
            </w:pPr>
            <w:r w:rsidRPr="009476CF">
              <w:rPr>
                <w:sz w:val="20"/>
                <w:szCs w:val="20"/>
              </w:rPr>
              <w:t>W-CDMA/ LTE</w:t>
            </w:r>
          </w:p>
        </w:tc>
        <w:tc>
          <w:tcPr>
            <w:tcW w:w="1800" w:type="dxa"/>
          </w:tcPr>
          <w:p w:rsidR="007A5BDD" w:rsidRPr="009476CF" w:rsidRDefault="007A5BDD" w:rsidP="00440CBA">
            <w:pPr>
              <w:pStyle w:val="ListParagraph"/>
              <w:rPr>
                <w:sz w:val="20"/>
                <w:szCs w:val="20"/>
              </w:rPr>
            </w:pPr>
            <w:r w:rsidRPr="009476CF">
              <w:rPr>
                <w:sz w:val="20"/>
                <w:szCs w:val="20"/>
              </w:rPr>
              <w:t xml:space="preserve">Incumbent operator. Partially privatized in 1997 through 35% sale to NTT, Japan. </w:t>
            </w:r>
            <w:proofErr w:type="spellStart"/>
            <w:r w:rsidRPr="009476CF">
              <w:rPr>
                <w:sz w:val="20"/>
                <w:szCs w:val="20"/>
              </w:rPr>
              <w:t>Mobitel</w:t>
            </w:r>
            <w:proofErr w:type="spellEnd"/>
            <w:r w:rsidRPr="009476CF">
              <w:rPr>
                <w:sz w:val="20"/>
                <w:szCs w:val="20"/>
              </w:rPr>
              <w:t xml:space="preserve"> started in 1993 as JV between SLT and Telstra, Australia. SLT bought out Telstra’s share in 2002, for full ownership.</w:t>
            </w:r>
          </w:p>
        </w:tc>
        <w:tc>
          <w:tcPr>
            <w:tcW w:w="1530" w:type="dxa"/>
          </w:tcPr>
          <w:p w:rsidR="007A5BDD" w:rsidRPr="009476CF" w:rsidRDefault="007A5BDD" w:rsidP="00440CBA">
            <w:pPr>
              <w:pStyle w:val="ListParagraph"/>
              <w:rPr>
                <w:sz w:val="20"/>
                <w:szCs w:val="20"/>
              </w:rPr>
            </w:pPr>
            <w:r w:rsidRPr="009476CF">
              <w:rPr>
                <w:sz w:val="20"/>
                <w:szCs w:val="20"/>
              </w:rPr>
              <w:t>885-892.5 MHz/930-937.5 MHz</w:t>
            </w:r>
          </w:p>
        </w:tc>
        <w:tc>
          <w:tcPr>
            <w:tcW w:w="1800" w:type="dxa"/>
          </w:tcPr>
          <w:p w:rsidR="007A5BDD" w:rsidRPr="009476CF" w:rsidRDefault="007A5BDD" w:rsidP="00440CBA">
            <w:pPr>
              <w:pStyle w:val="ListParagraph"/>
              <w:rPr>
                <w:sz w:val="20"/>
                <w:szCs w:val="20"/>
              </w:rPr>
            </w:pPr>
            <w:r w:rsidRPr="009476CF">
              <w:rPr>
                <w:sz w:val="20"/>
                <w:szCs w:val="20"/>
              </w:rPr>
              <w:t>LTE- 1710-1720 MHz &amp; 1805-1815 MHz</w:t>
            </w:r>
          </w:p>
          <w:p w:rsidR="007A5BDD" w:rsidRPr="009476CF" w:rsidRDefault="007A5BDD" w:rsidP="00440CBA">
            <w:pPr>
              <w:pStyle w:val="ListParagraph"/>
              <w:rPr>
                <w:sz w:val="20"/>
                <w:szCs w:val="20"/>
              </w:rPr>
            </w:pPr>
          </w:p>
          <w:p w:rsidR="007A5BDD" w:rsidRPr="009476CF" w:rsidRDefault="007A5BDD" w:rsidP="00440CBA">
            <w:pPr>
              <w:pStyle w:val="ListParagraph"/>
              <w:rPr>
                <w:sz w:val="20"/>
                <w:szCs w:val="20"/>
              </w:rPr>
            </w:pPr>
            <w:r w:rsidRPr="009476CF">
              <w:rPr>
                <w:sz w:val="20"/>
                <w:szCs w:val="20"/>
              </w:rPr>
              <w:t>GSM – 1720-1725 MHz /1815-1820 MHz &amp; 1762.5-1767.5 MHz/ 1857.5-1862.5 MHz</w:t>
            </w:r>
          </w:p>
          <w:p w:rsidR="007A5BDD" w:rsidRPr="009476CF" w:rsidRDefault="007A5BDD" w:rsidP="00440CBA">
            <w:pPr>
              <w:pStyle w:val="ListParagraph"/>
              <w:rPr>
                <w:sz w:val="20"/>
                <w:szCs w:val="20"/>
              </w:rPr>
            </w:pPr>
          </w:p>
        </w:tc>
        <w:tc>
          <w:tcPr>
            <w:tcW w:w="1620" w:type="dxa"/>
          </w:tcPr>
          <w:p w:rsidR="007A5BDD" w:rsidRPr="009476CF" w:rsidRDefault="007A5BDD" w:rsidP="00440CBA">
            <w:pPr>
              <w:pStyle w:val="ListParagraph"/>
              <w:rPr>
                <w:sz w:val="20"/>
                <w:szCs w:val="20"/>
              </w:rPr>
            </w:pPr>
            <w:r w:rsidRPr="009476CF">
              <w:rPr>
                <w:sz w:val="20"/>
                <w:szCs w:val="20"/>
              </w:rPr>
              <w:t>TDD – 1915-1920 MHz</w:t>
            </w:r>
          </w:p>
          <w:p w:rsidR="007A5BDD" w:rsidRPr="009476CF" w:rsidRDefault="007A5BDD" w:rsidP="00440CBA">
            <w:pPr>
              <w:pStyle w:val="ListParagraph"/>
              <w:rPr>
                <w:sz w:val="20"/>
                <w:szCs w:val="20"/>
              </w:rPr>
            </w:pPr>
          </w:p>
          <w:p w:rsidR="007A5BDD" w:rsidRPr="009476CF" w:rsidRDefault="007A5BDD" w:rsidP="00440CBA">
            <w:pPr>
              <w:pStyle w:val="ListParagraph"/>
              <w:rPr>
                <w:sz w:val="20"/>
                <w:szCs w:val="20"/>
              </w:rPr>
            </w:pPr>
            <w:r w:rsidRPr="009476CF">
              <w:rPr>
                <w:sz w:val="20"/>
                <w:szCs w:val="20"/>
              </w:rPr>
              <w:t>3G FDD –</w:t>
            </w:r>
          </w:p>
          <w:p w:rsidR="007A5BDD" w:rsidRPr="009476CF" w:rsidRDefault="007A5BDD" w:rsidP="00440CBA">
            <w:pPr>
              <w:pStyle w:val="ListParagraph"/>
              <w:ind w:right="72"/>
              <w:rPr>
                <w:sz w:val="20"/>
                <w:szCs w:val="20"/>
              </w:rPr>
            </w:pPr>
            <w:r w:rsidRPr="009476CF">
              <w:rPr>
                <w:sz w:val="20"/>
                <w:szCs w:val="20"/>
              </w:rPr>
              <w:t>1920-1930 MHz/ 2110-2120 MHz &amp; 1960-1965 MHz/ 2150-2155 MHz</w:t>
            </w:r>
          </w:p>
        </w:tc>
      </w:tr>
      <w:tr w:rsidR="007A5BDD" w:rsidRPr="009476CF" w:rsidTr="00440CBA">
        <w:tc>
          <w:tcPr>
            <w:tcW w:w="1458" w:type="dxa"/>
          </w:tcPr>
          <w:p w:rsidR="007A5BDD" w:rsidRPr="009476CF" w:rsidRDefault="007A5BDD" w:rsidP="00440CBA">
            <w:pPr>
              <w:pStyle w:val="ListParagraph"/>
              <w:rPr>
                <w:sz w:val="20"/>
                <w:szCs w:val="20"/>
              </w:rPr>
            </w:pPr>
            <w:r w:rsidRPr="009476CF">
              <w:rPr>
                <w:sz w:val="20"/>
                <w:szCs w:val="20"/>
              </w:rPr>
              <w:t xml:space="preserve">Dialog </w:t>
            </w:r>
            <w:proofErr w:type="spellStart"/>
            <w:r w:rsidRPr="009476CF">
              <w:rPr>
                <w:sz w:val="20"/>
                <w:szCs w:val="20"/>
              </w:rPr>
              <w:t>Axiata</w:t>
            </w:r>
            <w:proofErr w:type="spellEnd"/>
          </w:p>
        </w:tc>
        <w:tc>
          <w:tcPr>
            <w:tcW w:w="1440" w:type="dxa"/>
          </w:tcPr>
          <w:p w:rsidR="007A5BDD" w:rsidRPr="009476CF" w:rsidRDefault="007A5BDD" w:rsidP="00440CBA">
            <w:pPr>
              <w:pStyle w:val="ListParagraph"/>
              <w:rPr>
                <w:sz w:val="20"/>
                <w:szCs w:val="20"/>
              </w:rPr>
            </w:pPr>
            <w:r w:rsidRPr="009476CF">
              <w:rPr>
                <w:sz w:val="20"/>
                <w:szCs w:val="20"/>
              </w:rPr>
              <w:t xml:space="preserve">GSM/ </w:t>
            </w:r>
          </w:p>
          <w:p w:rsidR="007A5BDD" w:rsidRPr="009476CF" w:rsidRDefault="007A5BDD" w:rsidP="00440CBA">
            <w:pPr>
              <w:pStyle w:val="ListParagraph"/>
              <w:rPr>
                <w:sz w:val="20"/>
                <w:szCs w:val="20"/>
              </w:rPr>
            </w:pPr>
            <w:r w:rsidRPr="009476CF">
              <w:rPr>
                <w:sz w:val="20"/>
                <w:szCs w:val="20"/>
              </w:rPr>
              <w:t>WCDMA/ LTE</w:t>
            </w:r>
          </w:p>
        </w:tc>
        <w:tc>
          <w:tcPr>
            <w:tcW w:w="1800" w:type="dxa"/>
          </w:tcPr>
          <w:p w:rsidR="007A5BDD" w:rsidRPr="009476CF" w:rsidRDefault="007A5BDD" w:rsidP="00440CBA">
            <w:pPr>
              <w:pStyle w:val="ListParagraph"/>
              <w:rPr>
                <w:sz w:val="20"/>
                <w:szCs w:val="20"/>
              </w:rPr>
            </w:pPr>
            <w:r w:rsidRPr="009476CF">
              <w:rPr>
                <w:sz w:val="20"/>
                <w:szCs w:val="20"/>
              </w:rPr>
              <w:t xml:space="preserve">Subsidiary of </w:t>
            </w:r>
            <w:proofErr w:type="spellStart"/>
            <w:r w:rsidRPr="009476CF">
              <w:rPr>
                <w:sz w:val="20"/>
                <w:szCs w:val="20"/>
              </w:rPr>
              <w:t>Axiata</w:t>
            </w:r>
            <w:proofErr w:type="spellEnd"/>
            <w:r w:rsidRPr="009476CF">
              <w:rPr>
                <w:sz w:val="20"/>
                <w:szCs w:val="20"/>
              </w:rPr>
              <w:t xml:space="preserve"> Group </w:t>
            </w:r>
            <w:proofErr w:type="spellStart"/>
            <w:r w:rsidRPr="009476CF">
              <w:rPr>
                <w:sz w:val="20"/>
                <w:szCs w:val="20"/>
              </w:rPr>
              <w:t>Berhad</w:t>
            </w:r>
            <w:proofErr w:type="spellEnd"/>
            <w:r w:rsidRPr="009476CF">
              <w:rPr>
                <w:sz w:val="20"/>
                <w:szCs w:val="20"/>
              </w:rPr>
              <w:t xml:space="preserve"> of Malaysia (formerly TM International).</w:t>
            </w:r>
          </w:p>
        </w:tc>
        <w:tc>
          <w:tcPr>
            <w:tcW w:w="1530" w:type="dxa"/>
          </w:tcPr>
          <w:p w:rsidR="007A5BDD" w:rsidRPr="009476CF" w:rsidRDefault="007A5BDD" w:rsidP="00440CBA">
            <w:pPr>
              <w:pStyle w:val="ListParagraph"/>
              <w:rPr>
                <w:sz w:val="20"/>
                <w:szCs w:val="20"/>
              </w:rPr>
            </w:pPr>
            <w:r w:rsidRPr="009476CF">
              <w:rPr>
                <w:sz w:val="20"/>
                <w:szCs w:val="20"/>
              </w:rPr>
              <w:t>907.5-915 MHz/ 952.5-960 MHz</w:t>
            </w:r>
          </w:p>
        </w:tc>
        <w:tc>
          <w:tcPr>
            <w:tcW w:w="1800" w:type="dxa"/>
          </w:tcPr>
          <w:p w:rsidR="007A5BDD" w:rsidRPr="009476CF" w:rsidRDefault="007A5BDD" w:rsidP="00440CBA">
            <w:pPr>
              <w:pStyle w:val="ListParagraph"/>
              <w:rPr>
                <w:sz w:val="20"/>
                <w:szCs w:val="20"/>
              </w:rPr>
            </w:pPr>
            <w:r w:rsidRPr="009476CF">
              <w:rPr>
                <w:sz w:val="20"/>
                <w:szCs w:val="20"/>
              </w:rPr>
              <w:t>LTE –</w:t>
            </w:r>
          </w:p>
          <w:p w:rsidR="007A5BDD" w:rsidRPr="009476CF" w:rsidRDefault="007A5BDD" w:rsidP="00440CBA">
            <w:pPr>
              <w:pStyle w:val="ListParagraph"/>
              <w:rPr>
                <w:sz w:val="20"/>
                <w:szCs w:val="20"/>
              </w:rPr>
            </w:pPr>
            <w:r w:rsidRPr="009476CF">
              <w:rPr>
                <w:sz w:val="20"/>
                <w:szCs w:val="20"/>
              </w:rPr>
              <w:t>1767.5-1777.5 MHz/ 1862.5-1872.5 MHz</w:t>
            </w:r>
          </w:p>
          <w:p w:rsidR="007A5BDD" w:rsidRPr="009476CF" w:rsidRDefault="007A5BDD" w:rsidP="00440CBA">
            <w:pPr>
              <w:pStyle w:val="ListParagraph"/>
              <w:rPr>
                <w:sz w:val="20"/>
                <w:szCs w:val="20"/>
              </w:rPr>
            </w:pPr>
          </w:p>
          <w:p w:rsidR="007A5BDD" w:rsidRPr="009476CF" w:rsidRDefault="007A5BDD" w:rsidP="00440CBA">
            <w:pPr>
              <w:pStyle w:val="ListParagraph"/>
              <w:rPr>
                <w:sz w:val="20"/>
                <w:szCs w:val="20"/>
              </w:rPr>
            </w:pPr>
            <w:r w:rsidRPr="009476CF">
              <w:rPr>
                <w:sz w:val="20"/>
                <w:szCs w:val="20"/>
              </w:rPr>
              <w:t>GSM-</w:t>
            </w:r>
          </w:p>
          <w:p w:rsidR="007A5BDD" w:rsidRPr="009476CF" w:rsidRDefault="007A5BDD" w:rsidP="00440CBA">
            <w:pPr>
              <w:pStyle w:val="ListParagraph"/>
              <w:rPr>
                <w:sz w:val="20"/>
                <w:szCs w:val="20"/>
              </w:rPr>
            </w:pPr>
            <w:r w:rsidRPr="009476CF">
              <w:rPr>
                <w:sz w:val="20"/>
                <w:szCs w:val="20"/>
              </w:rPr>
              <w:t xml:space="preserve">1747.5-1755MHz/ 1842.5-1850 MHz &amp; 1755-1762.5 MHz /1850-1857.5 </w:t>
            </w:r>
            <w:proofErr w:type="spellStart"/>
            <w:r w:rsidRPr="009476CF">
              <w:rPr>
                <w:sz w:val="20"/>
                <w:szCs w:val="20"/>
              </w:rPr>
              <w:t>MHz.</w:t>
            </w:r>
            <w:proofErr w:type="spellEnd"/>
          </w:p>
          <w:p w:rsidR="007A5BDD" w:rsidRPr="009476CF" w:rsidRDefault="007A5BDD" w:rsidP="00440CBA">
            <w:pPr>
              <w:pStyle w:val="ListParagraph"/>
              <w:rPr>
                <w:sz w:val="20"/>
                <w:szCs w:val="20"/>
              </w:rPr>
            </w:pPr>
          </w:p>
        </w:tc>
        <w:tc>
          <w:tcPr>
            <w:tcW w:w="1620" w:type="dxa"/>
          </w:tcPr>
          <w:p w:rsidR="007A5BDD" w:rsidRPr="009476CF" w:rsidRDefault="007A5BDD" w:rsidP="00440CBA">
            <w:pPr>
              <w:pStyle w:val="ListParagraph"/>
              <w:rPr>
                <w:sz w:val="20"/>
                <w:szCs w:val="20"/>
              </w:rPr>
            </w:pPr>
            <w:r w:rsidRPr="009476CF">
              <w:rPr>
                <w:sz w:val="20"/>
                <w:szCs w:val="20"/>
              </w:rPr>
              <w:t xml:space="preserve">3G </w:t>
            </w:r>
          </w:p>
          <w:p w:rsidR="007A5BDD" w:rsidRPr="009476CF" w:rsidRDefault="007A5BDD" w:rsidP="00440CBA">
            <w:pPr>
              <w:pStyle w:val="ListParagraph"/>
              <w:rPr>
                <w:sz w:val="20"/>
                <w:szCs w:val="20"/>
              </w:rPr>
            </w:pPr>
            <w:r w:rsidRPr="009476CF">
              <w:rPr>
                <w:sz w:val="20"/>
                <w:szCs w:val="20"/>
              </w:rPr>
              <w:t>1965-1970 MHz/ 2155-2160 MHz &amp;</w:t>
            </w:r>
          </w:p>
          <w:p w:rsidR="007A5BDD" w:rsidRPr="009476CF" w:rsidRDefault="007A5BDD" w:rsidP="00440CBA">
            <w:pPr>
              <w:pStyle w:val="ListParagraph"/>
              <w:rPr>
                <w:sz w:val="20"/>
                <w:szCs w:val="20"/>
              </w:rPr>
            </w:pPr>
            <w:r w:rsidRPr="009476CF">
              <w:rPr>
                <w:sz w:val="20"/>
                <w:szCs w:val="20"/>
              </w:rPr>
              <w:t>1970-1980 MHz/ 2160-2170 MHz</w:t>
            </w:r>
          </w:p>
        </w:tc>
      </w:tr>
      <w:tr w:rsidR="007A5BDD" w:rsidRPr="009476CF" w:rsidTr="00440CBA">
        <w:tc>
          <w:tcPr>
            <w:tcW w:w="1458" w:type="dxa"/>
          </w:tcPr>
          <w:p w:rsidR="007A5BDD" w:rsidRPr="009476CF" w:rsidRDefault="007A5BDD" w:rsidP="00440CBA">
            <w:pPr>
              <w:pStyle w:val="ListParagraph"/>
              <w:rPr>
                <w:sz w:val="20"/>
                <w:szCs w:val="20"/>
              </w:rPr>
            </w:pPr>
            <w:r w:rsidRPr="009476CF">
              <w:rPr>
                <w:sz w:val="20"/>
                <w:szCs w:val="20"/>
              </w:rPr>
              <w:t>Hutchison</w:t>
            </w:r>
          </w:p>
        </w:tc>
        <w:tc>
          <w:tcPr>
            <w:tcW w:w="1440" w:type="dxa"/>
          </w:tcPr>
          <w:p w:rsidR="007A5BDD" w:rsidRPr="009476CF" w:rsidRDefault="007A5BDD" w:rsidP="00440CBA">
            <w:pPr>
              <w:pStyle w:val="ListParagraph"/>
              <w:rPr>
                <w:sz w:val="20"/>
                <w:szCs w:val="20"/>
              </w:rPr>
            </w:pPr>
            <w:r w:rsidRPr="009476CF">
              <w:rPr>
                <w:sz w:val="20"/>
                <w:szCs w:val="20"/>
              </w:rPr>
              <w:t xml:space="preserve">GSM/ </w:t>
            </w:r>
          </w:p>
          <w:p w:rsidR="007A5BDD" w:rsidRPr="009476CF" w:rsidRDefault="007A5BDD" w:rsidP="00440CBA">
            <w:pPr>
              <w:pStyle w:val="ListParagraph"/>
              <w:rPr>
                <w:sz w:val="20"/>
                <w:szCs w:val="20"/>
              </w:rPr>
            </w:pPr>
            <w:r w:rsidRPr="009476CF">
              <w:rPr>
                <w:sz w:val="20"/>
                <w:szCs w:val="20"/>
              </w:rPr>
              <w:t>WCDMA</w:t>
            </w:r>
          </w:p>
        </w:tc>
        <w:tc>
          <w:tcPr>
            <w:tcW w:w="1800" w:type="dxa"/>
          </w:tcPr>
          <w:p w:rsidR="007A5BDD" w:rsidRPr="009476CF" w:rsidRDefault="007A5BDD" w:rsidP="00440CBA">
            <w:pPr>
              <w:pStyle w:val="ListParagraph"/>
              <w:rPr>
                <w:sz w:val="20"/>
                <w:szCs w:val="20"/>
              </w:rPr>
            </w:pPr>
            <w:r w:rsidRPr="009476CF">
              <w:rPr>
                <w:sz w:val="20"/>
                <w:szCs w:val="20"/>
              </w:rPr>
              <w:t>Owned by Hutchinson Whampoa Limited, Hong Kong</w:t>
            </w:r>
          </w:p>
        </w:tc>
        <w:tc>
          <w:tcPr>
            <w:tcW w:w="1530" w:type="dxa"/>
          </w:tcPr>
          <w:p w:rsidR="007A5BDD" w:rsidRPr="009476CF" w:rsidRDefault="007A5BDD" w:rsidP="00440CBA">
            <w:pPr>
              <w:pStyle w:val="ListParagraph"/>
              <w:rPr>
                <w:sz w:val="20"/>
                <w:szCs w:val="20"/>
              </w:rPr>
            </w:pPr>
            <w:r w:rsidRPr="009476CF">
              <w:rPr>
                <w:sz w:val="20"/>
                <w:szCs w:val="20"/>
              </w:rPr>
              <w:t>892.5-900 MHz/ 937.5-945 MHz</w:t>
            </w:r>
          </w:p>
        </w:tc>
        <w:tc>
          <w:tcPr>
            <w:tcW w:w="1800" w:type="dxa"/>
          </w:tcPr>
          <w:p w:rsidR="007A5BDD" w:rsidRPr="009476CF" w:rsidRDefault="007A5BDD" w:rsidP="00440CBA">
            <w:pPr>
              <w:pStyle w:val="ListParagraph"/>
              <w:rPr>
                <w:sz w:val="20"/>
                <w:szCs w:val="20"/>
              </w:rPr>
            </w:pPr>
            <w:r w:rsidRPr="009476CF">
              <w:rPr>
                <w:sz w:val="20"/>
                <w:szCs w:val="20"/>
              </w:rPr>
              <w:t>1725-1732.5 MHz/ 1820-1827.5 MHz</w:t>
            </w:r>
          </w:p>
        </w:tc>
        <w:tc>
          <w:tcPr>
            <w:tcW w:w="1620" w:type="dxa"/>
          </w:tcPr>
          <w:p w:rsidR="007A5BDD" w:rsidRPr="009476CF" w:rsidRDefault="007A5BDD" w:rsidP="00440CBA">
            <w:pPr>
              <w:pStyle w:val="ListParagraph"/>
              <w:rPr>
                <w:sz w:val="20"/>
                <w:szCs w:val="20"/>
              </w:rPr>
            </w:pPr>
            <w:r w:rsidRPr="009476CF">
              <w:rPr>
                <w:sz w:val="20"/>
                <w:szCs w:val="20"/>
              </w:rPr>
              <w:t>1950-1960 MHz / 2140-2150 MHz</w:t>
            </w:r>
          </w:p>
        </w:tc>
      </w:tr>
      <w:tr w:rsidR="007A5BDD" w:rsidRPr="009476CF" w:rsidTr="00440CBA">
        <w:tc>
          <w:tcPr>
            <w:tcW w:w="1458" w:type="dxa"/>
          </w:tcPr>
          <w:p w:rsidR="007A5BDD" w:rsidRPr="009476CF" w:rsidRDefault="007A5BDD" w:rsidP="00440CBA">
            <w:pPr>
              <w:pStyle w:val="ListParagraph"/>
              <w:rPr>
                <w:sz w:val="20"/>
                <w:szCs w:val="20"/>
              </w:rPr>
            </w:pPr>
            <w:proofErr w:type="spellStart"/>
            <w:r w:rsidRPr="009476CF">
              <w:rPr>
                <w:sz w:val="20"/>
                <w:szCs w:val="20"/>
              </w:rPr>
              <w:t>Etisalat</w:t>
            </w:r>
            <w:proofErr w:type="spellEnd"/>
            <w:r w:rsidRPr="009476CF">
              <w:rPr>
                <w:sz w:val="20"/>
                <w:szCs w:val="20"/>
              </w:rPr>
              <w:t xml:space="preserve"> (previously known as </w:t>
            </w:r>
            <w:proofErr w:type="spellStart"/>
            <w:r w:rsidRPr="009476CF">
              <w:rPr>
                <w:sz w:val="20"/>
                <w:szCs w:val="20"/>
              </w:rPr>
              <w:t>Celltel</w:t>
            </w:r>
            <w:proofErr w:type="spellEnd"/>
            <w:r w:rsidRPr="009476CF">
              <w:rPr>
                <w:sz w:val="20"/>
                <w:szCs w:val="20"/>
              </w:rPr>
              <w:t>)</w:t>
            </w:r>
          </w:p>
        </w:tc>
        <w:tc>
          <w:tcPr>
            <w:tcW w:w="1440" w:type="dxa"/>
          </w:tcPr>
          <w:p w:rsidR="007A5BDD" w:rsidRPr="009476CF" w:rsidRDefault="007A5BDD" w:rsidP="00440CBA">
            <w:pPr>
              <w:pStyle w:val="ListParagraph"/>
              <w:rPr>
                <w:sz w:val="20"/>
                <w:szCs w:val="20"/>
              </w:rPr>
            </w:pPr>
            <w:r w:rsidRPr="009476CF">
              <w:rPr>
                <w:sz w:val="20"/>
                <w:szCs w:val="20"/>
              </w:rPr>
              <w:t xml:space="preserve">GSM/ </w:t>
            </w:r>
          </w:p>
          <w:p w:rsidR="007A5BDD" w:rsidRPr="009476CF" w:rsidRDefault="007A5BDD" w:rsidP="00440CBA">
            <w:pPr>
              <w:pStyle w:val="ListParagraph"/>
              <w:rPr>
                <w:sz w:val="20"/>
                <w:szCs w:val="20"/>
              </w:rPr>
            </w:pPr>
            <w:r w:rsidRPr="009476CF">
              <w:rPr>
                <w:sz w:val="20"/>
                <w:szCs w:val="20"/>
              </w:rPr>
              <w:t>W-CDMA</w:t>
            </w:r>
          </w:p>
        </w:tc>
        <w:tc>
          <w:tcPr>
            <w:tcW w:w="1800" w:type="dxa"/>
          </w:tcPr>
          <w:p w:rsidR="007A5BDD" w:rsidRPr="009476CF" w:rsidRDefault="007A5BDD" w:rsidP="00440CBA">
            <w:pPr>
              <w:pStyle w:val="ListParagraph"/>
              <w:rPr>
                <w:sz w:val="20"/>
                <w:szCs w:val="20"/>
              </w:rPr>
            </w:pPr>
            <w:r w:rsidRPr="009476CF">
              <w:rPr>
                <w:sz w:val="20"/>
                <w:szCs w:val="20"/>
              </w:rPr>
              <w:t xml:space="preserve">Owned by </w:t>
            </w:r>
            <w:proofErr w:type="spellStart"/>
            <w:r w:rsidRPr="009476CF">
              <w:rPr>
                <w:sz w:val="20"/>
                <w:szCs w:val="20"/>
              </w:rPr>
              <w:t>Etisalat</w:t>
            </w:r>
            <w:proofErr w:type="spellEnd"/>
            <w:r w:rsidRPr="009476CF">
              <w:rPr>
                <w:sz w:val="20"/>
                <w:szCs w:val="20"/>
              </w:rPr>
              <w:t xml:space="preserve">, United Arab Emirates. Purchased from </w:t>
            </w:r>
            <w:proofErr w:type="spellStart"/>
            <w:r w:rsidRPr="009476CF">
              <w:rPr>
                <w:sz w:val="20"/>
                <w:szCs w:val="20"/>
              </w:rPr>
              <w:t>Millicom</w:t>
            </w:r>
            <w:proofErr w:type="spellEnd"/>
            <w:r w:rsidRPr="009476CF">
              <w:rPr>
                <w:sz w:val="20"/>
                <w:szCs w:val="20"/>
              </w:rPr>
              <w:t xml:space="preserve"> in 2009.</w:t>
            </w:r>
          </w:p>
        </w:tc>
        <w:tc>
          <w:tcPr>
            <w:tcW w:w="1530" w:type="dxa"/>
          </w:tcPr>
          <w:p w:rsidR="007A5BDD" w:rsidRPr="009476CF" w:rsidRDefault="007A5BDD" w:rsidP="00440CBA">
            <w:pPr>
              <w:pStyle w:val="ListParagraph"/>
              <w:rPr>
                <w:sz w:val="20"/>
                <w:szCs w:val="20"/>
              </w:rPr>
            </w:pPr>
            <w:r w:rsidRPr="009476CF">
              <w:rPr>
                <w:sz w:val="20"/>
                <w:szCs w:val="20"/>
              </w:rPr>
              <w:t>900-907.5 MHz / 945-952.5 MHz</w:t>
            </w:r>
          </w:p>
        </w:tc>
        <w:tc>
          <w:tcPr>
            <w:tcW w:w="1800" w:type="dxa"/>
          </w:tcPr>
          <w:p w:rsidR="007A5BDD" w:rsidRPr="009476CF" w:rsidRDefault="007A5BDD" w:rsidP="00440CBA">
            <w:pPr>
              <w:pStyle w:val="ListParagraph"/>
              <w:rPr>
                <w:sz w:val="20"/>
                <w:szCs w:val="20"/>
              </w:rPr>
            </w:pPr>
            <w:r w:rsidRPr="009476CF">
              <w:rPr>
                <w:sz w:val="20"/>
                <w:szCs w:val="20"/>
              </w:rPr>
              <w:t>1732.5-1740 MHz/ 1827.5-1835 MHz</w:t>
            </w:r>
          </w:p>
        </w:tc>
        <w:tc>
          <w:tcPr>
            <w:tcW w:w="1620" w:type="dxa"/>
          </w:tcPr>
          <w:p w:rsidR="007A5BDD" w:rsidRPr="009476CF" w:rsidRDefault="007A5BDD" w:rsidP="00440CBA">
            <w:pPr>
              <w:pStyle w:val="ListParagraph"/>
              <w:rPr>
                <w:sz w:val="20"/>
                <w:szCs w:val="20"/>
              </w:rPr>
            </w:pPr>
            <w:r w:rsidRPr="009476CF">
              <w:rPr>
                <w:sz w:val="20"/>
                <w:szCs w:val="20"/>
              </w:rPr>
              <w:t>1940-1950 MHz/ 2130-2140 MHz</w:t>
            </w:r>
          </w:p>
        </w:tc>
      </w:tr>
      <w:tr w:rsidR="007A5BDD" w:rsidRPr="009476CF" w:rsidTr="00440CBA">
        <w:tc>
          <w:tcPr>
            <w:tcW w:w="1458" w:type="dxa"/>
          </w:tcPr>
          <w:p w:rsidR="007A5BDD" w:rsidRPr="009476CF" w:rsidRDefault="007A5BDD" w:rsidP="00440CBA">
            <w:pPr>
              <w:pStyle w:val="ListParagraph"/>
              <w:rPr>
                <w:sz w:val="20"/>
                <w:szCs w:val="20"/>
              </w:rPr>
            </w:pPr>
            <w:r w:rsidRPr="009476CF">
              <w:rPr>
                <w:sz w:val="20"/>
                <w:szCs w:val="20"/>
              </w:rPr>
              <w:t>Airtel</w:t>
            </w:r>
          </w:p>
        </w:tc>
        <w:tc>
          <w:tcPr>
            <w:tcW w:w="1440" w:type="dxa"/>
          </w:tcPr>
          <w:p w:rsidR="007A5BDD" w:rsidRPr="009476CF" w:rsidRDefault="007A5BDD" w:rsidP="00440CBA">
            <w:pPr>
              <w:pStyle w:val="ListParagraph"/>
              <w:rPr>
                <w:sz w:val="20"/>
                <w:szCs w:val="20"/>
              </w:rPr>
            </w:pPr>
            <w:r w:rsidRPr="009476CF">
              <w:rPr>
                <w:sz w:val="20"/>
                <w:szCs w:val="20"/>
              </w:rPr>
              <w:t xml:space="preserve">GSM/ </w:t>
            </w:r>
          </w:p>
          <w:p w:rsidR="007A5BDD" w:rsidRPr="009476CF" w:rsidRDefault="007A5BDD" w:rsidP="00440CBA">
            <w:pPr>
              <w:pStyle w:val="ListParagraph"/>
              <w:rPr>
                <w:sz w:val="20"/>
                <w:szCs w:val="20"/>
              </w:rPr>
            </w:pPr>
            <w:r w:rsidRPr="009476CF">
              <w:rPr>
                <w:sz w:val="20"/>
                <w:szCs w:val="20"/>
              </w:rPr>
              <w:t>W-CDMA</w:t>
            </w:r>
          </w:p>
        </w:tc>
        <w:tc>
          <w:tcPr>
            <w:tcW w:w="1800" w:type="dxa"/>
          </w:tcPr>
          <w:p w:rsidR="007A5BDD" w:rsidRPr="009476CF" w:rsidRDefault="007A5BDD" w:rsidP="00440CBA">
            <w:pPr>
              <w:pStyle w:val="ListParagraph"/>
              <w:rPr>
                <w:sz w:val="20"/>
                <w:szCs w:val="20"/>
              </w:rPr>
            </w:pPr>
            <w:r w:rsidRPr="009476CF">
              <w:rPr>
                <w:sz w:val="20"/>
                <w:szCs w:val="20"/>
              </w:rPr>
              <w:t>Owned by Bharti Airtel, India</w:t>
            </w:r>
          </w:p>
        </w:tc>
        <w:tc>
          <w:tcPr>
            <w:tcW w:w="1530" w:type="dxa"/>
          </w:tcPr>
          <w:p w:rsidR="007A5BDD" w:rsidRPr="009476CF" w:rsidRDefault="007A5BDD" w:rsidP="00440CBA">
            <w:pPr>
              <w:pStyle w:val="ListParagraph"/>
              <w:rPr>
                <w:sz w:val="20"/>
                <w:szCs w:val="20"/>
              </w:rPr>
            </w:pPr>
            <w:r w:rsidRPr="009476CF">
              <w:rPr>
                <w:sz w:val="20"/>
                <w:szCs w:val="20"/>
              </w:rPr>
              <w:t>880-885 MHz/ 925-930 MHz</w:t>
            </w:r>
          </w:p>
        </w:tc>
        <w:tc>
          <w:tcPr>
            <w:tcW w:w="1800" w:type="dxa"/>
          </w:tcPr>
          <w:p w:rsidR="007A5BDD" w:rsidRPr="009476CF" w:rsidRDefault="007A5BDD" w:rsidP="00440CBA">
            <w:pPr>
              <w:pStyle w:val="ListParagraph"/>
              <w:rPr>
                <w:sz w:val="20"/>
                <w:szCs w:val="20"/>
              </w:rPr>
            </w:pPr>
            <w:r w:rsidRPr="009476CF">
              <w:rPr>
                <w:sz w:val="20"/>
                <w:szCs w:val="20"/>
              </w:rPr>
              <w:t>1740-1747.5 MHz/ 1835-1842.5 MHz</w:t>
            </w:r>
          </w:p>
        </w:tc>
        <w:tc>
          <w:tcPr>
            <w:tcW w:w="1620" w:type="dxa"/>
          </w:tcPr>
          <w:p w:rsidR="007A5BDD" w:rsidRPr="009476CF" w:rsidRDefault="007A5BDD" w:rsidP="00440CBA">
            <w:pPr>
              <w:pStyle w:val="ListParagraph"/>
              <w:rPr>
                <w:sz w:val="20"/>
                <w:szCs w:val="20"/>
              </w:rPr>
            </w:pPr>
            <w:r w:rsidRPr="009476CF">
              <w:rPr>
                <w:sz w:val="20"/>
                <w:szCs w:val="20"/>
              </w:rPr>
              <w:t>1930-1940 MHz / 2120-2130 MHz</w:t>
            </w:r>
          </w:p>
        </w:tc>
      </w:tr>
    </w:tbl>
    <w:p w:rsidR="007A5BDD" w:rsidRPr="00010434" w:rsidRDefault="007A5BDD" w:rsidP="007A5BDD">
      <w:pPr>
        <w:pStyle w:val="ListParagraph"/>
        <w:rPr>
          <w:sz w:val="16"/>
          <w:szCs w:val="16"/>
        </w:rPr>
      </w:pPr>
      <w:r>
        <w:rPr>
          <w:sz w:val="16"/>
          <w:szCs w:val="16"/>
        </w:rPr>
        <w:t>Source: TRCSL, ITU (</w:t>
      </w:r>
      <w:r w:rsidRPr="00010434">
        <w:rPr>
          <w:sz w:val="16"/>
          <w:szCs w:val="16"/>
        </w:rPr>
        <w:t>Strategies for the promotion of broadband services and infrastructure: a case study on Sri Lanka</w:t>
      </w:r>
      <w:r>
        <w:rPr>
          <w:sz w:val="16"/>
          <w:szCs w:val="16"/>
        </w:rPr>
        <w:t xml:space="preserve"> September 2012)</w:t>
      </w:r>
    </w:p>
    <w:p w:rsidR="007A5BDD" w:rsidRDefault="007A5BDD" w:rsidP="007A5BDD">
      <w:pPr>
        <w:pStyle w:val="ListParagraph"/>
      </w:pP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63505D">
        <w:t xml:space="preserve">The Sri Lankan </w:t>
      </w:r>
      <w:r w:rsidRPr="00930AC2">
        <w:rPr>
          <w:rStyle w:val="Strong"/>
        </w:rPr>
        <w:t>regulator</w:t>
      </w:r>
      <w:r w:rsidRPr="0063505D">
        <w:t xml:space="preserve"> was one of the first in the Asian region to make 3G spectrum available </w:t>
      </w:r>
      <w:r>
        <w:t xml:space="preserve">in 2100 MHz Band </w:t>
      </w:r>
      <w:r w:rsidRPr="0063505D">
        <w:t xml:space="preserve">back in 2004 when it authorized its use for testing. By 2006, this spectrum was allocated </w:t>
      </w:r>
      <w:r>
        <w:t xml:space="preserve">administratively </w:t>
      </w:r>
      <w:r w:rsidRPr="0063505D">
        <w:t xml:space="preserve">for </w:t>
      </w:r>
      <w:r w:rsidRPr="00666E45">
        <w:rPr>
          <w:rStyle w:val="Strong"/>
          <w:color w:val="000000"/>
        </w:rPr>
        <w:t>commercial</w:t>
      </w:r>
      <w:r w:rsidRPr="0063505D">
        <w:t xml:space="preserve"> use to all operators at a charge of around USD 5 million. Not only was 3G spectrum made available at the time, but was thereafter available to any operator who paid the same price. This eliminated ―land-grab</w:t>
      </w:r>
      <w:r w:rsidRPr="0063505D">
        <w:rPr>
          <w:rFonts w:cs="Bookman Old Style"/>
        </w:rPr>
        <w:t xml:space="preserve"> type behavior that would have been otherwise created by a one-off spectrum auction and enabled operato</w:t>
      </w:r>
      <w:r w:rsidRPr="0063505D">
        <w:t xml:space="preserve">rs to enter the 3G market when it made most sense to them – based on their assessment of trade-offs between </w:t>
      </w:r>
      <w:r w:rsidRPr="0063505D">
        <w:lastRenderedPageBreak/>
        <w:t xml:space="preserve">early </w:t>
      </w:r>
      <w:proofErr w:type="gramStart"/>
      <w:r w:rsidRPr="0063505D">
        <w:t>entry</w:t>
      </w:r>
      <w:proofErr w:type="gramEnd"/>
      <w:r w:rsidRPr="0063505D">
        <w:t xml:space="preserve"> vs. waiting for the right time in their capital investment cycle. Though the government arguably lost potential income through this allocation method, it did make spectrum available on a non-discriminatory basis to all operators, and at a relatively low price. Once the primary barrier to mobile broadband investment was removed (i.e. spectrum was made available), operators were quick to invest. Dialog launched South Asia’s first commercial 3G network in 2006 and other </w:t>
      </w:r>
      <w:r>
        <w:t xml:space="preserve">four </w:t>
      </w:r>
      <w:r w:rsidRPr="0063505D">
        <w:t xml:space="preserve">Sri Lankan mobile operators followed </w:t>
      </w:r>
      <w:r>
        <w:t xml:space="preserve">the </w:t>
      </w:r>
      <w:r w:rsidRPr="0063505D">
        <w:t xml:space="preserve">suit. </w:t>
      </w:r>
      <w:r>
        <w:t xml:space="preserve">This created a stiff competition </w:t>
      </w:r>
      <w:r w:rsidRPr="005A7136">
        <w:t xml:space="preserve">among </w:t>
      </w:r>
      <w:r>
        <w:t>telecom service providers,</w:t>
      </w:r>
      <w:r w:rsidRPr="005A7136">
        <w:t xml:space="preserve"> price of mobile broadband dropped drastically to a very low level</w:t>
      </w:r>
      <w:r>
        <w:t xml:space="preserve">. Price of 3G mobile broadband at 7.2 Mbps speed for 3Gb data capacity is available for a price of only 3 US$ in Sri Lanka. </w:t>
      </w:r>
      <w:r w:rsidRPr="005A7136">
        <w:t xml:space="preserve"> </w:t>
      </w:r>
      <w:r w:rsidRPr="0063505D">
        <w:t>Availability of 3G spectrum and 3G services is in sharp contrast to the situation in many of Sri Lanka’s neighbors, most notably India which did not allocate it till until 2010.</w:t>
      </w:r>
      <w:r>
        <w:rPr>
          <w:rStyle w:val="FootnoteReference"/>
        </w:rPr>
        <w:footnoteReference w:id="30"/>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F95860">
        <w:t xml:space="preserve"> In 2010 mobile operators have requested the 700MHz frequency band for Long-Term Evolution (LTE) technology, but it will not be available until TV broadcasting is digitalized. However, a 20MHz slot was allocated in the 2.6 GHz band to each operator for trial LTE Networks. According to the operators, tests were successful and some operators are testing further in the 1800MHz band already allocated to them. Dialog </w:t>
      </w:r>
      <w:proofErr w:type="spellStart"/>
      <w:r w:rsidRPr="00F95860">
        <w:t>Axiata</w:t>
      </w:r>
      <w:proofErr w:type="spellEnd"/>
      <w:r w:rsidRPr="00F95860">
        <w:t xml:space="preserve"> won 10 MHz of spectrum in 1800 MHz band beating other two rivals, with the highest bid of 3.277 billion LKR (US$ 25.3 million). The base price in the said auction was fixed at 800 million LKR for ten year frequency license.</w:t>
      </w:r>
      <w:r>
        <w:rPr>
          <w:rStyle w:val="FootnoteReference"/>
        </w:rPr>
        <w:footnoteReference w:id="31"/>
      </w:r>
    </w:p>
    <w:p w:rsidR="007A5BDD" w:rsidRDefault="007A5BDD" w:rsidP="007A5BDD">
      <w:pPr>
        <w:pStyle w:val="ListParagraph"/>
        <w:numPr>
          <w:ilvl w:val="0"/>
          <w:numId w:val="11"/>
        </w:numPr>
        <w:spacing w:before="120" w:after="240" w:line="360" w:lineRule="auto"/>
        <w:ind w:left="1170"/>
        <w:jc w:val="both"/>
        <w:rPr>
          <w:b/>
        </w:rPr>
      </w:pPr>
      <w:r>
        <w:rPr>
          <w:b/>
        </w:rPr>
        <w:t>NEPAL</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F81428">
        <w:t xml:space="preserve">With this </w:t>
      </w:r>
      <w:r w:rsidRPr="00666E45">
        <w:rPr>
          <w:rStyle w:val="Strong"/>
          <w:color w:val="000000"/>
        </w:rPr>
        <w:t>concept</w:t>
      </w:r>
      <w:r w:rsidRPr="00F81428">
        <w:t xml:space="preserve">, using liberalization policy and involving the private sector in a competitive environment for the development and expansion of telecommunication sector in Nepal, His Majesty's Government of Nepal's (cabinet’s) decision dated December 25, 1995 has initiated the involvement of the private sector in the development of the </w:t>
      </w:r>
      <w:r w:rsidRPr="00666E45">
        <w:rPr>
          <w:rStyle w:val="Strong"/>
          <w:color w:val="000000"/>
        </w:rPr>
        <w:t>telecommunication</w:t>
      </w:r>
      <w:r w:rsidRPr="00F81428">
        <w:t xml:space="preserve"> services. Nepal Telecommunications Authority</w:t>
      </w:r>
      <w:r>
        <w:t xml:space="preserve"> (NTA)</w:t>
      </w:r>
      <w:r w:rsidRPr="00F81428">
        <w:t xml:space="preserve"> as an autonomous regulatory body has been established on March 4, 1998 as stipulated within the framework of the Telecommunication Act 1997 and Telecommunication Regulation 1998 to make this work more systematic and regular.</w:t>
      </w:r>
      <w:r>
        <w:rPr>
          <w:rStyle w:val="FootnoteReference"/>
        </w:rPr>
        <w:footnoteReference w:id="32"/>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F81428">
        <w:lastRenderedPageBreak/>
        <w:t xml:space="preserve">Until the partial deregulation of the telecommunications sector in the early 2000s, government-owned Nepal Telecom was the nation’s sole service provider. However, following the entry of private operators, it faces competition in the mobile services sector but remains the sole provider of </w:t>
      </w:r>
      <w:r w:rsidRPr="00666E45">
        <w:rPr>
          <w:rStyle w:val="Strong"/>
          <w:color w:val="000000"/>
        </w:rPr>
        <w:t>PSTN</w:t>
      </w:r>
      <w:r w:rsidRPr="00F81428">
        <w:t xml:space="preserve"> and ISDN </w:t>
      </w:r>
      <w:r w:rsidRPr="00930AC2">
        <w:rPr>
          <w:rStyle w:val="Strong"/>
        </w:rPr>
        <w:t>services</w:t>
      </w:r>
      <w:r w:rsidRPr="00F81428">
        <w:t>.</w:t>
      </w:r>
      <w:r>
        <w:t xml:space="preserve">  </w:t>
      </w:r>
      <w:r w:rsidRPr="00124880">
        <w:t xml:space="preserve">Since the 1992 telecommunications reforms, the market has steadily </w:t>
      </w:r>
      <w:proofErr w:type="spellStart"/>
      <w:r w:rsidRPr="00124880">
        <w:t>liberalised</w:t>
      </w:r>
      <w:proofErr w:type="spellEnd"/>
      <w:r w:rsidRPr="00124880">
        <w:t xml:space="preserve"> with a phased process of </w:t>
      </w:r>
      <w:proofErr w:type="spellStart"/>
      <w:r w:rsidRPr="00124880">
        <w:t>privatisation</w:t>
      </w:r>
      <w:proofErr w:type="spellEnd"/>
      <w:r w:rsidRPr="00124880">
        <w:t xml:space="preserve"> for Nepal Telecom. In addition, since 2010, a number of new participants have emerged in the mobile services market, thus serving to increase competition.</w:t>
      </w:r>
      <w:r>
        <w:t xml:space="preserve"> </w:t>
      </w:r>
      <w:r w:rsidRPr="00124880">
        <w:t xml:space="preserve">Mobile networks continue to grow rapidly. </w:t>
      </w:r>
      <w:proofErr w:type="spellStart"/>
      <w:r w:rsidRPr="00124880">
        <w:t>Ncell</w:t>
      </w:r>
      <w:proofErr w:type="spellEnd"/>
      <w:r w:rsidRPr="00124880">
        <w:t>, operator of the nation’s largest GSM network now provides 3G services using the 2100 MHz band to all main urban areas in Nepal.</w:t>
      </w:r>
      <w:r>
        <w:t xml:space="preserve"> In addition to these operators, other operators provide telephony in rural areas; they are </w:t>
      </w:r>
      <w:proofErr w:type="spellStart"/>
      <w:r>
        <w:t>Gramintel</w:t>
      </w:r>
      <w:proofErr w:type="spellEnd"/>
      <w:r>
        <w:t xml:space="preserve"> (STM), United Telecom Limited (UTL), Nepal Satellite Telecom Private Limited (NSTPL) and Smart Telecom Private Limited STSPL. Spectrum holdings of these operators along with technology details are given in following table: </w:t>
      </w:r>
    </w:p>
    <w:p w:rsidR="007A5BDD" w:rsidRPr="00124880" w:rsidRDefault="007A5BDD" w:rsidP="007A5BDD">
      <w:pPr>
        <w:pStyle w:val="ListParagraph"/>
        <w:rPr>
          <w:sz w:val="4"/>
        </w:rPr>
      </w:pPr>
    </w:p>
    <w:p w:rsidR="007A5BDD" w:rsidRPr="00124880" w:rsidRDefault="007A5BDD" w:rsidP="007A5BDD">
      <w:pPr>
        <w:pStyle w:val="ListParagraph"/>
      </w:pPr>
      <w:r w:rsidRPr="00124880">
        <w:rPr>
          <w:noProof/>
          <w:lang w:bidi="ar-SA"/>
        </w:rPr>
        <w:drawing>
          <wp:inline distT="0" distB="0" distL="0" distR="0" wp14:anchorId="07CE9CCF" wp14:editId="1C62674D">
            <wp:extent cx="5553075" cy="249555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553075" cy="2495550"/>
                    </a:xfrm>
                    <a:prstGeom prst="rect">
                      <a:avLst/>
                    </a:prstGeom>
                    <a:noFill/>
                    <a:ln w="9525">
                      <a:noFill/>
                      <a:miter lim="800000"/>
                      <a:headEnd/>
                      <a:tailEnd/>
                    </a:ln>
                  </pic:spPr>
                </pic:pic>
              </a:graphicData>
            </a:graphic>
          </wp:inline>
        </w:drawing>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BC210B">
        <w:t xml:space="preserve">There are two main acts that regulate radio frequency spectrum in Nepal. These are the Telecommunications Act 1997 and the Radio Act 1957. The current operating </w:t>
      </w:r>
      <w:proofErr w:type="spellStart"/>
      <w:r w:rsidRPr="00BC210B">
        <w:t>licences</w:t>
      </w:r>
      <w:proofErr w:type="spellEnd"/>
      <w:r w:rsidRPr="00BC210B">
        <w:t xml:space="preserve"> for telecommunication services are issued according to the Telecommunications Act 1997 as amended by the </w:t>
      </w:r>
      <w:r w:rsidRPr="00666E45">
        <w:rPr>
          <w:rStyle w:val="Strong"/>
          <w:color w:val="000000"/>
        </w:rPr>
        <w:t>Amendment</w:t>
      </w:r>
      <w:r w:rsidRPr="00BC210B">
        <w:t xml:space="preserve"> Act 2007 and the Telecommunications Amendment Act 2008. The licenses are allocated administratively and on the basis of recommendations made by NTA to the His Majesty’s government for a period of 10 years. The Radio Act</w:t>
      </w:r>
      <w:r>
        <w:t>,</w:t>
      </w:r>
      <w:r w:rsidRPr="00BC210B">
        <w:t xml:space="preserve"> </w:t>
      </w:r>
      <w:r>
        <w:t xml:space="preserve">1957 </w:t>
      </w:r>
      <w:r w:rsidRPr="00BC210B">
        <w:t xml:space="preserve">provides </w:t>
      </w:r>
      <w:r>
        <w:t>information regarding</w:t>
      </w:r>
      <w:r w:rsidRPr="00BC210B">
        <w:t xml:space="preserve"> control and </w:t>
      </w:r>
      <w:r w:rsidRPr="00930AC2">
        <w:rPr>
          <w:rStyle w:val="Strong"/>
        </w:rPr>
        <w:t>regulation</w:t>
      </w:r>
      <w:r w:rsidRPr="00BC210B">
        <w:t xml:space="preserve"> of activities of holding, making and using “radio machines (radio </w:t>
      </w:r>
      <w:proofErr w:type="spellStart"/>
      <w:r w:rsidRPr="00BC210B">
        <w:t>equipments</w:t>
      </w:r>
      <w:proofErr w:type="spellEnd"/>
      <w:r w:rsidRPr="00BC210B">
        <w:t xml:space="preserve">)” in Nepal, however this act does not provide deliberate information regarding spectrum allocation. The Telecommunication Act provides </w:t>
      </w:r>
      <w:r>
        <w:t xml:space="preserve">provisions </w:t>
      </w:r>
      <w:r w:rsidRPr="00BC210B">
        <w:t xml:space="preserve">for the creation of the </w:t>
      </w:r>
      <w:r w:rsidRPr="00BC210B">
        <w:lastRenderedPageBreak/>
        <w:t xml:space="preserve">Radio Frequency Policy Determination Committee. Its purpose is to determine policy relating to radio frequencies and spectrum allocation. </w:t>
      </w:r>
      <w:r>
        <w:rPr>
          <w:rStyle w:val="FootnoteReference"/>
        </w:rPr>
        <w:footnoteReference w:id="33"/>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 xml:space="preserve">In 2012, </w:t>
      </w:r>
      <w:r w:rsidRPr="00BC210B">
        <w:t>the Radio Frequency Policy Determination Committee</w:t>
      </w:r>
      <w:r>
        <w:t xml:space="preserve"> formulated and brought into force Radio Frequency (Assignment and Pricing) related Policy of Telecommunication Service. This policy has promised </w:t>
      </w:r>
      <w:r w:rsidRPr="00666E45">
        <w:rPr>
          <w:rStyle w:val="Strong"/>
          <w:color w:val="000000"/>
        </w:rPr>
        <w:t>very</w:t>
      </w:r>
      <w:r>
        <w:t xml:space="preserve"> </w:t>
      </w:r>
      <w:r w:rsidRPr="00930AC2">
        <w:rPr>
          <w:rStyle w:val="Strong"/>
        </w:rPr>
        <w:t>important</w:t>
      </w:r>
      <w:r>
        <w:t xml:space="preserve"> principles for overall spectrum management. Some of the important principles include-</w:t>
      </w:r>
    </w:p>
    <w:p w:rsidR="007A5BDD" w:rsidRDefault="007A5BDD" w:rsidP="007A5BDD">
      <w:pPr>
        <w:pStyle w:val="ListParagraph"/>
        <w:numPr>
          <w:ilvl w:val="0"/>
          <w:numId w:val="20"/>
        </w:numPr>
        <w:spacing w:after="200" w:line="276" w:lineRule="auto"/>
        <w:contextualSpacing/>
        <w:jc w:val="both"/>
      </w:pPr>
      <w:r w:rsidRPr="009B4023">
        <w:t>auction as a method for determining the spectrum prices and assignment in new bands including 3G,</w:t>
      </w:r>
    </w:p>
    <w:p w:rsidR="007A5BDD" w:rsidRDefault="007A5BDD" w:rsidP="007A5BDD">
      <w:pPr>
        <w:pStyle w:val="ListParagraph"/>
        <w:numPr>
          <w:ilvl w:val="0"/>
          <w:numId w:val="20"/>
        </w:numPr>
        <w:spacing w:after="200" w:line="276" w:lineRule="auto"/>
        <w:contextualSpacing/>
        <w:jc w:val="both"/>
      </w:pPr>
      <w:r w:rsidRPr="009B4023">
        <w:t xml:space="preserve">technology neutrality while assigning spectrum, </w:t>
      </w:r>
    </w:p>
    <w:p w:rsidR="007A5BDD" w:rsidRDefault="007A5BDD" w:rsidP="007A5BDD">
      <w:pPr>
        <w:pStyle w:val="ListParagraph"/>
        <w:numPr>
          <w:ilvl w:val="0"/>
          <w:numId w:val="20"/>
        </w:numPr>
        <w:spacing w:after="200" w:line="276" w:lineRule="auto"/>
        <w:contextualSpacing/>
        <w:jc w:val="both"/>
      </w:pPr>
      <w:r w:rsidRPr="009B4023">
        <w:t xml:space="preserve">prohibition on spectrum trading, </w:t>
      </w:r>
    </w:p>
    <w:p w:rsidR="007A5BDD" w:rsidRPr="009B4023" w:rsidRDefault="007A5BDD" w:rsidP="007A5BDD">
      <w:pPr>
        <w:pStyle w:val="ListParagraph"/>
        <w:numPr>
          <w:ilvl w:val="0"/>
          <w:numId w:val="20"/>
        </w:numPr>
        <w:spacing w:after="200" w:line="276" w:lineRule="auto"/>
        <w:contextualSpacing/>
        <w:jc w:val="both"/>
      </w:pPr>
      <w:r w:rsidRPr="009B4023">
        <w:t>adoption of spectrum refarming based on regional and international best practices to ensure economies of scale,</w:t>
      </w:r>
    </w:p>
    <w:p w:rsidR="007A5BDD" w:rsidRPr="00804B5B" w:rsidRDefault="007A5BDD" w:rsidP="007A5BDD">
      <w:pPr>
        <w:pStyle w:val="ListParagraph"/>
        <w:numPr>
          <w:ilvl w:val="0"/>
          <w:numId w:val="20"/>
        </w:numPr>
        <w:spacing w:after="200" w:line="276" w:lineRule="auto"/>
        <w:contextualSpacing/>
        <w:jc w:val="both"/>
      </w:pPr>
      <w:r w:rsidRPr="00804B5B">
        <w:t>spectrum hoarding discouraged by applying higher prices</w:t>
      </w:r>
    </w:p>
    <w:p w:rsidR="007A5BDD" w:rsidRPr="009B4023" w:rsidRDefault="007A5BDD" w:rsidP="007A5BDD">
      <w:pPr>
        <w:pStyle w:val="ListParagraph"/>
        <w:numPr>
          <w:ilvl w:val="0"/>
          <w:numId w:val="20"/>
        </w:numPr>
        <w:spacing w:after="200" w:line="276" w:lineRule="auto"/>
        <w:contextualSpacing/>
        <w:jc w:val="both"/>
      </w:pPr>
      <w:r w:rsidRPr="009B4023">
        <w:t>spectrum capping introduced,</w:t>
      </w:r>
    </w:p>
    <w:p w:rsidR="007A5BDD" w:rsidRPr="00804B5B" w:rsidRDefault="007A5BDD" w:rsidP="007A5BDD">
      <w:pPr>
        <w:pStyle w:val="ListParagraph"/>
        <w:numPr>
          <w:ilvl w:val="0"/>
          <w:numId w:val="20"/>
        </w:numPr>
        <w:spacing w:after="200" w:line="276" w:lineRule="auto"/>
        <w:contextualSpacing/>
        <w:jc w:val="both"/>
      </w:pPr>
      <w:r w:rsidRPr="00804B5B">
        <w:t>spectrum required for migration into unified licensing regime introduced through “basic telephone service” ensured ,</w:t>
      </w:r>
    </w:p>
    <w:p w:rsidR="007A5BDD" w:rsidRPr="00804B5B" w:rsidRDefault="007A5BDD" w:rsidP="007A5BDD">
      <w:pPr>
        <w:pStyle w:val="ListParagraph"/>
        <w:numPr>
          <w:ilvl w:val="0"/>
          <w:numId w:val="20"/>
        </w:numPr>
        <w:spacing w:after="200" w:line="276" w:lineRule="auto"/>
        <w:contextualSpacing/>
        <w:jc w:val="both"/>
      </w:pPr>
      <w:r w:rsidRPr="00804B5B">
        <w:t>provision of frequency for emergency telecommunications,</w:t>
      </w:r>
    </w:p>
    <w:p w:rsidR="007A5BDD" w:rsidRDefault="007A5BDD" w:rsidP="007A5BDD">
      <w:pPr>
        <w:pStyle w:val="ListParagraph"/>
        <w:numPr>
          <w:ilvl w:val="0"/>
          <w:numId w:val="20"/>
        </w:numPr>
        <w:spacing w:after="200" w:line="276" w:lineRule="auto"/>
        <w:contextualSpacing/>
        <w:jc w:val="both"/>
      </w:pPr>
      <w:r w:rsidRPr="00804B5B">
        <w:t>digital dividend band to be allocated for mobile broadband based on international best practices,</w:t>
      </w:r>
    </w:p>
    <w:p w:rsidR="007A5BDD" w:rsidRDefault="007A5BDD" w:rsidP="007A5BDD">
      <w:pPr>
        <w:pStyle w:val="ListParagraph"/>
        <w:numPr>
          <w:ilvl w:val="0"/>
          <w:numId w:val="20"/>
        </w:numPr>
        <w:spacing w:after="200" w:line="276" w:lineRule="auto"/>
        <w:contextualSpacing/>
        <w:jc w:val="both"/>
      </w:pPr>
      <w:r w:rsidRPr="00E16BAA">
        <w:t xml:space="preserve">Spectrum refarming is one of the principles adopted in this policy. It has categorically declared that current 1900 MHz band used for CDMA will be freed to align with the international best practices so that more spectrum will be available in the GSM 1800 and WCDMA 2100 MHz bands. Similarly CDMA 800 MHz and GSM 900 MHz bands will be </w:t>
      </w:r>
      <w:proofErr w:type="spellStart"/>
      <w:r w:rsidRPr="00E16BAA">
        <w:t>refarmed</w:t>
      </w:r>
      <w:proofErr w:type="spellEnd"/>
      <w:r w:rsidRPr="00E16BAA">
        <w:t xml:space="preserve"> in such a way that E-GSM band now being occupied by CDMA 800 MHz band will be made available for GSM 900 MHz band. Similar spectrum refarming will also be done in the digital dividend 700 MHz band.</w:t>
      </w:r>
    </w:p>
    <w:p w:rsidR="007A5BDD" w:rsidRDefault="007A5BDD" w:rsidP="007A5BDD">
      <w:pPr>
        <w:pStyle w:val="ListParagraph"/>
        <w:ind w:left="1440"/>
      </w:pP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 xml:space="preserve">Spectrum Limits are also determined in the above mentioned spectrum policy. The spectrum in the 2G bands assigned for the operators are divided into 3 </w:t>
      </w:r>
      <w:r w:rsidRPr="00930AC2">
        <w:rPr>
          <w:rStyle w:val="Strong"/>
        </w:rPr>
        <w:t>limiting</w:t>
      </w:r>
      <w:r>
        <w:t xml:space="preserve"> categories and that has direct implications for spectrum pricing. These limits are – Minimum spectrum, </w:t>
      </w:r>
      <w:r w:rsidRPr="00666E45">
        <w:rPr>
          <w:rStyle w:val="Strong"/>
          <w:color w:val="000000"/>
        </w:rPr>
        <w:t>Additional</w:t>
      </w:r>
      <w:r>
        <w:t xml:space="preserve"> Spectrum and Maximum Spectrum. </w:t>
      </w:r>
      <w:r w:rsidRPr="00FC43D4">
        <w:t xml:space="preserve">Because of the differences </w:t>
      </w:r>
      <w:r w:rsidRPr="00930AC2">
        <w:rPr>
          <w:rStyle w:val="Strong"/>
        </w:rPr>
        <w:t>in</w:t>
      </w:r>
      <w:r w:rsidRPr="00FC43D4">
        <w:t xml:space="preserve"> the radio propagation characteristics in different bands, spectrum assigned in 1800 MHz band will be considered equivalent to 1.5 times that assigned in the 800/900 MHz bands. Accordingly, for any cellular mobile operator or a “unified service license” operator having “ basic telephone service” license, 6 MHz in the GSM </w:t>
      </w:r>
      <w:r w:rsidRPr="00FC43D4">
        <w:lastRenderedPageBreak/>
        <w:t>900 MHz band or its equivalent 9 MHz in the GSM 1800 MHz band has been considered the minimum spectrum. This figure comes from the historic first auction of cellular mobile license in which 6 MHz in GSM 900 MHz band was committed.</w:t>
      </w:r>
      <w:r>
        <w:t xml:space="preserve"> This auction was conducted in 2009 for the renewal of telecom services in 900/1800 MHz Band. A total of 19 MHz was allocated in the spectrum and figure of Price/ MHz/ Population in US Dollars came out to be 0.507. </w:t>
      </w:r>
      <w:r w:rsidRPr="00FC43D4">
        <w:t>The policy has declared the following as the maximum limit for any operator in a given band.</w:t>
      </w:r>
      <w:r>
        <w:t xml:space="preserve"> </w:t>
      </w:r>
    </w:p>
    <w:tbl>
      <w:tblPr>
        <w:tblStyle w:val="TableGrid"/>
        <w:tblW w:w="0" w:type="auto"/>
        <w:tblInd w:w="720" w:type="dxa"/>
        <w:tblLook w:val="04A0" w:firstRow="1" w:lastRow="0" w:firstColumn="1" w:lastColumn="0" w:noHBand="0" w:noVBand="1"/>
      </w:tblPr>
      <w:tblGrid>
        <w:gridCol w:w="1256"/>
        <w:gridCol w:w="4375"/>
        <w:gridCol w:w="2891"/>
      </w:tblGrid>
      <w:tr w:rsidR="007A5BDD" w:rsidRPr="0055706A" w:rsidTr="00440CBA">
        <w:tc>
          <w:tcPr>
            <w:tcW w:w="1256" w:type="dxa"/>
          </w:tcPr>
          <w:p w:rsidR="007A5BDD" w:rsidRPr="0055706A" w:rsidRDefault="007A5BDD" w:rsidP="00440CBA">
            <w:pPr>
              <w:pStyle w:val="ListParagraph"/>
              <w:rPr>
                <w:b/>
                <w:sz w:val="22"/>
              </w:rPr>
            </w:pPr>
            <w:r w:rsidRPr="0055706A">
              <w:rPr>
                <w:b/>
                <w:sz w:val="22"/>
              </w:rPr>
              <w:t>S</w:t>
            </w:r>
            <w:r>
              <w:rPr>
                <w:b/>
                <w:sz w:val="22"/>
              </w:rPr>
              <w:t>L. N</w:t>
            </w:r>
            <w:r w:rsidRPr="0055706A">
              <w:rPr>
                <w:b/>
                <w:sz w:val="22"/>
              </w:rPr>
              <w:t>o.</w:t>
            </w:r>
          </w:p>
        </w:tc>
        <w:tc>
          <w:tcPr>
            <w:tcW w:w="4375" w:type="dxa"/>
          </w:tcPr>
          <w:p w:rsidR="007A5BDD" w:rsidRPr="0055706A" w:rsidRDefault="007A5BDD" w:rsidP="00440CBA">
            <w:pPr>
              <w:pStyle w:val="ListParagraph"/>
              <w:rPr>
                <w:b/>
                <w:sz w:val="22"/>
              </w:rPr>
            </w:pPr>
            <w:r w:rsidRPr="0055706A">
              <w:rPr>
                <w:b/>
                <w:sz w:val="22"/>
              </w:rPr>
              <w:t>Frequency Band/ Possible Technology</w:t>
            </w:r>
          </w:p>
        </w:tc>
        <w:tc>
          <w:tcPr>
            <w:tcW w:w="2891" w:type="dxa"/>
          </w:tcPr>
          <w:p w:rsidR="007A5BDD" w:rsidRPr="0055706A" w:rsidRDefault="007A5BDD" w:rsidP="00440CBA">
            <w:pPr>
              <w:pStyle w:val="ListParagraph"/>
              <w:rPr>
                <w:b/>
                <w:sz w:val="22"/>
              </w:rPr>
            </w:pPr>
            <w:r w:rsidRPr="0055706A">
              <w:rPr>
                <w:b/>
                <w:sz w:val="22"/>
              </w:rPr>
              <w:t>Maximum Bandwidth (MHz)</w:t>
            </w:r>
          </w:p>
        </w:tc>
      </w:tr>
      <w:tr w:rsidR="007A5BDD" w:rsidRPr="0055706A" w:rsidTr="00440CBA">
        <w:tc>
          <w:tcPr>
            <w:tcW w:w="1256" w:type="dxa"/>
          </w:tcPr>
          <w:p w:rsidR="007A5BDD" w:rsidRPr="0055706A" w:rsidRDefault="007A5BDD" w:rsidP="00440CBA">
            <w:pPr>
              <w:pStyle w:val="ListParagraph"/>
              <w:rPr>
                <w:sz w:val="22"/>
              </w:rPr>
            </w:pPr>
            <w:r w:rsidRPr="0055706A">
              <w:rPr>
                <w:sz w:val="22"/>
              </w:rPr>
              <w:t>1</w:t>
            </w:r>
          </w:p>
        </w:tc>
        <w:tc>
          <w:tcPr>
            <w:tcW w:w="4375" w:type="dxa"/>
          </w:tcPr>
          <w:p w:rsidR="007A5BDD" w:rsidRPr="0055706A" w:rsidRDefault="007A5BDD" w:rsidP="00440CBA">
            <w:pPr>
              <w:pStyle w:val="ListParagraph"/>
              <w:rPr>
                <w:sz w:val="22"/>
              </w:rPr>
            </w:pPr>
            <w:r w:rsidRPr="0055706A">
              <w:rPr>
                <w:sz w:val="22"/>
              </w:rPr>
              <w:t>800 MHz/CDMA</w:t>
            </w:r>
          </w:p>
        </w:tc>
        <w:tc>
          <w:tcPr>
            <w:tcW w:w="2891" w:type="dxa"/>
          </w:tcPr>
          <w:p w:rsidR="007A5BDD" w:rsidRPr="0055706A" w:rsidRDefault="007A5BDD" w:rsidP="00440CBA">
            <w:pPr>
              <w:pStyle w:val="ListParagraph"/>
              <w:rPr>
                <w:sz w:val="22"/>
              </w:rPr>
            </w:pPr>
            <w:r w:rsidRPr="0055706A">
              <w:rPr>
                <w:sz w:val="22"/>
              </w:rPr>
              <w:t>2 X 5</w:t>
            </w:r>
          </w:p>
        </w:tc>
      </w:tr>
      <w:tr w:rsidR="007A5BDD" w:rsidRPr="0055706A" w:rsidTr="00440CBA">
        <w:tc>
          <w:tcPr>
            <w:tcW w:w="1256" w:type="dxa"/>
          </w:tcPr>
          <w:p w:rsidR="007A5BDD" w:rsidRPr="0055706A" w:rsidRDefault="007A5BDD" w:rsidP="00440CBA">
            <w:pPr>
              <w:pStyle w:val="ListParagraph"/>
              <w:rPr>
                <w:sz w:val="22"/>
              </w:rPr>
            </w:pPr>
            <w:r w:rsidRPr="0055706A">
              <w:rPr>
                <w:sz w:val="22"/>
              </w:rPr>
              <w:t>2</w:t>
            </w:r>
          </w:p>
        </w:tc>
        <w:tc>
          <w:tcPr>
            <w:tcW w:w="4375" w:type="dxa"/>
          </w:tcPr>
          <w:p w:rsidR="007A5BDD" w:rsidRPr="0055706A" w:rsidRDefault="007A5BDD" w:rsidP="00440CBA">
            <w:pPr>
              <w:pStyle w:val="ListParagraph"/>
              <w:rPr>
                <w:sz w:val="22"/>
              </w:rPr>
            </w:pPr>
            <w:r w:rsidRPr="0055706A">
              <w:rPr>
                <w:sz w:val="22"/>
              </w:rPr>
              <w:t>900 MHz/GSM</w:t>
            </w:r>
          </w:p>
        </w:tc>
        <w:tc>
          <w:tcPr>
            <w:tcW w:w="2891" w:type="dxa"/>
          </w:tcPr>
          <w:p w:rsidR="007A5BDD" w:rsidRPr="0055706A" w:rsidRDefault="007A5BDD" w:rsidP="00440CBA">
            <w:pPr>
              <w:pStyle w:val="ListParagraph"/>
              <w:rPr>
                <w:sz w:val="22"/>
              </w:rPr>
            </w:pPr>
            <w:r w:rsidRPr="0055706A">
              <w:rPr>
                <w:sz w:val="22"/>
              </w:rPr>
              <w:t>2 X 9.6</w:t>
            </w:r>
          </w:p>
        </w:tc>
      </w:tr>
      <w:tr w:rsidR="007A5BDD" w:rsidRPr="0055706A" w:rsidTr="00440CBA">
        <w:tc>
          <w:tcPr>
            <w:tcW w:w="1256" w:type="dxa"/>
          </w:tcPr>
          <w:p w:rsidR="007A5BDD" w:rsidRPr="0055706A" w:rsidRDefault="007A5BDD" w:rsidP="00440CBA">
            <w:pPr>
              <w:pStyle w:val="ListParagraph"/>
              <w:rPr>
                <w:sz w:val="22"/>
              </w:rPr>
            </w:pPr>
            <w:r w:rsidRPr="0055706A">
              <w:rPr>
                <w:sz w:val="22"/>
              </w:rPr>
              <w:t>3</w:t>
            </w:r>
          </w:p>
        </w:tc>
        <w:tc>
          <w:tcPr>
            <w:tcW w:w="4375" w:type="dxa"/>
          </w:tcPr>
          <w:p w:rsidR="007A5BDD" w:rsidRPr="0055706A" w:rsidRDefault="007A5BDD" w:rsidP="00440CBA">
            <w:pPr>
              <w:pStyle w:val="ListParagraph"/>
              <w:rPr>
                <w:sz w:val="22"/>
              </w:rPr>
            </w:pPr>
            <w:r w:rsidRPr="0055706A">
              <w:rPr>
                <w:sz w:val="22"/>
              </w:rPr>
              <w:t>1800 MHz/GSM</w:t>
            </w:r>
          </w:p>
        </w:tc>
        <w:tc>
          <w:tcPr>
            <w:tcW w:w="2891" w:type="dxa"/>
          </w:tcPr>
          <w:p w:rsidR="007A5BDD" w:rsidRPr="0055706A" w:rsidRDefault="007A5BDD" w:rsidP="00440CBA">
            <w:pPr>
              <w:pStyle w:val="ListParagraph"/>
              <w:rPr>
                <w:sz w:val="22"/>
              </w:rPr>
            </w:pPr>
            <w:r w:rsidRPr="0055706A">
              <w:rPr>
                <w:sz w:val="22"/>
              </w:rPr>
              <w:t>2 X 15</w:t>
            </w:r>
          </w:p>
        </w:tc>
      </w:tr>
      <w:tr w:rsidR="007A5BDD" w:rsidRPr="0055706A" w:rsidTr="00440CBA">
        <w:tc>
          <w:tcPr>
            <w:tcW w:w="1256" w:type="dxa"/>
          </w:tcPr>
          <w:p w:rsidR="007A5BDD" w:rsidRPr="0055706A" w:rsidRDefault="007A5BDD" w:rsidP="00440CBA">
            <w:pPr>
              <w:pStyle w:val="ListParagraph"/>
              <w:rPr>
                <w:sz w:val="22"/>
              </w:rPr>
            </w:pPr>
            <w:r w:rsidRPr="0055706A">
              <w:rPr>
                <w:sz w:val="22"/>
              </w:rPr>
              <w:t>4</w:t>
            </w:r>
          </w:p>
        </w:tc>
        <w:tc>
          <w:tcPr>
            <w:tcW w:w="4375" w:type="dxa"/>
          </w:tcPr>
          <w:p w:rsidR="007A5BDD" w:rsidRPr="0055706A" w:rsidRDefault="007A5BDD" w:rsidP="00440CBA">
            <w:pPr>
              <w:pStyle w:val="ListParagraph"/>
              <w:rPr>
                <w:sz w:val="22"/>
              </w:rPr>
            </w:pPr>
            <w:r w:rsidRPr="0055706A">
              <w:rPr>
                <w:sz w:val="22"/>
              </w:rPr>
              <w:t>2100 MHz/W-CDMA</w:t>
            </w:r>
          </w:p>
        </w:tc>
        <w:tc>
          <w:tcPr>
            <w:tcW w:w="2891" w:type="dxa"/>
          </w:tcPr>
          <w:p w:rsidR="007A5BDD" w:rsidRPr="0055706A" w:rsidRDefault="007A5BDD" w:rsidP="00440CBA">
            <w:pPr>
              <w:pStyle w:val="ListParagraph"/>
              <w:rPr>
                <w:sz w:val="22"/>
              </w:rPr>
            </w:pPr>
            <w:r w:rsidRPr="0055706A">
              <w:rPr>
                <w:sz w:val="22"/>
              </w:rPr>
              <w:t>2 X 10</w:t>
            </w:r>
          </w:p>
        </w:tc>
      </w:tr>
      <w:tr w:rsidR="007A5BDD" w:rsidRPr="0055706A" w:rsidTr="00440CBA">
        <w:tc>
          <w:tcPr>
            <w:tcW w:w="1256" w:type="dxa"/>
          </w:tcPr>
          <w:p w:rsidR="007A5BDD" w:rsidRPr="0055706A" w:rsidRDefault="007A5BDD" w:rsidP="00440CBA">
            <w:pPr>
              <w:pStyle w:val="ListParagraph"/>
              <w:rPr>
                <w:sz w:val="22"/>
              </w:rPr>
            </w:pPr>
            <w:r w:rsidRPr="0055706A">
              <w:rPr>
                <w:sz w:val="22"/>
              </w:rPr>
              <w:t>5</w:t>
            </w:r>
          </w:p>
        </w:tc>
        <w:tc>
          <w:tcPr>
            <w:tcW w:w="4375" w:type="dxa"/>
          </w:tcPr>
          <w:p w:rsidR="007A5BDD" w:rsidRPr="0055706A" w:rsidRDefault="007A5BDD" w:rsidP="00440CBA">
            <w:pPr>
              <w:rPr>
                <w:sz w:val="22"/>
              </w:rPr>
            </w:pPr>
            <w:r w:rsidRPr="0055706A">
              <w:rPr>
                <w:sz w:val="22"/>
              </w:rPr>
              <w:t>2300 MHz/</w:t>
            </w:r>
            <w:r>
              <w:rPr>
                <w:sz w:val="22"/>
              </w:rPr>
              <w:t>B</w:t>
            </w:r>
            <w:r w:rsidRPr="0055706A">
              <w:rPr>
                <w:sz w:val="22"/>
              </w:rPr>
              <w:t>WA/IMT Advanced</w:t>
            </w:r>
          </w:p>
        </w:tc>
        <w:tc>
          <w:tcPr>
            <w:tcW w:w="2891" w:type="dxa"/>
          </w:tcPr>
          <w:p w:rsidR="007A5BDD" w:rsidRPr="0055706A" w:rsidRDefault="007A5BDD" w:rsidP="00440CBA">
            <w:pPr>
              <w:pStyle w:val="ListParagraph"/>
              <w:rPr>
                <w:sz w:val="22"/>
              </w:rPr>
            </w:pPr>
            <w:r w:rsidRPr="0055706A">
              <w:rPr>
                <w:sz w:val="22"/>
              </w:rPr>
              <w:t>30</w:t>
            </w:r>
          </w:p>
        </w:tc>
      </w:tr>
      <w:tr w:rsidR="007A5BDD" w:rsidRPr="0055706A" w:rsidTr="00440CBA">
        <w:tc>
          <w:tcPr>
            <w:tcW w:w="8522" w:type="dxa"/>
            <w:gridSpan w:val="3"/>
          </w:tcPr>
          <w:p w:rsidR="007A5BDD" w:rsidRPr="0055706A" w:rsidRDefault="007A5BDD" w:rsidP="00440CBA">
            <w:pPr>
              <w:pStyle w:val="ListParagraph"/>
              <w:rPr>
                <w:sz w:val="22"/>
              </w:rPr>
            </w:pPr>
            <w:r w:rsidRPr="0055706A">
              <w:rPr>
                <w:sz w:val="22"/>
              </w:rPr>
              <w:t>The maximum spectrum limits for 700/ 2600/ 3300 MHz bands are yet to be fixed.</w:t>
            </w:r>
          </w:p>
        </w:tc>
      </w:tr>
    </w:tbl>
    <w:p w:rsidR="007A5BDD" w:rsidRDefault="007A5BDD" w:rsidP="007A5BDD">
      <w:pPr>
        <w:pStyle w:val="ListParagraph"/>
      </w:pPr>
    </w:p>
    <w:p w:rsidR="007A5BDD" w:rsidRPr="00EF4BFE"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0B5402">
        <w:t xml:space="preserve">This spectrum policy for the telecommunication services should be evaluated in conjunction with the gazette notification in the year 2012 which opened a new telecom service called </w:t>
      </w:r>
      <w:proofErr w:type="gramStart"/>
      <w:r w:rsidRPr="000B5402">
        <w:t>“ basic</w:t>
      </w:r>
      <w:proofErr w:type="gramEnd"/>
      <w:r w:rsidRPr="000B5402">
        <w:t xml:space="preserve"> telephone service”. This service is popularly known as </w:t>
      </w:r>
      <w:proofErr w:type="gramStart"/>
      <w:r w:rsidRPr="000B5402">
        <w:t>“ unified</w:t>
      </w:r>
      <w:proofErr w:type="gramEnd"/>
      <w:r w:rsidRPr="000B5402">
        <w:t xml:space="preserve"> service license” and is brought as a </w:t>
      </w:r>
      <w:r w:rsidRPr="00930AC2">
        <w:rPr>
          <w:rStyle w:val="Strong"/>
        </w:rPr>
        <w:t>measure</w:t>
      </w:r>
      <w:r w:rsidRPr="000B5402">
        <w:t xml:space="preserve"> for migration of the current licensing regime into a </w:t>
      </w:r>
      <w:r w:rsidRPr="00666E45">
        <w:rPr>
          <w:rStyle w:val="Strong"/>
          <w:color w:val="000000"/>
        </w:rPr>
        <w:t>unified</w:t>
      </w:r>
      <w:r w:rsidRPr="000B5402">
        <w:t xml:space="preserve"> licensing regime. This if implemented fully as envisioned would certainly create a level playing field among the existing voice telephony operators licensed under different categories of licenses such as basic, mobile, rural etc. This notice has also created a high degree of “disincentive” for those operators who would like not to migrate into unified licensing regime. They will not be allowed to use any new technologies. No further licenses of any kind will be issued to such operators and their geographical jurisdiction will also not be expanded. New spectrum bands for higher technologies will also not be allowed. That means they will not be able to compete in Nepal’s telecom sector if they wish to maintain their original license. It is like giving them a slow poison. These conditions will force them to migrate into “unified licensing regime”.</w:t>
      </w:r>
      <w:r>
        <w:rPr>
          <w:rStyle w:val="FootnoteReference"/>
        </w:rPr>
        <w:footnoteReference w:id="34"/>
      </w:r>
    </w:p>
    <w:p w:rsidR="007A5BDD" w:rsidRPr="009B07AB" w:rsidRDefault="007A5BDD" w:rsidP="007A5BDD">
      <w:pPr>
        <w:pStyle w:val="ListParagraph"/>
        <w:numPr>
          <w:ilvl w:val="0"/>
          <w:numId w:val="11"/>
        </w:numPr>
        <w:spacing w:before="120" w:after="240" w:line="360" w:lineRule="auto"/>
        <w:ind w:left="1170"/>
        <w:jc w:val="both"/>
        <w:rPr>
          <w:b/>
        </w:rPr>
      </w:pPr>
      <w:r w:rsidRPr="009B07AB">
        <w:rPr>
          <w:b/>
        </w:rPr>
        <w:t>AFGHANISTAN</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9B07AB">
        <w:lastRenderedPageBreak/>
        <w:t xml:space="preserve">After the insurgency period in Afghanistan, proper investment in telecom </w:t>
      </w:r>
      <w:r w:rsidRPr="00666E45">
        <w:rPr>
          <w:rStyle w:val="Strong"/>
          <w:color w:val="000000"/>
        </w:rPr>
        <w:t>sector</w:t>
      </w:r>
      <w:r w:rsidRPr="009B07AB">
        <w:t xml:space="preserve"> started when the </w:t>
      </w:r>
      <w:r w:rsidRPr="00930AC2">
        <w:rPr>
          <w:rStyle w:val="Strong"/>
        </w:rPr>
        <w:t>Interim</w:t>
      </w:r>
      <w:r w:rsidRPr="009B07AB">
        <w:t xml:space="preserve"> Government was established in 2001.</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9B07AB">
        <w:t xml:space="preserve">In 2003, The Ministry of Communication issued 2 GSM </w:t>
      </w:r>
      <w:proofErr w:type="spellStart"/>
      <w:r w:rsidRPr="009B07AB">
        <w:t>licences</w:t>
      </w:r>
      <w:proofErr w:type="spellEnd"/>
      <w:r w:rsidRPr="009B07AB">
        <w:t xml:space="preserve"> to two operators which were funded by various International Development </w:t>
      </w:r>
      <w:r w:rsidRPr="00666E45">
        <w:rPr>
          <w:rStyle w:val="Strong"/>
          <w:color w:val="000000"/>
        </w:rPr>
        <w:t>Agencies</w:t>
      </w:r>
      <w:r w:rsidRPr="009B07AB">
        <w:t xml:space="preserve"> and Govt. Of </w:t>
      </w:r>
      <w:r w:rsidRPr="00930AC2">
        <w:rPr>
          <w:rStyle w:val="Strong"/>
        </w:rPr>
        <w:t>Afghanistan</w:t>
      </w:r>
      <w:r w:rsidRPr="009B07AB">
        <w:t xml:space="preserve"> for $5 million each. One TSP operated under the brand name </w:t>
      </w:r>
      <w:proofErr w:type="spellStart"/>
      <w:r w:rsidRPr="009B07AB">
        <w:t>Roshan</w:t>
      </w:r>
      <w:proofErr w:type="spellEnd"/>
      <w:r w:rsidRPr="009B07AB">
        <w:t xml:space="preserve">, a consortium led by Aga Khan Fund for Economic Development. The other TSP was Afghan Wireless Communication Company (AWCC), supported by Afghan Ministry of Communication. The </w:t>
      </w:r>
      <w:proofErr w:type="spellStart"/>
      <w:r w:rsidRPr="009B07AB">
        <w:t>MoC</w:t>
      </w:r>
      <w:proofErr w:type="spellEnd"/>
      <w:r w:rsidRPr="009B07AB">
        <w:t xml:space="preserve"> implemented a duopoly for GSM Mobile Services for a period of three years which means no other providers of GSM mobile telephony services would be allowed before 2006.</w:t>
      </w:r>
      <w:r w:rsidRPr="009B07AB">
        <w:rPr>
          <w:vertAlign w:val="superscript"/>
        </w:rPr>
        <w:footnoteReference w:id="35"/>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9B07AB">
        <w:t xml:space="preserve">In 2005, as the infrastructure was improved several companies shown interest in telecom sector of Afghanistan. So, </w:t>
      </w:r>
      <w:proofErr w:type="spellStart"/>
      <w:r w:rsidRPr="009B07AB">
        <w:t>MoC</w:t>
      </w:r>
      <w:proofErr w:type="spellEnd"/>
      <w:r w:rsidRPr="009B07AB">
        <w:t xml:space="preserve"> decided to auction its next 2 GSM </w:t>
      </w:r>
      <w:proofErr w:type="spellStart"/>
      <w:r w:rsidRPr="009B07AB">
        <w:t>licences</w:t>
      </w:r>
      <w:proofErr w:type="spellEnd"/>
      <w:r w:rsidRPr="009B07AB">
        <w:t xml:space="preserve">. The auction was held in </w:t>
      </w:r>
      <w:proofErr w:type="spellStart"/>
      <w:r w:rsidRPr="009B07AB">
        <w:t>mid 2005</w:t>
      </w:r>
      <w:proofErr w:type="spellEnd"/>
      <w:r w:rsidRPr="009B07AB">
        <w:t xml:space="preserve"> and five non-incumbent operators participated in that auction. Among the participants, four were international. The GSM </w:t>
      </w:r>
      <w:proofErr w:type="spellStart"/>
      <w:r w:rsidRPr="009B07AB">
        <w:t>licence</w:t>
      </w:r>
      <w:proofErr w:type="spellEnd"/>
      <w:r w:rsidRPr="009B07AB">
        <w:t xml:space="preserve"> winners were </w:t>
      </w:r>
      <w:proofErr w:type="spellStart"/>
      <w:r w:rsidRPr="009B07AB">
        <w:t>Areeba</w:t>
      </w:r>
      <w:proofErr w:type="spellEnd"/>
      <w:r w:rsidRPr="009B07AB">
        <w:t xml:space="preserve"> Afghanistan Limited and </w:t>
      </w:r>
      <w:proofErr w:type="spellStart"/>
      <w:r w:rsidRPr="009B07AB">
        <w:t>Etisalat</w:t>
      </w:r>
      <w:proofErr w:type="spellEnd"/>
      <w:r w:rsidRPr="009B07AB">
        <w:t xml:space="preserve"> at a price of $40.1 million. These two </w:t>
      </w:r>
      <w:proofErr w:type="spellStart"/>
      <w:r w:rsidRPr="009B07AB">
        <w:t>licences</w:t>
      </w:r>
      <w:proofErr w:type="spellEnd"/>
      <w:r w:rsidRPr="009B07AB">
        <w:t xml:space="preserve"> were issued for 15 years and can be extendable to another 10 years under some certain conditions. One technology neutral </w:t>
      </w:r>
      <w:r w:rsidRPr="00666E45">
        <w:rPr>
          <w:rStyle w:val="Strong"/>
          <w:color w:val="000000"/>
        </w:rPr>
        <w:t>license</w:t>
      </w:r>
      <w:r w:rsidRPr="009B07AB">
        <w:t xml:space="preserve"> was issued to Afghan Telecom, whose 100% stakeholder is Govt. Of Afghanistan in 2006 by Telecom Regulatory Authority of Afghanistan (ATRA). By this </w:t>
      </w:r>
      <w:proofErr w:type="spellStart"/>
      <w:r w:rsidRPr="009B07AB">
        <w:t>licence</w:t>
      </w:r>
      <w:proofErr w:type="spellEnd"/>
      <w:r w:rsidRPr="009B07AB">
        <w:t xml:space="preserve"> Afghan Telecom was encouraged to roll out wireless local loop (WLL) service.   </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9B07AB">
        <w:t xml:space="preserve">The Telecom Regulatory Authority of Afghanistan (ATRA) within the framework of the Ministry of Communications and Information Technology (MCIT) was established according to the Telecommunication Law in 2006. After its establishment, the power of providing </w:t>
      </w:r>
      <w:proofErr w:type="spellStart"/>
      <w:r w:rsidRPr="009B07AB">
        <w:t>licences</w:t>
      </w:r>
      <w:proofErr w:type="spellEnd"/>
      <w:r w:rsidRPr="009B07AB">
        <w:t xml:space="preserve"> was given to ATRA instead of </w:t>
      </w:r>
      <w:proofErr w:type="spellStart"/>
      <w:r w:rsidRPr="009B07AB">
        <w:t>MoC</w:t>
      </w:r>
      <w:proofErr w:type="spellEnd"/>
      <w:r w:rsidRPr="009B07AB">
        <w:t xml:space="preserve">. </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9B07AB">
        <w:t xml:space="preserve">Spectrum is provided bundled with the </w:t>
      </w:r>
      <w:proofErr w:type="spellStart"/>
      <w:r w:rsidRPr="009B07AB">
        <w:t>licence</w:t>
      </w:r>
      <w:proofErr w:type="spellEnd"/>
      <w:r w:rsidRPr="009B07AB">
        <w:t xml:space="preserve">. But if that spectrum is not sufficient enough, the licensee can request to the concerned licensor for </w:t>
      </w:r>
      <w:r w:rsidRPr="00666E45">
        <w:rPr>
          <w:rStyle w:val="Strong"/>
          <w:color w:val="000000"/>
        </w:rPr>
        <w:t>additional</w:t>
      </w:r>
      <w:r w:rsidRPr="009B07AB">
        <w:t xml:space="preserve"> spectrum which can be granted or not depending on the licensor’s decision.</w:t>
      </w:r>
      <w:r w:rsidRPr="009B07AB">
        <w:rPr>
          <w:vertAlign w:val="superscript"/>
        </w:rPr>
        <w:footnoteReference w:id="36"/>
      </w:r>
      <w:r w:rsidRPr="009B07AB">
        <w:t xml:space="preserve"> </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9B07AB">
        <w:t xml:space="preserve">In 2011, ATRA invited an international competitive tender for a single nationwide license for the provision of broadband mobile services (3G - higher releases) in the 2100 </w:t>
      </w:r>
      <w:r w:rsidRPr="009B07AB">
        <w:lastRenderedPageBreak/>
        <w:t>MHz band, by auction (with a reserve price) for a 10 MHz duplex spectrum resource</w:t>
      </w:r>
      <w:r w:rsidRPr="00990FF1">
        <w:rPr>
          <w:vertAlign w:val="superscript"/>
        </w:rPr>
        <w:footnoteReference w:id="37"/>
      </w:r>
      <w:r>
        <w:t>.</w:t>
      </w:r>
      <w:r w:rsidRPr="009B07AB">
        <w:t xml:space="preserve"> As the auction was not successful, ATRA </w:t>
      </w:r>
      <w:r w:rsidRPr="00930AC2">
        <w:rPr>
          <w:rStyle w:val="Strong"/>
        </w:rPr>
        <w:t>decided</w:t>
      </w:r>
      <w:r w:rsidRPr="009B07AB">
        <w:t xml:space="preserve"> to award 3G </w:t>
      </w:r>
      <w:proofErr w:type="spellStart"/>
      <w:r w:rsidRPr="009B07AB">
        <w:t>licences</w:t>
      </w:r>
      <w:proofErr w:type="spellEnd"/>
      <w:r w:rsidRPr="009B07AB">
        <w:t xml:space="preserve"> administratively. Three incumbent TSPs with GSM </w:t>
      </w:r>
      <w:proofErr w:type="spellStart"/>
      <w:r w:rsidRPr="009B07AB">
        <w:t>licences</w:t>
      </w:r>
      <w:proofErr w:type="spellEnd"/>
      <w:r w:rsidRPr="009B07AB">
        <w:t xml:space="preserve"> were awarded 3G </w:t>
      </w:r>
      <w:proofErr w:type="spellStart"/>
      <w:r w:rsidRPr="009B07AB">
        <w:t>licence</w:t>
      </w:r>
      <w:proofErr w:type="spellEnd"/>
      <w:r w:rsidRPr="009B07AB">
        <w:t xml:space="preserve"> at $25 million.  </w:t>
      </w:r>
    </w:p>
    <w:p w:rsidR="007A5BDD" w:rsidRDefault="007A5BDD" w:rsidP="007A5BDD">
      <w:pPr>
        <w:spacing w:line="360" w:lineRule="auto"/>
        <w:ind w:left="360"/>
      </w:pPr>
    </w:p>
    <w:p w:rsidR="007A5BDD" w:rsidRDefault="007A5BDD" w:rsidP="007A5BDD">
      <w:pPr>
        <w:spacing w:line="360" w:lineRule="auto"/>
        <w:ind w:left="360"/>
      </w:pPr>
    </w:p>
    <w:p w:rsidR="007A5BDD" w:rsidRDefault="007A5BDD" w:rsidP="007A5BDD">
      <w:pPr>
        <w:spacing w:line="360" w:lineRule="auto"/>
        <w:ind w:left="360"/>
      </w:pPr>
    </w:p>
    <w:p w:rsidR="007A5BDD" w:rsidRDefault="007A5BDD" w:rsidP="007A5BDD">
      <w:pPr>
        <w:spacing w:line="360" w:lineRule="auto"/>
        <w:ind w:left="360"/>
      </w:pPr>
    </w:p>
    <w:p w:rsidR="007A5BDD" w:rsidRPr="009B07AB" w:rsidRDefault="007A5BDD" w:rsidP="007A5BDD">
      <w:pPr>
        <w:spacing w:line="360" w:lineRule="auto"/>
        <w:ind w:left="360"/>
      </w:pPr>
    </w:p>
    <w:p w:rsidR="007A5BDD" w:rsidRPr="009B07AB" w:rsidRDefault="007A5BDD" w:rsidP="007A5BDD">
      <w:pPr>
        <w:pStyle w:val="ListParagraph"/>
        <w:shd w:val="clear" w:color="auto" w:fill="FFFFFF"/>
        <w:tabs>
          <w:tab w:val="left" w:pos="810"/>
        </w:tabs>
        <w:jc w:val="center"/>
        <w:rPr>
          <w:b/>
          <w:szCs w:val="20"/>
        </w:rPr>
      </w:pPr>
      <w:r w:rsidRPr="009B07AB">
        <w:rPr>
          <w:b/>
          <w:szCs w:val="20"/>
        </w:rPr>
        <w:t>Table 4</w:t>
      </w:r>
    </w:p>
    <w:p w:rsidR="007A5BDD" w:rsidRDefault="007A5BDD" w:rsidP="007A5BDD">
      <w:pPr>
        <w:pStyle w:val="ListParagraph"/>
        <w:shd w:val="clear" w:color="auto" w:fill="FFFFFF"/>
        <w:tabs>
          <w:tab w:val="left" w:pos="810"/>
        </w:tabs>
        <w:jc w:val="center"/>
        <w:rPr>
          <w:b/>
          <w:szCs w:val="20"/>
        </w:rPr>
      </w:pPr>
      <w:r w:rsidRPr="009B07AB">
        <w:rPr>
          <w:b/>
          <w:szCs w:val="20"/>
        </w:rPr>
        <w:t xml:space="preserve">Mobile Cellular </w:t>
      </w:r>
      <w:proofErr w:type="spellStart"/>
      <w:r w:rsidRPr="009B07AB">
        <w:rPr>
          <w:b/>
          <w:szCs w:val="20"/>
        </w:rPr>
        <w:t>licence</w:t>
      </w:r>
      <w:proofErr w:type="spellEnd"/>
      <w:r w:rsidRPr="009B07AB">
        <w:rPr>
          <w:b/>
          <w:szCs w:val="20"/>
        </w:rPr>
        <w:t xml:space="preserve"> (GSM / CDMA):</w:t>
      </w:r>
    </w:p>
    <w:p w:rsidR="007A5BDD" w:rsidRPr="009B07AB" w:rsidRDefault="007A5BDD" w:rsidP="007A5BDD">
      <w:pPr>
        <w:pStyle w:val="ListParagraph"/>
        <w:shd w:val="clear" w:color="auto" w:fill="FFFFFF"/>
        <w:tabs>
          <w:tab w:val="left" w:pos="810"/>
        </w:tabs>
        <w:jc w:val="center"/>
        <w:rPr>
          <w:b/>
          <w:szCs w:val="20"/>
        </w:rPr>
      </w:pPr>
    </w:p>
    <w:tbl>
      <w:tblPr>
        <w:tblStyle w:val="TableGrid"/>
        <w:tblW w:w="9630" w:type="dxa"/>
        <w:tblInd w:w="198" w:type="dxa"/>
        <w:tblLayout w:type="fixed"/>
        <w:tblLook w:val="04A0" w:firstRow="1" w:lastRow="0" w:firstColumn="1" w:lastColumn="0" w:noHBand="0" w:noVBand="1"/>
      </w:tblPr>
      <w:tblGrid>
        <w:gridCol w:w="1350"/>
        <w:gridCol w:w="1890"/>
        <w:gridCol w:w="1440"/>
        <w:gridCol w:w="1080"/>
        <w:gridCol w:w="1170"/>
        <w:gridCol w:w="1350"/>
        <w:gridCol w:w="1350"/>
      </w:tblGrid>
      <w:tr w:rsidR="007A5BDD" w:rsidRPr="009476CF" w:rsidTr="00440CBA">
        <w:tc>
          <w:tcPr>
            <w:tcW w:w="1350" w:type="dxa"/>
          </w:tcPr>
          <w:p w:rsidR="007A5BDD" w:rsidRPr="009476CF" w:rsidRDefault="007A5BDD" w:rsidP="00440CBA">
            <w:pPr>
              <w:pStyle w:val="ListParagraph"/>
              <w:tabs>
                <w:tab w:val="left" w:pos="810"/>
              </w:tabs>
              <w:rPr>
                <w:b/>
                <w:sz w:val="20"/>
                <w:szCs w:val="22"/>
              </w:rPr>
            </w:pPr>
            <w:r w:rsidRPr="009476CF">
              <w:rPr>
                <w:b/>
                <w:sz w:val="20"/>
                <w:szCs w:val="22"/>
              </w:rPr>
              <w:t>Licensee</w:t>
            </w:r>
          </w:p>
        </w:tc>
        <w:tc>
          <w:tcPr>
            <w:tcW w:w="1890" w:type="dxa"/>
          </w:tcPr>
          <w:p w:rsidR="007A5BDD" w:rsidRPr="009476CF" w:rsidRDefault="007A5BDD" w:rsidP="00440CBA">
            <w:pPr>
              <w:pStyle w:val="ListParagraph"/>
              <w:rPr>
                <w:b/>
                <w:sz w:val="20"/>
                <w:szCs w:val="22"/>
              </w:rPr>
            </w:pPr>
            <w:r w:rsidRPr="009476CF">
              <w:rPr>
                <w:b/>
                <w:sz w:val="20"/>
                <w:szCs w:val="22"/>
              </w:rPr>
              <w:t>Issuance of license</w:t>
            </w:r>
          </w:p>
        </w:tc>
        <w:tc>
          <w:tcPr>
            <w:tcW w:w="1440" w:type="dxa"/>
          </w:tcPr>
          <w:p w:rsidR="007A5BDD" w:rsidRPr="009476CF" w:rsidRDefault="007A5BDD" w:rsidP="00440CBA">
            <w:pPr>
              <w:pStyle w:val="ListParagraph"/>
              <w:tabs>
                <w:tab w:val="left" w:pos="810"/>
              </w:tabs>
              <w:rPr>
                <w:b/>
                <w:sz w:val="20"/>
                <w:szCs w:val="22"/>
              </w:rPr>
            </w:pPr>
            <w:r w:rsidRPr="009476CF">
              <w:rPr>
                <w:b/>
                <w:sz w:val="20"/>
                <w:szCs w:val="22"/>
              </w:rPr>
              <w:t>Technology specified in licence</w:t>
            </w:r>
          </w:p>
        </w:tc>
        <w:tc>
          <w:tcPr>
            <w:tcW w:w="1080" w:type="dxa"/>
          </w:tcPr>
          <w:p w:rsidR="007A5BDD" w:rsidRPr="009476CF" w:rsidRDefault="007A5BDD" w:rsidP="00440CBA">
            <w:pPr>
              <w:pStyle w:val="ListParagraph"/>
              <w:tabs>
                <w:tab w:val="left" w:pos="810"/>
              </w:tabs>
              <w:rPr>
                <w:b/>
                <w:sz w:val="20"/>
                <w:szCs w:val="22"/>
              </w:rPr>
            </w:pPr>
            <w:r w:rsidRPr="009476CF">
              <w:rPr>
                <w:b/>
                <w:sz w:val="20"/>
                <w:szCs w:val="22"/>
              </w:rPr>
              <w:t>Expiry of license</w:t>
            </w:r>
          </w:p>
        </w:tc>
        <w:tc>
          <w:tcPr>
            <w:tcW w:w="1170" w:type="dxa"/>
          </w:tcPr>
          <w:p w:rsidR="007A5BDD" w:rsidRPr="009476CF" w:rsidRDefault="007A5BDD" w:rsidP="00440CBA">
            <w:pPr>
              <w:pStyle w:val="ListParagraph"/>
              <w:tabs>
                <w:tab w:val="left" w:pos="810"/>
              </w:tabs>
              <w:rPr>
                <w:b/>
                <w:sz w:val="20"/>
                <w:szCs w:val="22"/>
              </w:rPr>
            </w:pPr>
            <w:r w:rsidRPr="009476CF">
              <w:rPr>
                <w:b/>
                <w:sz w:val="20"/>
                <w:szCs w:val="22"/>
              </w:rPr>
              <w:t xml:space="preserve">Spectrum band </w:t>
            </w:r>
          </w:p>
        </w:tc>
        <w:tc>
          <w:tcPr>
            <w:tcW w:w="1350" w:type="dxa"/>
          </w:tcPr>
          <w:p w:rsidR="007A5BDD" w:rsidRPr="009476CF" w:rsidRDefault="007A5BDD" w:rsidP="00440CBA">
            <w:pPr>
              <w:pStyle w:val="ListParagraph"/>
              <w:tabs>
                <w:tab w:val="left" w:pos="810"/>
              </w:tabs>
              <w:rPr>
                <w:b/>
                <w:sz w:val="20"/>
                <w:szCs w:val="22"/>
              </w:rPr>
            </w:pPr>
            <w:r w:rsidRPr="009476CF">
              <w:rPr>
                <w:b/>
                <w:sz w:val="20"/>
                <w:szCs w:val="22"/>
              </w:rPr>
              <w:t>Uplink</w:t>
            </w:r>
            <w:r w:rsidRPr="009476CF">
              <w:rPr>
                <w:sz w:val="20"/>
                <w:szCs w:val="22"/>
                <w:vertAlign w:val="superscript"/>
              </w:rPr>
              <w:footnoteReference w:id="38"/>
            </w:r>
            <w:r w:rsidRPr="009476CF">
              <w:rPr>
                <w:b/>
                <w:sz w:val="20"/>
                <w:szCs w:val="22"/>
              </w:rPr>
              <w:t xml:space="preserve"> (MHz)</w:t>
            </w:r>
          </w:p>
        </w:tc>
        <w:tc>
          <w:tcPr>
            <w:tcW w:w="1350" w:type="dxa"/>
          </w:tcPr>
          <w:p w:rsidR="007A5BDD" w:rsidRPr="009476CF" w:rsidRDefault="007A5BDD" w:rsidP="00440CBA">
            <w:pPr>
              <w:pStyle w:val="ListParagraph"/>
              <w:tabs>
                <w:tab w:val="left" w:pos="810"/>
              </w:tabs>
              <w:rPr>
                <w:b/>
                <w:sz w:val="20"/>
                <w:szCs w:val="22"/>
              </w:rPr>
            </w:pPr>
            <w:r w:rsidRPr="009476CF">
              <w:rPr>
                <w:b/>
                <w:sz w:val="20"/>
                <w:szCs w:val="22"/>
              </w:rPr>
              <w:t>Downlink (MHz)</w:t>
            </w:r>
          </w:p>
        </w:tc>
      </w:tr>
      <w:tr w:rsidR="007A5BDD" w:rsidRPr="009476CF" w:rsidTr="00440CBA">
        <w:trPr>
          <w:trHeight w:val="557"/>
        </w:trPr>
        <w:tc>
          <w:tcPr>
            <w:tcW w:w="1350" w:type="dxa"/>
            <w:vMerge w:val="restart"/>
          </w:tcPr>
          <w:p w:rsidR="007A5BDD" w:rsidRPr="009476CF" w:rsidRDefault="007A5BDD" w:rsidP="00440CBA">
            <w:pPr>
              <w:pStyle w:val="ListParagraph"/>
              <w:tabs>
                <w:tab w:val="left" w:pos="810"/>
              </w:tabs>
              <w:rPr>
                <w:sz w:val="20"/>
                <w:szCs w:val="22"/>
              </w:rPr>
            </w:pPr>
            <w:r w:rsidRPr="009476CF">
              <w:rPr>
                <w:sz w:val="20"/>
                <w:szCs w:val="22"/>
              </w:rPr>
              <w:t>AWCC</w:t>
            </w:r>
          </w:p>
        </w:tc>
        <w:tc>
          <w:tcPr>
            <w:tcW w:w="1890" w:type="dxa"/>
            <w:vMerge w:val="restart"/>
          </w:tcPr>
          <w:p w:rsidR="007A5BDD" w:rsidRPr="009476CF" w:rsidRDefault="007A5BDD" w:rsidP="00440CBA">
            <w:pPr>
              <w:pStyle w:val="ListParagraph"/>
              <w:tabs>
                <w:tab w:val="left" w:pos="810"/>
              </w:tabs>
              <w:rPr>
                <w:sz w:val="20"/>
                <w:szCs w:val="22"/>
              </w:rPr>
            </w:pPr>
            <w:r w:rsidRPr="009476CF">
              <w:rPr>
                <w:sz w:val="20"/>
                <w:szCs w:val="22"/>
              </w:rPr>
              <w:t>Awarded Administratively in 2003 at $5 million</w:t>
            </w:r>
          </w:p>
        </w:tc>
        <w:tc>
          <w:tcPr>
            <w:tcW w:w="1440" w:type="dxa"/>
            <w:vMerge w:val="restart"/>
          </w:tcPr>
          <w:p w:rsidR="007A5BDD" w:rsidRPr="009476CF" w:rsidRDefault="007A5BDD" w:rsidP="00440CBA">
            <w:pPr>
              <w:pStyle w:val="ListParagraph"/>
              <w:tabs>
                <w:tab w:val="left" w:pos="810"/>
              </w:tabs>
              <w:rPr>
                <w:sz w:val="20"/>
                <w:szCs w:val="22"/>
              </w:rPr>
            </w:pPr>
            <w:r w:rsidRPr="009476CF">
              <w:rPr>
                <w:sz w:val="20"/>
                <w:szCs w:val="22"/>
              </w:rPr>
              <w:t xml:space="preserve"> GSM</w:t>
            </w:r>
          </w:p>
        </w:tc>
        <w:tc>
          <w:tcPr>
            <w:tcW w:w="1080" w:type="dxa"/>
            <w:vMerge w:val="restart"/>
          </w:tcPr>
          <w:p w:rsidR="007A5BDD" w:rsidRPr="009476CF" w:rsidRDefault="007A5BDD" w:rsidP="00440CBA">
            <w:pPr>
              <w:pStyle w:val="ListParagraph"/>
              <w:tabs>
                <w:tab w:val="left" w:pos="810"/>
              </w:tabs>
              <w:rPr>
                <w:sz w:val="20"/>
                <w:szCs w:val="22"/>
              </w:rPr>
            </w:pPr>
            <w:r w:rsidRPr="009476CF">
              <w:rPr>
                <w:sz w:val="20"/>
                <w:szCs w:val="22"/>
              </w:rPr>
              <w:t>2018</w:t>
            </w:r>
          </w:p>
        </w:tc>
        <w:tc>
          <w:tcPr>
            <w:tcW w:w="1170" w:type="dxa"/>
          </w:tcPr>
          <w:p w:rsidR="007A5BDD" w:rsidRPr="009476CF" w:rsidRDefault="007A5BDD" w:rsidP="00440CBA">
            <w:pPr>
              <w:pStyle w:val="ListParagraph"/>
              <w:tabs>
                <w:tab w:val="left" w:pos="810"/>
              </w:tabs>
              <w:rPr>
                <w:sz w:val="20"/>
                <w:szCs w:val="22"/>
              </w:rPr>
            </w:pPr>
            <w:r w:rsidRPr="009476CF">
              <w:rPr>
                <w:sz w:val="20"/>
                <w:szCs w:val="22"/>
              </w:rPr>
              <w:t>P-GSM 900</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 xml:space="preserve">829.2-898.0 </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935.2-943</w:t>
            </w:r>
          </w:p>
        </w:tc>
      </w:tr>
      <w:tr w:rsidR="007A5BDD" w:rsidRPr="009476CF" w:rsidTr="00440CBA">
        <w:trPr>
          <w:trHeight w:val="530"/>
        </w:trPr>
        <w:tc>
          <w:tcPr>
            <w:tcW w:w="1350" w:type="dxa"/>
            <w:vMerge/>
          </w:tcPr>
          <w:p w:rsidR="007A5BDD" w:rsidRPr="009476CF" w:rsidRDefault="007A5BDD" w:rsidP="00440CBA">
            <w:pPr>
              <w:pStyle w:val="ListParagraph"/>
              <w:tabs>
                <w:tab w:val="left" w:pos="810"/>
              </w:tabs>
              <w:rPr>
                <w:sz w:val="20"/>
                <w:szCs w:val="22"/>
              </w:rPr>
            </w:pPr>
          </w:p>
        </w:tc>
        <w:tc>
          <w:tcPr>
            <w:tcW w:w="1890" w:type="dxa"/>
            <w:vMerge/>
          </w:tcPr>
          <w:p w:rsidR="007A5BDD" w:rsidRPr="009476CF" w:rsidRDefault="007A5BDD" w:rsidP="00440CBA">
            <w:pPr>
              <w:pStyle w:val="ListParagraph"/>
              <w:tabs>
                <w:tab w:val="left" w:pos="810"/>
              </w:tabs>
              <w:rPr>
                <w:sz w:val="20"/>
                <w:szCs w:val="22"/>
              </w:rPr>
            </w:pPr>
          </w:p>
        </w:tc>
        <w:tc>
          <w:tcPr>
            <w:tcW w:w="1440" w:type="dxa"/>
            <w:vMerge/>
          </w:tcPr>
          <w:p w:rsidR="007A5BDD" w:rsidRPr="009476CF" w:rsidRDefault="007A5BDD" w:rsidP="00440CBA">
            <w:pPr>
              <w:pStyle w:val="ListParagraph"/>
              <w:tabs>
                <w:tab w:val="left" w:pos="810"/>
              </w:tabs>
              <w:rPr>
                <w:sz w:val="20"/>
                <w:szCs w:val="22"/>
              </w:rPr>
            </w:pPr>
          </w:p>
        </w:tc>
        <w:tc>
          <w:tcPr>
            <w:tcW w:w="1080" w:type="dxa"/>
            <w:vMerge/>
          </w:tcPr>
          <w:p w:rsidR="007A5BDD" w:rsidRPr="009476CF" w:rsidRDefault="007A5BDD" w:rsidP="00440CBA">
            <w:pPr>
              <w:pStyle w:val="ListParagraph"/>
              <w:tabs>
                <w:tab w:val="left" w:pos="810"/>
              </w:tabs>
              <w:rPr>
                <w:sz w:val="20"/>
                <w:szCs w:val="22"/>
              </w:rPr>
            </w:pPr>
          </w:p>
        </w:tc>
        <w:tc>
          <w:tcPr>
            <w:tcW w:w="1170" w:type="dxa"/>
          </w:tcPr>
          <w:p w:rsidR="007A5BDD" w:rsidRPr="009476CF" w:rsidRDefault="007A5BDD" w:rsidP="00440CBA">
            <w:pPr>
              <w:pStyle w:val="ListParagraph"/>
              <w:tabs>
                <w:tab w:val="left" w:pos="810"/>
              </w:tabs>
              <w:rPr>
                <w:sz w:val="20"/>
                <w:szCs w:val="22"/>
              </w:rPr>
            </w:pPr>
            <w:r w:rsidRPr="009476CF">
              <w:rPr>
                <w:sz w:val="20"/>
                <w:szCs w:val="22"/>
              </w:rPr>
              <w:t>GSM 1800</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 xml:space="preserve">1730.2-1736 </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1825.2-1831</w:t>
            </w:r>
          </w:p>
        </w:tc>
      </w:tr>
      <w:tr w:rsidR="007A5BDD" w:rsidRPr="009476CF" w:rsidTr="00440CBA">
        <w:trPr>
          <w:trHeight w:val="494"/>
        </w:trPr>
        <w:tc>
          <w:tcPr>
            <w:tcW w:w="1350" w:type="dxa"/>
            <w:vMerge/>
          </w:tcPr>
          <w:p w:rsidR="007A5BDD" w:rsidRPr="009476CF" w:rsidRDefault="007A5BDD" w:rsidP="00440CBA">
            <w:pPr>
              <w:pStyle w:val="ListParagraph"/>
              <w:tabs>
                <w:tab w:val="left" w:pos="810"/>
              </w:tabs>
              <w:rPr>
                <w:sz w:val="20"/>
                <w:szCs w:val="22"/>
              </w:rPr>
            </w:pPr>
          </w:p>
        </w:tc>
        <w:tc>
          <w:tcPr>
            <w:tcW w:w="1890" w:type="dxa"/>
          </w:tcPr>
          <w:p w:rsidR="007A5BDD" w:rsidRPr="009476CF" w:rsidRDefault="007A5BDD" w:rsidP="00440CBA">
            <w:pPr>
              <w:pStyle w:val="ListParagraph"/>
              <w:tabs>
                <w:tab w:val="left" w:pos="810"/>
              </w:tabs>
              <w:rPr>
                <w:sz w:val="20"/>
                <w:szCs w:val="22"/>
              </w:rPr>
            </w:pPr>
            <w:r w:rsidRPr="009476CF">
              <w:rPr>
                <w:sz w:val="20"/>
                <w:szCs w:val="22"/>
              </w:rPr>
              <w:t>Administratively in 2012 at $25 million</w:t>
            </w:r>
          </w:p>
        </w:tc>
        <w:tc>
          <w:tcPr>
            <w:tcW w:w="1440" w:type="dxa"/>
          </w:tcPr>
          <w:p w:rsidR="007A5BDD" w:rsidRPr="009476CF" w:rsidRDefault="007A5BDD" w:rsidP="00440CBA">
            <w:pPr>
              <w:pStyle w:val="ListParagraph"/>
              <w:tabs>
                <w:tab w:val="left" w:pos="810"/>
              </w:tabs>
              <w:rPr>
                <w:sz w:val="20"/>
                <w:szCs w:val="22"/>
              </w:rPr>
            </w:pPr>
            <w:r w:rsidRPr="009476CF">
              <w:rPr>
                <w:sz w:val="20"/>
                <w:szCs w:val="22"/>
              </w:rPr>
              <w:t>3G</w:t>
            </w:r>
          </w:p>
        </w:tc>
        <w:tc>
          <w:tcPr>
            <w:tcW w:w="1080" w:type="dxa"/>
          </w:tcPr>
          <w:p w:rsidR="007A5BDD" w:rsidRPr="009476CF" w:rsidRDefault="007A5BDD" w:rsidP="00440CBA">
            <w:pPr>
              <w:pStyle w:val="ListParagraph"/>
              <w:tabs>
                <w:tab w:val="left" w:pos="810"/>
              </w:tabs>
              <w:rPr>
                <w:sz w:val="20"/>
                <w:szCs w:val="22"/>
              </w:rPr>
            </w:pPr>
            <w:r w:rsidRPr="009476CF">
              <w:rPr>
                <w:sz w:val="20"/>
                <w:szCs w:val="22"/>
              </w:rPr>
              <w:t>NA</w:t>
            </w:r>
          </w:p>
        </w:tc>
        <w:tc>
          <w:tcPr>
            <w:tcW w:w="1170" w:type="dxa"/>
          </w:tcPr>
          <w:p w:rsidR="007A5BDD" w:rsidRPr="009476CF" w:rsidRDefault="007A5BDD" w:rsidP="00440CBA">
            <w:pPr>
              <w:pStyle w:val="ListParagraph"/>
              <w:tabs>
                <w:tab w:val="left" w:pos="810"/>
              </w:tabs>
              <w:rPr>
                <w:sz w:val="20"/>
                <w:szCs w:val="22"/>
              </w:rPr>
            </w:pPr>
            <w:r w:rsidRPr="009476CF">
              <w:rPr>
                <w:sz w:val="20"/>
                <w:szCs w:val="22"/>
              </w:rPr>
              <w:t>2100</w:t>
            </w:r>
          </w:p>
        </w:tc>
        <w:tc>
          <w:tcPr>
            <w:tcW w:w="1350" w:type="dxa"/>
          </w:tcPr>
          <w:p w:rsidR="007A5BDD" w:rsidRPr="009476CF" w:rsidRDefault="007A5BDD" w:rsidP="00440CBA">
            <w:pPr>
              <w:pStyle w:val="ListParagraph"/>
              <w:tabs>
                <w:tab w:val="left" w:pos="810"/>
              </w:tabs>
              <w:rPr>
                <w:sz w:val="20"/>
                <w:szCs w:val="22"/>
              </w:rPr>
            </w:pPr>
          </w:p>
        </w:tc>
        <w:tc>
          <w:tcPr>
            <w:tcW w:w="1350" w:type="dxa"/>
          </w:tcPr>
          <w:p w:rsidR="007A5BDD" w:rsidRPr="009476CF" w:rsidRDefault="007A5BDD" w:rsidP="00440CBA">
            <w:pPr>
              <w:pStyle w:val="ListParagraph"/>
              <w:tabs>
                <w:tab w:val="left" w:pos="810"/>
              </w:tabs>
              <w:rPr>
                <w:sz w:val="20"/>
                <w:szCs w:val="22"/>
              </w:rPr>
            </w:pPr>
          </w:p>
        </w:tc>
      </w:tr>
      <w:tr w:rsidR="007A5BDD" w:rsidRPr="009476CF" w:rsidTr="00440CBA">
        <w:trPr>
          <w:trHeight w:val="548"/>
        </w:trPr>
        <w:tc>
          <w:tcPr>
            <w:tcW w:w="1350" w:type="dxa"/>
            <w:vMerge w:val="restart"/>
          </w:tcPr>
          <w:p w:rsidR="007A5BDD" w:rsidRPr="009476CF" w:rsidRDefault="007A5BDD" w:rsidP="00440CBA">
            <w:pPr>
              <w:pStyle w:val="ListParagraph"/>
              <w:tabs>
                <w:tab w:val="left" w:pos="810"/>
              </w:tabs>
              <w:rPr>
                <w:sz w:val="20"/>
                <w:szCs w:val="22"/>
              </w:rPr>
            </w:pPr>
            <w:proofErr w:type="spellStart"/>
            <w:r w:rsidRPr="009476CF">
              <w:rPr>
                <w:sz w:val="20"/>
                <w:szCs w:val="22"/>
              </w:rPr>
              <w:t>Roshan</w:t>
            </w:r>
            <w:proofErr w:type="spellEnd"/>
          </w:p>
        </w:tc>
        <w:tc>
          <w:tcPr>
            <w:tcW w:w="1890" w:type="dxa"/>
            <w:vMerge w:val="restart"/>
          </w:tcPr>
          <w:p w:rsidR="007A5BDD" w:rsidRPr="009476CF" w:rsidRDefault="007A5BDD" w:rsidP="00440CBA">
            <w:pPr>
              <w:pStyle w:val="ListParagraph"/>
              <w:tabs>
                <w:tab w:val="left" w:pos="810"/>
              </w:tabs>
              <w:rPr>
                <w:sz w:val="20"/>
                <w:szCs w:val="22"/>
              </w:rPr>
            </w:pPr>
            <w:r w:rsidRPr="009476CF">
              <w:rPr>
                <w:sz w:val="20"/>
                <w:szCs w:val="22"/>
              </w:rPr>
              <w:t>Awarded Administratively in 2003 at $5 million</w:t>
            </w:r>
          </w:p>
        </w:tc>
        <w:tc>
          <w:tcPr>
            <w:tcW w:w="1440" w:type="dxa"/>
            <w:vMerge w:val="restart"/>
          </w:tcPr>
          <w:p w:rsidR="007A5BDD" w:rsidRPr="009476CF" w:rsidRDefault="007A5BDD" w:rsidP="00440CBA">
            <w:pPr>
              <w:pStyle w:val="ListParagraph"/>
              <w:tabs>
                <w:tab w:val="left" w:pos="810"/>
              </w:tabs>
              <w:rPr>
                <w:sz w:val="20"/>
                <w:szCs w:val="22"/>
              </w:rPr>
            </w:pPr>
            <w:r w:rsidRPr="009476CF">
              <w:rPr>
                <w:sz w:val="20"/>
                <w:szCs w:val="22"/>
              </w:rPr>
              <w:t xml:space="preserve"> GSM</w:t>
            </w:r>
          </w:p>
        </w:tc>
        <w:tc>
          <w:tcPr>
            <w:tcW w:w="1080" w:type="dxa"/>
            <w:vMerge w:val="restart"/>
          </w:tcPr>
          <w:p w:rsidR="007A5BDD" w:rsidRPr="009476CF" w:rsidRDefault="007A5BDD" w:rsidP="00440CBA">
            <w:pPr>
              <w:pStyle w:val="ListParagraph"/>
              <w:tabs>
                <w:tab w:val="left" w:pos="810"/>
              </w:tabs>
              <w:rPr>
                <w:sz w:val="20"/>
                <w:szCs w:val="22"/>
              </w:rPr>
            </w:pPr>
            <w:r w:rsidRPr="009476CF">
              <w:rPr>
                <w:sz w:val="20"/>
                <w:szCs w:val="22"/>
              </w:rPr>
              <w:t>2018</w:t>
            </w:r>
          </w:p>
        </w:tc>
        <w:tc>
          <w:tcPr>
            <w:tcW w:w="1170" w:type="dxa"/>
          </w:tcPr>
          <w:p w:rsidR="007A5BDD" w:rsidRPr="009476CF" w:rsidRDefault="007A5BDD" w:rsidP="00440CBA">
            <w:pPr>
              <w:pStyle w:val="ListParagraph"/>
              <w:tabs>
                <w:tab w:val="left" w:pos="810"/>
              </w:tabs>
              <w:rPr>
                <w:sz w:val="20"/>
                <w:szCs w:val="22"/>
              </w:rPr>
            </w:pPr>
            <w:r w:rsidRPr="009476CF">
              <w:rPr>
                <w:sz w:val="20"/>
                <w:szCs w:val="22"/>
              </w:rPr>
              <w:t>P-GSM 900</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898.4-906.2</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934-951.2</w:t>
            </w:r>
          </w:p>
        </w:tc>
      </w:tr>
      <w:tr w:rsidR="007A5BDD" w:rsidRPr="009476CF" w:rsidTr="00440CBA">
        <w:trPr>
          <w:trHeight w:val="530"/>
        </w:trPr>
        <w:tc>
          <w:tcPr>
            <w:tcW w:w="1350" w:type="dxa"/>
            <w:vMerge/>
          </w:tcPr>
          <w:p w:rsidR="007A5BDD" w:rsidRPr="009476CF" w:rsidRDefault="007A5BDD" w:rsidP="00440CBA">
            <w:pPr>
              <w:pStyle w:val="ListParagraph"/>
              <w:tabs>
                <w:tab w:val="left" w:pos="810"/>
              </w:tabs>
              <w:rPr>
                <w:sz w:val="20"/>
                <w:szCs w:val="22"/>
              </w:rPr>
            </w:pPr>
          </w:p>
        </w:tc>
        <w:tc>
          <w:tcPr>
            <w:tcW w:w="1890" w:type="dxa"/>
            <w:vMerge/>
          </w:tcPr>
          <w:p w:rsidR="007A5BDD" w:rsidRPr="009476CF" w:rsidRDefault="007A5BDD" w:rsidP="00440CBA">
            <w:pPr>
              <w:pStyle w:val="ListParagraph"/>
              <w:tabs>
                <w:tab w:val="left" w:pos="810"/>
              </w:tabs>
              <w:rPr>
                <w:sz w:val="20"/>
                <w:szCs w:val="22"/>
              </w:rPr>
            </w:pPr>
          </w:p>
        </w:tc>
        <w:tc>
          <w:tcPr>
            <w:tcW w:w="1440" w:type="dxa"/>
            <w:vMerge/>
          </w:tcPr>
          <w:p w:rsidR="007A5BDD" w:rsidRPr="009476CF" w:rsidRDefault="007A5BDD" w:rsidP="00440CBA">
            <w:pPr>
              <w:pStyle w:val="ListParagraph"/>
              <w:tabs>
                <w:tab w:val="left" w:pos="810"/>
              </w:tabs>
              <w:rPr>
                <w:sz w:val="20"/>
                <w:szCs w:val="22"/>
              </w:rPr>
            </w:pPr>
          </w:p>
        </w:tc>
        <w:tc>
          <w:tcPr>
            <w:tcW w:w="1080" w:type="dxa"/>
            <w:vMerge/>
          </w:tcPr>
          <w:p w:rsidR="007A5BDD" w:rsidRPr="009476CF" w:rsidRDefault="007A5BDD" w:rsidP="00440CBA">
            <w:pPr>
              <w:pStyle w:val="ListParagraph"/>
              <w:tabs>
                <w:tab w:val="left" w:pos="810"/>
              </w:tabs>
              <w:rPr>
                <w:sz w:val="20"/>
                <w:szCs w:val="22"/>
              </w:rPr>
            </w:pPr>
          </w:p>
        </w:tc>
        <w:tc>
          <w:tcPr>
            <w:tcW w:w="1170" w:type="dxa"/>
          </w:tcPr>
          <w:p w:rsidR="007A5BDD" w:rsidRPr="009476CF" w:rsidRDefault="007A5BDD" w:rsidP="00440CBA">
            <w:pPr>
              <w:pStyle w:val="ListParagraph"/>
              <w:tabs>
                <w:tab w:val="left" w:pos="810"/>
              </w:tabs>
              <w:rPr>
                <w:sz w:val="20"/>
                <w:szCs w:val="22"/>
              </w:rPr>
            </w:pPr>
            <w:r w:rsidRPr="009476CF">
              <w:rPr>
                <w:sz w:val="20"/>
                <w:szCs w:val="22"/>
              </w:rPr>
              <w:t>GSM 1800</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 xml:space="preserve">1742.6-1748.4 </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1837.6-1843.4</w:t>
            </w:r>
          </w:p>
        </w:tc>
      </w:tr>
      <w:tr w:rsidR="007A5BDD" w:rsidRPr="009476CF" w:rsidTr="00440CBA">
        <w:trPr>
          <w:trHeight w:val="710"/>
        </w:trPr>
        <w:tc>
          <w:tcPr>
            <w:tcW w:w="1350" w:type="dxa"/>
            <w:vMerge/>
          </w:tcPr>
          <w:p w:rsidR="007A5BDD" w:rsidRPr="009476CF" w:rsidRDefault="007A5BDD" w:rsidP="00440CBA">
            <w:pPr>
              <w:pStyle w:val="ListParagraph"/>
              <w:tabs>
                <w:tab w:val="left" w:pos="810"/>
              </w:tabs>
              <w:rPr>
                <w:sz w:val="20"/>
                <w:szCs w:val="22"/>
              </w:rPr>
            </w:pPr>
          </w:p>
        </w:tc>
        <w:tc>
          <w:tcPr>
            <w:tcW w:w="1890" w:type="dxa"/>
          </w:tcPr>
          <w:p w:rsidR="007A5BDD" w:rsidRPr="009476CF" w:rsidRDefault="007A5BDD" w:rsidP="00440CBA">
            <w:pPr>
              <w:pStyle w:val="ListParagraph"/>
              <w:tabs>
                <w:tab w:val="left" w:pos="810"/>
              </w:tabs>
              <w:rPr>
                <w:sz w:val="20"/>
                <w:szCs w:val="22"/>
              </w:rPr>
            </w:pPr>
            <w:r w:rsidRPr="009476CF">
              <w:rPr>
                <w:sz w:val="20"/>
                <w:szCs w:val="22"/>
              </w:rPr>
              <w:t>Administratively in 2012 at $25 million</w:t>
            </w:r>
          </w:p>
        </w:tc>
        <w:tc>
          <w:tcPr>
            <w:tcW w:w="1440" w:type="dxa"/>
          </w:tcPr>
          <w:p w:rsidR="007A5BDD" w:rsidRPr="009476CF" w:rsidRDefault="007A5BDD" w:rsidP="00440CBA">
            <w:pPr>
              <w:pStyle w:val="ListParagraph"/>
              <w:tabs>
                <w:tab w:val="left" w:pos="810"/>
              </w:tabs>
              <w:rPr>
                <w:sz w:val="20"/>
                <w:szCs w:val="22"/>
              </w:rPr>
            </w:pPr>
            <w:r w:rsidRPr="009476CF">
              <w:rPr>
                <w:sz w:val="20"/>
                <w:szCs w:val="22"/>
              </w:rPr>
              <w:t>3G</w:t>
            </w:r>
          </w:p>
        </w:tc>
        <w:tc>
          <w:tcPr>
            <w:tcW w:w="1080" w:type="dxa"/>
          </w:tcPr>
          <w:p w:rsidR="007A5BDD" w:rsidRPr="009476CF" w:rsidRDefault="007A5BDD" w:rsidP="00440CBA">
            <w:pPr>
              <w:pStyle w:val="ListParagraph"/>
              <w:tabs>
                <w:tab w:val="left" w:pos="810"/>
              </w:tabs>
              <w:rPr>
                <w:sz w:val="20"/>
                <w:szCs w:val="22"/>
              </w:rPr>
            </w:pPr>
            <w:r w:rsidRPr="009476CF">
              <w:rPr>
                <w:sz w:val="20"/>
                <w:szCs w:val="22"/>
              </w:rPr>
              <w:t>NA</w:t>
            </w:r>
          </w:p>
        </w:tc>
        <w:tc>
          <w:tcPr>
            <w:tcW w:w="1170" w:type="dxa"/>
          </w:tcPr>
          <w:p w:rsidR="007A5BDD" w:rsidRPr="009476CF" w:rsidRDefault="007A5BDD" w:rsidP="00440CBA">
            <w:pPr>
              <w:pStyle w:val="ListParagraph"/>
              <w:tabs>
                <w:tab w:val="left" w:pos="810"/>
              </w:tabs>
              <w:rPr>
                <w:sz w:val="20"/>
                <w:szCs w:val="22"/>
              </w:rPr>
            </w:pPr>
            <w:r w:rsidRPr="009476CF">
              <w:rPr>
                <w:sz w:val="20"/>
                <w:szCs w:val="22"/>
              </w:rPr>
              <w:t>2100</w:t>
            </w:r>
          </w:p>
        </w:tc>
        <w:tc>
          <w:tcPr>
            <w:tcW w:w="1350" w:type="dxa"/>
          </w:tcPr>
          <w:p w:rsidR="007A5BDD" w:rsidRPr="009476CF" w:rsidRDefault="007A5BDD" w:rsidP="00440CBA">
            <w:pPr>
              <w:pStyle w:val="ListParagraph"/>
              <w:tabs>
                <w:tab w:val="left" w:pos="810"/>
              </w:tabs>
              <w:rPr>
                <w:sz w:val="20"/>
                <w:szCs w:val="22"/>
              </w:rPr>
            </w:pPr>
          </w:p>
        </w:tc>
        <w:tc>
          <w:tcPr>
            <w:tcW w:w="1350" w:type="dxa"/>
          </w:tcPr>
          <w:p w:rsidR="007A5BDD" w:rsidRPr="009476CF" w:rsidRDefault="007A5BDD" w:rsidP="00440CBA">
            <w:pPr>
              <w:pStyle w:val="ListParagraph"/>
              <w:tabs>
                <w:tab w:val="left" w:pos="810"/>
              </w:tabs>
              <w:rPr>
                <w:sz w:val="20"/>
                <w:szCs w:val="22"/>
              </w:rPr>
            </w:pPr>
          </w:p>
        </w:tc>
      </w:tr>
      <w:tr w:rsidR="007A5BDD" w:rsidRPr="009476CF" w:rsidTr="00440CBA">
        <w:trPr>
          <w:trHeight w:val="530"/>
        </w:trPr>
        <w:tc>
          <w:tcPr>
            <w:tcW w:w="1350" w:type="dxa"/>
            <w:vMerge w:val="restart"/>
          </w:tcPr>
          <w:p w:rsidR="007A5BDD" w:rsidRPr="009476CF" w:rsidRDefault="007A5BDD" w:rsidP="00440CBA">
            <w:pPr>
              <w:pStyle w:val="ListParagraph"/>
              <w:tabs>
                <w:tab w:val="left" w:pos="810"/>
              </w:tabs>
              <w:rPr>
                <w:sz w:val="20"/>
                <w:szCs w:val="22"/>
              </w:rPr>
            </w:pPr>
            <w:r w:rsidRPr="009476CF">
              <w:rPr>
                <w:sz w:val="20"/>
                <w:szCs w:val="22"/>
              </w:rPr>
              <w:t>MTN (</w:t>
            </w:r>
            <w:proofErr w:type="spellStart"/>
            <w:r w:rsidRPr="009476CF">
              <w:rPr>
                <w:sz w:val="20"/>
                <w:szCs w:val="22"/>
              </w:rPr>
              <w:t>Areeba</w:t>
            </w:r>
            <w:proofErr w:type="spellEnd"/>
            <w:r w:rsidRPr="009476CF">
              <w:rPr>
                <w:sz w:val="20"/>
                <w:szCs w:val="22"/>
              </w:rPr>
              <w:t xml:space="preserve">) </w:t>
            </w:r>
          </w:p>
        </w:tc>
        <w:tc>
          <w:tcPr>
            <w:tcW w:w="1890" w:type="dxa"/>
            <w:vMerge w:val="restart"/>
          </w:tcPr>
          <w:p w:rsidR="007A5BDD" w:rsidRPr="009476CF" w:rsidRDefault="007A5BDD" w:rsidP="00440CBA">
            <w:pPr>
              <w:pStyle w:val="ListParagraph"/>
              <w:tabs>
                <w:tab w:val="left" w:pos="810"/>
              </w:tabs>
              <w:rPr>
                <w:sz w:val="20"/>
                <w:szCs w:val="22"/>
              </w:rPr>
            </w:pPr>
            <w:r w:rsidRPr="009476CF">
              <w:rPr>
                <w:sz w:val="20"/>
                <w:szCs w:val="22"/>
              </w:rPr>
              <w:t>Awarded by auction in 2005 at $40.1 million</w:t>
            </w:r>
          </w:p>
        </w:tc>
        <w:tc>
          <w:tcPr>
            <w:tcW w:w="1440" w:type="dxa"/>
            <w:vMerge w:val="restart"/>
          </w:tcPr>
          <w:p w:rsidR="007A5BDD" w:rsidRPr="009476CF" w:rsidRDefault="007A5BDD" w:rsidP="00440CBA">
            <w:pPr>
              <w:pStyle w:val="ListParagraph"/>
              <w:tabs>
                <w:tab w:val="left" w:pos="810"/>
              </w:tabs>
              <w:rPr>
                <w:sz w:val="20"/>
                <w:szCs w:val="22"/>
              </w:rPr>
            </w:pPr>
            <w:r w:rsidRPr="009476CF">
              <w:rPr>
                <w:sz w:val="20"/>
                <w:szCs w:val="22"/>
              </w:rPr>
              <w:t xml:space="preserve"> GSM</w:t>
            </w:r>
          </w:p>
        </w:tc>
        <w:tc>
          <w:tcPr>
            <w:tcW w:w="1080" w:type="dxa"/>
            <w:vMerge w:val="restart"/>
          </w:tcPr>
          <w:p w:rsidR="007A5BDD" w:rsidRPr="009476CF" w:rsidRDefault="007A5BDD" w:rsidP="00440CBA">
            <w:pPr>
              <w:pStyle w:val="ListParagraph"/>
              <w:tabs>
                <w:tab w:val="left" w:pos="810"/>
              </w:tabs>
              <w:rPr>
                <w:sz w:val="20"/>
                <w:szCs w:val="22"/>
              </w:rPr>
            </w:pPr>
            <w:r w:rsidRPr="009476CF">
              <w:rPr>
                <w:sz w:val="20"/>
                <w:szCs w:val="22"/>
              </w:rPr>
              <w:t>2020</w:t>
            </w:r>
          </w:p>
        </w:tc>
        <w:tc>
          <w:tcPr>
            <w:tcW w:w="1170" w:type="dxa"/>
          </w:tcPr>
          <w:p w:rsidR="007A5BDD" w:rsidRPr="009476CF" w:rsidRDefault="007A5BDD" w:rsidP="00440CBA">
            <w:pPr>
              <w:pStyle w:val="ListParagraph"/>
              <w:tabs>
                <w:tab w:val="left" w:pos="810"/>
              </w:tabs>
              <w:rPr>
                <w:sz w:val="20"/>
                <w:szCs w:val="22"/>
              </w:rPr>
            </w:pPr>
            <w:r w:rsidRPr="009476CF">
              <w:rPr>
                <w:sz w:val="20"/>
                <w:szCs w:val="22"/>
              </w:rPr>
              <w:t>P-GSM 900</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906.6-910.6</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951.6-955.6</w:t>
            </w:r>
          </w:p>
        </w:tc>
      </w:tr>
      <w:tr w:rsidR="007A5BDD" w:rsidRPr="009476CF" w:rsidTr="00440CBA">
        <w:trPr>
          <w:trHeight w:val="530"/>
        </w:trPr>
        <w:tc>
          <w:tcPr>
            <w:tcW w:w="1350" w:type="dxa"/>
            <w:vMerge/>
          </w:tcPr>
          <w:p w:rsidR="007A5BDD" w:rsidRPr="009476CF" w:rsidRDefault="007A5BDD" w:rsidP="00440CBA">
            <w:pPr>
              <w:pStyle w:val="ListParagraph"/>
              <w:tabs>
                <w:tab w:val="left" w:pos="810"/>
              </w:tabs>
              <w:rPr>
                <w:sz w:val="20"/>
                <w:szCs w:val="22"/>
              </w:rPr>
            </w:pPr>
          </w:p>
        </w:tc>
        <w:tc>
          <w:tcPr>
            <w:tcW w:w="1890" w:type="dxa"/>
            <w:vMerge/>
          </w:tcPr>
          <w:p w:rsidR="007A5BDD" w:rsidRPr="009476CF" w:rsidRDefault="007A5BDD" w:rsidP="00440CBA">
            <w:pPr>
              <w:pStyle w:val="ListParagraph"/>
              <w:tabs>
                <w:tab w:val="left" w:pos="810"/>
              </w:tabs>
              <w:rPr>
                <w:sz w:val="20"/>
                <w:szCs w:val="22"/>
              </w:rPr>
            </w:pPr>
          </w:p>
        </w:tc>
        <w:tc>
          <w:tcPr>
            <w:tcW w:w="1440" w:type="dxa"/>
            <w:vMerge/>
          </w:tcPr>
          <w:p w:rsidR="007A5BDD" w:rsidRPr="009476CF" w:rsidRDefault="007A5BDD" w:rsidP="00440CBA">
            <w:pPr>
              <w:pStyle w:val="ListParagraph"/>
              <w:tabs>
                <w:tab w:val="left" w:pos="810"/>
              </w:tabs>
              <w:rPr>
                <w:sz w:val="20"/>
                <w:szCs w:val="22"/>
              </w:rPr>
            </w:pPr>
          </w:p>
        </w:tc>
        <w:tc>
          <w:tcPr>
            <w:tcW w:w="1080" w:type="dxa"/>
            <w:vMerge/>
          </w:tcPr>
          <w:p w:rsidR="007A5BDD" w:rsidRPr="009476CF" w:rsidRDefault="007A5BDD" w:rsidP="00440CBA">
            <w:pPr>
              <w:pStyle w:val="ListParagraph"/>
              <w:tabs>
                <w:tab w:val="left" w:pos="810"/>
              </w:tabs>
              <w:rPr>
                <w:sz w:val="20"/>
                <w:szCs w:val="22"/>
              </w:rPr>
            </w:pPr>
          </w:p>
        </w:tc>
        <w:tc>
          <w:tcPr>
            <w:tcW w:w="1170" w:type="dxa"/>
          </w:tcPr>
          <w:p w:rsidR="007A5BDD" w:rsidRPr="009476CF" w:rsidRDefault="007A5BDD" w:rsidP="00440CBA">
            <w:pPr>
              <w:pStyle w:val="ListParagraph"/>
              <w:tabs>
                <w:tab w:val="left" w:pos="810"/>
              </w:tabs>
              <w:rPr>
                <w:sz w:val="20"/>
                <w:szCs w:val="22"/>
              </w:rPr>
            </w:pPr>
            <w:r w:rsidRPr="009476CF">
              <w:rPr>
                <w:sz w:val="20"/>
                <w:szCs w:val="22"/>
              </w:rPr>
              <w:t>GSM 1800</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1710.2-1719.8</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1805.2-1814.8</w:t>
            </w:r>
          </w:p>
        </w:tc>
      </w:tr>
      <w:tr w:rsidR="007A5BDD" w:rsidRPr="009476CF" w:rsidTr="00440CBA">
        <w:trPr>
          <w:trHeight w:val="710"/>
        </w:trPr>
        <w:tc>
          <w:tcPr>
            <w:tcW w:w="1350" w:type="dxa"/>
            <w:vMerge/>
          </w:tcPr>
          <w:p w:rsidR="007A5BDD" w:rsidRPr="009476CF" w:rsidRDefault="007A5BDD" w:rsidP="00440CBA">
            <w:pPr>
              <w:pStyle w:val="ListParagraph"/>
              <w:tabs>
                <w:tab w:val="left" w:pos="810"/>
              </w:tabs>
              <w:rPr>
                <w:sz w:val="20"/>
                <w:szCs w:val="22"/>
              </w:rPr>
            </w:pPr>
          </w:p>
        </w:tc>
        <w:tc>
          <w:tcPr>
            <w:tcW w:w="1890" w:type="dxa"/>
          </w:tcPr>
          <w:p w:rsidR="007A5BDD" w:rsidRPr="009476CF" w:rsidRDefault="007A5BDD" w:rsidP="00440CBA">
            <w:pPr>
              <w:pStyle w:val="ListParagraph"/>
              <w:tabs>
                <w:tab w:val="left" w:pos="810"/>
              </w:tabs>
              <w:rPr>
                <w:sz w:val="20"/>
                <w:szCs w:val="22"/>
              </w:rPr>
            </w:pPr>
            <w:r w:rsidRPr="009476CF">
              <w:rPr>
                <w:sz w:val="20"/>
                <w:szCs w:val="22"/>
              </w:rPr>
              <w:t>Administratively in 2012 at $25 million</w:t>
            </w:r>
          </w:p>
        </w:tc>
        <w:tc>
          <w:tcPr>
            <w:tcW w:w="1440" w:type="dxa"/>
          </w:tcPr>
          <w:p w:rsidR="007A5BDD" w:rsidRPr="009476CF" w:rsidRDefault="007A5BDD" w:rsidP="00440CBA">
            <w:pPr>
              <w:pStyle w:val="ListParagraph"/>
              <w:tabs>
                <w:tab w:val="left" w:pos="810"/>
              </w:tabs>
              <w:rPr>
                <w:sz w:val="20"/>
                <w:szCs w:val="22"/>
              </w:rPr>
            </w:pPr>
            <w:r w:rsidRPr="009476CF">
              <w:rPr>
                <w:sz w:val="20"/>
                <w:szCs w:val="22"/>
              </w:rPr>
              <w:t>3G</w:t>
            </w:r>
          </w:p>
        </w:tc>
        <w:tc>
          <w:tcPr>
            <w:tcW w:w="1080" w:type="dxa"/>
          </w:tcPr>
          <w:p w:rsidR="007A5BDD" w:rsidRPr="009476CF" w:rsidRDefault="007A5BDD" w:rsidP="00440CBA">
            <w:pPr>
              <w:pStyle w:val="ListParagraph"/>
              <w:tabs>
                <w:tab w:val="left" w:pos="810"/>
              </w:tabs>
              <w:rPr>
                <w:sz w:val="20"/>
                <w:szCs w:val="22"/>
              </w:rPr>
            </w:pPr>
            <w:r w:rsidRPr="009476CF">
              <w:rPr>
                <w:sz w:val="20"/>
                <w:szCs w:val="22"/>
              </w:rPr>
              <w:t>NA</w:t>
            </w:r>
          </w:p>
        </w:tc>
        <w:tc>
          <w:tcPr>
            <w:tcW w:w="1170" w:type="dxa"/>
          </w:tcPr>
          <w:p w:rsidR="007A5BDD" w:rsidRPr="009476CF" w:rsidRDefault="007A5BDD" w:rsidP="00440CBA">
            <w:pPr>
              <w:pStyle w:val="ListParagraph"/>
              <w:tabs>
                <w:tab w:val="left" w:pos="810"/>
              </w:tabs>
              <w:rPr>
                <w:sz w:val="20"/>
                <w:szCs w:val="22"/>
              </w:rPr>
            </w:pPr>
            <w:r w:rsidRPr="009476CF">
              <w:rPr>
                <w:sz w:val="20"/>
                <w:szCs w:val="22"/>
              </w:rPr>
              <w:t>2100</w:t>
            </w:r>
          </w:p>
        </w:tc>
        <w:tc>
          <w:tcPr>
            <w:tcW w:w="1350" w:type="dxa"/>
          </w:tcPr>
          <w:p w:rsidR="007A5BDD" w:rsidRPr="009476CF" w:rsidRDefault="007A5BDD" w:rsidP="00440CBA">
            <w:pPr>
              <w:pStyle w:val="ListParagraph"/>
              <w:tabs>
                <w:tab w:val="left" w:pos="810"/>
              </w:tabs>
              <w:rPr>
                <w:sz w:val="20"/>
                <w:szCs w:val="22"/>
              </w:rPr>
            </w:pPr>
          </w:p>
        </w:tc>
        <w:tc>
          <w:tcPr>
            <w:tcW w:w="1350" w:type="dxa"/>
          </w:tcPr>
          <w:p w:rsidR="007A5BDD" w:rsidRPr="009476CF" w:rsidRDefault="007A5BDD" w:rsidP="00440CBA">
            <w:pPr>
              <w:pStyle w:val="ListParagraph"/>
              <w:tabs>
                <w:tab w:val="left" w:pos="810"/>
              </w:tabs>
              <w:rPr>
                <w:sz w:val="20"/>
                <w:szCs w:val="22"/>
              </w:rPr>
            </w:pPr>
          </w:p>
        </w:tc>
      </w:tr>
      <w:tr w:rsidR="007A5BDD" w:rsidRPr="009476CF" w:rsidTr="00440CBA">
        <w:trPr>
          <w:trHeight w:val="719"/>
        </w:trPr>
        <w:tc>
          <w:tcPr>
            <w:tcW w:w="1350" w:type="dxa"/>
            <w:vMerge w:val="restart"/>
          </w:tcPr>
          <w:p w:rsidR="007A5BDD" w:rsidRPr="009476CF" w:rsidRDefault="007A5BDD" w:rsidP="00440CBA">
            <w:pPr>
              <w:pStyle w:val="ListParagraph"/>
              <w:tabs>
                <w:tab w:val="left" w:pos="810"/>
              </w:tabs>
              <w:rPr>
                <w:sz w:val="20"/>
                <w:szCs w:val="22"/>
              </w:rPr>
            </w:pPr>
            <w:proofErr w:type="spellStart"/>
            <w:r w:rsidRPr="009476CF">
              <w:rPr>
                <w:sz w:val="20"/>
                <w:szCs w:val="22"/>
              </w:rPr>
              <w:t>Etisalat</w:t>
            </w:r>
            <w:proofErr w:type="spellEnd"/>
          </w:p>
        </w:tc>
        <w:tc>
          <w:tcPr>
            <w:tcW w:w="1890" w:type="dxa"/>
            <w:vMerge w:val="restart"/>
          </w:tcPr>
          <w:p w:rsidR="007A5BDD" w:rsidRPr="009476CF" w:rsidRDefault="007A5BDD" w:rsidP="00440CBA">
            <w:pPr>
              <w:pStyle w:val="ListParagraph"/>
              <w:tabs>
                <w:tab w:val="left" w:pos="810"/>
              </w:tabs>
              <w:rPr>
                <w:sz w:val="20"/>
                <w:szCs w:val="22"/>
              </w:rPr>
            </w:pPr>
            <w:r w:rsidRPr="009476CF">
              <w:rPr>
                <w:sz w:val="20"/>
                <w:szCs w:val="22"/>
              </w:rPr>
              <w:t>Awarded by auction in 2006 at $40.1 million</w:t>
            </w:r>
          </w:p>
        </w:tc>
        <w:tc>
          <w:tcPr>
            <w:tcW w:w="1440" w:type="dxa"/>
            <w:vMerge w:val="restart"/>
          </w:tcPr>
          <w:p w:rsidR="007A5BDD" w:rsidRPr="009476CF" w:rsidRDefault="007A5BDD" w:rsidP="00440CBA">
            <w:pPr>
              <w:pStyle w:val="ListParagraph"/>
              <w:tabs>
                <w:tab w:val="left" w:pos="810"/>
              </w:tabs>
              <w:rPr>
                <w:sz w:val="20"/>
                <w:szCs w:val="22"/>
              </w:rPr>
            </w:pPr>
            <w:r w:rsidRPr="009476CF">
              <w:rPr>
                <w:sz w:val="20"/>
                <w:szCs w:val="22"/>
              </w:rPr>
              <w:t xml:space="preserve"> GSM</w:t>
            </w:r>
          </w:p>
        </w:tc>
        <w:tc>
          <w:tcPr>
            <w:tcW w:w="1080" w:type="dxa"/>
            <w:vMerge w:val="restart"/>
          </w:tcPr>
          <w:p w:rsidR="007A5BDD" w:rsidRPr="009476CF" w:rsidRDefault="007A5BDD" w:rsidP="00440CBA">
            <w:pPr>
              <w:pStyle w:val="ListParagraph"/>
              <w:tabs>
                <w:tab w:val="left" w:pos="810"/>
              </w:tabs>
              <w:rPr>
                <w:sz w:val="20"/>
                <w:szCs w:val="22"/>
              </w:rPr>
            </w:pPr>
            <w:r w:rsidRPr="009476CF">
              <w:rPr>
                <w:sz w:val="20"/>
                <w:szCs w:val="22"/>
              </w:rPr>
              <w:t>2021</w:t>
            </w:r>
          </w:p>
        </w:tc>
        <w:tc>
          <w:tcPr>
            <w:tcW w:w="1170" w:type="dxa"/>
          </w:tcPr>
          <w:p w:rsidR="007A5BDD" w:rsidRPr="009476CF" w:rsidRDefault="007A5BDD" w:rsidP="00440CBA">
            <w:pPr>
              <w:pStyle w:val="ListParagraph"/>
              <w:tabs>
                <w:tab w:val="left" w:pos="810"/>
              </w:tabs>
              <w:rPr>
                <w:sz w:val="20"/>
                <w:szCs w:val="22"/>
              </w:rPr>
            </w:pPr>
            <w:r w:rsidRPr="009476CF">
              <w:rPr>
                <w:sz w:val="20"/>
                <w:szCs w:val="22"/>
              </w:rPr>
              <w:t>P-GSM 900</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 xml:space="preserve">911-915 </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956-959.8</w:t>
            </w:r>
          </w:p>
        </w:tc>
      </w:tr>
      <w:tr w:rsidR="007A5BDD" w:rsidRPr="009476CF" w:rsidTr="00440CBA">
        <w:trPr>
          <w:trHeight w:val="440"/>
        </w:trPr>
        <w:tc>
          <w:tcPr>
            <w:tcW w:w="1350" w:type="dxa"/>
            <w:vMerge/>
          </w:tcPr>
          <w:p w:rsidR="007A5BDD" w:rsidRPr="009476CF" w:rsidRDefault="007A5BDD" w:rsidP="00440CBA">
            <w:pPr>
              <w:pStyle w:val="ListParagraph"/>
              <w:tabs>
                <w:tab w:val="left" w:pos="810"/>
              </w:tabs>
              <w:rPr>
                <w:sz w:val="20"/>
                <w:szCs w:val="22"/>
              </w:rPr>
            </w:pPr>
          </w:p>
        </w:tc>
        <w:tc>
          <w:tcPr>
            <w:tcW w:w="1890" w:type="dxa"/>
            <w:vMerge/>
          </w:tcPr>
          <w:p w:rsidR="007A5BDD" w:rsidRPr="009476CF" w:rsidRDefault="007A5BDD" w:rsidP="00440CBA">
            <w:pPr>
              <w:pStyle w:val="ListParagraph"/>
              <w:tabs>
                <w:tab w:val="left" w:pos="810"/>
              </w:tabs>
              <w:rPr>
                <w:sz w:val="20"/>
                <w:szCs w:val="22"/>
              </w:rPr>
            </w:pPr>
          </w:p>
        </w:tc>
        <w:tc>
          <w:tcPr>
            <w:tcW w:w="1440" w:type="dxa"/>
            <w:vMerge/>
          </w:tcPr>
          <w:p w:rsidR="007A5BDD" w:rsidRPr="009476CF" w:rsidRDefault="007A5BDD" w:rsidP="00440CBA">
            <w:pPr>
              <w:pStyle w:val="ListParagraph"/>
              <w:tabs>
                <w:tab w:val="left" w:pos="810"/>
              </w:tabs>
              <w:rPr>
                <w:sz w:val="20"/>
                <w:szCs w:val="22"/>
              </w:rPr>
            </w:pPr>
          </w:p>
        </w:tc>
        <w:tc>
          <w:tcPr>
            <w:tcW w:w="1080" w:type="dxa"/>
            <w:vMerge/>
          </w:tcPr>
          <w:p w:rsidR="007A5BDD" w:rsidRPr="009476CF" w:rsidRDefault="007A5BDD" w:rsidP="00440CBA">
            <w:pPr>
              <w:pStyle w:val="ListParagraph"/>
              <w:tabs>
                <w:tab w:val="left" w:pos="810"/>
              </w:tabs>
              <w:rPr>
                <w:sz w:val="20"/>
                <w:szCs w:val="22"/>
              </w:rPr>
            </w:pPr>
          </w:p>
        </w:tc>
        <w:tc>
          <w:tcPr>
            <w:tcW w:w="1170" w:type="dxa"/>
          </w:tcPr>
          <w:p w:rsidR="007A5BDD" w:rsidRPr="009476CF" w:rsidRDefault="007A5BDD" w:rsidP="00440CBA">
            <w:pPr>
              <w:pStyle w:val="ListParagraph"/>
              <w:tabs>
                <w:tab w:val="left" w:pos="810"/>
              </w:tabs>
              <w:rPr>
                <w:sz w:val="20"/>
                <w:szCs w:val="22"/>
              </w:rPr>
            </w:pPr>
            <w:r w:rsidRPr="009476CF">
              <w:rPr>
                <w:sz w:val="20"/>
                <w:szCs w:val="22"/>
              </w:rPr>
              <w:t>E-GSM 900</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880.2-884.2</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925.2-929.2</w:t>
            </w:r>
          </w:p>
        </w:tc>
      </w:tr>
      <w:tr w:rsidR="007A5BDD" w:rsidRPr="009476CF" w:rsidTr="00440CBA">
        <w:trPr>
          <w:trHeight w:val="503"/>
        </w:trPr>
        <w:tc>
          <w:tcPr>
            <w:tcW w:w="1350" w:type="dxa"/>
            <w:vMerge/>
          </w:tcPr>
          <w:p w:rsidR="007A5BDD" w:rsidRPr="009476CF" w:rsidRDefault="007A5BDD" w:rsidP="00440CBA">
            <w:pPr>
              <w:pStyle w:val="ListParagraph"/>
              <w:tabs>
                <w:tab w:val="left" w:pos="810"/>
              </w:tabs>
              <w:rPr>
                <w:sz w:val="20"/>
                <w:szCs w:val="22"/>
              </w:rPr>
            </w:pPr>
          </w:p>
        </w:tc>
        <w:tc>
          <w:tcPr>
            <w:tcW w:w="1890" w:type="dxa"/>
            <w:vMerge/>
          </w:tcPr>
          <w:p w:rsidR="007A5BDD" w:rsidRPr="009476CF" w:rsidRDefault="007A5BDD" w:rsidP="00440CBA">
            <w:pPr>
              <w:pStyle w:val="ListParagraph"/>
              <w:tabs>
                <w:tab w:val="left" w:pos="810"/>
              </w:tabs>
              <w:rPr>
                <w:sz w:val="20"/>
                <w:szCs w:val="22"/>
              </w:rPr>
            </w:pPr>
          </w:p>
        </w:tc>
        <w:tc>
          <w:tcPr>
            <w:tcW w:w="1440" w:type="dxa"/>
            <w:vMerge/>
          </w:tcPr>
          <w:p w:rsidR="007A5BDD" w:rsidRPr="009476CF" w:rsidRDefault="007A5BDD" w:rsidP="00440CBA">
            <w:pPr>
              <w:pStyle w:val="ListParagraph"/>
              <w:tabs>
                <w:tab w:val="left" w:pos="810"/>
              </w:tabs>
              <w:rPr>
                <w:sz w:val="20"/>
                <w:szCs w:val="22"/>
              </w:rPr>
            </w:pPr>
          </w:p>
        </w:tc>
        <w:tc>
          <w:tcPr>
            <w:tcW w:w="1080" w:type="dxa"/>
            <w:vMerge/>
          </w:tcPr>
          <w:p w:rsidR="007A5BDD" w:rsidRPr="009476CF" w:rsidRDefault="007A5BDD" w:rsidP="00440CBA">
            <w:pPr>
              <w:pStyle w:val="ListParagraph"/>
              <w:tabs>
                <w:tab w:val="left" w:pos="810"/>
              </w:tabs>
              <w:rPr>
                <w:sz w:val="20"/>
                <w:szCs w:val="22"/>
              </w:rPr>
            </w:pPr>
          </w:p>
        </w:tc>
        <w:tc>
          <w:tcPr>
            <w:tcW w:w="1170" w:type="dxa"/>
          </w:tcPr>
          <w:p w:rsidR="007A5BDD" w:rsidRPr="009476CF" w:rsidRDefault="007A5BDD" w:rsidP="00440CBA">
            <w:pPr>
              <w:pStyle w:val="ListParagraph"/>
              <w:tabs>
                <w:tab w:val="left" w:pos="810"/>
              </w:tabs>
              <w:rPr>
                <w:sz w:val="20"/>
                <w:szCs w:val="22"/>
              </w:rPr>
            </w:pPr>
            <w:r w:rsidRPr="009476CF">
              <w:rPr>
                <w:sz w:val="20"/>
                <w:szCs w:val="22"/>
              </w:rPr>
              <w:t>GSM 1800</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 xml:space="preserve">1720-1729.8 </w:t>
            </w:r>
          </w:p>
        </w:tc>
        <w:tc>
          <w:tcPr>
            <w:tcW w:w="1350" w:type="dxa"/>
          </w:tcPr>
          <w:p w:rsidR="007A5BDD" w:rsidRPr="009476CF" w:rsidRDefault="007A5BDD" w:rsidP="00440CBA">
            <w:pPr>
              <w:pStyle w:val="ListParagraph"/>
              <w:tabs>
                <w:tab w:val="left" w:pos="810"/>
              </w:tabs>
              <w:rPr>
                <w:sz w:val="20"/>
                <w:szCs w:val="22"/>
              </w:rPr>
            </w:pPr>
            <w:r w:rsidRPr="009476CF">
              <w:rPr>
                <w:sz w:val="20"/>
                <w:szCs w:val="22"/>
              </w:rPr>
              <w:t>1815.2-1824.8</w:t>
            </w:r>
          </w:p>
        </w:tc>
      </w:tr>
      <w:tr w:rsidR="007A5BDD" w:rsidRPr="009476CF" w:rsidTr="00440CBA">
        <w:tc>
          <w:tcPr>
            <w:tcW w:w="1350" w:type="dxa"/>
          </w:tcPr>
          <w:p w:rsidR="007A5BDD" w:rsidRPr="009476CF" w:rsidRDefault="007A5BDD" w:rsidP="00440CBA">
            <w:pPr>
              <w:pStyle w:val="ListParagraph"/>
              <w:tabs>
                <w:tab w:val="left" w:pos="810"/>
              </w:tabs>
              <w:rPr>
                <w:sz w:val="20"/>
                <w:szCs w:val="22"/>
              </w:rPr>
            </w:pPr>
            <w:r w:rsidRPr="009476CF">
              <w:rPr>
                <w:sz w:val="20"/>
                <w:szCs w:val="22"/>
              </w:rPr>
              <w:t>Afghan Telecom</w:t>
            </w:r>
          </w:p>
        </w:tc>
        <w:tc>
          <w:tcPr>
            <w:tcW w:w="1890" w:type="dxa"/>
          </w:tcPr>
          <w:p w:rsidR="007A5BDD" w:rsidRPr="009476CF" w:rsidRDefault="007A5BDD" w:rsidP="00440CBA">
            <w:pPr>
              <w:pStyle w:val="ListParagraph"/>
              <w:tabs>
                <w:tab w:val="left" w:pos="810"/>
              </w:tabs>
              <w:rPr>
                <w:sz w:val="20"/>
                <w:szCs w:val="22"/>
              </w:rPr>
            </w:pPr>
            <w:r w:rsidRPr="009476CF">
              <w:rPr>
                <w:sz w:val="20"/>
                <w:szCs w:val="22"/>
              </w:rPr>
              <w:t>Awarded Administratively in 2006</w:t>
            </w:r>
          </w:p>
        </w:tc>
        <w:tc>
          <w:tcPr>
            <w:tcW w:w="1440" w:type="dxa"/>
          </w:tcPr>
          <w:p w:rsidR="007A5BDD" w:rsidRPr="009476CF" w:rsidRDefault="007A5BDD" w:rsidP="00440CBA">
            <w:pPr>
              <w:pStyle w:val="ListParagraph"/>
              <w:tabs>
                <w:tab w:val="left" w:pos="810"/>
              </w:tabs>
              <w:rPr>
                <w:sz w:val="20"/>
                <w:szCs w:val="22"/>
              </w:rPr>
            </w:pPr>
            <w:r w:rsidRPr="009476CF">
              <w:rPr>
                <w:sz w:val="20"/>
                <w:szCs w:val="22"/>
              </w:rPr>
              <w:t xml:space="preserve"> Technology neutral</w:t>
            </w:r>
          </w:p>
        </w:tc>
        <w:tc>
          <w:tcPr>
            <w:tcW w:w="1080" w:type="dxa"/>
          </w:tcPr>
          <w:p w:rsidR="007A5BDD" w:rsidRPr="009476CF" w:rsidRDefault="007A5BDD" w:rsidP="00440CBA">
            <w:pPr>
              <w:pStyle w:val="ListParagraph"/>
              <w:tabs>
                <w:tab w:val="left" w:pos="810"/>
              </w:tabs>
              <w:rPr>
                <w:sz w:val="20"/>
                <w:szCs w:val="22"/>
              </w:rPr>
            </w:pPr>
            <w:r w:rsidRPr="009476CF">
              <w:rPr>
                <w:sz w:val="20"/>
                <w:szCs w:val="22"/>
              </w:rPr>
              <w:t>2021</w:t>
            </w:r>
          </w:p>
        </w:tc>
        <w:tc>
          <w:tcPr>
            <w:tcW w:w="1170" w:type="dxa"/>
          </w:tcPr>
          <w:p w:rsidR="007A5BDD" w:rsidRPr="009476CF" w:rsidRDefault="007A5BDD" w:rsidP="00440CBA">
            <w:pPr>
              <w:pStyle w:val="ListParagraph"/>
              <w:tabs>
                <w:tab w:val="left" w:pos="810"/>
              </w:tabs>
              <w:rPr>
                <w:sz w:val="20"/>
                <w:szCs w:val="22"/>
              </w:rPr>
            </w:pPr>
            <w:r w:rsidRPr="009476CF">
              <w:rPr>
                <w:sz w:val="20"/>
                <w:szCs w:val="22"/>
              </w:rPr>
              <w:t>CDMA 800</w:t>
            </w:r>
          </w:p>
        </w:tc>
        <w:tc>
          <w:tcPr>
            <w:tcW w:w="1350" w:type="dxa"/>
          </w:tcPr>
          <w:p w:rsidR="007A5BDD" w:rsidRPr="009476CF" w:rsidRDefault="007A5BDD" w:rsidP="00440CBA">
            <w:pPr>
              <w:pStyle w:val="ListParagraph"/>
              <w:tabs>
                <w:tab w:val="left" w:pos="810"/>
              </w:tabs>
              <w:rPr>
                <w:sz w:val="20"/>
                <w:szCs w:val="22"/>
              </w:rPr>
            </w:pPr>
          </w:p>
        </w:tc>
        <w:tc>
          <w:tcPr>
            <w:tcW w:w="1350" w:type="dxa"/>
          </w:tcPr>
          <w:p w:rsidR="007A5BDD" w:rsidRPr="009476CF" w:rsidRDefault="007A5BDD" w:rsidP="00440CBA">
            <w:pPr>
              <w:pStyle w:val="ListParagraph"/>
              <w:tabs>
                <w:tab w:val="left" w:pos="810"/>
              </w:tabs>
              <w:rPr>
                <w:sz w:val="20"/>
                <w:szCs w:val="22"/>
              </w:rPr>
            </w:pPr>
          </w:p>
        </w:tc>
      </w:tr>
    </w:tbl>
    <w:p w:rsidR="007A5BDD" w:rsidRDefault="007A5BDD" w:rsidP="007A5BDD">
      <w:pPr>
        <w:spacing w:line="360" w:lineRule="auto"/>
      </w:pPr>
    </w:p>
    <w:p w:rsidR="007A5BDD" w:rsidRPr="00990FF1" w:rsidRDefault="007A5BDD" w:rsidP="007A5BDD">
      <w:pPr>
        <w:pStyle w:val="ListParagraph"/>
        <w:numPr>
          <w:ilvl w:val="0"/>
          <w:numId w:val="11"/>
        </w:numPr>
        <w:spacing w:before="120" w:after="240" w:line="360" w:lineRule="auto"/>
        <w:ind w:left="1170"/>
        <w:jc w:val="both"/>
        <w:rPr>
          <w:b/>
        </w:rPr>
      </w:pPr>
      <w:r w:rsidRPr="00990FF1">
        <w:rPr>
          <w:b/>
        </w:rPr>
        <w:t>MALDIVES</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9B07AB">
        <w:t xml:space="preserve">In 1997, mobile services were introduced through </w:t>
      </w:r>
      <w:proofErr w:type="spellStart"/>
      <w:r w:rsidRPr="009B07AB">
        <w:t>Dhiraagu</w:t>
      </w:r>
      <w:proofErr w:type="spellEnd"/>
      <w:r w:rsidRPr="009B07AB">
        <w:t xml:space="preserve">, whose major holder is Government of Maldives. Initially offered on AMPS (Advanced Mobile Phone System), investment was made in a GSM network, and GSM based mobile phone services were introduced in 1999. The announcement of </w:t>
      </w:r>
      <w:r w:rsidRPr="00930AC2">
        <w:rPr>
          <w:rStyle w:val="Strong"/>
        </w:rPr>
        <w:t>Telecom</w:t>
      </w:r>
      <w:r w:rsidRPr="009B07AB">
        <w:t xml:space="preserve"> Policy in 2001 initiated the establishment of Telecom Authority of Maldives (TAM) in 2003. It was </w:t>
      </w:r>
      <w:r w:rsidRPr="00666E45">
        <w:rPr>
          <w:rStyle w:val="Strong"/>
          <w:color w:val="000000"/>
        </w:rPr>
        <w:t>authorized</w:t>
      </w:r>
      <w:r w:rsidRPr="009B07AB">
        <w:t xml:space="preserve"> to regulate the telecom sector through a decree, the Maldives Telecom Regulation of 2003. </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9B07AB">
        <w:t xml:space="preserve">The first and only competitor in the mobile sector entered in February 2005 with the issuance of a mobile license to </w:t>
      </w:r>
      <w:proofErr w:type="spellStart"/>
      <w:r w:rsidRPr="009B07AB">
        <w:t>Wataniya</w:t>
      </w:r>
      <w:proofErr w:type="spellEnd"/>
      <w:r w:rsidRPr="009B07AB">
        <w:t xml:space="preserve"> Telecom Maldives. </w:t>
      </w:r>
      <w:proofErr w:type="spellStart"/>
      <w:r w:rsidRPr="009B07AB">
        <w:t>Wataniya</w:t>
      </w:r>
      <w:proofErr w:type="spellEnd"/>
      <w:r w:rsidRPr="009B07AB">
        <w:t xml:space="preserve"> was selected administratively among 4 TSPs based on its </w:t>
      </w:r>
      <w:r w:rsidRPr="00666E45">
        <w:rPr>
          <w:rStyle w:val="Strong"/>
          <w:color w:val="000000"/>
        </w:rPr>
        <w:t>proposed</w:t>
      </w:r>
      <w:r w:rsidRPr="009B07AB">
        <w:t xml:space="preserve"> </w:t>
      </w:r>
      <w:r w:rsidRPr="00930AC2">
        <w:rPr>
          <w:rStyle w:val="Strong"/>
        </w:rPr>
        <w:t>investment</w:t>
      </w:r>
      <w:r w:rsidRPr="009B07AB">
        <w:t xml:space="preserve"> in new services and fast network rollout plans. Spectrum is allotted bundled with the </w:t>
      </w:r>
      <w:proofErr w:type="spellStart"/>
      <w:r w:rsidRPr="009B07AB">
        <w:t>licence</w:t>
      </w:r>
      <w:proofErr w:type="spellEnd"/>
      <w:r w:rsidRPr="009B07AB">
        <w:t>.</w:t>
      </w:r>
    </w:p>
    <w:p w:rsidR="007A5BDD" w:rsidRPr="00990FF1" w:rsidRDefault="007A5BDD" w:rsidP="007A5BDD">
      <w:pPr>
        <w:pStyle w:val="ListParagraph"/>
        <w:numPr>
          <w:ilvl w:val="0"/>
          <w:numId w:val="11"/>
        </w:numPr>
        <w:spacing w:before="120" w:after="240" w:line="360" w:lineRule="auto"/>
        <w:ind w:left="1170"/>
        <w:jc w:val="both"/>
        <w:rPr>
          <w:b/>
        </w:rPr>
      </w:pPr>
      <w:r w:rsidRPr="00990FF1">
        <w:rPr>
          <w:b/>
        </w:rPr>
        <w:t>BHUTAN</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9B07AB">
        <w:t xml:space="preserve">In Bhutan, the first mobile telephone service was launched in 2003 by operator Bhutan </w:t>
      </w:r>
      <w:r w:rsidRPr="00930AC2">
        <w:rPr>
          <w:rStyle w:val="Strong"/>
        </w:rPr>
        <w:t>Telecom</w:t>
      </w:r>
      <w:r w:rsidRPr="009B07AB">
        <w:t xml:space="preserve"> Ltd. (BTL). BTL came into existence on 1</w:t>
      </w:r>
      <w:r w:rsidRPr="00990FF1">
        <w:rPr>
          <w:vertAlign w:val="superscript"/>
        </w:rPr>
        <w:t>st</w:t>
      </w:r>
      <w:r>
        <w:t xml:space="preserve"> </w:t>
      </w:r>
      <w:r w:rsidRPr="009B07AB">
        <w:t xml:space="preserve">July </w:t>
      </w:r>
      <w:r w:rsidRPr="00666E45">
        <w:rPr>
          <w:rStyle w:val="Strong"/>
          <w:color w:val="000000"/>
        </w:rPr>
        <w:t>2000</w:t>
      </w:r>
      <w:r w:rsidRPr="009B07AB">
        <w:t xml:space="preserve"> as a fully state-owned company, with the corporatization of the erstwhile Department of Telecommunications. </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9B07AB">
        <w:t xml:space="preserve">The first auction for second mobile </w:t>
      </w:r>
      <w:proofErr w:type="spellStart"/>
      <w:r w:rsidRPr="009B07AB">
        <w:t>licence</w:t>
      </w:r>
      <w:proofErr w:type="spellEnd"/>
      <w:r w:rsidRPr="009B07AB">
        <w:t xml:space="preserve"> was held in 2007 to introduce another operator in the market. Four companies participated in the auction and the </w:t>
      </w:r>
      <w:r w:rsidRPr="00930AC2">
        <w:rPr>
          <w:rStyle w:val="Strong"/>
        </w:rPr>
        <w:t>winner</w:t>
      </w:r>
      <w:r w:rsidRPr="009B07AB">
        <w:t xml:space="preserve"> of the 15 year </w:t>
      </w:r>
      <w:proofErr w:type="spellStart"/>
      <w:r w:rsidRPr="009B07AB">
        <w:t>licence</w:t>
      </w:r>
      <w:proofErr w:type="spellEnd"/>
      <w:r w:rsidRPr="009B07AB">
        <w:t xml:space="preserve"> was </w:t>
      </w:r>
      <w:proofErr w:type="spellStart"/>
      <w:r w:rsidRPr="009B07AB">
        <w:t>Tashi</w:t>
      </w:r>
      <w:proofErr w:type="spellEnd"/>
      <w:r w:rsidRPr="009B07AB">
        <w:t xml:space="preserve"> group. The </w:t>
      </w:r>
      <w:proofErr w:type="spellStart"/>
      <w:r w:rsidRPr="009B07AB">
        <w:t>licence</w:t>
      </w:r>
      <w:proofErr w:type="spellEnd"/>
      <w:r w:rsidRPr="009B07AB">
        <w:t xml:space="preserve"> was given by Bhutan </w:t>
      </w:r>
      <w:proofErr w:type="spellStart"/>
      <w:r w:rsidRPr="009B07AB">
        <w:t>Infocom</w:t>
      </w:r>
      <w:proofErr w:type="spellEnd"/>
      <w:r w:rsidRPr="009B07AB">
        <w:t xml:space="preserve"> media Authority (BICMA) which was formerly known as Bhutan Telecommunication Authority.</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rsidRPr="009B07AB">
        <w:t xml:space="preserve">Spectrum is allotted in Bhutan to the operators by BICMA as per request on first come first </w:t>
      </w:r>
      <w:r w:rsidRPr="00930AC2">
        <w:rPr>
          <w:rStyle w:val="Strong"/>
        </w:rPr>
        <w:t>serve</w:t>
      </w:r>
      <w:r w:rsidRPr="009B07AB">
        <w:t xml:space="preserve"> basis</w:t>
      </w:r>
      <w:r w:rsidRPr="00990FF1">
        <w:rPr>
          <w:vertAlign w:val="superscript"/>
        </w:rPr>
        <w:footnoteReference w:id="39"/>
      </w:r>
      <w:r w:rsidRPr="009B07AB">
        <w:t xml:space="preserve">. </w:t>
      </w:r>
    </w:p>
    <w:p w:rsidR="007A5BDD" w:rsidRDefault="007A5BDD" w:rsidP="007A5BDD">
      <w:pPr>
        <w:rPr>
          <w:b/>
        </w:rPr>
      </w:pPr>
      <w:r>
        <w:rPr>
          <w:b/>
        </w:rPr>
        <w:br w:type="page"/>
      </w:r>
    </w:p>
    <w:p w:rsidR="007A5BDD" w:rsidRDefault="007A5BDD" w:rsidP="007A5BDD">
      <w:pPr>
        <w:pStyle w:val="ListParagraph"/>
        <w:shd w:val="clear" w:color="auto" w:fill="FFFFFF"/>
        <w:tabs>
          <w:tab w:val="left" w:pos="810"/>
        </w:tabs>
        <w:spacing w:before="120" w:after="240" w:line="360" w:lineRule="auto"/>
        <w:ind w:left="810" w:hanging="810"/>
        <w:jc w:val="center"/>
        <w:rPr>
          <w:b/>
        </w:rPr>
      </w:pPr>
      <w:r>
        <w:rPr>
          <w:b/>
        </w:rPr>
        <w:lastRenderedPageBreak/>
        <w:t>CHAPTER-V</w:t>
      </w:r>
    </w:p>
    <w:p w:rsidR="007A5BDD" w:rsidRDefault="007A5BDD" w:rsidP="007A5BDD">
      <w:pPr>
        <w:pStyle w:val="ListParagraph"/>
        <w:shd w:val="clear" w:color="auto" w:fill="FFFFFF"/>
        <w:tabs>
          <w:tab w:val="left" w:pos="810"/>
        </w:tabs>
        <w:spacing w:before="120" w:after="240" w:line="360" w:lineRule="auto"/>
        <w:ind w:left="810" w:hanging="810"/>
        <w:jc w:val="center"/>
        <w:rPr>
          <w:b/>
        </w:rPr>
      </w:pPr>
      <w:r>
        <w:rPr>
          <w:b/>
        </w:rPr>
        <w:t>RECOMMENDATIONS</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 xml:space="preserve">When the mobile services were introduced in the 90’s, there was not much demand of the spectrum. Nobody could have anticipated the phenomenal growth of the mobile all over the world. The value of spectrum is </w:t>
      </w:r>
      <w:r w:rsidRPr="00666E45">
        <w:rPr>
          <w:rStyle w:val="Strong"/>
          <w:color w:val="000000"/>
        </w:rPr>
        <w:t>associated</w:t>
      </w:r>
      <w:r>
        <w:t xml:space="preserve"> with its usage. Therefore, with the demand for mobile services, demand for spectrum and its value has also increased manifold. In this environment, administrative method of assignment may not be suitable in the countries where there is a competitive environment and there is sufficient number of Telecom Service Providers (TSPs). </w:t>
      </w:r>
    </w:p>
    <w:p w:rsidR="007A5BDD" w:rsidRDefault="007A5BDD" w:rsidP="007A5BDD">
      <w:pPr>
        <w:pStyle w:val="ListParagraph"/>
        <w:numPr>
          <w:ilvl w:val="0"/>
          <w:numId w:val="46"/>
        </w:numPr>
        <w:shd w:val="clear" w:color="auto" w:fill="FFFFFF"/>
        <w:tabs>
          <w:tab w:val="left" w:pos="810"/>
        </w:tabs>
        <w:spacing w:before="120" w:after="240" w:line="360" w:lineRule="auto"/>
        <w:ind w:left="810" w:hanging="810"/>
        <w:jc w:val="both"/>
      </w:pPr>
      <w:r>
        <w:t xml:space="preserve">The auctions, not only provides a transparent means of assignment of spectrum which is scarce resource, but also market forces to find out its true valuation. However, it warrants suitable measures to be taken to safeguard market-concentration and to promote competition in the market. E.g. in India, assignment of spectrum is subject to the prescribed spectrum caps i.e. a TSP cannot have more than 50% of the spectrum in a particular band and 25% of the cumulative spectrum assigned to all the </w:t>
      </w:r>
      <w:proofErr w:type="spellStart"/>
      <w:r>
        <w:t>TSPs.</w:t>
      </w:r>
      <w:proofErr w:type="spellEnd"/>
      <w:r>
        <w:t xml:space="preserve"> TSPs have to adhere to the spectrum caps in all the LSAs separately.</w:t>
      </w:r>
    </w:p>
    <w:p w:rsidR="007A5BDD" w:rsidRDefault="007A5BDD" w:rsidP="007A5BDD">
      <w:pPr>
        <w:pStyle w:val="ListParagraph"/>
        <w:shd w:val="clear" w:color="auto" w:fill="FFFFFF"/>
        <w:tabs>
          <w:tab w:val="left" w:pos="810"/>
        </w:tabs>
        <w:spacing w:before="120" w:after="240" w:line="360" w:lineRule="auto"/>
        <w:ind w:left="810" w:hanging="810"/>
      </w:pPr>
      <w:r>
        <w:br w:type="page"/>
      </w:r>
    </w:p>
    <w:p w:rsidR="007A5BDD" w:rsidRPr="005E7383" w:rsidRDefault="007A5BDD" w:rsidP="007A5BDD">
      <w:pPr>
        <w:pStyle w:val="ListParagraph"/>
        <w:spacing w:before="120" w:after="240" w:line="360" w:lineRule="auto"/>
      </w:pPr>
    </w:p>
    <w:p w:rsidR="007A5BDD" w:rsidRPr="00504304" w:rsidRDefault="007A5BDD" w:rsidP="007A5BDD">
      <w:pPr>
        <w:pStyle w:val="ListParagraph"/>
        <w:spacing w:before="360" w:after="120" w:line="360" w:lineRule="auto"/>
        <w:ind w:left="907"/>
      </w:pPr>
    </w:p>
    <w:p w:rsidR="003578AB" w:rsidRPr="00FD592E" w:rsidRDefault="003578AB" w:rsidP="007A5BDD"/>
    <w:sectPr w:rsidR="003578AB" w:rsidRPr="00FD592E" w:rsidSect="00DB0A68">
      <w:headerReference w:type="default" r:id="rId18"/>
      <w:footerReference w:type="even" r:id="rId19"/>
      <w:footerReference w:type="default" r:id="rId20"/>
      <w:footerReference w:type="first" r:id="rId2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BE" w:rsidRDefault="003D7FBE">
      <w:r>
        <w:separator/>
      </w:r>
    </w:p>
  </w:endnote>
  <w:endnote w:type="continuationSeparator" w:id="0">
    <w:p w:rsidR="003D7FBE" w:rsidRDefault="003D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T-Bold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B Mitra">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3A65A6"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rPr>
        <w:rStyle w:val="PageNumber"/>
      </w:rPr>
    </w:pPr>
    <w:r w:rsidRPr="002C7EA9">
      <w:rPr>
        <w:rStyle w:val="PageNumber"/>
      </w:rPr>
      <w:t xml:space="preserve">Page </w:t>
    </w:r>
    <w:r w:rsidR="003A65A6" w:rsidRPr="002C7EA9">
      <w:rPr>
        <w:rStyle w:val="PageNumber"/>
      </w:rPr>
      <w:fldChar w:fldCharType="begin"/>
    </w:r>
    <w:r w:rsidRPr="002C7EA9">
      <w:rPr>
        <w:rStyle w:val="PageNumber"/>
      </w:rPr>
      <w:instrText xml:space="preserve"> PAGE </w:instrText>
    </w:r>
    <w:r w:rsidR="003A65A6" w:rsidRPr="002C7EA9">
      <w:rPr>
        <w:rStyle w:val="PageNumber"/>
      </w:rPr>
      <w:fldChar w:fldCharType="separate"/>
    </w:r>
    <w:r w:rsidR="008D6D9C">
      <w:rPr>
        <w:rStyle w:val="PageNumber"/>
        <w:noProof/>
      </w:rPr>
      <w:t>2</w:t>
    </w:r>
    <w:r w:rsidR="003A65A6" w:rsidRPr="002C7EA9">
      <w:rPr>
        <w:rStyle w:val="PageNumber"/>
      </w:rPr>
      <w:fldChar w:fldCharType="end"/>
    </w:r>
    <w:r w:rsidRPr="002C7EA9">
      <w:rPr>
        <w:rStyle w:val="PageNumber"/>
      </w:rPr>
      <w:t xml:space="preserve"> of </w:t>
    </w:r>
    <w:r w:rsidR="003A65A6" w:rsidRPr="002C7EA9">
      <w:rPr>
        <w:rStyle w:val="PageNumber"/>
      </w:rPr>
      <w:fldChar w:fldCharType="begin"/>
    </w:r>
    <w:r w:rsidRPr="002C7EA9">
      <w:rPr>
        <w:rStyle w:val="PageNumber"/>
      </w:rPr>
      <w:instrText xml:space="preserve"> NUMPAGES </w:instrText>
    </w:r>
    <w:r w:rsidR="003A65A6" w:rsidRPr="002C7EA9">
      <w:rPr>
        <w:rStyle w:val="PageNumber"/>
      </w:rPr>
      <w:fldChar w:fldCharType="separate"/>
    </w:r>
    <w:r w:rsidR="008D6D9C">
      <w:rPr>
        <w:rStyle w:val="PageNumber"/>
        <w:noProof/>
      </w:rPr>
      <w:t>62</w:t>
    </w:r>
    <w:r w:rsidR="003A65A6"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97693B"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hint="eastAsia"/>
              <w:sz w:val="22"/>
              <w:lang w:eastAsia="ko-KR"/>
            </w:rPr>
            <w:t>NAME</w:t>
          </w:r>
          <w:r>
            <w:rPr>
              <w:rFonts w:eastAsia="Batang"/>
              <w:sz w:val="22"/>
              <w:lang w:eastAsia="ko-KR"/>
            </w:rPr>
            <w:t xml:space="preserve"> </w:t>
          </w:r>
          <w:r w:rsidR="001D587F" w:rsidRPr="00380EDD">
            <w:rPr>
              <w:rFonts w:cs="B Mitra"/>
              <w:szCs w:val="28"/>
            </w:rPr>
            <w:t>Jaipal Singh</w:t>
          </w:r>
          <w:r w:rsidR="001D587F">
            <w:rPr>
              <w:rFonts w:cs="B Mitra"/>
              <w:szCs w:val="28"/>
            </w:rPr>
            <w:t xml:space="preserve"> Tomar</w:t>
          </w:r>
        </w:p>
        <w:p w:rsidR="0097693B" w:rsidRDefault="0097693B"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hint="eastAsia"/>
              <w:sz w:val="22"/>
              <w:lang w:eastAsia="ko-KR"/>
            </w:rPr>
            <w:t xml:space="preserve">Organization, </w:t>
          </w:r>
          <w:proofErr w:type="spellStart"/>
          <w:r>
            <w:rPr>
              <w:rFonts w:eastAsia="Batang" w:hint="eastAsia"/>
              <w:sz w:val="22"/>
              <w:lang w:eastAsia="ko-KR"/>
            </w:rPr>
            <w:t>Countr</w:t>
          </w:r>
          <w:proofErr w:type="spellEnd"/>
          <w:r w:rsidR="001D587F">
            <w:rPr>
              <w:rFonts w:eastAsia="Batang"/>
              <w:sz w:val="22"/>
              <w:lang w:eastAsia="ko-KR"/>
            </w:rPr>
            <w:t xml:space="preserve"> </w:t>
          </w:r>
          <w:r>
            <w:rPr>
              <w:rFonts w:eastAsia="Batang" w:hint="eastAsia"/>
              <w:sz w:val="22"/>
              <w:lang w:eastAsia="ko-KR"/>
            </w:rPr>
            <w:t>y</w:t>
          </w:r>
          <w:r w:rsidR="001D587F">
            <w:rPr>
              <w:rFonts w:eastAsia="Batang"/>
              <w:sz w:val="22"/>
              <w:lang w:eastAsia="ko-KR"/>
            </w:rPr>
            <w:t xml:space="preserve"> India</w:t>
          </w:r>
        </w:p>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ko-KR"/>
            </w:rPr>
          </w:pPr>
          <w:r>
            <w:t>Tel:</w:t>
          </w:r>
          <w:r>
            <w:rPr>
              <w:rFonts w:hint="eastAsia"/>
              <w:lang w:eastAsia="ja-JP"/>
            </w:rPr>
            <w:t xml:space="preserve"> </w:t>
          </w:r>
        </w:p>
        <w:p w:rsidR="0097693B" w:rsidRDefault="0097693B" w:rsidP="00762576">
          <w:pPr>
            <w:rPr>
              <w:rFonts w:eastAsia="Batang"/>
            </w:rPr>
          </w:pPr>
          <w:r>
            <w:t>Fax:</w:t>
          </w:r>
          <w:r>
            <w:rPr>
              <w:rFonts w:hint="eastAsia"/>
              <w:lang w:eastAsia="ja-JP"/>
            </w:rPr>
            <w:t xml:space="preserve"> </w:t>
          </w:r>
        </w:p>
        <w:p w:rsidR="0097693B" w:rsidRDefault="0097693B" w:rsidP="00762576">
          <w:pPr>
            <w:rPr>
              <w:lang w:eastAsia="ja-JP"/>
            </w:rPr>
          </w:pPr>
          <w:r>
            <w:t>Email</w:t>
          </w:r>
          <w:r>
            <w:rPr>
              <w:rFonts w:hint="eastAsia"/>
            </w:rPr>
            <w:t xml:space="preserve">: </w:t>
          </w:r>
          <w:hyperlink r:id="rId1" w:history="1">
            <w:r w:rsidR="001D587F" w:rsidRPr="00D96A76">
              <w:rPr>
                <w:rStyle w:val="Hyperlink"/>
                <w:rFonts w:asciiTheme="majorBidi" w:hAnsiTheme="majorBidi" w:cstheme="majorBidi"/>
              </w:rPr>
              <w:t>jaipalsinghtomar@gmail.com</w:t>
            </w:r>
          </w:hyperlink>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BE" w:rsidRDefault="003D7FBE">
      <w:r>
        <w:separator/>
      </w:r>
    </w:p>
  </w:footnote>
  <w:footnote w:type="continuationSeparator" w:id="0">
    <w:p w:rsidR="003D7FBE" w:rsidRDefault="003D7FBE">
      <w:r>
        <w:continuationSeparator/>
      </w:r>
    </w:p>
  </w:footnote>
  <w:footnote w:id="1">
    <w:p w:rsidR="007A5BDD" w:rsidRPr="003C007C" w:rsidRDefault="007A5BDD" w:rsidP="007A5BDD">
      <w:pPr>
        <w:pStyle w:val="FootnoteText"/>
        <w:rPr>
          <w:lang w:val="en-US"/>
        </w:rPr>
      </w:pPr>
      <w:r>
        <w:rPr>
          <w:rStyle w:val="FootnoteReference"/>
        </w:rPr>
        <w:footnoteRef/>
      </w:r>
      <w:r>
        <w:t xml:space="preserve"> </w:t>
      </w:r>
      <w:r>
        <w:rPr>
          <w:lang w:val="en-US"/>
        </w:rPr>
        <w:t>TRAI’ recommendations on ‘Auction of Spectrum’ dated 23</w:t>
      </w:r>
      <w:r w:rsidRPr="003C007C">
        <w:rPr>
          <w:vertAlign w:val="superscript"/>
          <w:lang w:val="en-US"/>
        </w:rPr>
        <w:t>rd</w:t>
      </w:r>
      <w:r>
        <w:rPr>
          <w:lang w:val="en-US"/>
        </w:rPr>
        <w:t xml:space="preserve"> April 2012</w:t>
      </w:r>
    </w:p>
  </w:footnote>
  <w:footnote w:id="2">
    <w:p w:rsidR="007A5BDD" w:rsidRPr="00C75513" w:rsidRDefault="007A5BDD" w:rsidP="007A5BDD">
      <w:pPr>
        <w:pStyle w:val="FootnoteText"/>
        <w:rPr>
          <w:lang w:val="en-US"/>
        </w:rPr>
      </w:pPr>
      <w:r>
        <w:rPr>
          <w:rStyle w:val="FootnoteReference"/>
          <w:rFonts w:eastAsiaTheme="majorEastAsia"/>
        </w:rPr>
        <w:footnoteRef/>
      </w:r>
      <w:r>
        <w:t xml:space="preserve"> </w:t>
      </w:r>
      <w:r w:rsidRPr="0071741A">
        <w:rPr>
          <w:rFonts w:ascii="Bookman Old Style" w:hAnsi="Bookman Old Style" w:cs="FrutigerLT-BoldCn"/>
          <w:b/>
          <w:bCs/>
          <w:color w:val="000000" w:themeColor="text1"/>
          <w:sz w:val="16"/>
          <w:szCs w:val="16"/>
        </w:rPr>
        <w:t>900 MHz and 1800 MHz band refarming case study</w:t>
      </w:r>
      <w:r>
        <w:rPr>
          <w:rFonts w:ascii="Bookman Old Style" w:hAnsi="Bookman Old Style" w:cs="FrutigerLT-BoldCn"/>
          <w:b/>
          <w:bCs/>
          <w:color w:val="000000" w:themeColor="text1"/>
          <w:sz w:val="16"/>
          <w:szCs w:val="16"/>
        </w:rPr>
        <w:t xml:space="preserve"> : Denmark</w:t>
      </w:r>
      <w:r>
        <w:t xml:space="preserve"> </w:t>
      </w:r>
      <w:hyperlink r:id="rId1" w:history="1">
        <w:r>
          <w:rPr>
            <w:rStyle w:val="Hyperlink"/>
          </w:rPr>
          <w:t>http://www.gsm.org/documents/Refarming_case_study_Denmark_20111124.pdf</w:t>
        </w:r>
      </w:hyperlink>
    </w:p>
  </w:footnote>
  <w:footnote w:id="3">
    <w:p w:rsidR="007A5BDD" w:rsidRPr="00186665" w:rsidRDefault="007A5BDD" w:rsidP="007A5BDD">
      <w:pPr>
        <w:pStyle w:val="FootnoteText"/>
        <w:rPr>
          <w:lang w:val="en-US"/>
        </w:rPr>
      </w:pPr>
      <w:r>
        <w:rPr>
          <w:rStyle w:val="FootnoteReference"/>
          <w:rFonts w:eastAsiaTheme="majorEastAsia"/>
        </w:rPr>
        <w:footnoteRef/>
      </w:r>
      <w:r>
        <w:t xml:space="preserve"> </w:t>
      </w:r>
      <w:hyperlink r:id="rId2" w:history="1">
        <w:r>
          <w:rPr>
            <w:rStyle w:val="Hyperlink"/>
          </w:rPr>
          <w:t>http://en.itst.dk/spectrum-equipment/Auctions-and-calls-for-tenders/900-1800-mhz-auction</w:t>
        </w:r>
      </w:hyperlink>
    </w:p>
  </w:footnote>
  <w:footnote w:id="4">
    <w:p w:rsidR="007A5BDD" w:rsidRPr="00060742" w:rsidRDefault="007A5BDD" w:rsidP="007A5BDD">
      <w:pPr>
        <w:pStyle w:val="FootnoteText"/>
        <w:rPr>
          <w:lang w:val="en-US"/>
        </w:rPr>
      </w:pPr>
      <w:r>
        <w:rPr>
          <w:rStyle w:val="FootnoteReference"/>
          <w:rFonts w:eastAsiaTheme="majorEastAsia"/>
        </w:rPr>
        <w:footnoteRef/>
      </w:r>
      <w:r>
        <w:t xml:space="preserve"> </w:t>
      </w:r>
      <w:r w:rsidRPr="0073545A">
        <w:rPr>
          <w:rFonts w:ascii="Bookman Old Style" w:hAnsi="Bookman Old Style" w:cs="FrutigerLT-BoldCn"/>
          <w:bCs/>
        </w:rPr>
        <w:t>900 MHz band refarming case study</w:t>
      </w:r>
      <w:r>
        <w:rPr>
          <w:rFonts w:ascii="Bookman Old Style" w:hAnsi="Bookman Old Style" w:cs="FrutigerLT-BoldCn"/>
          <w:bCs/>
        </w:rPr>
        <w:t xml:space="preserve"> 29</w:t>
      </w:r>
      <w:r w:rsidRPr="0073545A">
        <w:rPr>
          <w:rFonts w:ascii="Bookman Old Style" w:hAnsi="Bookman Old Style" w:cs="FrutigerLT-BoldCn"/>
          <w:bCs/>
          <w:vertAlign w:val="superscript"/>
        </w:rPr>
        <w:t>th</w:t>
      </w:r>
      <w:r>
        <w:rPr>
          <w:rFonts w:ascii="Bookman Old Style" w:hAnsi="Bookman Old Style" w:cs="FrutigerLT-BoldCn"/>
          <w:bCs/>
        </w:rPr>
        <w:t xml:space="preserve"> November 2011 </w:t>
      </w:r>
      <w:hyperlink r:id="rId3" w:history="1">
        <w:r>
          <w:rPr>
            <w:rStyle w:val="Hyperlink"/>
          </w:rPr>
          <w:t>http://www.gsm.org/documents/Refarming_case_study_Sweden_900_MHz_20111129.pdf</w:t>
        </w:r>
      </w:hyperlink>
    </w:p>
    <w:p w:rsidR="007A5BDD" w:rsidRPr="00D21D86" w:rsidRDefault="007A5BDD" w:rsidP="007A5BDD">
      <w:pPr>
        <w:pStyle w:val="FootnoteText"/>
        <w:rPr>
          <w:lang w:val="en-US"/>
        </w:rPr>
      </w:pPr>
    </w:p>
  </w:footnote>
  <w:footnote w:id="5">
    <w:p w:rsidR="007A5BDD" w:rsidRDefault="007A5BDD" w:rsidP="007A5BDD">
      <w:pPr>
        <w:pStyle w:val="FootnoteText"/>
      </w:pPr>
      <w:r>
        <w:rPr>
          <w:rStyle w:val="FootnoteReference"/>
          <w:rFonts w:eastAsiaTheme="majorEastAsia"/>
        </w:rPr>
        <w:footnoteRef/>
      </w:r>
      <w:r>
        <w:t xml:space="preserve"> </w:t>
      </w:r>
      <w:hyperlink r:id="rId4" w:history="1">
        <w:r>
          <w:rPr>
            <w:rStyle w:val="Hyperlink"/>
          </w:rPr>
          <w:t>http://www.pts.se/upload/Beslut/Radio/2009/08-12019-decision-900-mhz-march-2009.pdf</w:t>
        </w:r>
      </w:hyperlink>
      <w:r>
        <w:t xml:space="preserve"> </w:t>
      </w:r>
    </w:p>
  </w:footnote>
  <w:footnote w:id="6">
    <w:p w:rsidR="007A5BDD" w:rsidRPr="00B37AE5" w:rsidRDefault="007A5BDD" w:rsidP="007A5BDD">
      <w:pPr>
        <w:pStyle w:val="FootnoteText"/>
      </w:pPr>
      <w:r>
        <w:rPr>
          <w:rStyle w:val="FootnoteReference"/>
        </w:rPr>
        <w:footnoteRef/>
      </w:r>
      <w:r>
        <w:t xml:space="preserve"> </w:t>
      </w:r>
      <w:r w:rsidRPr="000F2249">
        <w:rPr>
          <w:i/>
        </w:rPr>
        <w:t>Study on conditions and options in introducing secondary trading of radio spectrum in the European Community</w:t>
      </w:r>
      <w:r>
        <w:t xml:space="preserve"> available at: </w:t>
      </w:r>
      <w:hyperlink r:id="rId5" w:history="1">
        <w:r w:rsidRPr="00CD66FC">
          <w:rPr>
            <w:rStyle w:val="Hyperlink"/>
            <w:rFonts w:eastAsiaTheme="majorEastAsia"/>
          </w:rPr>
          <w:t>http://www.dotecon.com/publications/secontrad_final.pdf</w:t>
        </w:r>
      </w:hyperlink>
    </w:p>
  </w:footnote>
  <w:footnote w:id="7">
    <w:p w:rsidR="007A5BDD" w:rsidRDefault="007A5BDD" w:rsidP="007A5BDD">
      <w:pPr>
        <w:pStyle w:val="FootnoteText"/>
      </w:pPr>
      <w:r>
        <w:rPr>
          <w:rStyle w:val="FootnoteReference"/>
        </w:rPr>
        <w:footnoteRef/>
      </w:r>
      <w:r>
        <w:t xml:space="preserve"> </w:t>
      </w:r>
      <w:r w:rsidRPr="003B1264">
        <w:t>http://www.ictregulationtoolkit.org/en/Section.2094.html</w:t>
      </w:r>
    </w:p>
  </w:footnote>
  <w:footnote w:id="8">
    <w:p w:rsidR="007A5BDD" w:rsidRDefault="007A5BDD" w:rsidP="007A5BDD">
      <w:pPr>
        <w:pStyle w:val="FootnoteText"/>
      </w:pPr>
      <w:r>
        <w:rPr>
          <w:rStyle w:val="FootnoteReference"/>
        </w:rPr>
        <w:footnoteRef/>
      </w:r>
      <w:r>
        <w:t xml:space="preserve"> OFCOM consultation on Simplifying Spectrum Trading ( Sept 2009)</w:t>
      </w:r>
    </w:p>
  </w:footnote>
  <w:footnote w:id="9">
    <w:p w:rsidR="007A5BDD" w:rsidRDefault="007A5BDD" w:rsidP="007A5BDD">
      <w:pPr>
        <w:pStyle w:val="FootnoteText"/>
      </w:pPr>
      <w:r>
        <w:rPr>
          <w:rStyle w:val="FootnoteReference"/>
        </w:rPr>
        <w:footnoteRef/>
      </w:r>
      <w:r>
        <w:t xml:space="preserve"> OFCOM consultation on Simplifying Spectrum Trading ( Sept 2009)</w:t>
      </w:r>
    </w:p>
  </w:footnote>
  <w:footnote w:id="10">
    <w:p w:rsidR="007A5BDD" w:rsidRDefault="007A5BDD" w:rsidP="007A5BDD">
      <w:pPr>
        <w:pStyle w:val="FootnoteText"/>
      </w:pPr>
      <w:r>
        <w:rPr>
          <w:rStyle w:val="FootnoteReference"/>
        </w:rPr>
        <w:footnoteRef/>
      </w:r>
      <w:r>
        <w:t xml:space="preserve"> </w:t>
      </w:r>
      <w:r w:rsidRPr="004A188A">
        <w:t>Standard Trading Unit (STU) is the smallest unit of spectrum for which the ACMA will register a trade.</w:t>
      </w:r>
    </w:p>
  </w:footnote>
  <w:footnote w:id="11">
    <w:p w:rsidR="007A5BDD" w:rsidRDefault="007A5BDD" w:rsidP="007A5BDD">
      <w:pPr>
        <w:pStyle w:val="FootnoteText"/>
      </w:pPr>
      <w:r>
        <w:rPr>
          <w:rStyle w:val="FootnoteReference"/>
        </w:rPr>
        <w:footnoteRef/>
      </w:r>
      <w:r>
        <w:t xml:space="preserve"> </w:t>
      </w:r>
      <w:hyperlink r:id="rId6" w:history="1">
        <w:r w:rsidRPr="007D3EE9">
          <w:rPr>
            <w:rStyle w:val="Hyperlink"/>
            <w:rFonts w:eastAsiaTheme="majorEastAsia"/>
          </w:rPr>
          <w:t>www.rsm.govt.nz</w:t>
        </w:r>
      </w:hyperlink>
    </w:p>
    <w:p w:rsidR="007A5BDD" w:rsidRDefault="007A5BDD" w:rsidP="007A5BDD">
      <w:pPr>
        <w:pStyle w:val="FootnoteText"/>
      </w:pPr>
    </w:p>
  </w:footnote>
  <w:footnote w:id="12">
    <w:p w:rsidR="007A5BDD" w:rsidRPr="00006579" w:rsidRDefault="007A5BDD" w:rsidP="007A5BDD">
      <w:pPr>
        <w:pStyle w:val="FootnoteText"/>
        <w:rPr>
          <w:lang w:val="en-US"/>
        </w:rPr>
      </w:pPr>
      <w:r>
        <w:rPr>
          <w:rStyle w:val="FootnoteReference"/>
        </w:rPr>
        <w:footnoteRef/>
      </w:r>
      <w:r>
        <w:t xml:space="preserve"> </w:t>
      </w:r>
      <w:r>
        <w:rPr>
          <w:lang w:val="en-US"/>
        </w:rPr>
        <w:t xml:space="preserve">UASL permits a licensee to offer  any access service viz. basic services, mobile services and internet services </w:t>
      </w:r>
    </w:p>
  </w:footnote>
  <w:footnote w:id="13">
    <w:p w:rsidR="007A5BDD" w:rsidRPr="004970E6" w:rsidRDefault="007A5BDD" w:rsidP="007A5BDD">
      <w:pPr>
        <w:pStyle w:val="FootnoteText"/>
        <w:jc w:val="both"/>
        <w:rPr>
          <w:lang w:val="en-US"/>
        </w:rPr>
      </w:pPr>
      <w:r>
        <w:rPr>
          <w:rStyle w:val="FootnoteReference"/>
        </w:rPr>
        <w:footnoteRef/>
      </w:r>
      <w:r>
        <w:t xml:space="preserve"> </w:t>
      </w:r>
      <w:r>
        <w:rPr>
          <w:lang w:val="en-US"/>
        </w:rPr>
        <w:t>These are in accordance with the TRAI’s recommendations on ‘Spectrum Management and Licensing Framework’ dated 11</w:t>
      </w:r>
      <w:r w:rsidRPr="004970E6">
        <w:rPr>
          <w:vertAlign w:val="superscript"/>
          <w:lang w:val="en-US"/>
        </w:rPr>
        <w:t>th</w:t>
      </w:r>
      <w:r>
        <w:rPr>
          <w:lang w:val="en-US"/>
        </w:rPr>
        <w:t xml:space="preserve"> May 2010 and 3</w:t>
      </w:r>
      <w:r w:rsidRPr="004970E6">
        <w:rPr>
          <w:vertAlign w:val="superscript"/>
          <w:lang w:val="en-US"/>
        </w:rPr>
        <w:t>rd</w:t>
      </w:r>
      <w:r>
        <w:rPr>
          <w:lang w:val="en-US"/>
        </w:rPr>
        <w:t xml:space="preserve"> November 2011/</w:t>
      </w:r>
    </w:p>
  </w:footnote>
  <w:footnote w:id="14">
    <w:p w:rsidR="007A5BDD" w:rsidRPr="00BD186A" w:rsidRDefault="007A5BDD" w:rsidP="007A5BDD">
      <w:pPr>
        <w:pStyle w:val="FootnoteText"/>
      </w:pPr>
      <w:r>
        <w:rPr>
          <w:rStyle w:val="FootnoteReference"/>
        </w:rPr>
        <w:footnoteRef/>
      </w:r>
      <w:r>
        <w:t xml:space="preserve"> </w:t>
      </w:r>
      <w:r w:rsidRPr="00BD186A">
        <w:t>http://www.btrc.gov.bd/history-and-vision</w:t>
      </w:r>
    </w:p>
  </w:footnote>
  <w:footnote w:id="15">
    <w:p w:rsidR="007A5BDD" w:rsidRPr="00294716" w:rsidRDefault="007A5BDD" w:rsidP="007A5BDD">
      <w:pPr>
        <w:pStyle w:val="FootnoteText"/>
      </w:pPr>
      <w:r>
        <w:rPr>
          <w:rStyle w:val="FootnoteReference"/>
        </w:rPr>
        <w:footnoteRef/>
      </w:r>
      <w:r>
        <w:t xml:space="preserve"> </w:t>
      </w:r>
      <w:r w:rsidRPr="00294716">
        <w:t>http://bdnews24.com/bangladesh/2013/09/12/3-operators-get-3g-licences</w:t>
      </w:r>
    </w:p>
  </w:footnote>
  <w:footnote w:id="16">
    <w:p w:rsidR="007A5BDD" w:rsidRPr="00345C20" w:rsidRDefault="007A5BDD" w:rsidP="007A5BDD">
      <w:pPr>
        <w:pStyle w:val="FootnoteText"/>
      </w:pPr>
      <w:r>
        <w:rPr>
          <w:rStyle w:val="FootnoteReference"/>
        </w:rPr>
        <w:footnoteRef/>
      </w:r>
      <w:r>
        <w:t xml:space="preserve"> </w:t>
      </w:r>
      <w:r w:rsidRPr="00345C20">
        <w:t>http://www.globaltimes.cn/content/809781.shtml#.UvnLpGKSzeU</w:t>
      </w:r>
    </w:p>
  </w:footnote>
  <w:footnote w:id="17">
    <w:p w:rsidR="007A5BDD" w:rsidRPr="00B10E87" w:rsidRDefault="007A5BDD" w:rsidP="007A5BDD">
      <w:pPr>
        <w:pStyle w:val="FootnoteText"/>
      </w:pPr>
      <w:r>
        <w:rPr>
          <w:rStyle w:val="FootnoteReference"/>
        </w:rPr>
        <w:footnoteRef/>
      </w:r>
      <w:r>
        <w:t xml:space="preserve"> </w:t>
      </w:r>
      <w:r w:rsidRPr="00B10E87">
        <w:t>http://www.dhakatribune.com/technology/2013/sep/20/banglalink-gets-3g-license</w:t>
      </w:r>
    </w:p>
  </w:footnote>
  <w:footnote w:id="18">
    <w:p w:rsidR="007A5BDD" w:rsidRPr="00AB2E32" w:rsidRDefault="007A5BDD" w:rsidP="007A5BDD">
      <w:pPr>
        <w:pStyle w:val="FootnoteText"/>
      </w:pPr>
      <w:r>
        <w:rPr>
          <w:rStyle w:val="FootnoteReference"/>
        </w:rPr>
        <w:footnoteRef/>
      </w:r>
      <w:r>
        <w:t xml:space="preserve"> </w:t>
      </w:r>
      <w:r w:rsidRPr="00AB2E32">
        <w:t>http://www.btrc.gov.bd/sites/default/files/infrastructure_sharing_guidelines_0.pdf</w:t>
      </w:r>
    </w:p>
  </w:footnote>
  <w:footnote w:id="19">
    <w:p w:rsidR="007A5BDD" w:rsidRDefault="007A5BDD" w:rsidP="007A5BDD">
      <w:pPr>
        <w:pStyle w:val="FootnoteText"/>
        <w:jc w:val="both"/>
        <w:rPr>
          <w:sz w:val="16"/>
          <w:szCs w:val="16"/>
        </w:rPr>
      </w:pPr>
      <w:r>
        <w:rPr>
          <w:rStyle w:val="FootnoteReference"/>
        </w:rPr>
        <w:footnoteRef/>
      </w:r>
      <w:r>
        <w:t xml:space="preserve"> </w:t>
      </w:r>
      <w:r w:rsidRPr="008410BD">
        <w:rPr>
          <w:sz w:val="16"/>
          <w:szCs w:val="16"/>
        </w:rPr>
        <w:t xml:space="preserve">On January 4, 2008, Pakistan Telecommunication Authority (PTA) terminated the license of </w:t>
      </w:r>
      <w:proofErr w:type="spellStart"/>
      <w:r w:rsidRPr="008410BD">
        <w:rPr>
          <w:sz w:val="16"/>
          <w:szCs w:val="16"/>
        </w:rPr>
        <w:t>Instaphone</w:t>
      </w:r>
      <w:proofErr w:type="spellEnd"/>
      <w:r w:rsidRPr="008410BD">
        <w:rPr>
          <w:sz w:val="16"/>
          <w:szCs w:val="16"/>
        </w:rPr>
        <w:t xml:space="preserve"> due to the company’s failure to pay outstanding dues for the license renewal fee they agreed to in April 2005 ($291MM). </w:t>
      </w:r>
      <w:proofErr w:type="spellStart"/>
      <w:r w:rsidRPr="008410BD">
        <w:rPr>
          <w:sz w:val="16"/>
          <w:szCs w:val="16"/>
        </w:rPr>
        <w:t>Pakcom</w:t>
      </w:r>
      <w:proofErr w:type="spellEnd"/>
      <w:r w:rsidRPr="008410BD">
        <w:rPr>
          <w:sz w:val="16"/>
          <w:szCs w:val="16"/>
        </w:rPr>
        <w:t xml:space="preserve">, the company that runs </w:t>
      </w:r>
      <w:proofErr w:type="spellStart"/>
      <w:r w:rsidRPr="008410BD">
        <w:rPr>
          <w:sz w:val="16"/>
          <w:szCs w:val="16"/>
        </w:rPr>
        <w:t>Instaphone</w:t>
      </w:r>
      <w:proofErr w:type="spellEnd"/>
      <w:r w:rsidRPr="008410BD">
        <w:rPr>
          <w:sz w:val="16"/>
          <w:szCs w:val="16"/>
        </w:rPr>
        <w:t>, failed to meet the payment schedule of $291 million for getting the operating license renewed for next 15 years from 2005.</w:t>
      </w:r>
    </w:p>
    <w:p w:rsidR="007A5BDD" w:rsidRPr="00EF156E" w:rsidRDefault="007A5BDD" w:rsidP="007A5BDD">
      <w:pPr>
        <w:pStyle w:val="FootnoteText"/>
        <w:jc w:val="both"/>
        <w:rPr>
          <w:sz w:val="6"/>
          <w:szCs w:val="16"/>
        </w:rPr>
      </w:pPr>
    </w:p>
  </w:footnote>
  <w:footnote w:id="20">
    <w:p w:rsidR="007A5BDD" w:rsidRPr="00EF156E" w:rsidRDefault="007A5BDD" w:rsidP="007A5BDD">
      <w:pPr>
        <w:pStyle w:val="FootnoteText"/>
        <w:jc w:val="both"/>
        <w:rPr>
          <w:sz w:val="16"/>
          <w:szCs w:val="16"/>
        </w:rPr>
      </w:pPr>
      <w:r>
        <w:rPr>
          <w:rStyle w:val="FootnoteReference"/>
        </w:rPr>
        <w:footnoteRef/>
      </w:r>
      <w:r>
        <w:t xml:space="preserve"> </w:t>
      </w:r>
      <w:r w:rsidRPr="00EF156E">
        <w:rPr>
          <w:sz w:val="16"/>
          <w:szCs w:val="16"/>
        </w:rPr>
        <w:t>Frequency Allocation Board after receiving applications from PTA \ PEMRA \ Govt. assigns the Radio Frequencies with associated technical parameters for all wireless networks after technical evaluation on spectrum management tools, formulation / review of the National Frequency Spectrum Plan and suggest means for optimized spectrum utilization, international coordination and agreements with other administrations in relation to various satellite and terrestrial based communication networks, fulfilling national obligations as contained in international treaties of the</w:t>
      </w:r>
      <w:r w:rsidRPr="00FD5924">
        <w:rPr>
          <w:rFonts w:ascii="Bookman Old Style" w:hAnsi="Bookman Old Style"/>
          <w:sz w:val="16"/>
          <w:szCs w:val="16"/>
        </w:rPr>
        <w:t xml:space="preserve"> </w:t>
      </w:r>
      <w:r w:rsidRPr="00EF156E">
        <w:rPr>
          <w:sz w:val="16"/>
          <w:szCs w:val="16"/>
        </w:rPr>
        <w:t xml:space="preserve">ITU, </w:t>
      </w:r>
      <w:proofErr w:type="spellStart"/>
      <w:r w:rsidRPr="00EF156E">
        <w:rPr>
          <w:sz w:val="16"/>
          <w:szCs w:val="16"/>
        </w:rPr>
        <w:t>etc</w:t>
      </w:r>
      <w:proofErr w:type="spellEnd"/>
      <w:r w:rsidRPr="00EF156E">
        <w:rPr>
          <w:sz w:val="16"/>
          <w:szCs w:val="16"/>
        </w:rPr>
        <w:t>, monitoring of spectrum for the detection of unauthorized wireless stations, site clearance of all wireless installations in the country.</w:t>
      </w:r>
    </w:p>
  </w:footnote>
  <w:footnote w:id="21">
    <w:p w:rsidR="007A5BDD" w:rsidRDefault="007A5BDD" w:rsidP="007A5BDD">
      <w:pPr>
        <w:pStyle w:val="FootnoteText"/>
        <w:jc w:val="both"/>
        <w:rPr>
          <w:sz w:val="16"/>
          <w:szCs w:val="16"/>
        </w:rPr>
      </w:pPr>
      <w:r w:rsidRPr="00EF156E">
        <w:rPr>
          <w:rStyle w:val="FootnoteReference"/>
          <w:sz w:val="16"/>
          <w:szCs w:val="16"/>
        </w:rPr>
        <w:footnoteRef/>
      </w:r>
      <w:r w:rsidRPr="00EF156E">
        <w:rPr>
          <w:sz w:val="16"/>
          <w:szCs w:val="16"/>
        </w:rPr>
        <w:t xml:space="preserve"> An English auction is a type of auction, whose most typical form is the "open outcry" auction. The auctioneer opens the auction by announcing a Suggested Opening Bid, a starting price or reserve for the item on sale and then accepts increasingly higher bids from the floor consisting of buyers with a possible interest in the item. Unlike sealed bid auctions, "open outcry" auctions are "open" or fully transparent as the identity of all bidders is disclosed to each other during the auction. The highest bidder at any given moment is considered to have the standing bid, which can only be displaced by a higher bid from a competing buyer. If no competing bidder challenges the standing bid within a given time frame, the standing bid becomes the winner, and the item is sold to the highest bidder at a price equal to his or her bid.</w:t>
      </w:r>
    </w:p>
    <w:p w:rsidR="007A5BDD" w:rsidRPr="00EF156E" w:rsidRDefault="007A5BDD" w:rsidP="007A5BDD">
      <w:pPr>
        <w:pStyle w:val="FootnoteText"/>
        <w:jc w:val="both"/>
        <w:rPr>
          <w:sz w:val="4"/>
          <w:szCs w:val="16"/>
        </w:rPr>
      </w:pPr>
    </w:p>
  </w:footnote>
  <w:footnote w:id="22">
    <w:p w:rsidR="007A5BDD" w:rsidRPr="00EF156E" w:rsidRDefault="007A5BDD" w:rsidP="007A5BDD">
      <w:pPr>
        <w:pStyle w:val="FootnoteText"/>
        <w:rPr>
          <w:sz w:val="16"/>
          <w:szCs w:val="16"/>
        </w:rPr>
      </w:pPr>
      <w:r w:rsidRPr="00EF156E">
        <w:rPr>
          <w:rStyle w:val="FootnoteReference"/>
          <w:sz w:val="16"/>
          <w:szCs w:val="16"/>
        </w:rPr>
        <w:footnoteRef/>
      </w:r>
      <w:r w:rsidRPr="00EF156E">
        <w:rPr>
          <w:sz w:val="16"/>
          <w:szCs w:val="16"/>
        </w:rPr>
        <w:t xml:space="preserve"> </w:t>
      </w:r>
      <w:hyperlink r:id="rId7" w:history="1">
        <w:r w:rsidRPr="00EF156E">
          <w:rPr>
            <w:rStyle w:val="Hyperlink"/>
            <w:sz w:val="16"/>
            <w:szCs w:val="16"/>
          </w:rPr>
          <w:t>http://www.sbp.org.pk/research/bulletin/2012/Vol-8-1/opinion2sabina.pdf</w:t>
        </w:r>
      </w:hyperlink>
    </w:p>
    <w:p w:rsidR="007A5BDD" w:rsidRPr="00EF156E" w:rsidRDefault="007A5BDD" w:rsidP="007A5BDD">
      <w:pPr>
        <w:pStyle w:val="FootnoteText"/>
        <w:rPr>
          <w:sz w:val="4"/>
        </w:rPr>
      </w:pPr>
    </w:p>
  </w:footnote>
  <w:footnote w:id="23">
    <w:p w:rsidR="007A5BDD" w:rsidRDefault="007A5BDD" w:rsidP="007A5BDD">
      <w:pPr>
        <w:pStyle w:val="FootnoteText"/>
      </w:pPr>
      <w:r>
        <w:rPr>
          <w:rStyle w:val="FootnoteReference"/>
        </w:rPr>
        <w:footnoteRef/>
      </w:r>
      <w:r>
        <w:t xml:space="preserve"> </w:t>
      </w:r>
      <w:r w:rsidRPr="00C0654D">
        <w:t>http://telecompk.net/wp-content/uploads/2012/01/Info-Memo-3G4GLTE-License.pdf</w:t>
      </w:r>
    </w:p>
  </w:footnote>
  <w:footnote w:id="24">
    <w:p w:rsidR="007A5BDD" w:rsidRDefault="007A5BDD" w:rsidP="007A5BDD">
      <w:pPr>
        <w:pStyle w:val="FootnoteText"/>
      </w:pPr>
      <w:r>
        <w:rPr>
          <w:rStyle w:val="FootnoteReference"/>
        </w:rPr>
        <w:footnoteRef/>
      </w:r>
      <w:r>
        <w:t xml:space="preserve"> </w:t>
      </w:r>
      <w:r w:rsidRPr="00C0654D">
        <w:t>http://www.pta.gov.pk/media/policy_directive.pdf</w:t>
      </w:r>
    </w:p>
  </w:footnote>
  <w:footnote w:id="25">
    <w:p w:rsidR="007A5BDD" w:rsidRDefault="007A5BDD" w:rsidP="007A5BDD">
      <w:pPr>
        <w:pStyle w:val="FootnoteText"/>
      </w:pPr>
      <w:r>
        <w:rPr>
          <w:rStyle w:val="FootnoteReference"/>
        </w:rPr>
        <w:footnoteRef/>
      </w:r>
      <w:r>
        <w:t xml:space="preserve"> </w:t>
      </w:r>
      <w:r w:rsidRPr="00C0654D">
        <w:t>http://www.itu.int/ITU-D/CDS/gq/Resolution9/pdf/Part-II/reponses/Pakistan.pdf</w:t>
      </w:r>
    </w:p>
  </w:footnote>
  <w:footnote w:id="26">
    <w:p w:rsidR="007A5BDD" w:rsidRDefault="007A5BDD" w:rsidP="007A5BDD">
      <w:pPr>
        <w:pStyle w:val="FootnoteText"/>
      </w:pPr>
      <w:r>
        <w:rPr>
          <w:rStyle w:val="FootnoteReference"/>
        </w:rPr>
        <w:footnoteRef/>
      </w:r>
      <w:r>
        <w:t xml:space="preserve"> </w:t>
      </w:r>
      <w:r w:rsidRPr="00143E7C">
        <w:t>http://www.lirneasia.net/wp-content/uploads/wp-filez/sri-lanka-case-study.pdf</w:t>
      </w:r>
    </w:p>
  </w:footnote>
  <w:footnote w:id="27">
    <w:p w:rsidR="007A5BDD" w:rsidRDefault="007A5BDD" w:rsidP="007A5BDD">
      <w:pPr>
        <w:pStyle w:val="FootnoteText"/>
      </w:pPr>
      <w:r>
        <w:rPr>
          <w:rStyle w:val="FootnoteReference"/>
        </w:rPr>
        <w:footnoteRef/>
      </w:r>
      <w:r>
        <w:t xml:space="preserve"> </w:t>
      </w:r>
      <w:r w:rsidRPr="00A621DC">
        <w:t>Network Dynamics Associates LLC- USTDA South Asia Communications Infrastructure Conference New Delhi, India – April 21-23, 2004</w:t>
      </w:r>
    </w:p>
  </w:footnote>
  <w:footnote w:id="28">
    <w:p w:rsidR="007A5BDD" w:rsidRDefault="007A5BDD" w:rsidP="007A5BDD">
      <w:pPr>
        <w:pStyle w:val="FootnoteText"/>
      </w:pPr>
      <w:r>
        <w:rPr>
          <w:rStyle w:val="FootnoteReference"/>
        </w:rPr>
        <w:footnoteRef/>
      </w:r>
      <w:r>
        <w:t xml:space="preserve"> </w:t>
      </w:r>
      <w:r w:rsidRPr="00A621DC">
        <w:t>http://www.iimahd.ernet.in/publications/data/2007-10-01Jain.pdf</w:t>
      </w:r>
    </w:p>
  </w:footnote>
  <w:footnote w:id="29">
    <w:p w:rsidR="007A5BDD" w:rsidRDefault="007A5BDD" w:rsidP="007A5BDD">
      <w:pPr>
        <w:pStyle w:val="FootnoteText"/>
      </w:pPr>
      <w:r>
        <w:rPr>
          <w:rStyle w:val="FootnoteReference"/>
        </w:rPr>
        <w:footnoteRef/>
      </w:r>
      <w:r>
        <w:t xml:space="preserve"> </w:t>
      </w:r>
      <w:r w:rsidRPr="00A621DC">
        <w:t>http://www.trc.gov.lk/images/pdf/ProcedureOfIssuanceRenewalOperatorLicences.pdf</w:t>
      </w:r>
    </w:p>
  </w:footnote>
  <w:footnote w:id="30">
    <w:p w:rsidR="007A5BDD" w:rsidRDefault="007A5BDD" w:rsidP="007A5BDD">
      <w:pPr>
        <w:pStyle w:val="FootnoteText"/>
      </w:pPr>
      <w:r>
        <w:rPr>
          <w:rStyle w:val="FootnoteReference"/>
        </w:rPr>
        <w:footnoteRef/>
      </w:r>
      <w:r>
        <w:t xml:space="preserve"> </w:t>
      </w:r>
      <w:r w:rsidRPr="004A2473">
        <w:t>http://www.infodev.org/infodev-files/resource/InfodevDocuments_1113.pdf</w:t>
      </w:r>
    </w:p>
  </w:footnote>
  <w:footnote w:id="31">
    <w:p w:rsidR="007A5BDD" w:rsidRDefault="007A5BDD" w:rsidP="007A5BDD">
      <w:pPr>
        <w:pStyle w:val="FootnoteText"/>
      </w:pPr>
      <w:r>
        <w:rPr>
          <w:rStyle w:val="FootnoteReference"/>
        </w:rPr>
        <w:footnoteRef/>
      </w:r>
      <w:r>
        <w:t xml:space="preserve"> </w:t>
      </w:r>
      <w:r w:rsidRPr="004A2473">
        <w:t>http://www.telegeography.com/products/commsupdate/articles/2013/04/02/dialog-axiata-launches-mobile-fdd-lte-following-licence-win/</w:t>
      </w:r>
    </w:p>
  </w:footnote>
  <w:footnote w:id="32">
    <w:p w:rsidR="007A5BDD" w:rsidRDefault="007A5BDD" w:rsidP="007A5BDD">
      <w:pPr>
        <w:pStyle w:val="FootnoteText"/>
      </w:pPr>
      <w:r>
        <w:rPr>
          <w:rStyle w:val="FootnoteReference"/>
        </w:rPr>
        <w:footnoteRef/>
      </w:r>
      <w:r>
        <w:t xml:space="preserve"> </w:t>
      </w:r>
      <w:r w:rsidRPr="008C7F0A">
        <w:t>http://www.nta.gov.np/en/2012-06-01-11-33-01/publications</w:t>
      </w:r>
    </w:p>
  </w:footnote>
  <w:footnote w:id="33">
    <w:p w:rsidR="007A5BDD" w:rsidRDefault="007A5BDD" w:rsidP="007A5BDD">
      <w:pPr>
        <w:pStyle w:val="FootnoteText"/>
      </w:pPr>
      <w:r>
        <w:rPr>
          <w:rStyle w:val="FootnoteReference"/>
        </w:rPr>
        <w:footnoteRef/>
      </w:r>
      <w:r>
        <w:t xml:space="preserve"> </w:t>
      </w:r>
      <w:r w:rsidRPr="008C7F0A">
        <w:t>http://www.itu.int/ITU-D/tech/broadband_networks/WirelessBDMasterPlans_ASP/WBB_MasterPlan_Nepal.pdf</w:t>
      </w:r>
    </w:p>
  </w:footnote>
  <w:footnote w:id="34">
    <w:p w:rsidR="007A5BDD" w:rsidRDefault="007A5BDD" w:rsidP="007A5BDD">
      <w:pPr>
        <w:pStyle w:val="FootnoteText"/>
      </w:pPr>
      <w:r>
        <w:rPr>
          <w:rStyle w:val="FootnoteReference"/>
        </w:rPr>
        <w:footnoteRef/>
      </w:r>
      <w:r>
        <w:t xml:space="preserve"> </w:t>
      </w:r>
      <w:r w:rsidRPr="008C7F0A">
        <w:t>http://www.ntc.net.np/publication/smarika/smarika69/S69Art11.pdf</w:t>
      </w:r>
    </w:p>
  </w:footnote>
  <w:footnote w:id="35">
    <w:p w:rsidR="007A5BDD" w:rsidRPr="0086586D" w:rsidRDefault="007A5BDD" w:rsidP="007A5BDD">
      <w:pPr>
        <w:pStyle w:val="FootnoteText"/>
      </w:pPr>
      <w:r>
        <w:rPr>
          <w:rStyle w:val="FootnoteReference"/>
        </w:rPr>
        <w:footnoteRef/>
      </w:r>
      <w:r>
        <w:t xml:space="preserve"> Telecom and ICT policy document by Ministry of Communications, October 2003.</w:t>
      </w:r>
    </w:p>
  </w:footnote>
  <w:footnote w:id="36">
    <w:p w:rsidR="007A5BDD" w:rsidRPr="003E7D9E" w:rsidRDefault="007A5BDD" w:rsidP="007A5BDD">
      <w:pPr>
        <w:pStyle w:val="FootnoteText"/>
      </w:pPr>
      <w:r>
        <w:rPr>
          <w:rStyle w:val="FootnoteReference"/>
        </w:rPr>
        <w:footnoteRef/>
      </w:r>
      <w:r>
        <w:t xml:space="preserve"> Licence agreement between ATRA and </w:t>
      </w:r>
      <w:proofErr w:type="spellStart"/>
      <w:r>
        <w:t>Etisalat</w:t>
      </w:r>
      <w:proofErr w:type="spellEnd"/>
    </w:p>
  </w:footnote>
  <w:footnote w:id="37">
    <w:p w:rsidR="007A5BDD" w:rsidRPr="00A434AC" w:rsidRDefault="007A5BDD" w:rsidP="007A5BDD">
      <w:pPr>
        <w:pStyle w:val="FootnoteText"/>
      </w:pPr>
      <w:r>
        <w:rPr>
          <w:rStyle w:val="FootnoteReference"/>
        </w:rPr>
        <w:footnoteRef/>
      </w:r>
      <w:r>
        <w:t xml:space="preserve"> </w:t>
      </w:r>
      <w:r w:rsidRPr="00A434AC">
        <w:t>http://mcit.gov.af/Content/Post/Attachment/INVITATIONTOBID5102011102134231.pdf</w:t>
      </w:r>
    </w:p>
  </w:footnote>
  <w:footnote w:id="38">
    <w:p w:rsidR="007A5BDD" w:rsidRPr="00050F63" w:rsidRDefault="007A5BDD" w:rsidP="007A5BDD">
      <w:pPr>
        <w:pStyle w:val="FootnoteText"/>
      </w:pPr>
      <w:r>
        <w:rPr>
          <w:rStyle w:val="FootnoteReference"/>
        </w:rPr>
        <w:footnoteRef/>
      </w:r>
      <w:r>
        <w:t xml:space="preserve"> </w:t>
      </w:r>
      <w:r w:rsidRPr="00050F63">
        <w:t>Telecom Regulatory and Pol</w:t>
      </w:r>
      <w:r>
        <w:t xml:space="preserve">icy Environment in Afghanistan by S </w:t>
      </w:r>
      <w:proofErr w:type="spellStart"/>
      <w:r>
        <w:t>Lokanathan</w:t>
      </w:r>
      <w:proofErr w:type="spellEnd"/>
    </w:p>
  </w:footnote>
  <w:footnote w:id="39">
    <w:p w:rsidR="007A5BDD" w:rsidRPr="009B16D5" w:rsidRDefault="007A5BDD" w:rsidP="007A5BDD">
      <w:pPr>
        <w:pStyle w:val="FootnoteText"/>
      </w:pPr>
      <w:r>
        <w:rPr>
          <w:rStyle w:val="FootnoteReference"/>
        </w:rPr>
        <w:footnoteRef/>
      </w:r>
      <w:r>
        <w:t xml:space="preserve"> </w:t>
      </w:r>
      <w:proofErr w:type="gramStart"/>
      <w:r>
        <w:t xml:space="preserve">Spectrum Management, </w:t>
      </w:r>
      <w:r w:rsidRPr="009B16D5">
        <w:t>Bhutan Telecommunications and Broadband Policy 2013</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r w:rsidR="00355827">
      <w:rPr>
        <w:lang w:eastAsia="ko-KR"/>
      </w:rPr>
      <w:t>WGSPEC-02/INP-01</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142"/>
    <w:multiLevelType w:val="multilevel"/>
    <w:tmpl w:val="A17C84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Bookman Old Style" w:hAnsi="Bookman Old Style" w:hint="default"/>
        <w:b w:val="0"/>
        <w:sz w:val="24"/>
        <w:szCs w:val="24"/>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20A6325"/>
    <w:multiLevelType w:val="hybridMultilevel"/>
    <w:tmpl w:val="824E6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03C21"/>
    <w:multiLevelType w:val="hybridMultilevel"/>
    <w:tmpl w:val="AA028346"/>
    <w:lvl w:ilvl="0" w:tplc="A06CDF7A">
      <w:start w:val="1"/>
      <w:numFmt w:val="decimal"/>
      <w:lvlText w:val="4.%1"/>
      <w:lvlJc w:val="left"/>
      <w:pPr>
        <w:ind w:left="1530" w:hanging="360"/>
      </w:pPr>
      <w:rPr>
        <w:rFonts w:hint="default"/>
        <w:b w:val="0"/>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3">
    <w:nsid w:val="04710EDC"/>
    <w:multiLevelType w:val="hybridMultilevel"/>
    <w:tmpl w:val="CB2CD220"/>
    <w:lvl w:ilvl="0" w:tplc="D250C72A">
      <w:start w:val="1"/>
      <w:numFmt w:val="decimal"/>
      <w:lvlText w:val="2.%1"/>
      <w:lvlJc w:val="left"/>
      <w:pPr>
        <w:ind w:left="1530" w:hanging="360"/>
      </w:pPr>
      <w:rPr>
        <w:rFonts w:hint="default"/>
        <w:b w:val="0"/>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4">
    <w:nsid w:val="0E156BC8"/>
    <w:multiLevelType w:val="hybridMultilevel"/>
    <w:tmpl w:val="506EF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1A6D0B08"/>
    <w:multiLevelType w:val="hybridMultilevel"/>
    <w:tmpl w:val="FE2C73F0"/>
    <w:lvl w:ilvl="0" w:tplc="40090017">
      <w:start w:val="1"/>
      <w:numFmt w:val="lowerLetter"/>
      <w:lvlText w:val="%1)"/>
      <w:lvlJc w:val="left"/>
      <w:pPr>
        <w:ind w:left="1440" w:hanging="360"/>
      </w:pPr>
      <w:rPr>
        <w:rFonts w:hint="default"/>
        <w:b/>
        <w:i w:val="0"/>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220130BF"/>
    <w:multiLevelType w:val="hybridMultilevel"/>
    <w:tmpl w:val="9CBC4E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480041B"/>
    <w:multiLevelType w:val="hybridMultilevel"/>
    <w:tmpl w:val="66789B2A"/>
    <w:lvl w:ilvl="0" w:tplc="C4B04ED6">
      <w:start w:val="3"/>
      <w:numFmt w:val="bullet"/>
      <w:lvlText w:val="-"/>
      <w:lvlJc w:val="left"/>
      <w:pPr>
        <w:ind w:left="2160" w:hanging="360"/>
      </w:pPr>
      <w:rPr>
        <w:rFonts w:ascii="Bookman Old Style" w:eastAsia="Times New Roman" w:hAnsi="Bookman Old Style" w:cs="Bookman Old Style"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1">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2C881C06"/>
    <w:multiLevelType w:val="multilevel"/>
    <w:tmpl w:val="6F8EFCDE"/>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D3038EE"/>
    <w:multiLevelType w:val="hybridMultilevel"/>
    <w:tmpl w:val="D5081DFC"/>
    <w:lvl w:ilvl="0" w:tplc="92BC9E70">
      <w:start w:val="1"/>
      <w:numFmt w:val="decimal"/>
      <w:lvlText w:val=" %1."/>
      <w:lvlJc w:val="left"/>
      <w:pPr>
        <w:ind w:left="720" w:hanging="360"/>
      </w:pPr>
      <w:rPr>
        <w:rFonts w:ascii="Bookman Old Style" w:eastAsia="Calibri" w:hAnsi="Bookman Old Style" w:cs="Times New Roman" w:hint="default"/>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nsid w:val="309458A4"/>
    <w:multiLevelType w:val="hybridMultilevel"/>
    <w:tmpl w:val="A0DA3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3A07FB"/>
    <w:multiLevelType w:val="hybridMultilevel"/>
    <w:tmpl w:val="71286F5C"/>
    <w:lvl w:ilvl="0" w:tplc="7C263158">
      <w:start w:val="1"/>
      <w:numFmt w:val="upperLetter"/>
      <w:lvlText w:val="%1."/>
      <w:lvlJc w:val="left"/>
      <w:pPr>
        <w:ind w:left="1440" w:hanging="360"/>
      </w:pPr>
      <w:rPr>
        <w:rFonts w:hint="default"/>
        <w:b/>
        <w:sz w:val="28"/>
        <w:szCs w:val="28"/>
        <w:vertAlign w:val="baseli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34B0EA6"/>
    <w:multiLevelType w:val="hybridMultilevel"/>
    <w:tmpl w:val="C45ECA8E"/>
    <w:lvl w:ilvl="0" w:tplc="3EDA866A">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3516773"/>
    <w:multiLevelType w:val="hybridMultilevel"/>
    <w:tmpl w:val="C88E8240"/>
    <w:lvl w:ilvl="0" w:tplc="CC9E72DE">
      <w:start w:val="1"/>
      <w:numFmt w:val="decimal"/>
      <w:lvlText w:val="1.%1"/>
      <w:lvlJc w:val="left"/>
      <w:pPr>
        <w:ind w:left="1440" w:hanging="360"/>
      </w:pPr>
      <w:rPr>
        <w:rFonts w:ascii="Bookman Old Style" w:hAnsi="Bookman Old Style" w:hint="default"/>
        <w:b w:val="0"/>
        <w:i w:val="0"/>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33FB6D34"/>
    <w:multiLevelType w:val="hybridMultilevel"/>
    <w:tmpl w:val="6F822810"/>
    <w:lvl w:ilvl="0" w:tplc="72D6F5B8">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3D0B0EC2"/>
    <w:multiLevelType w:val="hybridMultilevel"/>
    <w:tmpl w:val="DFF8F082"/>
    <w:lvl w:ilvl="0" w:tplc="D49E6A6E">
      <w:start w:val="1"/>
      <w:numFmt w:val="decimal"/>
      <w:lvlText w:val="4.%1"/>
      <w:lvlJc w:val="left"/>
      <w:pPr>
        <w:ind w:left="1530" w:hanging="360"/>
      </w:pPr>
      <w:rPr>
        <w:rFonts w:ascii="Bookman Old Style" w:hAnsi="Bookman Old Style" w:hint="default"/>
        <w:b w:val="0"/>
        <w:i w:val="0"/>
        <w:sz w:val="24"/>
        <w:szCs w:val="24"/>
      </w:rPr>
    </w:lvl>
    <w:lvl w:ilvl="1" w:tplc="D49E6A6E">
      <w:start w:val="1"/>
      <w:numFmt w:val="decimal"/>
      <w:lvlText w:val="4.%2"/>
      <w:lvlJc w:val="left"/>
      <w:pPr>
        <w:ind w:left="1440" w:hanging="360"/>
      </w:pPr>
      <w:rPr>
        <w:rFonts w:ascii="Bookman Old Style" w:hAnsi="Bookman Old Style" w:hint="default"/>
        <w:b w:val="0"/>
        <w:i w:val="0"/>
        <w:sz w:val="24"/>
        <w:szCs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D2E4ACC"/>
    <w:multiLevelType w:val="hybridMultilevel"/>
    <w:tmpl w:val="92E26C56"/>
    <w:lvl w:ilvl="0" w:tplc="DE0C2E8A">
      <w:start w:val="1"/>
      <w:numFmt w:val="decimal"/>
      <w:lvlText w:val="3.%1"/>
      <w:lvlJc w:val="left"/>
      <w:pPr>
        <w:ind w:left="1530" w:hanging="360"/>
      </w:pPr>
      <w:rPr>
        <w:rFonts w:ascii="Bookman Old Style" w:hAnsi="Bookman Old Style" w:hint="default"/>
        <w:b w:val="0"/>
        <w:i w:val="0"/>
        <w:sz w:val="24"/>
        <w:szCs w:val="24"/>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24">
    <w:nsid w:val="3D651C2D"/>
    <w:multiLevelType w:val="hybridMultilevel"/>
    <w:tmpl w:val="40F2FD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1495F16"/>
    <w:multiLevelType w:val="multilevel"/>
    <w:tmpl w:val="D6D65E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Bookman Old Style" w:hAnsi="Bookman Old Style" w:hint="default"/>
        <w:b w:val="0"/>
      </w:rPr>
    </w:lvl>
    <w:lvl w:ilvl="2">
      <w:start w:val="1"/>
      <w:numFmt w:val="decimal"/>
      <w:lvlText w:val="%1.%2.%3"/>
      <w:lvlJc w:val="left"/>
      <w:pPr>
        <w:tabs>
          <w:tab w:val="num" w:pos="720"/>
        </w:tabs>
        <w:ind w:left="720" w:hanging="720"/>
      </w:pPr>
      <w:rPr>
        <w:rFonts w:ascii="Bookman Old Style" w:hAnsi="Bookman Old Style"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2FE408C"/>
    <w:multiLevelType w:val="hybridMultilevel"/>
    <w:tmpl w:val="3F0613D4"/>
    <w:lvl w:ilvl="0" w:tplc="04090001">
      <w:start w:val="1"/>
      <w:numFmt w:val="bullet"/>
      <w:lvlText w:val=""/>
      <w:lvlJc w:val="left"/>
      <w:pPr>
        <w:tabs>
          <w:tab w:val="num" w:pos="720"/>
        </w:tabs>
        <w:ind w:left="720" w:hanging="360"/>
      </w:pPr>
      <w:rPr>
        <w:rFonts w:ascii="Symbol" w:hAnsi="Symbol" w:cs="Symbol" w:hint="default"/>
      </w:rPr>
    </w:lvl>
    <w:lvl w:ilvl="1" w:tplc="18EC8FE6">
      <w:numFmt w:val="bullet"/>
      <w:lvlText w:val="-"/>
      <w:lvlJc w:val="left"/>
      <w:pPr>
        <w:tabs>
          <w:tab w:val="num" w:pos="1440"/>
        </w:tabs>
        <w:ind w:left="1440" w:hanging="360"/>
      </w:pPr>
      <w:rPr>
        <w:rFonts w:ascii="Tahoma" w:eastAsia="Times New Roman" w:hAnsi="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B0D027F"/>
    <w:multiLevelType w:val="hybridMultilevel"/>
    <w:tmpl w:val="03620E7E"/>
    <w:lvl w:ilvl="0" w:tplc="7A300D54">
      <w:start w:val="1"/>
      <w:numFmt w:val="bullet"/>
      <w:lvlText w:val="-"/>
      <w:lvlJc w:val="left"/>
      <w:pPr>
        <w:ind w:left="1530" w:hanging="360"/>
      </w:pPr>
      <w:rPr>
        <w:rFonts w:ascii="Bookman Old Style" w:hAnsi="Bookman Old Style" w:hint="default"/>
        <w:b w:val="0"/>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28">
    <w:nsid w:val="4C2A2C36"/>
    <w:multiLevelType w:val="hybridMultilevel"/>
    <w:tmpl w:val="98905AEC"/>
    <w:lvl w:ilvl="0" w:tplc="7A300D54">
      <w:start w:val="1"/>
      <w:numFmt w:val="bullet"/>
      <w:lvlText w:val="-"/>
      <w:lvlJc w:val="left"/>
      <w:pPr>
        <w:ind w:left="1530" w:hanging="360"/>
      </w:pPr>
      <w:rPr>
        <w:rFonts w:ascii="Bookman Old Style" w:hAnsi="Bookman Old Style" w:hint="default"/>
        <w:b w:val="0"/>
        <w:i w:val="0"/>
        <w:sz w:val="24"/>
        <w:szCs w:val="24"/>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29">
    <w:nsid w:val="51D46F1E"/>
    <w:multiLevelType w:val="hybridMultilevel"/>
    <w:tmpl w:val="5FF82DA8"/>
    <w:lvl w:ilvl="0" w:tplc="40090001">
      <w:start w:val="1"/>
      <w:numFmt w:val="bullet"/>
      <w:lvlText w:val=""/>
      <w:lvlJc w:val="left"/>
      <w:pPr>
        <w:ind w:left="1530" w:hanging="360"/>
      </w:pPr>
      <w:rPr>
        <w:rFonts w:ascii="Symbol" w:hAnsi="Symbol" w:hint="default"/>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abstractNum w:abstractNumId="30">
    <w:nsid w:val="571344FA"/>
    <w:multiLevelType w:val="hybridMultilevel"/>
    <w:tmpl w:val="EF7CF2D2"/>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31">
    <w:nsid w:val="579A0052"/>
    <w:multiLevelType w:val="hybridMultilevel"/>
    <w:tmpl w:val="348EBC60"/>
    <w:lvl w:ilvl="0" w:tplc="35462A74">
      <w:start w:val="1"/>
      <w:numFmt w:val="upperLetter"/>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7A93A91"/>
    <w:multiLevelType w:val="hybridMultilevel"/>
    <w:tmpl w:val="34F04990"/>
    <w:lvl w:ilvl="0" w:tplc="40090001">
      <w:start w:val="1"/>
      <w:numFmt w:val="bullet"/>
      <w:lvlText w:val=""/>
      <w:lvlJc w:val="left"/>
      <w:pPr>
        <w:ind w:left="990" w:hanging="360"/>
      </w:pPr>
      <w:rPr>
        <w:rFonts w:ascii="Symbol" w:hAnsi="Symbol" w:hint="default"/>
        <w:b w:val="0"/>
        <w:i w:val="0"/>
        <w:color w:val="auto"/>
        <w:sz w:val="24"/>
      </w:rPr>
    </w:lvl>
    <w:lvl w:ilvl="1" w:tplc="F8D2275C">
      <w:start w:val="1"/>
      <w:numFmt w:val="lowerLetter"/>
      <w:lvlText w:val="%2."/>
      <w:lvlJc w:val="left"/>
      <w:pPr>
        <w:ind w:left="1440" w:hanging="360"/>
      </w:pPr>
      <w:rPr>
        <w:b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961239A"/>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A44333D"/>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DC22B3D"/>
    <w:multiLevelType w:val="hybridMultilevel"/>
    <w:tmpl w:val="EDA0C9BA"/>
    <w:lvl w:ilvl="0" w:tplc="7A300D54">
      <w:start w:val="1"/>
      <w:numFmt w:val="bullet"/>
      <w:lvlText w:val="-"/>
      <w:lvlJc w:val="left"/>
      <w:pPr>
        <w:ind w:left="1530" w:hanging="360"/>
      </w:pPr>
      <w:rPr>
        <w:rFonts w:ascii="Bookman Old Style" w:hAnsi="Bookman Old Style" w:hint="default"/>
        <w:b w:val="0"/>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36">
    <w:nsid w:val="633D5A9D"/>
    <w:multiLevelType w:val="multilevel"/>
    <w:tmpl w:val="AC62BD5E"/>
    <w:lvl w:ilvl="0">
      <w:start w:val="2"/>
      <w:numFmt w:val="decimal"/>
      <w:lvlText w:val="%1"/>
      <w:lvlJc w:val="left"/>
      <w:pPr>
        <w:ind w:left="525" w:hanging="525"/>
      </w:pPr>
      <w:rPr>
        <w:rFonts w:hint="default"/>
      </w:rPr>
    </w:lvl>
    <w:lvl w:ilvl="1">
      <w:start w:val="35"/>
      <w:numFmt w:val="decimal"/>
      <w:lvlText w:val="%1.%2"/>
      <w:lvlJc w:val="left"/>
      <w:pPr>
        <w:ind w:left="720" w:hanging="720"/>
      </w:pPr>
      <w:rPr>
        <w:rFonts w:ascii="Bookman Old Style" w:hAnsi="Bookman Old Style" w:hint="default"/>
        <w:b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68F138C0"/>
    <w:multiLevelType w:val="hybridMultilevel"/>
    <w:tmpl w:val="A044D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A23038C"/>
    <w:multiLevelType w:val="multilevel"/>
    <w:tmpl w:val="81C26CC6"/>
    <w:lvl w:ilvl="0">
      <w:start w:val="1"/>
      <w:numFmt w:val="bullet"/>
      <w:lvlText w:val="-"/>
      <w:lvlJc w:val="left"/>
      <w:pPr>
        <w:tabs>
          <w:tab w:val="num" w:pos="720"/>
        </w:tabs>
        <w:ind w:left="720" w:hanging="360"/>
      </w:pPr>
      <w:rPr>
        <w:rFonts w:ascii="Bookman Old Style" w:hAnsi="Bookman Old Style"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B012B5"/>
    <w:multiLevelType w:val="multilevel"/>
    <w:tmpl w:val="B0C86434"/>
    <w:lvl w:ilvl="0">
      <w:start w:val="3"/>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6F527290"/>
    <w:multiLevelType w:val="hybridMultilevel"/>
    <w:tmpl w:val="E40659CA"/>
    <w:lvl w:ilvl="0" w:tplc="4A10DB26">
      <w:start w:val="1"/>
      <w:numFmt w:val="upperLetter"/>
      <w:lvlText w:val="%1."/>
      <w:lvlJc w:val="right"/>
      <w:pPr>
        <w:ind w:left="126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41">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2">
    <w:nsid w:val="71A467F3"/>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9CB3236"/>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AF8494A"/>
    <w:multiLevelType w:val="hybridMultilevel"/>
    <w:tmpl w:val="C0CAB022"/>
    <w:lvl w:ilvl="0" w:tplc="40090001">
      <w:start w:val="1"/>
      <w:numFmt w:val="bullet"/>
      <w:lvlText w:val=""/>
      <w:lvlJc w:val="left"/>
      <w:pPr>
        <w:ind w:left="1026" w:hanging="360"/>
      </w:pPr>
      <w:rPr>
        <w:rFonts w:ascii="Symbol" w:hAnsi="Symbol" w:hint="default"/>
      </w:rPr>
    </w:lvl>
    <w:lvl w:ilvl="1" w:tplc="40090003" w:tentative="1">
      <w:start w:val="1"/>
      <w:numFmt w:val="bullet"/>
      <w:lvlText w:val="o"/>
      <w:lvlJc w:val="left"/>
      <w:pPr>
        <w:ind w:left="1746" w:hanging="360"/>
      </w:pPr>
      <w:rPr>
        <w:rFonts w:ascii="Courier New" w:hAnsi="Courier New" w:cs="Courier New" w:hint="default"/>
      </w:rPr>
    </w:lvl>
    <w:lvl w:ilvl="2" w:tplc="40090005" w:tentative="1">
      <w:start w:val="1"/>
      <w:numFmt w:val="bullet"/>
      <w:lvlText w:val=""/>
      <w:lvlJc w:val="left"/>
      <w:pPr>
        <w:ind w:left="2466" w:hanging="360"/>
      </w:pPr>
      <w:rPr>
        <w:rFonts w:ascii="Wingdings" w:hAnsi="Wingdings" w:hint="default"/>
      </w:rPr>
    </w:lvl>
    <w:lvl w:ilvl="3" w:tplc="40090001" w:tentative="1">
      <w:start w:val="1"/>
      <w:numFmt w:val="bullet"/>
      <w:lvlText w:val=""/>
      <w:lvlJc w:val="left"/>
      <w:pPr>
        <w:ind w:left="3186" w:hanging="360"/>
      </w:pPr>
      <w:rPr>
        <w:rFonts w:ascii="Symbol" w:hAnsi="Symbol" w:hint="default"/>
      </w:rPr>
    </w:lvl>
    <w:lvl w:ilvl="4" w:tplc="40090003" w:tentative="1">
      <w:start w:val="1"/>
      <w:numFmt w:val="bullet"/>
      <w:lvlText w:val="o"/>
      <w:lvlJc w:val="left"/>
      <w:pPr>
        <w:ind w:left="3906" w:hanging="360"/>
      </w:pPr>
      <w:rPr>
        <w:rFonts w:ascii="Courier New" w:hAnsi="Courier New" w:cs="Courier New" w:hint="default"/>
      </w:rPr>
    </w:lvl>
    <w:lvl w:ilvl="5" w:tplc="40090005" w:tentative="1">
      <w:start w:val="1"/>
      <w:numFmt w:val="bullet"/>
      <w:lvlText w:val=""/>
      <w:lvlJc w:val="left"/>
      <w:pPr>
        <w:ind w:left="4626" w:hanging="360"/>
      </w:pPr>
      <w:rPr>
        <w:rFonts w:ascii="Wingdings" w:hAnsi="Wingdings" w:hint="default"/>
      </w:rPr>
    </w:lvl>
    <w:lvl w:ilvl="6" w:tplc="40090001" w:tentative="1">
      <w:start w:val="1"/>
      <w:numFmt w:val="bullet"/>
      <w:lvlText w:val=""/>
      <w:lvlJc w:val="left"/>
      <w:pPr>
        <w:ind w:left="5346" w:hanging="360"/>
      </w:pPr>
      <w:rPr>
        <w:rFonts w:ascii="Symbol" w:hAnsi="Symbol" w:hint="default"/>
      </w:rPr>
    </w:lvl>
    <w:lvl w:ilvl="7" w:tplc="40090003" w:tentative="1">
      <w:start w:val="1"/>
      <w:numFmt w:val="bullet"/>
      <w:lvlText w:val="o"/>
      <w:lvlJc w:val="left"/>
      <w:pPr>
        <w:ind w:left="6066" w:hanging="360"/>
      </w:pPr>
      <w:rPr>
        <w:rFonts w:ascii="Courier New" w:hAnsi="Courier New" w:cs="Courier New" w:hint="default"/>
      </w:rPr>
    </w:lvl>
    <w:lvl w:ilvl="8" w:tplc="40090005" w:tentative="1">
      <w:start w:val="1"/>
      <w:numFmt w:val="bullet"/>
      <w:lvlText w:val=""/>
      <w:lvlJc w:val="left"/>
      <w:pPr>
        <w:ind w:left="6786" w:hanging="360"/>
      </w:pPr>
      <w:rPr>
        <w:rFonts w:ascii="Wingdings" w:hAnsi="Wingdings" w:hint="default"/>
      </w:rPr>
    </w:lvl>
  </w:abstractNum>
  <w:abstractNum w:abstractNumId="45">
    <w:nsid w:val="7C437405"/>
    <w:multiLevelType w:val="hybridMultilevel"/>
    <w:tmpl w:val="48C04760"/>
    <w:lvl w:ilvl="0" w:tplc="7A300D54">
      <w:start w:val="1"/>
      <w:numFmt w:val="bullet"/>
      <w:lvlText w:val="-"/>
      <w:lvlJc w:val="left"/>
      <w:pPr>
        <w:ind w:left="1530" w:hanging="360"/>
      </w:pPr>
      <w:rPr>
        <w:rFonts w:ascii="Bookman Old Style" w:hAnsi="Bookman Old Style" w:hint="default"/>
        <w:b w:val="0"/>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num w:numId="1">
    <w:abstractNumId w:val="20"/>
  </w:num>
  <w:num w:numId="2">
    <w:abstractNumId w:val="11"/>
  </w:num>
  <w:num w:numId="3">
    <w:abstractNumId w:val="8"/>
  </w:num>
  <w:num w:numId="4">
    <w:abstractNumId w:val="41"/>
  </w:num>
  <w:num w:numId="5">
    <w:abstractNumId w:val="14"/>
  </w:num>
  <w:num w:numId="6">
    <w:abstractNumId w:val="21"/>
  </w:num>
  <w:num w:numId="7">
    <w:abstractNumId w:val="7"/>
  </w:num>
  <w:num w:numId="8">
    <w:abstractNumId w:val="5"/>
  </w:num>
  <w:num w:numId="9">
    <w:abstractNumId w:val="42"/>
  </w:num>
  <w:num w:numId="10">
    <w:abstractNumId w:val="18"/>
  </w:num>
  <w:num w:numId="11">
    <w:abstractNumId w:val="6"/>
  </w:num>
  <w:num w:numId="12">
    <w:abstractNumId w:val="33"/>
  </w:num>
  <w:num w:numId="13">
    <w:abstractNumId w:val="3"/>
  </w:num>
  <w:num w:numId="14">
    <w:abstractNumId w:val="34"/>
  </w:num>
  <w:num w:numId="15">
    <w:abstractNumId w:val="23"/>
  </w:num>
  <w:num w:numId="16">
    <w:abstractNumId w:val="22"/>
  </w:num>
  <w:num w:numId="17">
    <w:abstractNumId w:val="43"/>
  </w:num>
  <w:num w:numId="18">
    <w:abstractNumId w:val="12"/>
  </w:num>
  <w:num w:numId="19">
    <w:abstractNumId w:val="37"/>
  </w:num>
  <w:num w:numId="20">
    <w:abstractNumId w:val="4"/>
  </w:num>
  <w:num w:numId="21">
    <w:abstractNumId w:val="30"/>
  </w:num>
  <w:num w:numId="22">
    <w:abstractNumId w:val="10"/>
  </w:num>
  <w:num w:numId="23">
    <w:abstractNumId w:val="17"/>
  </w:num>
  <w:num w:numId="24">
    <w:abstractNumId w:val="29"/>
  </w:num>
  <w:num w:numId="25">
    <w:abstractNumId w:val="35"/>
  </w:num>
  <w:num w:numId="26">
    <w:abstractNumId w:val="38"/>
  </w:num>
  <w:num w:numId="27">
    <w:abstractNumId w:val="45"/>
  </w:num>
  <w:num w:numId="28">
    <w:abstractNumId w:val="27"/>
  </w:num>
  <w:num w:numId="29">
    <w:abstractNumId w:val="19"/>
  </w:num>
  <w:num w:numId="30">
    <w:abstractNumId w:val="36"/>
  </w:num>
  <w:num w:numId="31">
    <w:abstractNumId w:val="13"/>
  </w:num>
  <w:num w:numId="32">
    <w:abstractNumId w:val="44"/>
  </w:num>
  <w:num w:numId="33">
    <w:abstractNumId w:val="31"/>
  </w:num>
  <w:num w:numId="34">
    <w:abstractNumId w:val="15"/>
  </w:num>
  <w:num w:numId="35">
    <w:abstractNumId w:val="16"/>
  </w:num>
  <w:num w:numId="36">
    <w:abstractNumId w:val="39"/>
  </w:num>
  <w:num w:numId="37">
    <w:abstractNumId w:val="25"/>
  </w:num>
  <w:num w:numId="38">
    <w:abstractNumId w:val="26"/>
  </w:num>
  <w:num w:numId="39">
    <w:abstractNumId w:val="1"/>
  </w:num>
  <w:num w:numId="40">
    <w:abstractNumId w:val="24"/>
  </w:num>
  <w:num w:numId="41">
    <w:abstractNumId w:val="9"/>
  </w:num>
  <w:num w:numId="42">
    <w:abstractNumId w:val="0"/>
  </w:num>
  <w:num w:numId="43">
    <w:abstractNumId w:val="40"/>
  </w:num>
  <w:num w:numId="44">
    <w:abstractNumId w:val="32"/>
  </w:num>
  <w:num w:numId="45">
    <w:abstractNumId w:val="2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1F"/>
    <w:rsid w:val="000011E8"/>
    <w:rsid w:val="0003595B"/>
    <w:rsid w:val="000A4256"/>
    <w:rsid w:val="000F5540"/>
    <w:rsid w:val="00143EA9"/>
    <w:rsid w:val="0019344E"/>
    <w:rsid w:val="00196568"/>
    <w:rsid w:val="001B18C2"/>
    <w:rsid w:val="001D587F"/>
    <w:rsid w:val="001D5D7E"/>
    <w:rsid w:val="00254A1B"/>
    <w:rsid w:val="00262EAB"/>
    <w:rsid w:val="0028454D"/>
    <w:rsid w:val="002926D4"/>
    <w:rsid w:val="002A51B0"/>
    <w:rsid w:val="002C07DA"/>
    <w:rsid w:val="002C7EA9"/>
    <w:rsid w:val="002E0FD9"/>
    <w:rsid w:val="002F2C66"/>
    <w:rsid w:val="00353BCB"/>
    <w:rsid w:val="00355827"/>
    <w:rsid w:val="003578AB"/>
    <w:rsid w:val="003A232C"/>
    <w:rsid w:val="003A65A6"/>
    <w:rsid w:val="003B6263"/>
    <w:rsid w:val="003C37B1"/>
    <w:rsid w:val="003C64A7"/>
    <w:rsid w:val="003D3FDA"/>
    <w:rsid w:val="003D4768"/>
    <w:rsid w:val="003D7FBE"/>
    <w:rsid w:val="003F0F10"/>
    <w:rsid w:val="003F1F54"/>
    <w:rsid w:val="003F2317"/>
    <w:rsid w:val="0042013A"/>
    <w:rsid w:val="00420822"/>
    <w:rsid w:val="0045458F"/>
    <w:rsid w:val="00466140"/>
    <w:rsid w:val="00475490"/>
    <w:rsid w:val="00486F61"/>
    <w:rsid w:val="004A5868"/>
    <w:rsid w:val="00530E8C"/>
    <w:rsid w:val="00587875"/>
    <w:rsid w:val="005C7E76"/>
    <w:rsid w:val="00607E2B"/>
    <w:rsid w:val="00614171"/>
    <w:rsid w:val="00627E64"/>
    <w:rsid w:val="0063062B"/>
    <w:rsid w:val="00660A4E"/>
    <w:rsid w:val="00667229"/>
    <w:rsid w:val="00682BE5"/>
    <w:rsid w:val="006C7574"/>
    <w:rsid w:val="0072279B"/>
    <w:rsid w:val="0074190C"/>
    <w:rsid w:val="00762576"/>
    <w:rsid w:val="007A5BDD"/>
    <w:rsid w:val="0080570B"/>
    <w:rsid w:val="008148E1"/>
    <w:rsid w:val="00865017"/>
    <w:rsid w:val="0088109B"/>
    <w:rsid w:val="008D0E09"/>
    <w:rsid w:val="008D4826"/>
    <w:rsid w:val="008D6D9C"/>
    <w:rsid w:val="0097693B"/>
    <w:rsid w:val="00983939"/>
    <w:rsid w:val="009862BD"/>
    <w:rsid w:val="009A4A6D"/>
    <w:rsid w:val="009C3A88"/>
    <w:rsid w:val="00A3438A"/>
    <w:rsid w:val="00A438A8"/>
    <w:rsid w:val="00A44BFA"/>
    <w:rsid w:val="00A548EF"/>
    <w:rsid w:val="00A948CF"/>
    <w:rsid w:val="00AA33D2"/>
    <w:rsid w:val="00AA41DB"/>
    <w:rsid w:val="00AA474C"/>
    <w:rsid w:val="00AD7E5F"/>
    <w:rsid w:val="00AE34E1"/>
    <w:rsid w:val="00B25D6A"/>
    <w:rsid w:val="00B30C81"/>
    <w:rsid w:val="00BB4D83"/>
    <w:rsid w:val="00BF663E"/>
    <w:rsid w:val="00C15633"/>
    <w:rsid w:val="00C357AD"/>
    <w:rsid w:val="00CA01E0"/>
    <w:rsid w:val="00CD5431"/>
    <w:rsid w:val="00CD5BD2"/>
    <w:rsid w:val="00CD75B4"/>
    <w:rsid w:val="00CE74EB"/>
    <w:rsid w:val="00CF2491"/>
    <w:rsid w:val="00CF30B3"/>
    <w:rsid w:val="00D254D8"/>
    <w:rsid w:val="00D57772"/>
    <w:rsid w:val="00D72F8C"/>
    <w:rsid w:val="00D75A4D"/>
    <w:rsid w:val="00D8478B"/>
    <w:rsid w:val="00D86151"/>
    <w:rsid w:val="00DA187A"/>
    <w:rsid w:val="00DA7595"/>
    <w:rsid w:val="00DB0A68"/>
    <w:rsid w:val="00DC43A3"/>
    <w:rsid w:val="00DD68FC"/>
    <w:rsid w:val="00DE4D0D"/>
    <w:rsid w:val="00E035A1"/>
    <w:rsid w:val="00E11CD0"/>
    <w:rsid w:val="00E674D3"/>
    <w:rsid w:val="00EB681F"/>
    <w:rsid w:val="00EC1A88"/>
    <w:rsid w:val="00F80501"/>
    <w:rsid w:val="00F84067"/>
    <w:rsid w:val="00FC2CE0"/>
    <w:rsid w:val="00FD592E"/>
    <w:rsid w:val="00FE1665"/>
    <w:rsid w:val="00FF63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link w:val="Heading1Char"/>
    <w:uiPriority w:val="9"/>
    <w:qFormat/>
    <w:rsid w:val="00DA7595"/>
    <w:pPr>
      <w:keepNext/>
      <w:jc w:val="center"/>
      <w:outlineLvl w:val="0"/>
    </w:pPr>
    <w:rPr>
      <w:b/>
      <w:bCs/>
      <w:u w:val="single"/>
    </w:rPr>
  </w:style>
  <w:style w:type="paragraph" w:styleId="Heading3">
    <w:name w:val="heading 3"/>
    <w:basedOn w:val="Normal"/>
    <w:next w:val="Normal"/>
    <w:link w:val="Heading3Char"/>
    <w:uiPriority w:val="9"/>
    <w:unhideWhenUsed/>
    <w:qFormat/>
    <w:rsid w:val="007A5BDD"/>
    <w:pPr>
      <w:keepNext/>
      <w:keepLines/>
      <w:spacing w:before="200" w:line="276" w:lineRule="auto"/>
      <w:outlineLvl w:val="2"/>
    </w:pPr>
    <w:rPr>
      <w:rFonts w:asciiTheme="majorHAnsi" w:eastAsiaTheme="majorEastAsia" w:hAnsiTheme="majorHAnsi" w:cstheme="majorBidi"/>
      <w:b/>
      <w:bCs/>
      <w:color w:val="4F81BD" w:themeColor="accent1"/>
      <w:sz w:val="22"/>
      <w:szCs w:val="22"/>
      <w:lang w:val="en-IN"/>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uiPriority w:val="99"/>
    <w:rsid w:val="00983939"/>
    <w:rPr>
      <w:rFonts w:ascii="Tahoma" w:hAnsi="Tahoma" w:cs="Tahoma"/>
      <w:sz w:val="16"/>
      <w:szCs w:val="16"/>
    </w:rPr>
  </w:style>
  <w:style w:type="character" w:customStyle="1" w:styleId="BalloonTextChar">
    <w:name w:val="Balloon Text Char"/>
    <w:basedOn w:val="DefaultParagraphFont"/>
    <w:link w:val="BalloonText"/>
    <w:uiPriority w:val="99"/>
    <w:rsid w:val="00983939"/>
    <w:rPr>
      <w:rFonts w:ascii="Tahoma" w:eastAsia="BatangChe" w:hAnsi="Tahoma" w:cs="Tahoma"/>
      <w:sz w:val="16"/>
      <w:szCs w:val="16"/>
      <w:lang w:bidi="ar-SA"/>
    </w:rPr>
  </w:style>
  <w:style w:type="paragraph" w:styleId="ListParagraph">
    <w:name w:val="List Paragraph"/>
    <w:basedOn w:val="Normal"/>
    <w:link w:val="ListParagraphChar"/>
    <w:uiPriority w:val="34"/>
    <w:qFormat/>
    <w:rsid w:val="00D72F8C"/>
    <w:rPr>
      <w:rFonts w:eastAsia="Times New Roman"/>
      <w:lang w:bidi="fa-IR"/>
    </w:rPr>
  </w:style>
  <w:style w:type="character" w:customStyle="1" w:styleId="Heading3Char">
    <w:name w:val="Heading 3 Char"/>
    <w:basedOn w:val="DefaultParagraphFont"/>
    <w:link w:val="Heading3"/>
    <w:uiPriority w:val="9"/>
    <w:rsid w:val="007A5BDD"/>
    <w:rPr>
      <w:rFonts w:asciiTheme="majorHAnsi" w:eastAsiaTheme="majorEastAsia" w:hAnsiTheme="majorHAnsi" w:cstheme="majorBidi"/>
      <w:b/>
      <w:bCs/>
      <w:color w:val="4F81BD" w:themeColor="accent1"/>
      <w:sz w:val="22"/>
      <w:szCs w:val="22"/>
      <w:lang w:val="en-IN" w:bidi="ar-SA"/>
    </w:rPr>
  </w:style>
  <w:style w:type="character" w:styleId="Strong">
    <w:name w:val="Strong"/>
    <w:basedOn w:val="DefaultParagraphFont"/>
    <w:qFormat/>
    <w:rsid w:val="007A5BDD"/>
    <w:rPr>
      <w:rFonts w:ascii="Bookman Old Style" w:hAnsi="Bookman Old Style"/>
      <w:bCs/>
      <w:sz w:val="28"/>
      <w:u w:color="000000" w:themeColor="text1"/>
    </w:rPr>
  </w:style>
  <w:style w:type="character" w:styleId="Hyperlink">
    <w:name w:val="Hyperlink"/>
    <w:basedOn w:val="DefaultParagraphFont"/>
    <w:unhideWhenUsed/>
    <w:rsid w:val="007A5BDD"/>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
    <w:basedOn w:val="Normal"/>
    <w:link w:val="FootnoteTextChar"/>
    <w:rsid w:val="007A5BDD"/>
    <w:rPr>
      <w:rFonts w:eastAsia="Times New Roman"/>
      <w:sz w:val="20"/>
      <w:szCs w:val="20"/>
      <w:lang w:val="en-I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 Char"/>
    <w:basedOn w:val="DefaultParagraphFont"/>
    <w:link w:val="FootnoteText"/>
    <w:rsid w:val="007A5BDD"/>
    <w:rPr>
      <w:rFonts w:eastAsia="Times New Roman"/>
      <w:lang w:val="en-IN" w:bidi="ar-SA"/>
    </w:rPr>
  </w:style>
  <w:style w:type="character" w:styleId="FootnoteReference">
    <w:name w:val="footnote reference"/>
    <w:aliases w:val="Appel note de bas de p,Appel note de bas de p + 11 pt,Italic,Footnote Reference/,de nota al pie,Ref,Footnote,Appel note de bas de p1,Appel note de bas de p2,Appel note de bas de p3"/>
    <w:basedOn w:val="DefaultParagraphFont"/>
    <w:rsid w:val="007A5BDD"/>
    <w:rPr>
      <w:vertAlign w:val="superscript"/>
    </w:rPr>
  </w:style>
  <w:style w:type="paragraph" w:styleId="NormalWeb">
    <w:name w:val="Normal (Web)"/>
    <w:basedOn w:val="Normal"/>
    <w:unhideWhenUsed/>
    <w:rsid w:val="007A5BDD"/>
    <w:pPr>
      <w:spacing w:before="100" w:beforeAutospacing="1" w:after="100" w:afterAutospacing="1"/>
    </w:pPr>
    <w:rPr>
      <w:rFonts w:eastAsia="Times New Roman"/>
      <w:lang w:val="en-IN" w:eastAsia="en-IN"/>
    </w:rPr>
  </w:style>
  <w:style w:type="paragraph" w:customStyle="1" w:styleId="Default">
    <w:name w:val="Default"/>
    <w:rsid w:val="007A5BDD"/>
    <w:pPr>
      <w:autoSpaceDE w:val="0"/>
      <w:autoSpaceDN w:val="0"/>
      <w:adjustRightInd w:val="0"/>
    </w:pPr>
    <w:rPr>
      <w:rFonts w:eastAsiaTheme="minorHAnsi"/>
      <w:color w:val="000000"/>
      <w:sz w:val="24"/>
      <w:szCs w:val="24"/>
      <w:lang w:val="en-IN" w:bidi="ar-SA"/>
    </w:rPr>
  </w:style>
  <w:style w:type="table" w:styleId="TableGrid">
    <w:name w:val="Table Grid"/>
    <w:basedOn w:val="TableNormal"/>
    <w:uiPriority w:val="59"/>
    <w:rsid w:val="007A5BDD"/>
    <w:pPr>
      <w:jc w:val="both"/>
    </w:pPr>
    <w:rPr>
      <w:rFonts w:ascii="Bookman Old Style" w:eastAsiaTheme="minorHAnsi" w:hAnsi="Bookman Old Style" w:cs="Mangal"/>
      <w:kern w:val="28"/>
      <w:sz w:val="24"/>
      <w:szCs w:val="24"/>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5BDD"/>
  </w:style>
  <w:style w:type="character" w:customStyle="1" w:styleId="spelle">
    <w:name w:val="spelle"/>
    <w:basedOn w:val="DefaultParagraphFont"/>
    <w:rsid w:val="007A5BDD"/>
  </w:style>
  <w:style w:type="character" w:customStyle="1" w:styleId="ListParagraphChar">
    <w:name w:val="List Paragraph Char"/>
    <w:link w:val="ListParagraph"/>
    <w:uiPriority w:val="34"/>
    <w:locked/>
    <w:rsid w:val="007A5BDD"/>
    <w:rPr>
      <w:rFonts w:eastAsia="Times New Roman"/>
      <w:sz w:val="24"/>
      <w:szCs w:val="24"/>
    </w:rPr>
  </w:style>
  <w:style w:type="character" w:customStyle="1" w:styleId="HeaderChar">
    <w:name w:val="Header Char"/>
    <w:basedOn w:val="DefaultParagraphFont"/>
    <w:link w:val="Header"/>
    <w:uiPriority w:val="99"/>
    <w:rsid w:val="007A5BDD"/>
    <w:rPr>
      <w:rFonts w:eastAsia="BatangChe"/>
      <w:sz w:val="24"/>
      <w:szCs w:val="24"/>
      <w:lang w:bidi="ar-SA"/>
    </w:rPr>
  </w:style>
  <w:style w:type="character" w:customStyle="1" w:styleId="FooterChar">
    <w:name w:val="Footer Char"/>
    <w:basedOn w:val="DefaultParagraphFont"/>
    <w:link w:val="Footer"/>
    <w:uiPriority w:val="99"/>
    <w:rsid w:val="007A5BDD"/>
    <w:rPr>
      <w:rFonts w:eastAsia="BatangChe"/>
      <w:sz w:val="24"/>
      <w:szCs w:val="24"/>
      <w:lang w:bidi="ar-SA"/>
    </w:rPr>
  </w:style>
  <w:style w:type="character" w:customStyle="1" w:styleId="nowrap">
    <w:name w:val="nowrap"/>
    <w:basedOn w:val="DefaultParagraphFont"/>
    <w:rsid w:val="007A5BDD"/>
  </w:style>
  <w:style w:type="character" w:customStyle="1" w:styleId="cn-invisible">
    <w:name w:val="cn-invisible"/>
    <w:basedOn w:val="DefaultParagraphFont"/>
    <w:rsid w:val="007A5BDD"/>
  </w:style>
  <w:style w:type="paragraph" w:styleId="DocumentMap">
    <w:name w:val="Document Map"/>
    <w:basedOn w:val="Normal"/>
    <w:link w:val="DocumentMapChar"/>
    <w:uiPriority w:val="99"/>
    <w:unhideWhenUsed/>
    <w:rsid w:val="007A5BDD"/>
    <w:rPr>
      <w:rFonts w:ascii="Tahoma" w:eastAsiaTheme="minorHAnsi" w:hAnsi="Tahoma" w:cs="Tahoma"/>
      <w:sz w:val="16"/>
      <w:szCs w:val="16"/>
      <w:lang w:val="en-IN"/>
    </w:rPr>
  </w:style>
  <w:style w:type="character" w:customStyle="1" w:styleId="DocumentMapChar">
    <w:name w:val="Document Map Char"/>
    <w:basedOn w:val="DefaultParagraphFont"/>
    <w:link w:val="DocumentMap"/>
    <w:uiPriority w:val="99"/>
    <w:rsid w:val="007A5BDD"/>
    <w:rPr>
      <w:rFonts w:ascii="Tahoma" w:eastAsiaTheme="minorHAnsi" w:hAnsi="Tahoma" w:cs="Tahoma"/>
      <w:sz w:val="16"/>
      <w:szCs w:val="16"/>
      <w:lang w:val="en-IN" w:bidi="ar-SA"/>
    </w:rPr>
  </w:style>
  <w:style w:type="character" w:customStyle="1" w:styleId="apple-style-span">
    <w:name w:val="apple-style-span"/>
    <w:basedOn w:val="DefaultParagraphFont"/>
    <w:rsid w:val="007A5BDD"/>
  </w:style>
  <w:style w:type="character" w:customStyle="1" w:styleId="Heading1Char">
    <w:name w:val="Heading 1 Char"/>
    <w:basedOn w:val="DefaultParagraphFont"/>
    <w:link w:val="Heading1"/>
    <w:uiPriority w:val="9"/>
    <w:rsid w:val="007A5BDD"/>
    <w:rPr>
      <w:rFonts w:eastAsia="BatangChe"/>
      <w:b/>
      <w:bCs/>
      <w:sz w:val="24"/>
      <w:szCs w:val="24"/>
      <w:u w:val="single"/>
      <w:lang w:bidi="ar-SA"/>
    </w:rPr>
  </w:style>
  <w:style w:type="paragraph" w:styleId="EndnoteText">
    <w:name w:val="endnote text"/>
    <w:basedOn w:val="Normal"/>
    <w:link w:val="EndnoteTextChar"/>
    <w:rsid w:val="007A5BDD"/>
    <w:rPr>
      <w:rFonts w:eastAsia="Times New Roman"/>
      <w:sz w:val="20"/>
      <w:szCs w:val="20"/>
    </w:rPr>
  </w:style>
  <w:style w:type="character" w:customStyle="1" w:styleId="EndnoteTextChar">
    <w:name w:val="Endnote Text Char"/>
    <w:basedOn w:val="DefaultParagraphFont"/>
    <w:link w:val="EndnoteText"/>
    <w:rsid w:val="007A5BDD"/>
    <w:rPr>
      <w:rFonts w:eastAsia="Times New Roman"/>
      <w:lang w:bidi="ar-SA"/>
    </w:rPr>
  </w:style>
  <w:style w:type="paragraph" w:customStyle="1" w:styleId="ACMABodyText">
    <w:name w:val="ACMA Body Text"/>
    <w:link w:val="ACMABodyTextChar"/>
    <w:rsid w:val="007A5BDD"/>
    <w:pPr>
      <w:suppressAutoHyphens/>
      <w:spacing w:before="80" w:after="120" w:line="280" w:lineRule="atLeast"/>
    </w:pPr>
    <w:rPr>
      <w:rFonts w:eastAsia="Times New Roman"/>
      <w:snapToGrid w:val="0"/>
      <w:sz w:val="24"/>
      <w:lang w:val="en-AU" w:bidi="ar-SA"/>
    </w:rPr>
  </w:style>
  <w:style w:type="character" w:customStyle="1" w:styleId="ACMABodyTextChar">
    <w:name w:val="ACMA Body Text Char"/>
    <w:basedOn w:val="DefaultParagraphFont"/>
    <w:link w:val="ACMABodyText"/>
    <w:rsid w:val="007A5BDD"/>
    <w:rPr>
      <w:rFonts w:eastAsia="Times New Roman"/>
      <w:snapToGrid w:val="0"/>
      <w:sz w:val="24"/>
      <w:lang w:val="en-AU" w:bidi="ar-SA"/>
    </w:rPr>
  </w:style>
  <w:style w:type="paragraph" w:customStyle="1" w:styleId="TableColHead">
    <w:name w:val="TableColHead"/>
    <w:basedOn w:val="Normal"/>
    <w:rsid w:val="007A5BDD"/>
    <w:pPr>
      <w:keepNext/>
      <w:spacing w:before="120" w:after="60" w:line="200" w:lineRule="exact"/>
    </w:pPr>
    <w:rPr>
      <w:rFonts w:ascii="Arial" w:eastAsia="Times New Roman" w:hAnsi="Arial"/>
      <w:b/>
      <w:noProof/>
      <w:sz w:val="18"/>
      <w:lang w:val="en-AU"/>
    </w:rPr>
  </w:style>
  <w:style w:type="paragraph" w:customStyle="1" w:styleId="TableText">
    <w:name w:val="TableText"/>
    <w:basedOn w:val="Normal"/>
    <w:rsid w:val="007A5BDD"/>
    <w:pPr>
      <w:spacing w:before="60" w:after="60" w:line="240" w:lineRule="exact"/>
    </w:pPr>
    <w:rPr>
      <w:rFonts w:eastAsia="Times New Roman"/>
      <w:noProof/>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link w:val="Heading1Char"/>
    <w:uiPriority w:val="9"/>
    <w:qFormat/>
    <w:rsid w:val="00DA7595"/>
    <w:pPr>
      <w:keepNext/>
      <w:jc w:val="center"/>
      <w:outlineLvl w:val="0"/>
    </w:pPr>
    <w:rPr>
      <w:b/>
      <w:bCs/>
      <w:u w:val="single"/>
    </w:rPr>
  </w:style>
  <w:style w:type="paragraph" w:styleId="Heading3">
    <w:name w:val="heading 3"/>
    <w:basedOn w:val="Normal"/>
    <w:next w:val="Normal"/>
    <w:link w:val="Heading3Char"/>
    <w:uiPriority w:val="9"/>
    <w:unhideWhenUsed/>
    <w:qFormat/>
    <w:rsid w:val="007A5BDD"/>
    <w:pPr>
      <w:keepNext/>
      <w:keepLines/>
      <w:spacing w:before="200" w:line="276" w:lineRule="auto"/>
      <w:outlineLvl w:val="2"/>
    </w:pPr>
    <w:rPr>
      <w:rFonts w:asciiTheme="majorHAnsi" w:eastAsiaTheme="majorEastAsia" w:hAnsiTheme="majorHAnsi" w:cstheme="majorBidi"/>
      <w:b/>
      <w:bCs/>
      <w:color w:val="4F81BD" w:themeColor="accent1"/>
      <w:sz w:val="22"/>
      <w:szCs w:val="22"/>
      <w:lang w:val="en-IN"/>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uiPriority w:val="99"/>
    <w:rsid w:val="00983939"/>
    <w:rPr>
      <w:rFonts w:ascii="Tahoma" w:hAnsi="Tahoma" w:cs="Tahoma"/>
      <w:sz w:val="16"/>
      <w:szCs w:val="16"/>
    </w:rPr>
  </w:style>
  <w:style w:type="character" w:customStyle="1" w:styleId="BalloonTextChar">
    <w:name w:val="Balloon Text Char"/>
    <w:basedOn w:val="DefaultParagraphFont"/>
    <w:link w:val="BalloonText"/>
    <w:uiPriority w:val="99"/>
    <w:rsid w:val="00983939"/>
    <w:rPr>
      <w:rFonts w:ascii="Tahoma" w:eastAsia="BatangChe" w:hAnsi="Tahoma" w:cs="Tahoma"/>
      <w:sz w:val="16"/>
      <w:szCs w:val="16"/>
      <w:lang w:bidi="ar-SA"/>
    </w:rPr>
  </w:style>
  <w:style w:type="paragraph" w:styleId="ListParagraph">
    <w:name w:val="List Paragraph"/>
    <w:basedOn w:val="Normal"/>
    <w:link w:val="ListParagraphChar"/>
    <w:uiPriority w:val="34"/>
    <w:qFormat/>
    <w:rsid w:val="00D72F8C"/>
    <w:rPr>
      <w:rFonts w:eastAsia="Times New Roman"/>
      <w:lang w:bidi="fa-IR"/>
    </w:rPr>
  </w:style>
  <w:style w:type="character" w:customStyle="1" w:styleId="Heading3Char">
    <w:name w:val="Heading 3 Char"/>
    <w:basedOn w:val="DefaultParagraphFont"/>
    <w:link w:val="Heading3"/>
    <w:uiPriority w:val="9"/>
    <w:rsid w:val="007A5BDD"/>
    <w:rPr>
      <w:rFonts w:asciiTheme="majorHAnsi" w:eastAsiaTheme="majorEastAsia" w:hAnsiTheme="majorHAnsi" w:cstheme="majorBidi"/>
      <w:b/>
      <w:bCs/>
      <w:color w:val="4F81BD" w:themeColor="accent1"/>
      <w:sz w:val="22"/>
      <w:szCs w:val="22"/>
      <w:lang w:val="en-IN" w:bidi="ar-SA"/>
    </w:rPr>
  </w:style>
  <w:style w:type="character" w:styleId="Strong">
    <w:name w:val="Strong"/>
    <w:basedOn w:val="DefaultParagraphFont"/>
    <w:qFormat/>
    <w:rsid w:val="007A5BDD"/>
    <w:rPr>
      <w:rFonts w:ascii="Bookman Old Style" w:hAnsi="Bookman Old Style"/>
      <w:bCs/>
      <w:sz w:val="28"/>
      <w:u w:color="000000" w:themeColor="text1"/>
    </w:rPr>
  </w:style>
  <w:style w:type="character" w:styleId="Hyperlink">
    <w:name w:val="Hyperlink"/>
    <w:basedOn w:val="DefaultParagraphFont"/>
    <w:unhideWhenUsed/>
    <w:rsid w:val="007A5BDD"/>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
    <w:basedOn w:val="Normal"/>
    <w:link w:val="FootnoteTextChar"/>
    <w:rsid w:val="007A5BDD"/>
    <w:rPr>
      <w:rFonts w:eastAsia="Times New Roman"/>
      <w:sz w:val="20"/>
      <w:szCs w:val="20"/>
      <w:lang w:val="en-I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 Char"/>
    <w:basedOn w:val="DefaultParagraphFont"/>
    <w:link w:val="FootnoteText"/>
    <w:rsid w:val="007A5BDD"/>
    <w:rPr>
      <w:rFonts w:eastAsia="Times New Roman"/>
      <w:lang w:val="en-IN" w:bidi="ar-SA"/>
    </w:rPr>
  </w:style>
  <w:style w:type="character" w:styleId="FootnoteReference">
    <w:name w:val="footnote reference"/>
    <w:aliases w:val="Appel note de bas de p,Appel note de bas de p + 11 pt,Italic,Footnote Reference/,de nota al pie,Ref,Footnote,Appel note de bas de p1,Appel note de bas de p2,Appel note de bas de p3"/>
    <w:basedOn w:val="DefaultParagraphFont"/>
    <w:rsid w:val="007A5BDD"/>
    <w:rPr>
      <w:vertAlign w:val="superscript"/>
    </w:rPr>
  </w:style>
  <w:style w:type="paragraph" w:styleId="NormalWeb">
    <w:name w:val="Normal (Web)"/>
    <w:basedOn w:val="Normal"/>
    <w:unhideWhenUsed/>
    <w:rsid w:val="007A5BDD"/>
    <w:pPr>
      <w:spacing w:before="100" w:beforeAutospacing="1" w:after="100" w:afterAutospacing="1"/>
    </w:pPr>
    <w:rPr>
      <w:rFonts w:eastAsia="Times New Roman"/>
      <w:lang w:val="en-IN" w:eastAsia="en-IN"/>
    </w:rPr>
  </w:style>
  <w:style w:type="paragraph" w:customStyle="1" w:styleId="Default">
    <w:name w:val="Default"/>
    <w:rsid w:val="007A5BDD"/>
    <w:pPr>
      <w:autoSpaceDE w:val="0"/>
      <w:autoSpaceDN w:val="0"/>
      <w:adjustRightInd w:val="0"/>
    </w:pPr>
    <w:rPr>
      <w:rFonts w:eastAsiaTheme="minorHAnsi"/>
      <w:color w:val="000000"/>
      <w:sz w:val="24"/>
      <w:szCs w:val="24"/>
      <w:lang w:val="en-IN" w:bidi="ar-SA"/>
    </w:rPr>
  </w:style>
  <w:style w:type="table" w:styleId="TableGrid">
    <w:name w:val="Table Grid"/>
    <w:basedOn w:val="TableNormal"/>
    <w:uiPriority w:val="59"/>
    <w:rsid w:val="007A5BDD"/>
    <w:pPr>
      <w:jc w:val="both"/>
    </w:pPr>
    <w:rPr>
      <w:rFonts w:ascii="Bookman Old Style" w:eastAsiaTheme="minorHAnsi" w:hAnsi="Bookman Old Style" w:cs="Mangal"/>
      <w:kern w:val="28"/>
      <w:sz w:val="24"/>
      <w:szCs w:val="24"/>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5BDD"/>
  </w:style>
  <w:style w:type="character" w:customStyle="1" w:styleId="spelle">
    <w:name w:val="spelle"/>
    <w:basedOn w:val="DefaultParagraphFont"/>
    <w:rsid w:val="007A5BDD"/>
  </w:style>
  <w:style w:type="character" w:customStyle="1" w:styleId="ListParagraphChar">
    <w:name w:val="List Paragraph Char"/>
    <w:link w:val="ListParagraph"/>
    <w:uiPriority w:val="34"/>
    <w:locked/>
    <w:rsid w:val="007A5BDD"/>
    <w:rPr>
      <w:rFonts w:eastAsia="Times New Roman"/>
      <w:sz w:val="24"/>
      <w:szCs w:val="24"/>
    </w:rPr>
  </w:style>
  <w:style w:type="character" w:customStyle="1" w:styleId="HeaderChar">
    <w:name w:val="Header Char"/>
    <w:basedOn w:val="DefaultParagraphFont"/>
    <w:link w:val="Header"/>
    <w:uiPriority w:val="99"/>
    <w:rsid w:val="007A5BDD"/>
    <w:rPr>
      <w:rFonts w:eastAsia="BatangChe"/>
      <w:sz w:val="24"/>
      <w:szCs w:val="24"/>
      <w:lang w:bidi="ar-SA"/>
    </w:rPr>
  </w:style>
  <w:style w:type="character" w:customStyle="1" w:styleId="FooterChar">
    <w:name w:val="Footer Char"/>
    <w:basedOn w:val="DefaultParagraphFont"/>
    <w:link w:val="Footer"/>
    <w:uiPriority w:val="99"/>
    <w:rsid w:val="007A5BDD"/>
    <w:rPr>
      <w:rFonts w:eastAsia="BatangChe"/>
      <w:sz w:val="24"/>
      <w:szCs w:val="24"/>
      <w:lang w:bidi="ar-SA"/>
    </w:rPr>
  </w:style>
  <w:style w:type="character" w:customStyle="1" w:styleId="nowrap">
    <w:name w:val="nowrap"/>
    <w:basedOn w:val="DefaultParagraphFont"/>
    <w:rsid w:val="007A5BDD"/>
  </w:style>
  <w:style w:type="character" w:customStyle="1" w:styleId="cn-invisible">
    <w:name w:val="cn-invisible"/>
    <w:basedOn w:val="DefaultParagraphFont"/>
    <w:rsid w:val="007A5BDD"/>
  </w:style>
  <w:style w:type="paragraph" w:styleId="DocumentMap">
    <w:name w:val="Document Map"/>
    <w:basedOn w:val="Normal"/>
    <w:link w:val="DocumentMapChar"/>
    <w:uiPriority w:val="99"/>
    <w:unhideWhenUsed/>
    <w:rsid w:val="007A5BDD"/>
    <w:rPr>
      <w:rFonts w:ascii="Tahoma" w:eastAsiaTheme="minorHAnsi" w:hAnsi="Tahoma" w:cs="Tahoma"/>
      <w:sz w:val="16"/>
      <w:szCs w:val="16"/>
      <w:lang w:val="en-IN"/>
    </w:rPr>
  </w:style>
  <w:style w:type="character" w:customStyle="1" w:styleId="DocumentMapChar">
    <w:name w:val="Document Map Char"/>
    <w:basedOn w:val="DefaultParagraphFont"/>
    <w:link w:val="DocumentMap"/>
    <w:uiPriority w:val="99"/>
    <w:rsid w:val="007A5BDD"/>
    <w:rPr>
      <w:rFonts w:ascii="Tahoma" w:eastAsiaTheme="minorHAnsi" w:hAnsi="Tahoma" w:cs="Tahoma"/>
      <w:sz w:val="16"/>
      <w:szCs w:val="16"/>
      <w:lang w:val="en-IN" w:bidi="ar-SA"/>
    </w:rPr>
  </w:style>
  <w:style w:type="character" w:customStyle="1" w:styleId="apple-style-span">
    <w:name w:val="apple-style-span"/>
    <w:basedOn w:val="DefaultParagraphFont"/>
    <w:rsid w:val="007A5BDD"/>
  </w:style>
  <w:style w:type="character" w:customStyle="1" w:styleId="Heading1Char">
    <w:name w:val="Heading 1 Char"/>
    <w:basedOn w:val="DefaultParagraphFont"/>
    <w:link w:val="Heading1"/>
    <w:uiPriority w:val="9"/>
    <w:rsid w:val="007A5BDD"/>
    <w:rPr>
      <w:rFonts w:eastAsia="BatangChe"/>
      <w:b/>
      <w:bCs/>
      <w:sz w:val="24"/>
      <w:szCs w:val="24"/>
      <w:u w:val="single"/>
      <w:lang w:bidi="ar-SA"/>
    </w:rPr>
  </w:style>
  <w:style w:type="paragraph" w:styleId="EndnoteText">
    <w:name w:val="endnote text"/>
    <w:basedOn w:val="Normal"/>
    <w:link w:val="EndnoteTextChar"/>
    <w:rsid w:val="007A5BDD"/>
    <w:rPr>
      <w:rFonts w:eastAsia="Times New Roman"/>
      <w:sz w:val="20"/>
      <w:szCs w:val="20"/>
    </w:rPr>
  </w:style>
  <w:style w:type="character" w:customStyle="1" w:styleId="EndnoteTextChar">
    <w:name w:val="Endnote Text Char"/>
    <w:basedOn w:val="DefaultParagraphFont"/>
    <w:link w:val="EndnoteText"/>
    <w:rsid w:val="007A5BDD"/>
    <w:rPr>
      <w:rFonts w:eastAsia="Times New Roman"/>
      <w:lang w:bidi="ar-SA"/>
    </w:rPr>
  </w:style>
  <w:style w:type="paragraph" w:customStyle="1" w:styleId="ACMABodyText">
    <w:name w:val="ACMA Body Text"/>
    <w:link w:val="ACMABodyTextChar"/>
    <w:rsid w:val="007A5BDD"/>
    <w:pPr>
      <w:suppressAutoHyphens/>
      <w:spacing w:before="80" w:after="120" w:line="280" w:lineRule="atLeast"/>
    </w:pPr>
    <w:rPr>
      <w:rFonts w:eastAsia="Times New Roman"/>
      <w:snapToGrid w:val="0"/>
      <w:sz w:val="24"/>
      <w:lang w:val="en-AU" w:bidi="ar-SA"/>
    </w:rPr>
  </w:style>
  <w:style w:type="character" w:customStyle="1" w:styleId="ACMABodyTextChar">
    <w:name w:val="ACMA Body Text Char"/>
    <w:basedOn w:val="DefaultParagraphFont"/>
    <w:link w:val="ACMABodyText"/>
    <w:rsid w:val="007A5BDD"/>
    <w:rPr>
      <w:rFonts w:eastAsia="Times New Roman"/>
      <w:snapToGrid w:val="0"/>
      <w:sz w:val="24"/>
      <w:lang w:val="en-AU" w:bidi="ar-SA"/>
    </w:rPr>
  </w:style>
  <w:style w:type="paragraph" w:customStyle="1" w:styleId="TableColHead">
    <w:name w:val="TableColHead"/>
    <w:basedOn w:val="Normal"/>
    <w:rsid w:val="007A5BDD"/>
    <w:pPr>
      <w:keepNext/>
      <w:spacing w:before="120" w:after="60" w:line="200" w:lineRule="exact"/>
    </w:pPr>
    <w:rPr>
      <w:rFonts w:ascii="Arial" w:eastAsia="Times New Roman" w:hAnsi="Arial"/>
      <w:b/>
      <w:noProof/>
      <w:sz w:val="18"/>
      <w:lang w:val="en-AU"/>
    </w:rPr>
  </w:style>
  <w:style w:type="paragraph" w:customStyle="1" w:styleId="TableText">
    <w:name w:val="TableText"/>
    <w:basedOn w:val="Normal"/>
    <w:rsid w:val="007A5BDD"/>
    <w:pPr>
      <w:spacing w:before="60" w:after="60" w:line="240" w:lineRule="exact"/>
    </w:pPr>
    <w:rPr>
      <w:rFonts w:eastAsia="Times New Roman"/>
      <w:noProof/>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gage.acma.gov.au/digitaldividend/ministerial-directions-for-the-digital-dividend-auction" TargetMode="External"/><Relationship Id="rId14" Type="http://schemas.openxmlformats.org/officeDocument/2006/relationships/image" Target="media/image6.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jaipalsinghtomar@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sm.org/documents/Refarming_case_study_Sweden_900_MHz_20111129.pdf" TargetMode="External"/><Relationship Id="rId7" Type="http://schemas.openxmlformats.org/officeDocument/2006/relationships/hyperlink" Target="http://www.sbp.org.pk/research/bulletin/2012/Vol-8-1/opinion2sabina.pdf" TargetMode="External"/><Relationship Id="rId2" Type="http://schemas.openxmlformats.org/officeDocument/2006/relationships/hyperlink" Target="http://en.itst.dk/spectrum-equipment/Auctions-and-calls-for-tenders/900-1800-mhz-auction" TargetMode="External"/><Relationship Id="rId1" Type="http://schemas.openxmlformats.org/officeDocument/2006/relationships/hyperlink" Target="http://www.gsm.org/documents/Refarming_case_study_Denmark_20111124.pdf" TargetMode="External"/><Relationship Id="rId6" Type="http://schemas.openxmlformats.org/officeDocument/2006/relationships/hyperlink" Target="http://www.rsm.govt.nz" TargetMode="External"/><Relationship Id="rId5" Type="http://schemas.openxmlformats.org/officeDocument/2006/relationships/hyperlink" Target="http://www.dotecon.com/publications/secontrad_final.pdf" TargetMode="External"/><Relationship Id="rId4" Type="http://schemas.openxmlformats.org/officeDocument/2006/relationships/hyperlink" Target="http://www.pts.se/upload/Beslut/Radio/2009/08-12019-decision-900-mhz-march-2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ATRC\WG-Spec-IRAN2014\SATRC%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SATRC Document Template</Template>
  <TotalTime>14</TotalTime>
  <Pages>62</Pages>
  <Words>17548</Words>
  <Characters>100029</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117343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m_dashti</dc:creator>
  <cp:lastModifiedBy>Forhadul Parvez</cp:lastModifiedBy>
  <cp:revision>4</cp:revision>
  <cp:lastPrinted>2004-07-28T05:44:00Z</cp:lastPrinted>
  <dcterms:created xsi:type="dcterms:W3CDTF">2014-03-10T16:39:00Z</dcterms:created>
  <dcterms:modified xsi:type="dcterms:W3CDTF">2014-03-12T09:03:00Z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