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C126E4" w:rsidRPr="00C126E4" w:rsidTr="0025256B">
        <w:trPr>
          <w:cantSplit/>
        </w:trPr>
        <w:tc>
          <w:tcPr>
            <w:tcW w:w="1399" w:type="dxa"/>
            <w:vMerge w:val="restart"/>
          </w:tcPr>
          <w:p w:rsidR="00C126E4" w:rsidRPr="00C126E4" w:rsidRDefault="00C126E4" w:rsidP="00C126E4">
            <w:pPr>
              <w:widowControl w:val="0"/>
              <w:wordWrap w:val="0"/>
              <w:bidi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kern w:val="2"/>
                <w:sz w:val="24"/>
                <w:szCs w:val="24"/>
                <w:lang w:eastAsia="ko-KR" w:bidi="ar-SA"/>
              </w:rPr>
            </w:pPr>
            <w:r w:rsidRPr="00C126E4">
              <w:rPr>
                <w:rFonts w:ascii="Times New Roman" w:eastAsia="BatangChe" w:hAnsi="Times New Roman" w:cs="Times New Roman"/>
                <w:noProof/>
                <w:kern w:val="2"/>
                <w:sz w:val="24"/>
                <w:szCs w:val="24"/>
                <w:lang w:bidi="ar-SA"/>
              </w:rPr>
              <w:drawing>
                <wp:inline distT="0" distB="0" distL="0" distR="0" wp14:anchorId="553D6E00" wp14:editId="30B1DC81">
                  <wp:extent cx="762635" cy="716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C126E4" w:rsidRPr="00C126E4" w:rsidRDefault="00C126E4" w:rsidP="00C126E4">
            <w:pPr>
              <w:keepNext/>
              <w:widowControl w:val="0"/>
              <w:wordWrap w:val="0"/>
              <w:bidi w:val="0"/>
              <w:spacing w:after="0" w:line="240" w:lineRule="auto"/>
              <w:jc w:val="both"/>
              <w:outlineLvl w:val="7"/>
              <w:rPr>
                <w:rFonts w:ascii="Times New Roman" w:eastAsia="BatangChe" w:hAnsi="Times New Roman" w:cs="Times New Roman"/>
                <w:b/>
                <w:bCs/>
                <w:kern w:val="2"/>
                <w:sz w:val="24"/>
                <w:szCs w:val="24"/>
                <w:lang w:eastAsia="ko-KR" w:bidi="ar-SA"/>
              </w:rPr>
            </w:pPr>
            <w:r w:rsidRPr="00C126E4">
              <w:rPr>
                <w:rFonts w:ascii="Times New Roman" w:eastAsia="BatangChe" w:hAnsi="Times New Roman" w:cs="Times New Roman"/>
                <w:b/>
                <w:bCs/>
                <w:kern w:val="2"/>
                <w:lang w:eastAsia="ko-KR" w:bidi="ar-SA"/>
              </w:rPr>
              <w:t>ASIA-PACIFIC TELECOMMUNITY</w:t>
            </w:r>
          </w:p>
        </w:tc>
      </w:tr>
      <w:tr w:rsidR="00C126E4" w:rsidRPr="00C126E4" w:rsidTr="0025256B">
        <w:trPr>
          <w:cantSplit/>
        </w:trPr>
        <w:tc>
          <w:tcPr>
            <w:tcW w:w="1399" w:type="dxa"/>
            <w:vMerge/>
          </w:tcPr>
          <w:p w:rsidR="00C126E4" w:rsidRPr="00C126E4" w:rsidRDefault="00C126E4" w:rsidP="00C126E4">
            <w:pPr>
              <w:bidi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140" w:type="dxa"/>
          </w:tcPr>
          <w:p w:rsidR="00C126E4" w:rsidRPr="00C126E4" w:rsidRDefault="00C126E4" w:rsidP="00C126E4">
            <w:pPr>
              <w:bidi w:val="0"/>
              <w:spacing w:after="0" w:line="0" w:lineRule="atLeast"/>
              <w:rPr>
                <w:rFonts w:ascii="Times New Roman" w:eastAsia="BatangChe" w:hAnsi="Times New Roman" w:cs="Times New Roman"/>
                <w:sz w:val="24"/>
                <w:szCs w:val="24"/>
                <w:lang w:bidi="ar-SA"/>
              </w:rPr>
            </w:pPr>
            <w:r w:rsidRPr="00C126E4">
              <w:rPr>
                <w:rFonts w:ascii="Times New Roman" w:eastAsia="BatangChe" w:hAnsi="Times New Roman" w:cs="Times New Roman"/>
                <w:b/>
                <w:sz w:val="24"/>
                <w:szCs w:val="24"/>
                <w:lang w:bidi="ar-SA"/>
              </w:rPr>
              <w:t>2</w:t>
            </w:r>
            <w:r w:rsidRPr="00C126E4">
              <w:rPr>
                <w:rFonts w:ascii="Times New Roman" w:eastAsia="BatangChe" w:hAnsi="Times New Roman" w:cs="Times New Roman"/>
                <w:b/>
                <w:sz w:val="24"/>
                <w:szCs w:val="24"/>
                <w:vertAlign w:val="superscript"/>
                <w:lang w:bidi="ar-SA"/>
              </w:rPr>
              <w:t>nd</w:t>
            </w:r>
            <w:r w:rsidRPr="00C126E4">
              <w:rPr>
                <w:rFonts w:ascii="Times New Roman" w:eastAsia="BatangChe" w:hAnsi="Times New Roman" w:cs="Times New Roman"/>
                <w:b/>
                <w:sz w:val="24"/>
                <w:szCs w:val="24"/>
                <w:lang w:bidi="ar-SA"/>
              </w:rPr>
              <w:t xml:space="preserve"> Meeting of SATRC Working Group on Spectrum in SAP-IV</w:t>
            </w:r>
          </w:p>
        </w:tc>
        <w:tc>
          <w:tcPr>
            <w:tcW w:w="2640" w:type="dxa"/>
          </w:tcPr>
          <w:p w:rsidR="00C126E4" w:rsidRPr="00C126E4" w:rsidRDefault="00C126E4" w:rsidP="00C126E4">
            <w:pPr>
              <w:bidi w:val="0"/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126E4">
              <w:rPr>
                <w:rFonts w:ascii="Times New Roman" w:eastAsia="BatangChe" w:hAnsi="Times New Roman" w:cs="Times New Roman"/>
                <w:b/>
                <w:sz w:val="24"/>
                <w:szCs w:val="24"/>
                <w:lang w:bidi="ar-SA"/>
              </w:rPr>
              <w:t>Document</w:t>
            </w:r>
          </w:p>
          <w:p w:rsidR="00C126E4" w:rsidRPr="00C126E4" w:rsidRDefault="00C126E4" w:rsidP="00211BB1">
            <w:pPr>
              <w:bidi w:val="0"/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C126E4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  <w:lang w:bidi="ar-SA"/>
              </w:rPr>
              <w:t>WGSPEC-0</w:t>
            </w:r>
            <w:r w:rsidR="00211BB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  <w:bookmarkStart w:id="0" w:name="_GoBack"/>
            <w:bookmarkEnd w:id="0"/>
            <w:r w:rsidRPr="00C126E4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  <w:lang w:bidi="ar-SA"/>
              </w:rPr>
              <w:t>/</w:t>
            </w:r>
            <w:r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  <w:lang w:bidi="ar-SA"/>
              </w:rPr>
              <w:t>INP-03</w:t>
            </w:r>
          </w:p>
        </w:tc>
      </w:tr>
      <w:tr w:rsidR="00C126E4" w:rsidRPr="00C126E4" w:rsidTr="0025256B">
        <w:trPr>
          <w:cantSplit/>
          <w:trHeight w:val="219"/>
        </w:trPr>
        <w:tc>
          <w:tcPr>
            <w:tcW w:w="1399" w:type="dxa"/>
            <w:vMerge/>
          </w:tcPr>
          <w:p w:rsidR="00C126E4" w:rsidRPr="00C126E4" w:rsidRDefault="00C126E4" w:rsidP="00C126E4">
            <w:pPr>
              <w:bidi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140" w:type="dxa"/>
          </w:tcPr>
          <w:p w:rsidR="00C126E4" w:rsidRPr="00C126E4" w:rsidRDefault="00C126E4" w:rsidP="00C126E4">
            <w:pPr>
              <w:bidi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  <w:lang w:bidi="ar-SA"/>
              </w:rPr>
            </w:pPr>
            <w:r w:rsidRPr="00C126E4">
              <w:rPr>
                <w:rFonts w:ascii="Times New Roman" w:eastAsia="BatangChe" w:hAnsi="Times New Roman" w:cs="Times New Roman"/>
                <w:sz w:val="24"/>
                <w:szCs w:val="24"/>
                <w:lang w:bidi="ar-SA"/>
              </w:rPr>
              <w:t>11-12 March 2014, Tehran, Iran</w:t>
            </w:r>
          </w:p>
        </w:tc>
        <w:tc>
          <w:tcPr>
            <w:tcW w:w="2640" w:type="dxa"/>
          </w:tcPr>
          <w:p w:rsidR="00C126E4" w:rsidRPr="00C126E4" w:rsidRDefault="00C126E4" w:rsidP="00C126E4">
            <w:pPr>
              <w:keepNext/>
              <w:bidi w:val="0"/>
              <w:spacing w:after="0" w:line="240" w:lineRule="auto"/>
              <w:outlineLvl w:val="0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  <w:u w:val="single"/>
                <w:lang w:bidi="ar-SA"/>
              </w:rPr>
            </w:pPr>
            <w:r w:rsidRPr="00C126E4">
              <w:rPr>
                <w:rFonts w:ascii="Times New Roman" w:eastAsia="BatangChe" w:hAnsi="Times New Roman" w:cs="Times New Roman"/>
                <w:b/>
                <w:sz w:val="24"/>
                <w:szCs w:val="24"/>
                <w:lang w:bidi="ar-SA"/>
              </w:rPr>
              <w:t>11 March 2014</w:t>
            </w:r>
          </w:p>
        </w:tc>
      </w:tr>
    </w:tbl>
    <w:p w:rsidR="00EC69F4" w:rsidRPr="00C700A4" w:rsidRDefault="00EC69F4" w:rsidP="00DE1377">
      <w:pPr>
        <w:bidi w:val="0"/>
        <w:rPr>
          <w:rFonts w:asciiTheme="majorBidi" w:hAnsiTheme="majorBidi" w:cstheme="majorBidi"/>
        </w:rPr>
      </w:pPr>
    </w:p>
    <w:p w:rsidR="00CD11AD" w:rsidRPr="00C126E4" w:rsidRDefault="00C126E4" w:rsidP="00C126E4">
      <w:pPr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Communication Regulatory Authority, Islamic Rep. of Iran</w:t>
      </w:r>
    </w:p>
    <w:p w:rsidR="00EC69F4" w:rsidRPr="00C126E4" w:rsidRDefault="00A321FC" w:rsidP="00C2521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26E4">
        <w:rPr>
          <w:rFonts w:asciiTheme="majorBidi" w:hAnsiTheme="majorBidi" w:cstheme="majorBidi"/>
          <w:b/>
          <w:bCs/>
          <w:sz w:val="28"/>
          <w:szCs w:val="28"/>
        </w:rPr>
        <w:t xml:space="preserve">NEW WORK ITEM PROPOSAL ON SPECTRUM RE-FARMING IN SATRC </w:t>
      </w:r>
      <w:r w:rsidR="00C2521A" w:rsidRPr="00C126E4">
        <w:rPr>
          <w:rFonts w:asciiTheme="majorBidi" w:hAnsiTheme="majorBidi" w:cstheme="majorBidi"/>
          <w:b/>
          <w:bCs/>
          <w:sz w:val="28"/>
          <w:szCs w:val="28"/>
        </w:rPr>
        <w:t>COUNTRIES</w:t>
      </w:r>
    </w:p>
    <w:p w:rsidR="00F826E1" w:rsidRPr="00C700A4" w:rsidRDefault="00F826E1" w:rsidP="00F826E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W w:w="9368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229"/>
      </w:tblGrid>
      <w:tr w:rsidR="00AF7B3E" w:rsidRPr="00C700A4" w:rsidTr="00DB64D6">
        <w:trPr>
          <w:trHeight w:val="448"/>
          <w:jc w:val="center"/>
        </w:trPr>
        <w:tc>
          <w:tcPr>
            <w:tcW w:w="2139" w:type="dxa"/>
            <w:shd w:val="pct15" w:color="auto" w:fill="auto"/>
            <w:vAlign w:val="center"/>
          </w:tcPr>
          <w:p w:rsidR="00AF7B3E" w:rsidRPr="00C700A4" w:rsidRDefault="00AF7B3E" w:rsidP="00DB64D6">
            <w:pPr>
              <w:bidi w:val="0"/>
              <w:snapToGrid w:val="0"/>
              <w:spacing w:before="100" w:after="10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0A4">
              <w:rPr>
                <w:rFonts w:asciiTheme="majorBidi" w:hAnsiTheme="majorBidi" w:cstheme="majorBidi"/>
                <w:b/>
                <w:sz w:val="20"/>
                <w:szCs w:val="20"/>
              </w:rPr>
              <w:t>Work Item</w:t>
            </w:r>
          </w:p>
        </w:tc>
        <w:tc>
          <w:tcPr>
            <w:tcW w:w="7229" w:type="dxa"/>
            <w:shd w:val="pct15" w:color="auto" w:fill="auto"/>
            <w:vAlign w:val="center"/>
          </w:tcPr>
          <w:p w:rsidR="00AF7B3E" w:rsidRPr="00C700A4" w:rsidRDefault="00AF7B3E" w:rsidP="00C2521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0A4">
              <w:rPr>
                <w:rFonts w:asciiTheme="majorBidi" w:hAnsiTheme="majorBidi" w:cstheme="majorBidi"/>
                <w:b/>
              </w:rPr>
              <w:t xml:space="preserve">Spectrum re-farming in SATRC </w:t>
            </w:r>
            <w:r w:rsidR="00C2521A" w:rsidRPr="00C700A4">
              <w:rPr>
                <w:rFonts w:asciiTheme="majorBidi" w:hAnsiTheme="majorBidi" w:cstheme="majorBidi"/>
                <w:b/>
              </w:rPr>
              <w:t>countries</w:t>
            </w:r>
          </w:p>
        </w:tc>
      </w:tr>
      <w:tr w:rsidR="005E2DDF" w:rsidRPr="00C700A4" w:rsidTr="00DB64D6">
        <w:trPr>
          <w:trHeight w:val="468"/>
          <w:jc w:val="center"/>
        </w:trPr>
        <w:tc>
          <w:tcPr>
            <w:tcW w:w="2139" w:type="dxa"/>
          </w:tcPr>
          <w:p w:rsidR="005E2DDF" w:rsidRPr="00C700A4" w:rsidRDefault="005E2DDF" w:rsidP="00DB64D6">
            <w:pPr>
              <w:bidi w:val="0"/>
              <w:snapToGrid w:val="0"/>
              <w:spacing w:before="100" w:after="10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0A4">
              <w:rPr>
                <w:rFonts w:asciiTheme="majorBidi" w:hAnsiTheme="majorBidi" w:cstheme="majorBidi"/>
                <w:b/>
                <w:sz w:val="20"/>
                <w:szCs w:val="20"/>
              </w:rPr>
              <w:t>Responsible working group</w:t>
            </w:r>
          </w:p>
        </w:tc>
        <w:tc>
          <w:tcPr>
            <w:tcW w:w="7229" w:type="dxa"/>
          </w:tcPr>
          <w:p w:rsidR="005E2DDF" w:rsidRPr="00C700A4" w:rsidRDefault="005E2DDF" w:rsidP="00DB64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napToGrid w:val="0"/>
              <w:spacing w:before="100" w:after="100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ko-KR"/>
              </w:rPr>
            </w:pPr>
            <w:r w:rsidRPr="00C700A4">
              <w:rPr>
                <w:rFonts w:asciiTheme="majorBidi" w:eastAsia="Times New Roman" w:hAnsiTheme="majorBidi" w:cstheme="majorBidi"/>
                <w:sz w:val="20"/>
                <w:szCs w:val="20"/>
                <w:lang w:eastAsia="ko-KR"/>
              </w:rPr>
              <w:t>WG on Spectrum</w:t>
            </w:r>
          </w:p>
        </w:tc>
      </w:tr>
      <w:tr w:rsidR="00AF7B3E" w:rsidRPr="00C700A4" w:rsidTr="00DB64D6">
        <w:trPr>
          <w:trHeight w:val="468"/>
          <w:jc w:val="center"/>
        </w:trPr>
        <w:tc>
          <w:tcPr>
            <w:tcW w:w="2139" w:type="dxa"/>
          </w:tcPr>
          <w:p w:rsidR="00AF7B3E" w:rsidRPr="00C700A4" w:rsidRDefault="00AF7B3E" w:rsidP="00DB64D6">
            <w:pPr>
              <w:bidi w:val="0"/>
              <w:snapToGrid w:val="0"/>
              <w:spacing w:before="100" w:after="10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0A4">
              <w:rPr>
                <w:rFonts w:asciiTheme="majorBidi" w:hAnsiTheme="majorBidi" w:cstheme="majorBidi"/>
                <w:b/>
                <w:sz w:val="20"/>
                <w:szCs w:val="20"/>
              </w:rPr>
              <w:t>Document Type</w:t>
            </w:r>
          </w:p>
        </w:tc>
        <w:tc>
          <w:tcPr>
            <w:tcW w:w="7229" w:type="dxa"/>
          </w:tcPr>
          <w:p w:rsidR="00AF7B3E" w:rsidRPr="00C700A4" w:rsidRDefault="005E2DDF" w:rsidP="00DB64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napToGrid w:val="0"/>
              <w:spacing w:before="100" w:after="100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ko-KR"/>
              </w:rPr>
            </w:pPr>
            <w:r w:rsidRPr="00C700A4">
              <w:rPr>
                <w:rFonts w:asciiTheme="majorBidi" w:eastAsia="Times New Roman" w:hAnsiTheme="majorBidi" w:cstheme="majorBidi"/>
                <w:sz w:val="20"/>
                <w:szCs w:val="20"/>
                <w:lang w:eastAsia="ko-KR"/>
              </w:rPr>
              <w:t>R</w:t>
            </w:r>
            <w:r w:rsidR="00AF7B3E" w:rsidRPr="00C700A4">
              <w:rPr>
                <w:rFonts w:asciiTheme="majorBidi" w:eastAsia="Times New Roman" w:hAnsiTheme="majorBidi" w:cstheme="majorBidi"/>
                <w:sz w:val="20"/>
                <w:szCs w:val="20"/>
                <w:lang w:eastAsia="ko-KR"/>
              </w:rPr>
              <w:t>eport</w:t>
            </w:r>
            <w:r w:rsidRPr="00C700A4">
              <w:rPr>
                <w:rFonts w:asciiTheme="majorBidi" w:eastAsia="Times New Roman" w:hAnsiTheme="majorBidi" w:cstheme="majorBidi"/>
                <w:sz w:val="20"/>
                <w:szCs w:val="20"/>
                <w:lang w:eastAsia="ko-KR"/>
              </w:rPr>
              <w:t>/ guideline</w:t>
            </w:r>
          </w:p>
        </w:tc>
      </w:tr>
      <w:tr w:rsidR="00AF7B3E" w:rsidRPr="00C700A4" w:rsidTr="00DB64D6">
        <w:trPr>
          <w:trHeight w:val="339"/>
          <w:jc w:val="center"/>
        </w:trPr>
        <w:tc>
          <w:tcPr>
            <w:tcW w:w="2139" w:type="dxa"/>
          </w:tcPr>
          <w:p w:rsidR="00AF7B3E" w:rsidRPr="00C700A4" w:rsidRDefault="00AF7B3E" w:rsidP="00DB64D6">
            <w:pPr>
              <w:bidi w:val="0"/>
              <w:snapToGrid w:val="0"/>
              <w:spacing w:before="100" w:after="100"/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</w:pPr>
            <w:r w:rsidRPr="00C700A4"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  <w:t>Group/Chair</w:t>
            </w:r>
          </w:p>
        </w:tc>
        <w:tc>
          <w:tcPr>
            <w:tcW w:w="7229" w:type="dxa"/>
          </w:tcPr>
          <w:p w:rsidR="00AF7B3E" w:rsidRPr="00C700A4" w:rsidRDefault="00AF7B3E" w:rsidP="00DB64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napToGrid w:val="0"/>
              <w:spacing w:before="100" w:after="100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ko-KR"/>
              </w:rPr>
            </w:pPr>
            <w:r w:rsidRPr="00C700A4">
              <w:rPr>
                <w:rFonts w:asciiTheme="majorBidi" w:eastAsia="Times New Roman" w:hAnsiTheme="majorBidi" w:cstheme="majorBidi"/>
                <w:sz w:val="20"/>
                <w:szCs w:val="20"/>
                <w:lang w:eastAsia="ko-KR"/>
              </w:rPr>
              <w:t>Iran</w:t>
            </w:r>
          </w:p>
        </w:tc>
      </w:tr>
      <w:tr w:rsidR="00AF7B3E" w:rsidRPr="00C700A4" w:rsidTr="00DB64D6">
        <w:trPr>
          <w:trHeight w:val="339"/>
          <w:jc w:val="center"/>
        </w:trPr>
        <w:tc>
          <w:tcPr>
            <w:tcW w:w="2139" w:type="dxa"/>
          </w:tcPr>
          <w:p w:rsidR="00AF7B3E" w:rsidRPr="00C700A4" w:rsidRDefault="00AF7B3E" w:rsidP="00DB64D6">
            <w:pPr>
              <w:bidi w:val="0"/>
              <w:snapToGrid w:val="0"/>
              <w:spacing w:before="100" w:after="100"/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</w:pPr>
            <w:r w:rsidRPr="00C700A4"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  <w:t>Scope</w:t>
            </w:r>
          </w:p>
        </w:tc>
        <w:tc>
          <w:tcPr>
            <w:tcW w:w="7229" w:type="dxa"/>
          </w:tcPr>
          <w:p w:rsidR="006F6618" w:rsidRPr="00C700A4" w:rsidRDefault="00AF7B3E" w:rsidP="00DB64D6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</w:pPr>
            <w:r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 xml:space="preserve">Spectrum re-farming and actions to improve relevant procedure. </w:t>
            </w:r>
          </w:p>
          <w:p w:rsidR="00AF7B3E" w:rsidRPr="00C700A4" w:rsidRDefault="00AF7B3E" w:rsidP="00DB64D6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</w:pPr>
            <w:r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>The action could include legal arrangement, executive procedure, foundation of re-farming fund and estimation of future spectrum requirement</w:t>
            </w:r>
          </w:p>
          <w:p w:rsidR="005A0FA6" w:rsidRPr="00C700A4" w:rsidRDefault="005A0FA6" w:rsidP="00DB64D6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</w:pPr>
          </w:p>
        </w:tc>
      </w:tr>
      <w:tr w:rsidR="00AF7B3E" w:rsidRPr="00C700A4" w:rsidTr="00DB64D6">
        <w:trPr>
          <w:trHeight w:val="344"/>
          <w:jc w:val="center"/>
        </w:trPr>
        <w:tc>
          <w:tcPr>
            <w:tcW w:w="2139" w:type="dxa"/>
          </w:tcPr>
          <w:p w:rsidR="00AF7B3E" w:rsidRPr="00C700A4" w:rsidRDefault="00AF7B3E" w:rsidP="00DB64D6">
            <w:pPr>
              <w:bidi w:val="0"/>
              <w:snapToGrid w:val="0"/>
              <w:spacing w:before="100" w:after="100"/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</w:pPr>
            <w:r w:rsidRPr="00C700A4"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7229" w:type="dxa"/>
          </w:tcPr>
          <w:p w:rsidR="00AF7B3E" w:rsidRPr="00C700A4" w:rsidRDefault="00AF7B3E" w:rsidP="00DB64D6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</w:pPr>
            <w:r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>Framework of spectrum re-farming</w:t>
            </w:r>
          </w:p>
          <w:p w:rsidR="00AF7B3E" w:rsidRPr="00C700A4" w:rsidRDefault="00AF7B3E" w:rsidP="00DB64D6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</w:pPr>
            <w:r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>Major spectrum re-farming cases</w:t>
            </w:r>
          </w:p>
          <w:p w:rsidR="00AF7B3E" w:rsidRPr="00C700A4" w:rsidRDefault="00AF7B3E" w:rsidP="00DB64D6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lang w:val="en-GB" w:eastAsia="ja-JP"/>
              </w:rPr>
            </w:pPr>
            <w:r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>Methodology of spectrum re-farming and areas of international cooperation Exchanging</w:t>
            </w:r>
            <w:r w:rsidRPr="00C700A4">
              <w:rPr>
                <w:rFonts w:asciiTheme="majorBidi" w:eastAsia="MS Mincho" w:hAnsiTheme="majorBidi" w:cstheme="majorBidi"/>
                <w:lang w:val="en-GB" w:eastAsia="ja-JP"/>
              </w:rPr>
              <w:t xml:space="preserve"> experiences, preventing and easing spectrum re-farming</w:t>
            </w:r>
          </w:p>
          <w:p w:rsidR="006F6618" w:rsidRPr="00C700A4" w:rsidRDefault="008F5B54" w:rsidP="006F6618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</w:pPr>
            <w:r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 xml:space="preserve">To study </w:t>
            </w:r>
            <w:r w:rsidR="006F6618"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>Implementation of re-farming</w:t>
            </w:r>
          </w:p>
          <w:p w:rsidR="006F6618" w:rsidRPr="00C700A4" w:rsidRDefault="008F5B54" w:rsidP="008F5B54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</w:pPr>
            <w:r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>To study r</w:t>
            </w:r>
            <w:r w:rsidR="006F6618" w:rsidRPr="00C700A4">
              <w:rPr>
                <w:rFonts w:asciiTheme="majorBidi" w:eastAsia="MS Mincho" w:hAnsiTheme="majorBidi" w:cstheme="majorBidi"/>
                <w:color w:val="auto"/>
                <w:sz w:val="22"/>
                <w:szCs w:val="22"/>
                <w:lang w:val="en-GB" w:eastAsia="ja-JP"/>
              </w:rPr>
              <w:t>egion potential for re-farming</w:t>
            </w:r>
          </w:p>
          <w:p w:rsidR="005A0FA6" w:rsidRPr="00C700A4" w:rsidRDefault="005A0FA6" w:rsidP="00DB64D6">
            <w:pPr>
              <w:pStyle w:val="Default"/>
              <w:spacing w:line="276" w:lineRule="auto"/>
              <w:rPr>
                <w:rFonts w:asciiTheme="majorBidi" w:eastAsia="MS Mincho" w:hAnsiTheme="majorBidi" w:cstheme="majorBidi"/>
                <w:lang w:val="en-GB" w:eastAsia="ja-JP"/>
              </w:rPr>
            </w:pPr>
          </w:p>
        </w:tc>
      </w:tr>
      <w:tr w:rsidR="00AF7B3E" w:rsidRPr="00C700A4" w:rsidTr="00DB64D6">
        <w:trPr>
          <w:trHeight w:val="339"/>
          <w:jc w:val="center"/>
        </w:trPr>
        <w:tc>
          <w:tcPr>
            <w:tcW w:w="2139" w:type="dxa"/>
          </w:tcPr>
          <w:p w:rsidR="00AF7B3E" w:rsidRPr="00C700A4" w:rsidRDefault="00AF7B3E" w:rsidP="00DB64D6">
            <w:pPr>
              <w:bidi w:val="0"/>
              <w:snapToGrid w:val="0"/>
              <w:spacing w:before="100" w:after="100"/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</w:pPr>
            <w:r w:rsidRPr="00C700A4"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  <w:t>Related Document</w:t>
            </w:r>
          </w:p>
        </w:tc>
        <w:tc>
          <w:tcPr>
            <w:tcW w:w="7229" w:type="dxa"/>
          </w:tcPr>
          <w:p w:rsidR="00AF7B3E" w:rsidRPr="00C700A4" w:rsidRDefault="00AF7B3E" w:rsidP="00DB64D6">
            <w:pPr>
              <w:bidi w:val="0"/>
              <w:spacing w:line="240" w:lineRule="auto"/>
              <w:rPr>
                <w:rFonts w:asciiTheme="majorBidi" w:eastAsia="MS Mincho" w:hAnsiTheme="majorBidi" w:cstheme="majorBidi"/>
                <w:lang w:val="en-GB" w:eastAsia="ja-JP"/>
              </w:rPr>
            </w:pPr>
            <w:r w:rsidRPr="00C700A4">
              <w:rPr>
                <w:rFonts w:asciiTheme="majorBidi" w:eastAsia="MS Mincho" w:hAnsiTheme="majorBidi" w:cstheme="majorBidi"/>
                <w:lang w:val="en-GB" w:eastAsia="ja-JP"/>
              </w:rPr>
              <w:t>Recommendation  ITU-R  SM.1603-1 Spectrum redeployment as a method</w:t>
            </w:r>
            <w:r w:rsidRPr="00C700A4">
              <w:rPr>
                <w:rFonts w:asciiTheme="majorBidi" w:eastAsia="MS Mincho" w:hAnsiTheme="majorBidi" w:cstheme="majorBidi"/>
                <w:lang w:val="en-GB" w:eastAsia="ja-JP"/>
              </w:rPr>
              <w:br/>
              <w:t xml:space="preserve"> of national spectrum management</w:t>
            </w:r>
          </w:p>
          <w:p w:rsidR="005A0FA6" w:rsidRPr="00C700A4" w:rsidRDefault="005A0FA6" w:rsidP="005A0FA6">
            <w:pPr>
              <w:bidi w:val="0"/>
              <w:spacing w:line="240" w:lineRule="auto"/>
              <w:rPr>
                <w:rFonts w:asciiTheme="majorBidi" w:eastAsia="MS Mincho" w:hAnsiTheme="majorBidi" w:cstheme="majorBidi"/>
                <w:lang w:val="en-GB" w:eastAsia="ja-JP"/>
              </w:rPr>
            </w:pPr>
          </w:p>
        </w:tc>
      </w:tr>
      <w:tr w:rsidR="00AF7B3E" w:rsidRPr="00C700A4" w:rsidTr="00DB64D6">
        <w:trPr>
          <w:trHeight w:val="339"/>
          <w:jc w:val="center"/>
        </w:trPr>
        <w:tc>
          <w:tcPr>
            <w:tcW w:w="2139" w:type="dxa"/>
          </w:tcPr>
          <w:p w:rsidR="00AF7B3E" w:rsidRPr="00C700A4" w:rsidRDefault="00AF7B3E" w:rsidP="00DB64D6">
            <w:pPr>
              <w:bidi w:val="0"/>
              <w:snapToGrid w:val="0"/>
              <w:spacing w:before="100" w:after="100"/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  <w:lang w:eastAsia="ko-KR"/>
              </w:rPr>
            </w:pPr>
            <w:r w:rsidRPr="00C700A4"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  <w:t xml:space="preserve">Related </w:t>
            </w:r>
            <w:r w:rsidRPr="00C700A4"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  <w:lang w:eastAsia="ko-KR"/>
              </w:rPr>
              <w:t>Organization</w:t>
            </w:r>
          </w:p>
        </w:tc>
        <w:tc>
          <w:tcPr>
            <w:tcW w:w="7229" w:type="dxa"/>
          </w:tcPr>
          <w:p w:rsidR="00AF7B3E" w:rsidRPr="00C700A4" w:rsidRDefault="00AF7B3E" w:rsidP="00DB64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napToGrid w:val="0"/>
              <w:spacing w:before="100" w:after="100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val="en-GB" w:eastAsia="ko-KR"/>
              </w:rPr>
            </w:pPr>
            <w:r w:rsidRPr="00C700A4">
              <w:rPr>
                <w:rFonts w:asciiTheme="majorBidi" w:eastAsia="Times New Roman" w:hAnsiTheme="majorBidi" w:cstheme="majorBidi"/>
                <w:sz w:val="20"/>
                <w:szCs w:val="20"/>
                <w:lang w:val="en-GB" w:eastAsia="ko-KR"/>
              </w:rPr>
              <w:t>ITU -APT-SATRC</w:t>
            </w:r>
          </w:p>
        </w:tc>
      </w:tr>
      <w:tr w:rsidR="00AF7B3E" w:rsidRPr="00C700A4" w:rsidTr="00DB64D6">
        <w:trPr>
          <w:trHeight w:val="614"/>
          <w:jc w:val="center"/>
        </w:trPr>
        <w:tc>
          <w:tcPr>
            <w:tcW w:w="2139" w:type="dxa"/>
          </w:tcPr>
          <w:p w:rsidR="00AF7B3E" w:rsidRPr="00C700A4" w:rsidRDefault="005E2DDF" w:rsidP="00DB64D6">
            <w:pPr>
              <w:bidi w:val="0"/>
              <w:snapToGrid w:val="0"/>
              <w:spacing w:before="100" w:after="100"/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</w:pPr>
            <w:r w:rsidRPr="00C700A4">
              <w:rPr>
                <w:rFonts w:asciiTheme="majorBidi" w:eastAsia="휴먼명조" w:hAnsiTheme="majorBidi" w:cstheme="majorBidi"/>
                <w:b/>
                <w:color w:val="000000"/>
                <w:sz w:val="20"/>
                <w:szCs w:val="20"/>
              </w:rPr>
              <w:t>Time frame</w:t>
            </w:r>
          </w:p>
        </w:tc>
        <w:tc>
          <w:tcPr>
            <w:tcW w:w="7229" w:type="dxa"/>
          </w:tcPr>
          <w:p w:rsidR="00AF7B3E" w:rsidRPr="00C700A4" w:rsidRDefault="008F5B54" w:rsidP="00DB64D6">
            <w:pPr>
              <w:widowControl w:val="0"/>
              <w:bidi w:val="0"/>
              <w:rPr>
                <w:rFonts w:asciiTheme="majorBidi" w:eastAsia="SimSun" w:hAnsiTheme="majorBidi" w:cstheme="majorBidi"/>
                <w:kern w:val="2"/>
                <w:lang w:eastAsia="zh-CN"/>
              </w:rPr>
            </w:pPr>
            <w:r w:rsidRPr="00C700A4">
              <w:rPr>
                <w:rFonts w:asciiTheme="majorBidi" w:eastAsia="SimSun" w:hAnsiTheme="majorBidi" w:cstheme="majorBidi"/>
                <w:kern w:val="2"/>
                <w:lang w:eastAsia="zh-CN"/>
              </w:rPr>
              <w:t xml:space="preserve">Total study period would be approximately </w:t>
            </w:r>
            <w:r w:rsidR="00AF7B3E" w:rsidRPr="00C700A4">
              <w:rPr>
                <w:rFonts w:asciiTheme="majorBidi" w:eastAsia="SimSun" w:hAnsiTheme="majorBidi" w:cstheme="majorBidi"/>
                <w:kern w:val="2"/>
                <w:lang w:eastAsia="zh-CN"/>
              </w:rPr>
              <w:t>1 year</w:t>
            </w:r>
          </w:p>
        </w:tc>
      </w:tr>
    </w:tbl>
    <w:p w:rsidR="00A36346" w:rsidRPr="00C700A4" w:rsidRDefault="00A36346">
      <w:pPr>
        <w:bidi w:val="0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br w:type="page"/>
      </w:r>
    </w:p>
    <w:p w:rsidR="00815974" w:rsidRPr="00C700A4" w:rsidRDefault="00996DF1" w:rsidP="00996DF1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 w:rsidRPr="00C700A4">
        <w:rPr>
          <w:rFonts w:asciiTheme="majorBidi" w:hAnsiTheme="majorBidi" w:cstheme="majorBidi"/>
          <w:sz w:val="36"/>
          <w:szCs w:val="36"/>
        </w:rPr>
        <w:lastRenderedPageBreak/>
        <w:t>Background paper on s</w:t>
      </w:r>
      <w:r w:rsidR="00815974" w:rsidRPr="00C700A4">
        <w:rPr>
          <w:rFonts w:asciiTheme="majorBidi" w:hAnsiTheme="majorBidi" w:cstheme="majorBidi"/>
          <w:sz w:val="36"/>
          <w:szCs w:val="36"/>
        </w:rPr>
        <w:t xml:space="preserve">pectrum re-farming in SATRC </w:t>
      </w:r>
      <w:r w:rsidRPr="00C700A4">
        <w:rPr>
          <w:rFonts w:asciiTheme="majorBidi" w:hAnsiTheme="majorBidi" w:cstheme="majorBidi"/>
          <w:sz w:val="36"/>
          <w:szCs w:val="36"/>
        </w:rPr>
        <w:t xml:space="preserve">countries </w:t>
      </w:r>
    </w:p>
    <w:p w:rsidR="00272718" w:rsidRPr="00C700A4" w:rsidRDefault="00272718" w:rsidP="00815974">
      <w:pPr>
        <w:bidi w:val="0"/>
        <w:rPr>
          <w:rFonts w:asciiTheme="majorBidi" w:hAnsiTheme="majorBidi" w:cstheme="majorBidi"/>
          <w:b/>
          <w:bCs/>
        </w:rPr>
      </w:pPr>
      <w:r w:rsidRPr="00C700A4">
        <w:rPr>
          <w:rFonts w:asciiTheme="majorBidi" w:hAnsiTheme="majorBidi" w:cstheme="majorBidi"/>
          <w:b/>
          <w:bCs/>
        </w:rPr>
        <w:t>Introduction</w:t>
      </w:r>
    </w:p>
    <w:p w:rsidR="00BD3B6F" w:rsidRPr="00C700A4" w:rsidRDefault="00E735EE" w:rsidP="001D2D78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 xml:space="preserve">Radio frequency spectrum is a limited resource of radiocommunication. Employment of a radio frequency channel by a device restricts or prevents its further employment by other devices. </w:t>
      </w:r>
      <w:r w:rsidR="00CA78DD" w:rsidRPr="00C700A4">
        <w:rPr>
          <w:rFonts w:asciiTheme="majorBidi" w:hAnsiTheme="majorBidi" w:cstheme="majorBidi"/>
        </w:rPr>
        <w:t xml:space="preserve">The preferred precedence of new </w:t>
      </w:r>
      <w:proofErr w:type="spellStart"/>
      <w:r w:rsidR="00CA78DD" w:rsidRPr="00C700A4">
        <w:rPr>
          <w:rFonts w:asciiTheme="majorBidi" w:hAnsiTheme="majorBidi" w:cstheme="majorBidi"/>
        </w:rPr>
        <w:t>radiocommunications</w:t>
      </w:r>
      <w:proofErr w:type="spellEnd"/>
      <w:r w:rsidR="00CA78DD" w:rsidRPr="00C700A4">
        <w:rPr>
          <w:rFonts w:asciiTheme="majorBidi" w:hAnsiTheme="majorBidi" w:cstheme="majorBidi"/>
        </w:rPr>
        <w:t xml:space="preserve"> technologies that brings new telecommunication services is a driving force of spectrum management authority for </w:t>
      </w:r>
      <w:r w:rsidR="00BD3B6F" w:rsidRPr="00C700A4">
        <w:rPr>
          <w:rFonts w:asciiTheme="majorBidi" w:hAnsiTheme="majorBidi" w:cstheme="majorBidi"/>
        </w:rPr>
        <w:t xml:space="preserve">administration of </w:t>
      </w:r>
      <w:r w:rsidR="00CA78DD" w:rsidRPr="00C700A4">
        <w:rPr>
          <w:rFonts w:asciiTheme="majorBidi" w:hAnsiTheme="majorBidi" w:cstheme="majorBidi"/>
        </w:rPr>
        <w:t xml:space="preserve">evacuation of old and low priority technologies from spectrum. </w:t>
      </w:r>
      <w:r w:rsidR="00FC2768" w:rsidRPr="00C700A4">
        <w:rPr>
          <w:rFonts w:asciiTheme="majorBidi" w:hAnsiTheme="majorBidi" w:cstheme="majorBidi"/>
        </w:rPr>
        <w:t xml:space="preserve">Technology advancement which requires </w:t>
      </w:r>
      <w:r w:rsidR="004963CE" w:rsidRPr="00C700A4">
        <w:rPr>
          <w:rFonts w:asciiTheme="majorBidi" w:hAnsiTheme="majorBidi" w:cstheme="majorBidi"/>
        </w:rPr>
        <w:t xml:space="preserve">wider bandwidths and introduces </w:t>
      </w:r>
      <w:r w:rsidR="00FC2768" w:rsidRPr="00C700A4">
        <w:rPr>
          <w:rFonts w:asciiTheme="majorBidi" w:hAnsiTheme="majorBidi" w:cstheme="majorBidi"/>
        </w:rPr>
        <w:t xml:space="preserve">new channeling arrangement is one of main reasons of spectrum re-farming. </w:t>
      </w:r>
      <w:r w:rsidR="00C67769" w:rsidRPr="00C700A4">
        <w:rPr>
          <w:rFonts w:asciiTheme="majorBidi" w:hAnsiTheme="majorBidi" w:cstheme="majorBidi"/>
        </w:rPr>
        <w:t>Accordingly, spectrum re-farming is an inevitable duty of national spectrum management authority for obtaining of higher level of spectrum utilization performance, but could be costly and time consuming.</w:t>
      </w:r>
      <w:r w:rsidR="004963CE" w:rsidRPr="00C700A4">
        <w:rPr>
          <w:rFonts w:asciiTheme="majorBidi" w:hAnsiTheme="majorBidi" w:cstheme="majorBidi"/>
        </w:rPr>
        <w:t xml:space="preserve"> </w:t>
      </w:r>
      <w:r w:rsidR="00FC2768" w:rsidRPr="00C700A4">
        <w:rPr>
          <w:rFonts w:asciiTheme="majorBidi" w:hAnsiTheme="majorBidi" w:cstheme="majorBidi"/>
        </w:rPr>
        <w:t xml:space="preserve">For example homing of LTE technology requires supplying of integer multiple of 5 MHz frequency blocks in FDD or TDD multiplexing schemes. </w:t>
      </w:r>
      <w:r w:rsidR="001D2D78" w:rsidRPr="00C700A4">
        <w:rPr>
          <w:rFonts w:asciiTheme="majorBidi" w:hAnsiTheme="majorBidi" w:cstheme="majorBidi"/>
        </w:rPr>
        <w:t>Most of the newly identified frequency bands for LTE are overlapping with spectrum used by other radiocommunication stations.</w:t>
      </w:r>
      <w:r w:rsidR="00BD3B6F" w:rsidRPr="00C700A4">
        <w:rPr>
          <w:rFonts w:asciiTheme="majorBidi" w:hAnsiTheme="majorBidi" w:cstheme="majorBidi"/>
        </w:rPr>
        <w:t xml:space="preserve"> </w:t>
      </w:r>
    </w:p>
    <w:p w:rsidR="001D2D78" w:rsidRPr="00C700A4" w:rsidRDefault="00BD3B6F" w:rsidP="00BD3B6F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>Expected advantage of re-farming, including technical and economic gains, should overweigh the implementation cost significantly and it should be a win-win process for all concerned parties conceptually.</w:t>
      </w:r>
    </w:p>
    <w:p w:rsidR="00BD3B6F" w:rsidRPr="00C700A4" w:rsidRDefault="00BD3B6F" w:rsidP="00D745D9">
      <w:pPr>
        <w:bidi w:val="0"/>
        <w:jc w:val="both"/>
        <w:rPr>
          <w:rFonts w:asciiTheme="majorBidi" w:hAnsiTheme="majorBidi" w:cstheme="majorBidi"/>
          <w:b/>
          <w:bCs/>
        </w:rPr>
      </w:pPr>
      <w:r w:rsidRPr="00C700A4">
        <w:rPr>
          <w:rFonts w:asciiTheme="majorBidi" w:hAnsiTheme="majorBidi" w:cstheme="majorBidi"/>
          <w:b/>
          <w:bCs/>
        </w:rPr>
        <w:t>Implementation of re-farming</w:t>
      </w:r>
    </w:p>
    <w:p w:rsidR="00FC2768" w:rsidRPr="00C700A4" w:rsidRDefault="00FC2768" w:rsidP="00BD3B6F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>In cases</w:t>
      </w:r>
      <w:r w:rsidR="001D2D78" w:rsidRPr="00C700A4">
        <w:rPr>
          <w:rFonts w:asciiTheme="majorBidi" w:hAnsiTheme="majorBidi" w:cstheme="majorBidi"/>
        </w:rPr>
        <w:t xml:space="preserve"> of having non-allocated spectrum situation for a new technology</w:t>
      </w:r>
      <w:r w:rsidRPr="00C700A4">
        <w:rPr>
          <w:rFonts w:asciiTheme="majorBidi" w:hAnsiTheme="majorBidi" w:cstheme="majorBidi"/>
        </w:rPr>
        <w:t xml:space="preserve">, administrations may also decide to provide </w:t>
      </w:r>
      <w:r w:rsidR="001D2D78" w:rsidRPr="00C700A4">
        <w:rPr>
          <w:rFonts w:asciiTheme="majorBidi" w:hAnsiTheme="majorBidi" w:cstheme="majorBidi"/>
        </w:rPr>
        <w:t xml:space="preserve">a </w:t>
      </w:r>
      <w:r w:rsidRPr="00C700A4">
        <w:rPr>
          <w:rFonts w:asciiTheme="majorBidi" w:hAnsiTheme="majorBidi" w:cstheme="majorBidi"/>
        </w:rPr>
        <w:t xml:space="preserve">primary frequency allocation for relevant radio communications service, prior to </w:t>
      </w:r>
      <w:r w:rsidR="001D2D78" w:rsidRPr="00C700A4">
        <w:rPr>
          <w:rFonts w:asciiTheme="majorBidi" w:hAnsiTheme="majorBidi" w:cstheme="majorBidi"/>
        </w:rPr>
        <w:t>performing r</w:t>
      </w:r>
      <w:r w:rsidRPr="00C700A4">
        <w:rPr>
          <w:rFonts w:asciiTheme="majorBidi" w:hAnsiTheme="majorBidi" w:cstheme="majorBidi"/>
        </w:rPr>
        <w:t>e</w:t>
      </w:r>
      <w:r w:rsidR="001D2D78" w:rsidRPr="00C700A4">
        <w:rPr>
          <w:rFonts w:asciiTheme="majorBidi" w:hAnsiTheme="majorBidi" w:cstheme="majorBidi"/>
        </w:rPr>
        <w:t>-farming</w:t>
      </w:r>
      <w:r w:rsidRPr="00C700A4">
        <w:rPr>
          <w:rFonts w:asciiTheme="majorBidi" w:hAnsiTheme="majorBidi" w:cstheme="majorBidi"/>
        </w:rPr>
        <w:t xml:space="preserve"> of spectrum. It happened for Region 1 in 790-862 MHz once they decided to open it for IMT purpose.</w:t>
      </w:r>
    </w:p>
    <w:p w:rsidR="0064005E" w:rsidRPr="00C700A4" w:rsidRDefault="00606181" w:rsidP="00234088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 xml:space="preserve">During </w:t>
      </w:r>
      <w:r w:rsidR="00FC2768" w:rsidRPr="00C700A4">
        <w:rPr>
          <w:rFonts w:asciiTheme="majorBidi" w:hAnsiTheme="majorBidi" w:cstheme="majorBidi"/>
        </w:rPr>
        <w:t xml:space="preserve">implementation phase of spectrum </w:t>
      </w:r>
      <w:r w:rsidRPr="00C700A4">
        <w:rPr>
          <w:rFonts w:asciiTheme="majorBidi" w:hAnsiTheme="majorBidi" w:cstheme="majorBidi"/>
        </w:rPr>
        <w:t xml:space="preserve">redeployment, the existing usages have to stop </w:t>
      </w:r>
      <w:r w:rsidR="00F67218" w:rsidRPr="00C700A4">
        <w:rPr>
          <w:rFonts w:asciiTheme="majorBidi" w:hAnsiTheme="majorBidi" w:cstheme="majorBidi"/>
        </w:rPr>
        <w:t xml:space="preserve">their </w:t>
      </w:r>
      <w:r w:rsidRPr="00C700A4">
        <w:rPr>
          <w:rFonts w:asciiTheme="majorBidi" w:hAnsiTheme="majorBidi" w:cstheme="majorBidi"/>
        </w:rPr>
        <w:t xml:space="preserve">operation or have to </w:t>
      </w:r>
      <w:r w:rsidR="00993BCA" w:rsidRPr="00C700A4">
        <w:rPr>
          <w:rFonts w:asciiTheme="majorBidi" w:hAnsiTheme="majorBidi" w:cstheme="majorBidi"/>
        </w:rPr>
        <w:t>move</w:t>
      </w:r>
      <w:r w:rsidRPr="00C700A4">
        <w:rPr>
          <w:rFonts w:asciiTheme="majorBidi" w:hAnsiTheme="majorBidi" w:cstheme="majorBidi"/>
        </w:rPr>
        <w:t xml:space="preserve"> </w:t>
      </w:r>
      <w:r w:rsidR="00F67218" w:rsidRPr="00C700A4">
        <w:rPr>
          <w:rFonts w:asciiTheme="majorBidi" w:hAnsiTheme="majorBidi" w:cstheme="majorBidi"/>
        </w:rPr>
        <w:t xml:space="preserve">their utilization from </w:t>
      </w:r>
      <w:r w:rsidR="00993BCA" w:rsidRPr="00C700A4">
        <w:rPr>
          <w:rFonts w:asciiTheme="majorBidi" w:hAnsiTheme="majorBidi" w:cstheme="majorBidi"/>
        </w:rPr>
        <w:t xml:space="preserve">occupied frequencies </w:t>
      </w:r>
      <w:r w:rsidRPr="00C700A4">
        <w:rPr>
          <w:rFonts w:asciiTheme="majorBidi" w:hAnsiTheme="majorBidi" w:cstheme="majorBidi"/>
        </w:rPr>
        <w:t xml:space="preserve">to other parts of the </w:t>
      </w:r>
      <w:r w:rsidR="00BD3B6F" w:rsidRPr="00C700A4">
        <w:rPr>
          <w:rFonts w:asciiTheme="majorBidi" w:hAnsiTheme="majorBidi" w:cstheme="majorBidi"/>
        </w:rPr>
        <w:t xml:space="preserve">available </w:t>
      </w:r>
      <w:r w:rsidRPr="00C700A4">
        <w:rPr>
          <w:rFonts w:asciiTheme="majorBidi" w:hAnsiTheme="majorBidi" w:cstheme="majorBidi"/>
        </w:rPr>
        <w:t xml:space="preserve">spectrum. </w:t>
      </w:r>
      <w:r w:rsidR="000706FE" w:rsidRPr="00C700A4">
        <w:rPr>
          <w:rFonts w:asciiTheme="majorBidi" w:hAnsiTheme="majorBidi" w:cstheme="majorBidi"/>
        </w:rPr>
        <w:t xml:space="preserve">The authority may avoid renewal of existing usages or it may set a condition of frequency change to a new frequency band for extension of license. </w:t>
      </w:r>
      <w:r w:rsidR="00604225" w:rsidRPr="00C700A4">
        <w:rPr>
          <w:rFonts w:asciiTheme="majorBidi" w:hAnsiTheme="majorBidi" w:cstheme="majorBidi"/>
        </w:rPr>
        <w:t xml:space="preserve">The authority needs to force re-farming in case of facing a license with long validity period. </w:t>
      </w:r>
      <w:r w:rsidRPr="00C700A4">
        <w:rPr>
          <w:rFonts w:asciiTheme="majorBidi" w:hAnsiTheme="majorBidi" w:cstheme="majorBidi"/>
        </w:rPr>
        <w:t>Compensation of costs imposed</w:t>
      </w:r>
      <w:r w:rsidR="00604225" w:rsidRPr="00C700A4">
        <w:rPr>
          <w:rFonts w:asciiTheme="majorBidi" w:hAnsiTheme="majorBidi" w:cstheme="majorBidi"/>
        </w:rPr>
        <w:t xml:space="preserve"> to the existing licensees may</w:t>
      </w:r>
      <w:r w:rsidRPr="00C700A4">
        <w:rPr>
          <w:rFonts w:asciiTheme="majorBidi" w:hAnsiTheme="majorBidi" w:cstheme="majorBidi"/>
        </w:rPr>
        <w:t xml:space="preserve"> be recovered by new comers or by the authority</w:t>
      </w:r>
      <w:r w:rsidR="00FC2768" w:rsidRPr="00C700A4">
        <w:rPr>
          <w:rFonts w:asciiTheme="majorBidi" w:hAnsiTheme="majorBidi" w:cstheme="majorBidi"/>
        </w:rPr>
        <w:t xml:space="preserve"> from governmental funds</w:t>
      </w:r>
      <w:r w:rsidRPr="00C700A4">
        <w:rPr>
          <w:rFonts w:asciiTheme="majorBidi" w:hAnsiTheme="majorBidi" w:cstheme="majorBidi"/>
        </w:rPr>
        <w:t xml:space="preserve">, if required. </w:t>
      </w:r>
      <w:r w:rsidR="00234088" w:rsidRPr="00C700A4">
        <w:rPr>
          <w:rFonts w:asciiTheme="majorBidi" w:hAnsiTheme="majorBidi" w:cstheme="majorBidi"/>
        </w:rPr>
        <w:t xml:space="preserve">Therefore, redeployment funds should be created for compensation and efficient redeployment. </w:t>
      </w:r>
      <w:r w:rsidR="00422B91" w:rsidRPr="00C700A4">
        <w:rPr>
          <w:rFonts w:asciiTheme="majorBidi" w:hAnsiTheme="majorBidi" w:cstheme="majorBidi"/>
        </w:rPr>
        <w:t>T</w:t>
      </w:r>
      <w:r w:rsidRPr="00C700A4">
        <w:rPr>
          <w:rFonts w:asciiTheme="majorBidi" w:hAnsiTheme="majorBidi" w:cstheme="majorBidi"/>
        </w:rPr>
        <w:t xml:space="preserve">he authority may decide to give some exclusive incentive rights to existing users of the spectrum under re-farming process for their </w:t>
      </w:r>
      <w:r w:rsidR="00F21E3D" w:rsidRPr="00C700A4">
        <w:rPr>
          <w:rFonts w:asciiTheme="majorBidi" w:hAnsiTheme="majorBidi" w:cstheme="majorBidi"/>
          <w:lang w:val="en-GB"/>
        </w:rPr>
        <w:t>voluntary</w:t>
      </w:r>
      <w:r w:rsidRPr="00C700A4">
        <w:rPr>
          <w:rFonts w:asciiTheme="majorBidi" w:hAnsiTheme="majorBidi" w:cstheme="majorBidi"/>
        </w:rPr>
        <w:t xml:space="preserve"> </w:t>
      </w:r>
      <w:r w:rsidR="00FC2768" w:rsidRPr="00C700A4">
        <w:rPr>
          <w:rFonts w:asciiTheme="majorBidi" w:hAnsiTheme="majorBidi" w:cstheme="majorBidi"/>
        </w:rPr>
        <w:t xml:space="preserve">evacuation of spectrum </w:t>
      </w:r>
      <w:r w:rsidR="0000606C" w:rsidRPr="00C700A4">
        <w:rPr>
          <w:rFonts w:asciiTheme="majorBidi" w:hAnsiTheme="majorBidi" w:cstheme="majorBidi"/>
        </w:rPr>
        <w:t xml:space="preserve">instead of </w:t>
      </w:r>
      <w:r w:rsidR="00FC2768" w:rsidRPr="00C700A4">
        <w:rPr>
          <w:rFonts w:asciiTheme="majorBidi" w:hAnsiTheme="majorBidi" w:cstheme="majorBidi"/>
        </w:rPr>
        <w:t xml:space="preserve">by </w:t>
      </w:r>
      <w:r w:rsidR="0000606C" w:rsidRPr="00C700A4">
        <w:rPr>
          <w:rFonts w:asciiTheme="majorBidi" w:hAnsiTheme="majorBidi" w:cstheme="majorBidi"/>
          <w:lang w:val="en-GB"/>
        </w:rPr>
        <w:t>regulatory</w:t>
      </w:r>
      <w:r w:rsidR="00FC2768" w:rsidRPr="00C700A4">
        <w:rPr>
          <w:rFonts w:asciiTheme="majorBidi" w:hAnsiTheme="majorBidi" w:cstheme="majorBidi"/>
          <w:lang w:val="en-GB"/>
        </w:rPr>
        <w:t xml:space="preserve"> force</w:t>
      </w:r>
      <w:r w:rsidRPr="00C700A4">
        <w:rPr>
          <w:rFonts w:asciiTheme="majorBidi" w:hAnsiTheme="majorBidi" w:cstheme="majorBidi"/>
        </w:rPr>
        <w:t xml:space="preserve">. </w:t>
      </w:r>
      <w:r w:rsidR="004345D6" w:rsidRPr="00C700A4">
        <w:rPr>
          <w:rFonts w:asciiTheme="majorBidi" w:hAnsiTheme="majorBidi" w:cstheme="majorBidi"/>
        </w:rPr>
        <w:t>The relevant responsibilities and authorities of spectrum management should be listed in the national radiocommunication rules</w:t>
      </w:r>
      <w:r w:rsidR="00F037E0" w:rsidRPr="00C700A4">
        <w:rPr>
          <w:rFonts w:asciiTheme="majorBidi" w:hAnsiTheme="majorBidi" w:cstheme="majorBidi"/>
        </w:rPr>
        <w:t xml:space="preserve">. Therefore, some legal provisions are required to empower spectrum management authority in this respect. </w:t>
      </w:r>
      <w:r w:rsidR="00F21E3D" w:rsidRPr="00C700A4">
        <w:rPr>
          <w:rFonts w:asciiTheme="majorBidi" w:hAnsiTheme="majorBidi" w:cstheme="majorBidi"/>
        </w:rPr>
        <w:t xml:space="preserve">ITU-R Recommendation </w:t>
      </w:r>
      <w:r w:rsidR="00F21E3D" w:rsidRPr="00C700A4">
        <w:rPr>
          <w:rFonts w:asciiTheme="majorBidi" w:hAnsiTheme="majorBidi" w:cstheme="majorBidi"/>
          <w:b/>
          <w:bCs/>
        </w:rPr>
        <w:t>SM.1603-1</w:t>
      </w:r>
      <w:r w:rsidR="00F21E3D" w:rsidRPr="00C700A4">
        <w:rPr>
          <w:rFonts w:asciiTheme="majorBidi" w:hAnsiTheme="majorBidi" w:cstheme="majorBidi"/>
        </w:rPr>
        <w:t xml:space="preserve"> provides a logical ground to aid administration</w:t>
      </w:r>
      <w:r w:rsidR="00FC2768" w:rsidRPr="00C700A4">
        <w:rPr>
          <w:rFonts w:asciiTheme="majorBidi" w:hAnsiTheme="majorBidi" w:cstheme="majorBidi"/>
        </w:rPr>
        <w:t>s</w:t>
      </w:r>
      <w:r w:rsidR="00F21E3D" w:rsidRPr="00C700A4">
        <w:rPr>
          <w:rFonts w:asciiTheme="majorBidi" w:hAnsiTheme="majorBidi" w:cstheme="majorBidi"/>
        </w:rPr>
        <w:t xml:space="preserve"> in deciding for better spectrum re-farming.</w:t>
      </w:r>
    </w:p>
    <w:p w:rsidR="00176640" w:rsidRPr="00C700A4" w:rsidRDefault="00176640" w:rsidP="00176640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>In case of public radiocommunication services, the benefit of spectrum re-farming could be maximized if implemented in line with an international technological advancement. The economy of scale plays a key role not only in reduction of costs for network infrastructure, operation and user equipment; but also facilitates international roaming.</w:t>
      </w:r>
    </w:p>
    <w:p w:rsidR="004D4560" w:rsidRPr="00C700A4" w:rsidRDefault="004D4560" w:rsidP="004D4560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>For major cases of spectrum re-farming, it is preferred that authority to provide and to publish a step-by-step re-farming plan and to receive an approval for its implementation.</w:t>
      </w:r>
    </w:p>
    <w:p w:rsidR="00C51850" w:rsidRPr="00C700A4" w:rsidRDefault="00C51850" w:rsidP="00630B38">
      <w:pPr>
        <w:bidi w:val="0"/>
        <w:jc w:val="both"/>
        <w:rPr>
          <w:rFonts w:asciiTheme="majorBidi" w:hAnsiTheme="majorBidi" w:cstheme="majorBidi"/>
          <w:b/>
          <w:bCs/>
        </w:rPr>
      </w:pPr>
      <w:r w:rsidRPr="00C700A4">
        <w:rPr>
          <w:rFonts w:asciiTheme="majorBidi" w:hAnsiTheme="majorBidi" w:cstheme="majorBidi"/>
          <w:b/>
          <w:bCs/>
        </w:rPr>
        <w:t>Challenges</w:t>
      </w:r>
    </w:p>
    <w:p w:rsidR="004F146F" w:rsidRPr="00C700A4" w:rsidRDefault="004F146F" w:rsidP="000C1232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lastRenderedPageBreak/>
        <w:t xml:space="preserve">The existing experience shows that </w:t>
      </w:r>
      <w:r w:rsidR="001A6393" w:rsidRPr="00C700A4">
        <w:rPr>
          <w:rFonts w:asciiTheme="majorBidi" w:hAnsiTheme="majorBidi" w:cstheme="majorBidi"/>
        </w:rPr>
        <w:t xml:space="preserve">the </w:t>
      </w:r>
      <w:r w:rsidRPr="00C700A4">
        <w:rPr>
          <w:rFonts w:asciiTheme="majorBidi" w:hAnsiTheme="majorBidi" w:cstheme="majorBidi"/>
        </w:rPr>
        <w:t xml:space="preserve">spectrum redeployment is a lengthy </w:t>
      </w:r>
      <w:r w:rsidR="001A6393" w:rsidRPr="00C700A4">
        <w:rPr>
          <w:rFonts w:asciiTheme="majorBidi" w:hAnsiTheme="majorBidi" w:cstheme="majorBidi"/>
        </w:rPr>
        <w:t xml:space="preserve">complicated </w:t>
      </w:r>
      <w:r w:rsidRPr="00C700A4">
        <w:rPr>
          <w:rFonts w:asciiTheme="majorBidi" w:hAnsiTheme="majorBidi" w:cstheme="majorBidi"/>
        </w:rPr>
        <w:t xml:space="preserve">process and </w:t>
      </w:r>
      <w:r w:rsidR="001A6393" w:rsidRPr="00C700A4">
        <w:rPr>
          <w:rFonts w:asciiTheme="majorBidi" w:hAnsiTheme="majorBidi" w:cstheme="majorBidi"/>
        </w:rPr>
        <w:t xml:space="preserve">would possibly </w:t>
      </w:r>
      <w:r w:rsidRPr="00C700A4">
        <w:rPr>
          <w:rFonts w:asciiTheme="majorBidi" w:hAnsiTheme="majorBidi" w:cstheme="majorBidi"/>
        </w:rPr>
        <w:t xml:space="preserve">take </w:t>
      </w:r>
      <w:r w:rsidR="001A6393" w:rsidRPr="00C700A4">
        <w:rPr>
          <w:rFonts w:asciiTheme="majorBidi" w:hAnsiTheme="majorBidi" w:cstheme="majorBidi"/>
        </w:rPr>
        <w:t xml:space="preserve">some </w:t>
      </w:r>
      <w:r w:rsidRPr="00C700A4">
        <w:rPr>
          <w:rFonts w:asciiTheme="majorBidi" w:hAnsiTheme="majorBidi" w:cstheme="majorBidi"/>
        </w:rPr>
        <w:t xml:space="preserve">years. </w:t>
      </w:r>
      <w:r w:rsidR="000C1232" w:rsidRPr="00C700A4">
        <w:rPr>
          <w:rFonts w:asciiTheme="majorBidi" w:hAnsiTheme="majorBidi" w:cstheme="majorBidi"/>
        </w:rPr>
        <w:t>To override the defect of delay in provision of interference-free spectrum for new technologies, t</w:t>
      </w:r>
      <w:r w:rsidRPr="00C700A4">
        <w:rPr>
          <w:rFonts w:asciiTheme="majorBidi" w:hAnsiTheme="majorBidi" w:cstheme="majorBidi"/>
        </w:rPr>
        <w:t xml:space="preserve">herefore, administrations have to </w:t>
      </w:r>
      <w:r w:rsidR="001A6393" w:rsidRPr="00C700A4">
        <w:rPr>
          <w:rFonts w:asciiTheme="majorBidi" w:hAnsiTheme="majorBidi" w:cstheme="majorBidi"/>
        </w:rPr>
        <w:t xml:space="preserve">be able to </w:t>
      </w:r>
      <w:r w:rsidRPr="00C700A4">
        <w:rPr>
          <w:rFonts w:asciiTheme="majorBidi" w:hAnsiTheme="majorBidi" w:cstheme="majorBidi"/>
        </w:rPr>
        <w:t xml:space="preserve">predict their future spectrum requirement, especially for </w:t>
      </w:r>
      <w:r w:rsidR="001A6393" w:rsidRPr="00C700A4">
        <w:rPr>
          <w:rFonts w:asciiTheme="majorBidi" w:hAnsiTheme="majorBidi" w:cstheme="majorBidi"/>
        </w:rPr>
        <w:t xml:space="preserve">the </w:t>
      </w:r>
      <w:r w:rsidRPr="00C700A4">
        <w:rPr>
          <w:rFonts w:asciiTheme="majorBidi" w:hAnsiTheme="majorBidi" w:cstheme="majorBidi"/>
        </w:rPr>
        <w:t>public radiocommunication networks</w:t>
      </w:r>
      <w:r w:rsidR="000C1232" w:rsidRPr="00C700A4">
        <w:rPr>
          <w:rFonts w:asciiTheme="majorBidi" w:hAnsiTheme="majorBidi" w:cstheme="majorBidi"/>
        </w:rPr>
        <w:t>.</w:t>
      </w:r>
      <w:r w:rsidRPr="00C700A4">
        <w:rPr>
          <w:rFonts w:asciiTheme="majorBidi" w:hAnsiTheme="majorBidi" w:cstheme="majorBidi"/>
        </w:rPr>
        <w:t xml:space="preserve"> </w:t>
      </w:r>
      <w:r w:rsidR="000C1232" w:rsidRPr="00C700A4">
        <w:rPr>
          <w:rFonts w:asciiTheme="majorBidi" w:hAnsiTheme="majorBidi" w:cstheme="majorBidi"/>
        </w:rPr>
        <w:t xml:space="preserve">Moreover issuing of new </w:t>
      </w:r>
      <w:r w:rsidR="00461F1F" w:rsidRPr="00C700A4">
        <w:rPr>
          <w:rFonts w:asciiTheme="majorBidi" w:hAnsiTheme="majorBidi" w:cstheme="majorBidi"/>
        </w:rPr>
        <w:t>licens</w:t>
      </w:r>
      <w:r w:rsidR="000C1232" w:rsidRPr="00C700A4">
        <w:rPr>
          <w:rFonts w:asciiTheme="majorBidi" w:hAnsiTheme="majorBidi" w:cstheme="majorBidi"/>
        </w:rPr>
        <w:t xml:space="preserve">es within the concerned spectrum has to be stopped </w:t>
      </w:r>
      <w:r w:rsidR="001A6393" w:rsidRPr="00C700A4">
        <w:rPr>
          <w:rFonts w:asciiTheme="majorBidi" w:hAnsiTheme="majorBidi" w:cstheme="majorBidi"/>
        </w:rPr>
        <w:t xml:space="preserve">much earlier than utilization date, </w:t>
      </w:r>
      <w:r w:rsidR="000C1232" w:rsidRPr="00C700A4">
        <w:rPr>
          <w:rFonts w:asciiTheme="majorBidi" w:hAnsiTheme="majorBidi" w:cstheme="majorBidi"/>
        </w:rPr>
        <w:t xml:space="preserve">and </w:t>
      </w:r>
      <w:r w:rsidRPr="00C700A4">
        <w:rPr>
          <w:rFonts w:asciiTheme="majorBidi" w:hAnsiTheme="majorBidi" w:cstheme="majorBidi"/>
        </w:rPr>
        <w:t>remov</w:t>
      </w:r>
      <w:r w:rsidR="000C1232" w:rsidRPr="00C700A4">
        <w:rPr>
          <w:rFonts w:asciiTheme="majorBidi" w:hAnsiTheme="majorBidi" w:cstheme="majorBidi"/>
        </w:rPr>
        <w:t>al</w:t>
      </w:r>
      <w:r w:rsidRPr="00C700A4">
        <w:rPr>
          <w:rFonts w:asciiTheme="majorBidi" w:hAnsiTheme="majorBidi" w:cstheme="majorBidi"/>
        </w:rPr>
        <w:t xml:space="preserve"> of existing users </w:t>
      </w:r>
      <w:r w:rsidR="000C1232" w:rsidRPr="00C700A4">
        <w:rPr>
          <w:rFonts w:asciiTheme="majorBidi" w:hAnsiTheme="majorBidi" w:cstheme="majorBidi"/>
        </w:rPr>
        <w:t xml:space="preserve">have to be started </w:t>
      </w:r>
      <w:r w:rsidRPr="00C700A4">
        <w:rPr>
          <w:rFonts w:asciiTheme="majorBidi" w:hAnsiTheme="majorBidi" w:cstheme="majorBidi"/>
        </w:rPr>
        <w:t>several years in advance.</w:t>
      </w:r>
      <w:r w:rsidR="00461F1F" w:rsidRPr="00C700A4">
        <w:rPr>
          <w:rFonts w:asciiTheme="majorBidi" w:hAnsiTheme="majorBidi" w:cstheme="majorBidi"/>
        </w:rPr>
        <w:t xml:space="preserve"> Otherwise, introduction of new technologies to the public sector </w:t>
      </w:r>
      <w:r w:rsidR="001A6393" w:rsidRPr="00C700A4">
        <w:rPr>
          <w:rFonts w:asciiTheme="majorBidi" w:hAnsiTheme="majorBidi" w:cstheme="majorBidi"/>
        </w:rPr>
        <w:t>would</w:t>
      </w:r>
      <w:r w:rsidR="00461F1F" w:rsidRPr="00C700A4">
        <w:rPr>
          <w:rFonts w:asciiTheme="majorBidi" w:hAnsiTheme="majorBidi" w:cstheme="majorBidi"/>
        </w:rPr>
        <w:t xml:space="preserve"> be postponed</w:t>
      </w:r>
      <w:r w:rsidR="001A6393" w:rsidRPr="00C700A4">
        <w:rPr>
          <w:rFonts w:asciiTheme="majorBidi" w:hAnsiTheme="majorBidi" w:cstheme="majorBidi"/>
        </w:rPr>
        <w:t xml:space="preserve"> just for lack of spectrum</w:t>
      </w:r>
      <w:r w:rsidR="00461F1F" w:rsidRPr="00C700A4">
        <w:rPr>
          <w:rFonts w:asciiTheme="majorBidi" w:hAnsiTheme="majorBidi" w:cstheme="majorBidi"/>
        </w:rPr>
        <w:t>.</w:t>
      </w:r>
      <w:r w:rsidR="006B5108" w:rsidRPr="00C700A4">
        <w:rPr>
          <w:rFonts w:asciiTheme="majorBidi" w:hAnsiTheme="majorBidi" w:cstheme="majorBidi"/>
        </w:rPr>
        <w:t xml:space="preserve"> </w:t>
      </w:r>
    </w:p>
    <w:p w:rsidR="0030095F" w:rsidRPr="00C700A4" w:rsidRDefault="0030095F" w:rsidP="006707D9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 xml:space="preserve">Estimation of payable amount for compensation of existing spectrum users is a difficult issue. The paid value is mainly for </w:t>
      </w:r>
      <w:r w:rsidR="006707D9" w:rsidRPr="00C700A4">
        <w:rPr>
          <w:rFonts w:asciiTheme="majorBidi" w:hAnsiTheme="majorBidi" w:cstheme="majorBidi"/>
        </w:rPr>
        <w:t xml:space="preserve">change of RF sections of stations </w:t>
      </w:r>
      <w:r w:rsidRPr="00C700A4">
        <w:rPr>
          <w:rFonts w:asciiTheme="majorBidi" w:hAnsiTheme="majorBidi" w:cstheme="majorBidi"/>
        </w:rPr>
        <w:t>and</w:t>
      </w:r>
      <w:r w:rsidR="006707D9" w:rsidRPr="00C700A4">
        <w:rPr>
          <w:rFonts w:asciiTheme="majorBidi" w:hAnsiTheme="majorBidi" w:cstheme="majorBidi"/>
        </w:rPr>
        <w:t>/or</w:t>
      </w:r>
      <w:r w:rsidRPr="00C700A4">
        <w:rPr>
          <w:rFonts w:asciiTheme="majorBidi" w:hAnsiTheme="majorBidi" w:cstheme="majorBidi"/>
        </w:rPr>
        <w:t xml:space="preserve"> </w:t>
      </w:r>
      <w:r w:rsidR="006707D9" w:rsidRPr="00C700A4">
        <w:rPr>
          <w:rFonts w:asciiTheme="majorBidi" w:hAnsiTheme="majorBidi" w:cstheme="majorBidi"/>
        </w:rPr>
        <w:t xml:space="preserve">technology </w:t>
      </w:r>
      <w:r w:rsidRPr="00C700A4">
        <w:rPr>
          <w:rFonts w:asciiTheme="majorBidi" w:hAnsiTheme="majorBidi" w:cstheme="majorBidi"/>
        </w:rPr>
        <w:t xml:space="preserve">replacement. For example a microwave link </w:t>
      </w:r>
      <w:r w:rsidR="006707D9" w:rsidRPr="00C700A4">
        <w:rPr>
          <w:rFonts w:asciiTheme="majorBidi" w:hAnsiTheme="majorBidi" w:cstheme="majorBidi"/>
        </w:rPr>
        <w:t xml:space="preserve">which is using concerned spectrum, </w:t>
      </w:r>
      <w:r w:rsidRPr="00C700A4">
        <w:rPr>
          <w:rFonts w:asciiTheme="majorBidi" w:hAnsiTheme="majorBidi" w:cstheme="majorBidi"/>
        </w:rPr>
        <w:t>may be replaced by a cable transmission system instead of changing frequency.</w:t>
      </w:r>
    </w:p>
    <w:p w:rsidR="00234088" w:rsidRPr="00C700A4" w:rsidRDefault="00234088" w:rsidP="00234088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 xml:space="preserve">In most cases, redeployment of spectrum used by the government organizations is very difficult. Spectrum redeployment is more difficult as the spectrum is heavily been used by governmental bodies. </w:t>
      </w:r>
    </w:p>
    <w:p w:rsidR="006B5108" w:rsidRPr="00C700A4" w:rsidRDefault="006B5108" w:rsidP="00234088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 xml:space="preserve">The re-farming difficulty of unlicensed spectrum is </w:t>
      </w:r>
      <w:r w:rsidR="00DE1EDE" w:rsidRPr="00C700A4">
        <w:rPr>
          <w:rFonts w:asciiTheme="majorBidi" w:hAnsiTheme="majorBidi" w:cstheme="majorBidi"/>
        </w:rPr>
        <w:t>the highest.</w:t>
      </w:r>
      <w:r w:rsidRPr="00C700A4">
        <w:rPr>
          <w:rFonts w:asciiTheme="majorBidi" w:hAnsiTheme="majorBidi" w:cstheme="majorBidi"/>
        </w:rPr>
        <w:t xml:space="preserve"> </w:t>
      </w:r>
      <w:r w:rsidR="00DE1EDE" w:rsidRPr="00C700A4">
        <w:rPr>
          <w:rFonts w:asciiTheme="majorBidi" w:hAnsiTheme="majorBidi" w:cstheme="majorBidi"/>
        </w:rPr>
        <w:t xml:space="preserve">Actually, no one thinks to re-farm a frequency band such as 2 400-2 483.5 </w:t>
      </w:r>
      <w:proofErr w:type="spellStart"/>
      <w:r w:rsidR="00DE1EDE" w:rsidRPr="00C700A4">
        <w:rPr>
          <w:rFonts w:asciiTheme="majorBidi" w:hAnsiTheme="majorBidi" w:cstheme="majorBidi"/>
        </w:rPr>
        <w:t>MHz.</w:t>
      </w:r>
      <w:proofErr w:type="spellEnd"/>
    </w:p>
    <w:p w:rsidR="006707D9" w:rsidRPr="00C700A4" w:rsidRDefault="006707D9" w:rsidP="005B616D">
      <w:pPr>
        <w:bidi w:val="0"/>
        <w:jc w:val="both"/>
        <w:rPr>
          <w:rFonts w:asciiTheme="majorBidi" w:hAnsiTheme="majorBidi" w:cstheme="majorBidi"/>
          <w:b/>
          <w:bCs/>
        </w:rPr>
      </w:pPr>
      <w:r w:rsidRPr="00C700A4">
        <w:rPr>
          <w:rFonts w:asciiTheme="majorBidi" w:hAnsiTheme="majorBidi" w:cstheme="majorBidi"/>
          <w:b/>
          <w:bCs/>
        </w:rPr>
        <w:t>Region potential for re-farming</w:t>
      </w:r>
    </w:p>
    <w:p w:rsidR="00B56F2B" w:rsidRPr="00C700A4" w:rsidRDefault="00B56F2B" w:rsidP="00B56F2B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>Developing a national framework for systematic and regulated spectrum re-farming is necessary. Most of countries in region have no clear framework. Moreover, t</w:t>
      </w:r>
      <w:r w:rsidR="00234088" w:rsidRPr="00C700A4">
        <w:rPr>
          <w:rFonts w:asciiTheme="majorBidi" w:hAnsiTheme="majorBidi" w:cstheme="majorBidi"/>
        </w:rPr>
        <w:t xml:space="preserve">here </w:t>
      </w:r>
      <w:r w:rsidR="006E530B" w:rsidRPr="00C700A4">
        <w:rPr>
          <w:rFonts w:asciiTheme="majorBidi" w:hAnsiTheme="majorBidi" w:cstheme="majorBidi"/>
        </w:rPr>
        <w:t xml:space="preserve">are </w:t>
      </w:r>
      <w:r w:rsidR="00234088" w:rsidRPr="00C700A4">
        <w:rPr>
          <w:rFonts w:asciiTheme="majorBidi" w:hAnsiTheme="majorBidi" w:cstheme="majorBidi"/>
        </w:rPr>
        <w:t xml:space="preserve">some major issues under discussion by international treaties which </w:t>
      </w:r>
      <w:r w:rsidR="007E1AA8" w:rsidRPr="00C700A4">
        <w:rPr>
          <w:rFonts w:asciiTheme="majorBidi" w:hAnsiTheme="majorBidi" w:cstheme="majorBidi"/>
        </w:rPr>
        <w:t xml:space="preserve">may </w:t>
      </w:r>
      <w:r w:rsidR="00234088" w:rsidRPr="00C700A4">
        <w:rPr>
          <w:rFonts w:asciiTheme="majorBidi" w:hAnsiTheme="majorBidi" w:cstheme="majorBidi"/>
        </w:rPr>
        <w:t xml:space="preserve">require re-farming </w:t>
      </w:r>
      <w:r w:rsidR="007E1AA8" w:rsidRPr="00C700A4">
        <w:rPr>
          <w:rFonts w:asciiTheme="majorBidi" w:hAnsiTheme="majorBidi" w:cstheme="majorBidi"/>
        </w:rPr>
        <w:t xml:space="preserve">in national level </w:t>
      </w:r>
      <w:r w:rsidR="00234088" w:rsidRPr="00C700A4">
        <w:rPr>
          <w:rFonts w:asciiTheme="majorBidi" w:hAnsiTheme="majorBidi" w:cstheme="majorBidi"/>
        </w:rPr>
        <w:t xml:space="preserve">if finalized. </w:t>
      </w:r>
      <w:r w:rsidR="006541FD" w:rsidRPr="00C700A4">
        <w:rPr>
          <w:rFonts w:asciiTheme="majorBidi" w:hAnsiTheme="majorBidi" w:cstheme="majorBidi"/>
        </w:rPr>
        <w:t xml:space="preserve">There have been </w:t>
      </w:r>
      <w:r w:rsidR="006E530B" w:rsidRPr="00C700A4">
        <w:rPr>
          <w:rFonts w:asciiTheme="majorBidi" w:hAnsiTheme="majorBidi" w:cstheme="majorBidi"/>
        </w:rPr>
        <w:t xml:space="preserve">some cases </w:t>
      </w:r>
      <w:r w:rsidR="006541FD" w:rsidRPr="00C700A4">
        <w:rPr>
          <w:rFonts w:asciiTheme="majorBidi" w:hAnsiTheme="majorBidi" w:cstheme="majorBidi"/>
        </w:rPr>
        <w:t>happened previously.</w:t>
      </w:r>
      <w:r w:rsidR="006E530B" w:rsidRPr="00C700A4">
        <w:rPr>
          <w:rFonts w:asciiTheme="majorBidi" w:hAnsiTheme="majorBidi" w:cstheme="majorBidi"/>
        </w:rPr>
        <w:t xml:space="preserve"> Re-farming of 8</w:t>
      </w:r>
      <w:r w:rsidR="007E1AA8" w:rsidRPr="00C700A4">
        <w:rPr>
          <w:rFonts w:asciiTheme="majorBidi" w:hAnsiTheme="majorBidi" w:cstheme="majorBidi"/>
        </w:rPr>
        <w:t>00</w:t>
      </w:r>
      <w:r w:rsidR="006E530B" w:rsidRPr="00C700A4">
        <w:rPr>
          <w:rFonts w:asciiTheme="majorBidi" w:hAnsiTheme="majorBidi" w:cstheme="majorBidi"/>
        </w:rPr>
        <w:t> </w:t>
      </w:r>
      <w:r w:rsidR="007E1AA8" w:rsidRPr="00C700A4">
        <w:rPr>
          <w:rFonts w:asciiTheme="majorBidi" w:hAnsiTheme="majorBidi" w:cstheme="majorBidi"/>
        </w:rPr>
        <w:t xml:space="preserve">MHz </w:t>
      </w:r>
      <w:r w:rsidRPr="00C700A4">
        <w:rPr>
          <w:rFonts w:asciiTheme="majorBidi" w:hAnsiTheme="majorBidi" w:cstheme="majorBidi"/>
        </w:rPr>
        <w:t>in favor of mobile service identified for IMT and IMT advanced is a common interested case. After WRC-15 there would several more frequency bands subject to re-farming in effect of agenda item 1.1 (identification of additional spectrum for broadband IMT).</w:t>
      </w:r>
    </w:p>
    <w:p w:rsidR="00DF1C3F" w:rsidRPr="00C700A4" w:rsidRDefault="00DF1C3F" w:rsidP="00B56F2B">
      <w:pPr>
        <w:bidi w:val="0"/>
        <w:jc w:val="both"/>
        <w:rPr>
          <w:rFonts w:asciiTheme="majorBidi" w:hAnsiTheme="majorBidi" w:cstheme="majorBidi"/>
        </w:rPr>
      </w:pPr>
      <w:r w:rsidRPr="00C700A4">
        <w:rPr>
          <w:rFonts w:asciiTheme="majorBidi" w:hAnsiTheme="majorBidi" w:cstheme="majorBidi"/>
        </w:rPr>
        <w:t xml:space="preserve">The proposed </w:t>
      </w:r>
      <w:r w:rsidR="00A36346" w:rsidRPr="00C700A4">
        <w:rPr>
          <w:rFonts w:asciiTheme="majorBidi" w:hAnsiTheme="majorBidi" w:cstheme="majorBidi"/>
        </w:rPr>
        <w:t>sub-working item</w:t>
      </w:r>
      <w:r w:rsidRPr="00C700A4">
        <w:rPr>
          <w:rFonts w:asciiTheme="majorBidi" w:hAnsiTheme="majorBidi" w:cstheme="majorBidi"/>
        </w:rPr>
        <w:t xml:space="preserve"> could provide a ground for exchanging of administration’s experience on major spectrum re-farming case studies and </w:t>
      </w:r>
      <w:r w:rsidR="00A36346" w:rsidRPr="00C700A4">
        <w:rPr>
          <w:rFonts w:asciiTheme="majorBidi" w:hAnsiTheme="majorBidi" w:cstheme="majorBidi"/>
        </w:rPr>
        <w:t>may provide</w:t>
      </w:r>
      <w:r w:rsidRPr="00C700A4">
        <w:rPr>
          <w:rFonts w:asciiTheme="majorBidi" w:hAnsiTheme="majorBidi" w:cstheme="majorBidi"/>
        </w:rPr>
        <w:t xml:space="preserve"> </w:t>
      </w:r>
      <w:r w:rsidR="00A36346" w:rsidRPr="00C700A4">
        <w:rPr>
          <w:rFonts w:asciiTheme="majorBidi" w:hAnsiTheme="majorBidi" w:cstheme="majorBidi"/>
        </w:rPr>
        <w:t xml:space="preserve">a </w:t>
      </w:r>
      <w:r w:rsidRPr="00C700A4">
        <w:rPr>
          <w:rFonts w:asciiTheme="majorBidi" w:hAnsiTheme="majorBidi" w:cstheme="majorBidi"/>
        </w:rPr>
        <w:t xml:space="preserve">helpful </w:t>
      </w:r>
      <w:r w:rsidR="009D5FDC" w:rsidRPr="00C700A4">
        <w:rPr>
          <w:rFonts w:asciiTheme="majorBidi" w:hAnsiTheme="majorBidi" w:cstheme="majorBidi"/>
        </w:rPr>
        <w:t xml:space="preserve">framework and </w:t>
      </w:r>
      <w:r w:rsidRPr="00C700A4">
        <w:rPr>
          <w:rFonts w:asciiTheme="majorBidi" w:hAnsiTheme="majorBidi" w:cstheme="majorBidi"/>
        </w:rPr>
        <w:t>guid</w:t>
      </w:r>
      <w:r w:rsidR="00A36346" w:rsidRPr="00C700A4">
        <w:rPr>
          <w:rFonts w:asciiTheme="majorBidi" w:hAnsiTheme="majorBidi" w:cstheme="majorBidi"/>
        </w:rPr>
        <w:t>ance</w:t>
      </w:r>
      <w:r w:rsidRPr="00C700A4">
        <w:rPr>
          <w:rFonts w:asciiTheme="majorBidi" w:hAnsiTheme="majorBidi" w:cstheme="majorBidi"/>
        </w:rPr>
        <w:t xml:space="preserve"> </w:t>
      </w:r>
      <w:r w:rsidR="00A36346" w:rsidRPr="00C700A4">
        <w:rPr>
          <w:rFonts w:asciiTheme="majorBidi" w:hAnsiTheme="majorBidi" w:cstheme="majorBidi"/>
        </w:rPr>
        <w:t xml:space="preserve">on how </w:t>
      </w:r>
      <w:r w:rsidRPr="00C700A4">
        <w:rPr>
          <w:rFonts w:asciiTheme="majorBidi" w:hAnsiTheme="majorBidi" w:cstheme="majorBidi"/>
        </w:rPr>
        <w:t xml:space="preserve">to reduce cost of </w:t>
      </w:r>
      <w:r w:rsidR="00A36346" w:rsidRPr="00C700A4">
        <w:rPr>
          <w:rFonts w:asciiTheme="majorBidi" w:hAnsiTheme="majorBidi" w:cstheme="majorBidi"/>
        </w:rPr>
        <w:t>redeployment implementation. Administrations may share their views on common re-farming issues happened in recent years such as re-farming of digital dividend bands, LTE bands, etc.</w:t>
      </w:r>
    </w:p>
    <w:sectPr w:rsidR="00DF1C3F" w:rsidRPr="00C700A4" w:rsidSect="00C126E4">
      <w:footerReference w:type="first" r:id="rId9"/>
      <w:pgSz w:w="11906" w:h="16838" w:code="9"/>
      <w:pgMar w:top="1195" w:right="1152" w:bottom="1138" w:left="1440" w:header="706" w:footer="70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17" w:rsidRDefault="009F0E17" w:rsidP="00F826E1">
      <w:pPr>
        <w:spacing w:after="0" w:line="240" w:lineRule="auto"/>
      </w:pPr>
      <w:r>
        <w:separator/>
      </w:r>
    </w:p>
  </w:endnote>
  <w:endnote w:type="continuationSeparator" w:id="0">
    <w:p w:rsidR="009F0E17" w:rsidRDefault="009F0E17" w:rsidP="00F8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C126E4" w:rsidRPr="00F826E1" w:rsidTr="0025256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C126E4" w:rsidRPr="00F826E1" w:rsidRDefault="00C126E4" w:rsidP="0025256B">
          <w:pPr>
            <w:bidi w:val="0"/>
            <w:spacing w:after="0" w:line="240" w:lineRule="auto"/>
            <w:rPr>
              <w:rFonts w:ascii="Times New Roman" w:eastAsia="BatangChe" w:hAnsi="Times New Roman" w:cs="Times New Roman"/>
              <w:b/>
              <w:bCs/>
              <w:sz w:val="24"/>
              <w:szCs w:val="24"/>
              <w:lang w:bidi="ar-SA"/>
            </w:rPr>
          </w:pPr>
          <w:r w:rsidRPr="00F826E1">
            <w:rPr>
              <w:rFonts w:ascii="Times New Roman" w:eastAsia="BatangChe" w:hAnsi="Times New Roman" w:cs="Times New Roman"/>
              <w:b/>
              <w:bCs/>
              <w:sz w:val="24"/>
              <w:szCs w:val="24"/>
              <w:lang w:bidi="ar-SA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126E4" w:rsidRPr="008A2D29" w:rsidRDefault="00C126E4" w:rsidP="0025256B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bidi w:val="0"/>
            <w:adjustRightInd w:val="0"/>
            <w:spacing w:after="0" w:line="240" w:lineRule="atLeast"/>
            <w:textAlignment w:val="baseline"/>
            <w:rPr>
              <w:rFonts w:ascii="Times New Roman" w:eastAsia="Batang" w:hAnsi="Times New Roman" w:cs="Times New Roman"/>
              <w:lang w:eastAsia="ko-KR" w:bidi="ar-SA"/>
            </w:rPr>
          </w:pPr>
          <w:r>
            <w:rPr>
              <w:rFonts w:ascii="Times New Roman" w:eastAsia="Batang" w:hAnsi="Times New Roman" w:cs="Times New Roman"/>
              <w:lang w:eastAsia="ko-KR" w:bidi="ar-SA"/>
            </w:rPr>
            <w:t xml:space="preserve">Dr. </w:t>
          </w:r>
          <w:proofErr w:type="spellStart"/>
          <w:r>
            <w:rPr>
              <w:rFonts w:ascii="Times New Roman" w:eastAsia="Batang" w:hAnsi="Times New Roman" w:cs="Times New Roman"/>
              <w:lang w:eastAsia="ko-KR" w:bidi="ar-SA"/>
            </w:rPr>
            <w:t>Azim</w:t>
          </w:r>
          <w:proofErr w:type="spellEnd"/>
          <w:r>
            <w:rPr>
              <w:rFonts w:ascii="Times New Roman" w:eastAsia="Batang" w:hAnsi="Times New Roman" w:cs="Times New Roman"/>
              <w:lang w:eastAsia="ko-KR" w:bidi="ar-SA"/>
            </w:rPr>
            <w:t xml:space="preserve"> </w:t>
          </w:r>
          <w:proofErr w:type="spellStart"/>
          <w:r>
            <w:rPr>
              <w:rFonts w:ascii="Times New Roman" w:eastAsia="Batang" w:hAnsi="Times New Roman" w:cs="Times New Roman"/>
              <w:lang w:eastAsia="ko-KR" w:bidi="ar-SA"/>
            </w:rPr>
            <w:t>Fard</w:t>
          </w:r>
          <w:proofErr w:type="spellEnd"/>
        </w:p>
        <w:p w:rsidR="00C126E4" w:rsidRPr="00F826E1" w:rsidRDefault="00C126E4" w:rsidP="0025256B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bidi w:val="0"/>
            <w:adjustRightInd w:val="0"/>
            <w:spacing w:after="0" w:line="240" w:lineRule="atLeast"/>
            <w:textAlignment w:val="baseline"/>
            <w:rPr>
              <w:rFonts w:ascii="Times New Roman" w:eastAsia="Batang" w:hAnsi="Times New Roman" w:cs="Times New Roman"/>
              <w:lang w:val="en-GB" w:eastAsia="ko-KR" w:bidi="ar-SA"/>
            </w:rPr>
          </w:pPr>
          <w:r>
            <w:rPr>
              <w:rFonts w:ascii="Times New Roman" w:eastAsia="Batang" w:hAnsi="Times New Roman" w:cs="Times New Roman"/>
              <w:lang w:val="en-GB" w:eastAsia="ko-KR" w:bidi="ar-SA"/>
            </w:rPr>
            <w:t>CRA, I.R. IRAN</w:t>
          </w:r>
        </w:p>
        <w:p w:rsidR="00C126E4" w:rsidRPr="00F826E1" w:rsidRDefault="00C126E4" w:rsidP="0025256B">
          <w:pPr>
            <w:bidi w:val="0"/>
            <w:spacing w:after="0" w:line="240" w:lineRule="auto"/>
            <w:rPr>
              <w:rFonts w:ascii="Times New Roman" w:eastAsia="Batang" w:hAnsi="Times New Roman" w:cs="Times New Roman"/>
              <w:sz w:val="24"/>
              <w:szCs w:val="24"/>
              <w:lang w:bidi="ar-SA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C126E4" w:rsidRPr="00F826E1" w:rsidRDefault="00C126E4" w:rsidP="0025256B">
          <w:pPr>
            <w:bidi w:val="0"/>
            <w:spacing w:after="0" w:line="240" w:lineRule="auto"/>
            <w:rPr>
              <w:rFonts w:ascii="Times New Roman" w:eastAsia="BatangChe" w:hAnsi="Times New Roman" w:cs="Times New Roman"/>
              <w:sz w:val="24"/>
              <w:szCs w:val="24"/>
              <w:lang w:eastAsia="ja-JP" w:bidi="ar-SA"/>
            </w:rPr>
          </w:pPr>
          <w:r w:rsidRPr="00F826E1">
            <w:rPr>
              <w:rFonts w:ascii="Times New Roman" w:eastAsia="BatangChe" w:hAnsi="Times New Roman" w:cs="Times New Roman"/>
              <w:sz w:val="24"/>
              <w:szCs w:val="24"/>
              <w:lang w:bidi="ar-SA"/>
            </w:rPr>
            <w:t>Email</w:t>
          </w:r>
          <w:r w:rsidRPr="00F826E1">
            <w:rPr>
              <w:rFonts w:ascii="Times New Roman" w:eastAsia="BatangChe" w:hAnsi="Times New Roman" w:cs="Times New Roman" w:hint="eastAsia"/>
              <w:sz w:val="24"/>
              <w:szCs w:val="24"/>
              <w:lang w:bidi="ar-SA"/>
            </w:rPr>
            <w:t xml:space="preserve">: </w:t>
          </w:r>
          <w:hyperlink r:id="rId1" w:history="1">
            <w:r w:rsidRPr="00162D99">
              <w:rPr>
                <w:rStyle w:val="Hyperlink"/>
                <w:rFonts w:ascii="Times New Roman" w:eastAsia="BatangChe" w:hAnsi="Times New Roman" w:cs="Times New Roman"/>
                <w:sz w:val="24"/>
                <w:szCs w:val="24"/>
                <w:lang w:eastAsia="ja-JP" w:bidi="ar-SA"/>
              </w:rPr>
              <w:t>azimfard@cra.ir</w:t>
            </w:r>
          </w:hyperlink>
          <w:r>
            <w:rPr>
              <w:rFonts w:ascii="Times New Roman" w:eastAsia="BatangChe" w:hAnsi="Times New Roman" w:cs="Times New Roman"/>
              <w:sz w:val="24"/>
              <w:szCs w:val="24"/>
              <w:lang w:eastAsia="ja-JP" w:bidi="ar-SA"/>
            </w:rPr>
            <w:t xml:space="preserve"> </w:t>
          </w:r>
        </w:p>
      </w:tc>
    </w:tr>
  </w:tbl>
  <w:p w:rsidR="00C126E4" w:rsidRDefault="00C126E4" w:rsidP="00C126E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17" w:rsidRDefault="009F0E17" w:rsidP="00F826E1">
      <w:pPr>
        <w:spacing w:after="0" w:line="240" w:lineRule="auto"/>
      </w:pPr>
      <w:r>
        <w:separator/>
      </w:r>
    </w:p>
  </w:footnote>
  <w:footnote w:type="continuationSeparator" w:id="0">
    <w:p w:rsidR="009F0E17" w:rsidRDefault="009F0E17" w:rsidP="00F8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3B2"/>
    <w:multiLevelType w:val="hybridMultilevel"/>
    <w:tmpl w:val="D6A28628"/>
    <w:lvl w:ilvl="0" w:tplc="B6DC90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84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BC0930"/>
    <w:multiLevelType w:val="hybridMultilevel"/>
    <w:tmpl w:val="01741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C5395"/>
    <w:multiLevelType w:val="hybridMultilevel"/>
    <w:tmpl w:val="FD28AA1C"/>
    <w:lvl w:ilvl="0" w:tplc="8848C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F4"/>
    <w:rsid w:val="0000219B"/>
    <w:rsid w:val="0000538B"/>
    <w:rsid w:val="00005541"/>
    <w:rsid w:val="00005865"/>
    <w:rsid w:val="0000606C"/>
    <w:rsid w:val="0000644B"/>
    <w:rsid w:val="00006E1C"/>
    <w:rsid w:val="00011CA2"/>
    <w:rsid w:val="00011E06"/>
    <w:rsid w:val="0001229E"/>
    <w:rsid w:val="00013A61"/>
    <w:rsid w:val="00014909"/>
    <w:rsid w:val="00014A44"/>
    <w:rsid w:val="000168BB"/>
    <w:rsid w:val="00021C21"/>
    <w:rsid w:val="00022ADC"/>
    <w:rsid w:val="00022E4C"/>
    <w:rsid w:val="00024C5C"/>
    <w:rsid w:val="000259CB"/>
    <w:rsid w:val="000260D2"/>
    <w:rsid w:val="00030EF5"/>
    <w:rsid w:val="00031856"/>
    <w:rsid w:val="00032085"/>
    <w:rsid w:val="000345A5"/>
    <w:rsid w:val="000371FD"/>
    <w:rsid w:val="00037F79"/>
    <w:rsid w:val="00040C0E"/>
    <w:rsid w:val="0004371F"/>
    <w:rsid w:val="000477D0"/>
    <w:rsid w:val="00050DD5"/>
    <w:rsid w:val="00051226"/>
    <w:rsid w:val="0005375B"/>
    <w:rsid w:val="0005536A"/>
    <w:rsid w:val="00065059"/>
    <w:rsid w:val="000706FE"/>
    <w:rsid w:val="00071FEC"/>
    <w:rsid w:val="0007551E"/>
    <w:rsid w:val="0007784D"/>
    <w:rsid w:val="00077CCA"/>
    <w:rsid w:val="00077D88"/>
    <w:rsid w:val="00081106"/>
    <w:rsid w:val="00081CFF"/>
    <w:rsid w:val="00083A9D"/>
    <w:rsid w:val="00085684"/>
    <w:rsid w:val="00087A18"/>
    <w:rsid w:val="000919F0"/>
    <w:rsid w:val="000949DD"/>
    <w:rsid w:val="00094D5D"/>
    <w:rsid w:val="0009582E"/>
    <w:rsid w:val="00095E09"/>
    <w:rsid w:val="000A1A2F"/>
    <w:rsid w:val="000A1E91"/>
    <w:rsid w:val="000A239B"/>
    <w:rsid w:val="000A29F9"/>
    <w:rsid w:val="000A3045"/>
    <w:rsid w:val="000B1854"/>
    <w:rsid w:val="000B1A97"/>
    <w:rsid w:val="000B4711"/>
    <w:rsid w:val="000B6C8E"/>
    <w:rsid w:val="000B7578"/>
    <w:rsid w:val="000B758C"/>
    <w:rsid w:val="000C1232"/>
    <w:rsid w:val="000C244F"/>
    <w:rsid w:val="000C4C4D"/>
    <w:rsid w:val="000C65DC"/>
    <w:rsid w:val="000C7844"/>
    <w:rsid w:val="000D04D5"/>
    <w:rsid w:val="000D1AE6"/>
    <w:rsid w:val="000D5FE4"/>
    <w:rsid w:val="000E145B"/>
    <w:rsid w:val="000E3952"/>
    <w:rsid w:val="000E3AEF"/>
    <w:rsid w:val="000E4456"/>
    <w:rsid w:val="000E51D3"/>
    <w:rsid w:val="000E64B3"/>
    <w:rsid w:val="000E6BAC"/>
    <w:rsid w:val="000F049A"/>
    <w:rsid w:val="000F18DC"/>
    <w:rsid w:val="000F2374"/>
    <w:rsid w:val="000F3931"/>
    <w:rsid w:val="000F4226"/>
    <w:rsid w:val="000F42EC"/>
    <w:rsid w:val="000F4449"/>
    <w:rsid w:val="000F6043"/>
    <w:rsid w:val="001001F2"/>
    <w:rsid w:val="00100740"/>
    <w:rsid w:val="001039C8"/>
    <w:rsid w:val="001070B7"/>
    <w:rsid w:val="0011035F"/>
    <w:rsid w:val="00110AF3"/>
    <w:rsid w:val="00113404"/>
    <w:rsid w:val="001143F7"/>
    <w:rsid w:val="00116A59"/>
    <w:rsid w:val="00120D96"/>
    <w:rsid w:val="001216EB"/>
    <w:rsid w:val="00121C83"/>
    <w:rsid w:val="00132628"/>
    <w:rsid w:val="00133555"/>
    <w:rsid w:val="00133821"/>
    <w:rsid w:val="00134163"/>
    <w:rsid w:val="0013463A"/>
    <w:rsid w:val="00142A43"/>
    <w:rsid w:val="00144C5B"/>
    <w:rsid w:val="0014511F"/>
    <w:rsid w:val="00147098"/>
    <w:rsid w:val="0015271E"/>
    <w:rsid w:val="00153AF9"/>
    <w:rsid w:val="00153CFE"/>
    <w:rsid w:val="001544A7"/>
    <w:rsid w:val="00157606"/>
    <w:rsid w:val="00157908"/>
    <w:rsid w:val="00161199"/>
    <w:rsid w:val="00161DF6"/>
    <w:rsid w:val="001678DC"/>
    <w:rsid w:val="00173F5E"/>
    <w:rsid w:val="00175D22"/>
    <w:rsid w:val="00175D8D"/>
    <w:rsid w:val="00176007"/>
    <w:rsid w:val="00176640"/>
    <w:rsid w:val="001813D4"/>
    <w:rsid w:val="00182503"/>
    <w:rsid w:val="00191499"/>
    <w:rsid w:val="001928AD"/>
    <w:rsid w:val="00192BE6"/>
    <w:rsid w:val="00192E40"/>
    <w:rsid w:val="00195E05"/>
    <w:rsid w:val="001967FA"/>
    <w:rsid w:val="00197AAE"/>
    <w:rsid w:val="001A0954"/>
    <w:rsid w:val="001A0B08"/>
    <w:rsid w:val="001A4CEE"/>
    <w:rsid w:val="001A6393"/>
    <w:rsid w:val="001B06BA"/>
    <w:rsid w:val="001B18A4"/>
    <w:rsid w:val="001B32B1"/>
    <w:rsid w:val="001B48FB"/>
    <w:rsid w:val="001B5F2C"/>
    <w:rsid w:val="001B615E"/>
    <w:rsid w:val="001C0FBD"/>
    <w:rsid w:val="001C4888"/>
    <w:rsid w:val="001C4AE2"/>
    <w:rsid w:val="001C5494"/>
    <w:rsid w:val="001C551F"/>
    <w:rsid w:val="001C7DCE"/>
    <w:rsid w:val="001D01D7"/>
    <w:rsid w:val="001D0F17"/>
    <w:rsid w:val="001D28A1"/>
    <w:rsid w:val="001D2D78"/>
    <w:rsid w:val="001D32A3"/>
    <w:rsid w:val="001D5034"/>
    <w:rsid w:val="001D5449"/>
    <w:rsid w:val="001E1F3D"/>
    <w:rsid w:val="001E486D"/>
    <w:rsid w:val="001E5E42"/>
    <w:rsid w:val="001E6ADE"/>
    <w:rsid w:val="001F0097"/>
    <w:rsid w:val="001F028C"/>
    <w:rsid w:val="001F1548"/>
    <w:rsid w:val="001F34FF"/>
    <w:rsid w:val="001F75EB"/>
    <w:rsid w:val="001F7AB7"/>
    <w:rsid w:val="00200106"/>
    <w:rsid w:val="002007A3"/>
    <w:rsid w:val="002009CC"/>
    <w:rsid w:val="00200F4E"/>
    <w:rsid w:val="00202064"/>
    <w:rsid w:val="002062A7"/>
    <w:rsid w:val="00211BB1"/>
    <w:rsid w:val="00212414"/>
    <w:rsid w:val="00224938"/>
    <w:rsid w:val="00226D4D"/>
    <w:rsid w:val="00230157"/>
    <w:rsid w:val="00231F0A"/>
    <w:rsid w:val="00234088"/>
    <w:rsid w:val="0023688A"/>
    <w:rsid w:val="00236AE7"/>
    <w:rsid w:val="002377D2"/>
    <w:rsid w:val="00240183"/>
    <w:rsid w:val="0024169F"/>
    <w:rsid w:val="002416E7"/>
    <w:rsid w:val="00241CE7"/>
    <w:rsid w:val="00246FD6"/>
    <w:rsid w:val="002503E3"/>
    <w:rsid w:val="00251A22"/>
    <w:rsid w:val="00251FC0"/>
    <w:rsid w:val="00253211"/>
    <w:rsid w:val="0025340B"/>
    <w:rsid w:val="00255180"/>
    <w:rsid w:val="002569FF"/>
    <w:rsid w:val="002601E2"/>
    <w:rsid w:val="0026584E"/>
    <w:rsid w:val="00265B90"/>
    <w:rsid w:val="0026643D"/>
    <w:rsid w:val="002704D2"/>
    <w:rsid w:val="002714CB"/>
    <w:rsid w:val="00272718"/>
    <w:rsid w:val="00273231"/>
    <w:rsid w:val="00274E84"/>
    <w:rsid w:val="00275570"/>
    <w:rsid w:val="00275622"/>
    <w:rsid w:val="00275725"/>
    <w:rsid w:val="00275AB2"/>
    <w:rsid w:val="002767AC"/>
    <w:rsid w:val="002775EC"/>
    <w:rsid w:val="00281212"/>
    <w:rsid w:val="00282501"/>
    <w:rsid w:val="0028381E"/>
    <w:rsid w:val="00285E14"/>
    <w:rsid w:val="00287E91"/>
    <w:rsid w:val="00291BCC"/>
    <w:rsid w:val="002926C6"/>
    <w:rsid w:val="002937B3"/>
    <w:rsid w:val="00295166"/>
    <w:rsid w:val="002954A7"/>
    <w:rsid w:val="002965C3"/>
    <w:rsid w:val="002973BB"/>
    <w:rsid w:val="002A2333"/>
    <w:rsid w:val="002A35BD"/>
    <w:rsid w:val="002A51DB"/>
    <w:rsid w:val="002B0722"/>
    <w:rsid w:val="002B1329"/>
    <w:rsid w:val="002B3120"/>
    <w:rsid w:val="002C029F"/>
    <w:rsid w:val="002C2CD4"/>
    <w:rsid w:val="002C774F"/>
    <w:rsid w:val="002D1266"/>
    <w:rsid w:val="002D17CA"/>
    <w:rsid w:val="002D17D8"/>
    <w:rsid w:val="002D19B1"/>
    <w:rsid w:val="002D3B2C"/>
    <w:rsid w:val="002D504C"/>
    <w:rsid w:val="002D5869"/>
    <w:rsid w:val="002D672F"/>
    <w:rsid w:val="002E17B2"/>
    <w:rsid w:val="002E1AF8"/>
    <w:rsid w:val="002E1CA6"/>
    <w:rsid w:val="002E223C"/>
    <w:rsid w:val="002E534C"/>
    <w:rsid w:val="002E5790"/>
    <w:rsid w:val="002E6B10"/>
    <w:rsid w:val="002E7D4E"/>
    <w:rsid w:val="002F02EA"/>
    <w:rsid w:val="002F2E4D"/>
    <w:rsid w:val="002F53FB"/>
    <w:rsid w:val="002F6CC7"/>
    <w:rsid w:val="0030054C"/>
    <w:rsid w:val="0030095F"/>
    <w:rsid w:val="003010EC"/>
    <w:rsid w:val="00302B2E"/>
    <w:rsid w:val="0030425D"/>
    <w:rsid w:val="003045F0"/>
    <w:rsid w:val="0031088B"/>
    <w:rsid w:val="00312DF2"/>
    <w:rsid w:val="0031428F"/>
    <w:rsid w:val="0032164E"/>
    <w:rsid w:val="003226AB"/>
    <w:rsid w:val="00325700"/>
    <w:rsid w:val="00326D8A"/>
    <w:rsid w:val="00330209"/>
    <w:rsid w:val="00333502"/>
    <w:rsid w:val="00334045"/>
    <w:rsid w:val="00334D51"/>
    <w:rsid w:val="00337172"/>
    <w:rsid w:val="003420E4"/>
    <w:rsid w:val="00345E7B"/>
    <w:rsid w:val="00350745"/>
    <w:rsid w:val="00351551"/>
    <w:rsid w:val="00353ACF"/>
    <w:rsid w:val="003543F8"/>
    <w:rsid w:val="003544A2"/>
    <w:rsid w:val="00356F97"/>
    <w:rsid w:val="00357571"/>
    <w:rsid w:val="00360151"/>
    <w:rsid w:val="00360420"/>
    <w:rsid w:val="0036406B"/>
    <w:rsid w:val="00367424"/>
    <w:rsid w:val="00371CD1"/>
    <w:rsid w:val="00372317"/>
    <w:rsid w:val="003724D5"/>
    <w:rsid w:val="003743E2"/>
    <w:rsid w:val="00375C1D"/>
    <w:rsid w:val="0037639D"/>
    <w:rsid w:val="00376D10"/>
    <w:rsid w:val="00376EE5"/>
    <w:rsid w:val="00380D82"/>
    <w:rsid w:val="003815D4"/>
    <w:rsid w:val="00382567"/>
    <w:rsid w:val="00383A1F"/>
    <w:rsid w:val="00386BE8"/>
    <w:rsid w:val="0039391A"/>
    <w:rsid w:val="00393EF2"/>
    <w:rsid w:val="003960C6"/>
    <w:rsid w:val="00397B4A"/>
    <w:rsid w:val="003A10C8"/>
    <w:rsid w:val="003A17B3"/>
    <w:rsid w:val="003A3A8E"/>
    <w:rsid w:val="003A4318"/>
    <w:rsid w:val="003A5160"/>
    <w:rsid w:val="003A53A2"/>
    <w:rsid w:val="003A54FC"/>
    <w:rsid w:val="003B001E"/>
    <w:rsid w:val="003B1257"/>
    <w:rsid w:val="003B36F9"/>
    <w:rsid w:val="003B3E8E"/>
    <w:rsid w:val="003B74A0"/>
    <w:rsid w:val="003C095A"/>
    <w:rsid w:val="003C1820"/>
    <w:rsid w:val="003C1D39"/>
    <w:rsid w:val="003C2A90"/>
    <w:rsid w:val="003C2C29"/>
    <w:rsid w:val="003C3345"/>
    <w:rsid w:val="003D0E21"/>
    <w:rsid w:val="003D439E"/>
    <w:rsid w:val="003D7A1B"/>
    <w:rsid w:val="003D7A32"/>
    <w:rsid w:val="003E0827"/>
    <w:rsid w:val="003E1075"/>
    <w:rsid w:val="003E50F6"/>
    <w:rsid w:val="003F21EB"/>
    <w:rsid w:val="003F4629"/>
    <w:rsid w:val="003F510B"/>
    <w:rsid w:val="003F51ED"/>
    <w:rsid w:val="003F6EDA"/>
    <w:rsid w:val="003F737E"/>
    <w:rsid w:val="0040371C"/>
    <w:rsid w:val="00404AAB"/>
    <w:rsid w:val="00405D1A"/>
    <w:rsid w:val="00405FFD"/>
    <w:rsid w:val="00406135"/>
    <w:rsid w:val="00406B14"/>
    <w:rsid w:val="00407731"/>
    <w:rsid w:val="00407B84"/>
    <w:rsid w:val="004100A4"/>
    <w:rsid w:val="00410336"/>
    <w:rsid w:val="00410FD1"/>
    <w:rsid w:val="00411697"/>
    <w:rsid w:val="00412440"/>
    <w:rsid w:val="00412A95"/>
    <w:rsid w:val="00415440"/>
    <w:rsid w:val="0041592C"/>
    <w:rsid w:val="00417BF3"/>
    <w:rsid w:val="004208E2"/>
    <w:rsid w:val="00422B91"/>
    <w:rsid w:val="0042487D"/>
    <w:rsid w:val="00427AE1"/>
    <w:rsid w:val="004303C2"/>
    <w:rsid w:val="00433124"/>
    <w:rsid w:val="004345D6"/>
    <w:rsid w:val="00434809"/>
    <w:rsid w:val="00434E03"/>
    <w:rsid w:val="00437A40"/>
    <w:rsid w:val="0044102D"/>
    <w:rsid w:val="00442D2B"/>
    <w:rsid w:val="00444412"/>
    <w:rsid w:val="0044445F"/>
    <w:rsid w:val="00444DCE"/>
    <w:rsid w:val="0044504E"/>
    <w:rsid w:val="004467D6"/>
    <w:rsid w:val="00450268"/>
    <w:rsid w:val="00450BC3"/>
    <w:rsid w:val="004511F9"/>
    <w:rsid w:val="00454B10"/>
    <w:rsid w:val="00461A9A"/>
    <w:rsid w:val="00461F1F"/>
    <w:rsid w:val="00461FF2"/>
    <w:rsid w:val="004642C3"/>
    <w:rsid w:val="004707AB"/>
    <w:rsid w:val="004721BF"/>
    <w:rsid w:val="0047463D"/>
    <w:rsid w:val="00477172"/>
    <w:rsid w:val="00480D6A"/>
    <w:rsid w:val="004827A1"/>
    <w:rsid w:val="00484ED8"/>
    <w:rsid w:val="00486868"/>
    <w:rsid w:val="004868D3"/>
    <w:rsid w:val="004868E5"/>
    <w:rsid w:val="00487527"/>
    <w:rsid w:val="0049069F"/>
    <w:rsid w:val="0049158B"/>
    <w:rsid w:val="004922E0"/>
    <w:rsid w:val="00492992"/>
    <w:rsid w:val="00492F15"/>
    <w:rsid w:val="004963CE"/>
    <w:rsid w:val="004A197D"/>
    <w:rsid w:val="004A26CF"/>
    <w:rsid w:val="004A2893"/>
    <w:rsid w:val="004A2DBC"/>
    <w:rsid w:val="004A60BF"/>
    <w:rsid w:val="004A7215"/>
    <w:rsid w:val="004B2D6A"/>
    <w:rsid w:val="004B58A8"/>
    <w:rsid w:val="004B6194"/>
    <w:rsid w:val="004B6F97"/>
    <w:rsid w:val="004C133D"/>
    <w:rsid w:val="004C3E06"/>
    <w:rsid w:val="004C5A68"/>
    <w:rsid w:val="004C721E"/>
    <w:rsid w:val="004C7645"/>
    <w:rsid w:val="004D0727"/>
    <w:rsid w:val="004D4560"/>
    <w:rsid w:val="004D5102"/>
    <w:rsid w:val="004D65EE"/>
    <w:rsid w:val="004E3E2A"/>
    <w:rsid w:val="004E5209"/>
    <w:rsid w:val="004E64B9"/>
    <w:rsid w:val="004F0576"/>
    <w:rsid w:val="004F0AF9"/>
    <w:rsid w:val="004F146F"/>
    <w:rsid w:val="004F1CA4"/>
    <w:rsid w:val="004F4DC1"/>
    <w:rsid w:val="00500273"/>
    <w:rsid w:val="005003A0"/>
    <w:rsid w:val="0050275E"/>
    <w:rsid w:val="00503546"/>
    <w:rsid w:val="00503FC8"/>
    <w:rsid w:val="00504FFA"/>
    <w:rsid w:val="0050577A"/>
    <w:rsid w:val="00506760"/>
    <w:rsid w:val="00511F3F"/>
    <w:rsid w:val="0051377F"/>
    <w:rsid w:val="005156B6"/>
    <w:rsid w:val="00520028"/>
    <w:rsid w:val="00521F72"/>
    <w:rsid w:val="00522388"/>
    <w:rsid w:val="005323C4"/>
    <w:rsid w:val="0053290A"/>
    <w:rsid w:val="00540E82"/>
    <w:rsid w:val="005418D8"/>
    <w:rsid w:val="00544138"/>
    <w:rsid w:val="00544280"/>
    <w:rsid w:val="005529BB"/>
    <w:rsid w:val="00557BF1"/>
    <w:rsid w:val="00560124"/>
    <w:rsid w:val="005609BA"/>
    <w:rsid w:val="00562B41"/>
    <w:rsid w:val="005630A0"/>
    <w:rsid w:val="00564621"/>
    <w:rsid w:val="00566564"/>
    <w:rsid w:val="00566B2F"/>
    <w:rsid w:val="00571492"/>
    <w:rsid w:val="0057207C"/>
    <w:rsid w:val="005721BD"/>
    <w:rsid w:val="005723EB"/>
    <w:rsid w:val="00573BA9"/>
    <w:rsid w:val="00577983"/>
    <w:rsid w:val="005807F9"/>
    <w:rsid w:val="00581335"/>
    <w:rsid w:val="00581429"/>
    <w:rsid w:val="00584B3E"/>
    <w:rsid w:val="00584E6F"/>
    <w:rsid w:val="00594CF0"/>
    <w:rsid w:val="00595FC5"/>
    <w:rsid w:val="00597C8D"/>
    <w:rsid w:val="005A0FA6"/>
    <w:rsid w:val="005A25C8"/>
    <w:rsid w:val="005A31B4"/>
    <w:rsid w:val="005A4A95"/>
    <w:rsid w:val="005B19C6"/>
    <w:rsid w:val="005B3C7E"/>
    <w:rsid w:val="005B3EFB"/>
    <w:rsid w:val="005B514B"/>
    <w:rsid w:val="005B616D"/>
    <w:rsid w:val="005B6352"/>
    <w:rsid w:val="005B6E60"/>
    <w:rsid w:val="005C1860"/>
    <w:rsid w:val="005C1E2C"/>
    <w:rsid w:val="005C2FCE"/>
    <w:rsid w:val="005C4EE9"/>
    <w:rsid w:val="005C509F"/>
    <w:rsid w:val="005C5BE8"/>
    <w:rsid w:val="005C613E"/>
    <w:rsid w:val="005D2DBE"/>
    <w:rsid w:val="005D50AD"/>
    <w:rsid w:val="005E03B2"/>
    <w:rsid w:val="005E11DB"/>
    <w:rsid w:val="005E16BB"/>
    <w:rsid w:val="005E2DDF"/>
    <w:rsid w:val="005E2EE8"/>
    <w:rsid w:val="005F2B55"/>
    <w:rsid w:val="00600833"/>
    <w:rsid w:val="00600E75"/>
    <w:rsid w:val="006010D4"/>
    <w:rsid w:val="006029A7"/>
    <w:rsid w:val="00603430"/>
    <w:rsid w:val="00603E24"/>
    <w:rsid w:val="00604225"/>
    <w:rsid w:val="00606181"/>
    <w:rsid w:val="00606ADC"/>
    <w:rsid w:val="006133AB"/>
    <w:rsid w:val="00614031"/>
    <w:rsid w:val="0061467B"/>
    <w:rsid w:val="00614C5D"/>
    <w:rsid w:val="006156D9"/>
    <w:rsid w:val="00615C75"/>
    <w:rsid w:val="00617A40"/>
    <w:rsid w:val="00622E6F"/>
    <w:rsid w:val="00622EBB"/>
    <w:rsid w:val="00623CDA"/>
    <w:rsid w:val="00626846"/>
    <w:rsid w:val="0062696F"/>
    <w:rsid w:val="006277A7"/>
    <w:rsid w:val="00627B4C"/>
    <w:rsid w:val="00630B38"/>
    <w:rsid w:val="006321BB"/>
    <w:rsid w:val="00636518"/>
    <w:rsid w:val="0064005E"/>
    <w:rsid w:val="006415DD"/>
    <w:rsid w:val="00646925"/>
    <w:rsid w:val="006469A0"/>
    <w:rsid w:val="00646FFB"/>
    <w:rsid w:val="00652F37"/>
    <w:rsid w:val="006541FD"/>
    <w:rsid w:val="00655A4D"/>
    <w:rsid w:val="00656093"/>
    <w:rsid w:val="00660C8D"/>
    <w:rsid w:val="00661A47"/>
    <w:rsid w:val="00662747"/>
    <w:rsid w:val="00662804"/>
    <w:rsid w:val="0066433D"/>
    <w:rsid w:val="006707D9"/>
    <w:rsid w:val="00671758"/>
    <w:rsid w:val="00671CD2"/>
    <w:rsid w:val="0067405F"/>
    <w:rsid w:val="006746D6"/>
    <w:rsid w:val="0067786D"/>
    <w:rsid w:val="00680BC5"/>
    <w:rsid w:val="006826EE"/>
    <w:rsid w:val="00684B21"/>
    <w:rsid w:val="006852BD"/>
    <w:rsid w:val="0068558D"/>
    <w:rsid w:val="006857B6"/>
    <w:rsid w:val="006868B8"/>
    <w:rsid w:val="00686FB3"/>
    <w:rsid w:val="0069003B"/>
    <w:rsid w:val="006900D2"/>
    <w:rsid w:val="0069078B"/>
    <w:rsid w:val="006908D8"/>
    <w:rsid w:val="00690EA1"/>
    <w:rsid w:val="00692B94"/>
    <w:rsid w:val="00693569"/>
    <w:rsid w:val="00696316"/>
    <w:rsid w:val="006A0CC9"/>
    <w:rsid w:val="006A3C4A"/>
    <w:rsid w:val="006A5AB2"/>
    <w:rsid w:val="006A5AC3"/>
    <w:rsid w:val="006A7AD5"/>
    <w:rsid w:val="006B026A"/>
    <w:rsid w:val="006B0F12"/>
    <w:rsid w:val="006B213F"/>
    <w:rsid w:val="006B440A"/>
    <w:rsid w:val="006B5108"/>
    <w:rsid w:val="006B57C7"/>
    <w:rsid w:val="006B5F9B"/>
    <w:rsid w:val="006B6262"/>
    <w:rsid w:val="006B6844"/>
    <w:rsid w:val="006C2DEB"/>
    <w:rsid w:val="006C2F20"/>
    <w:rsid w:val="006C50D8"/>
    <w:rsid w:val="006C69B9"/>
    <w:rsid w:val="006D13D6"/>
    <w:rsid w:val="006D180C"/>
    <w:rsid w:val="006D3B1D"/>
    <w:rsid w:val="006D585A"/>
    <w:rsid w:val="006D6278"/>
    <w:rsid w:val="006E1697"/>
    <w:rsid w:val="006E2101"/>
    <w:rsid w:val="006E2527"/>
    <w:rsid w:val="006E530B"/>
    <w:rsid w:val="006E7A91"/>
    <w:rsid w:val="006F1C85"/>
    <w:rsid w:val="006F333C"/>
    <w:rsid w:val="006F6618"/>
    <w:rsid w:val="00704295"/>
    <w:rsid w:val="00704FED"/>
    <w:rsid w:val="00706192"/>
    <w:rsid w:val="00714577"/>
    <w:rsid w:val="00715FEC"/>
    <w:rsid w:val="007176DD"/>
    <w:rsid w:val="00721F71"/>
    <w:rsid w:val="00722038"/>
    <w:rsid w:val="00722127"/>
    <w:rsid w:val="00722C25"/>
    <w:rsid w:val="007242D7"/>
    <w:rsid w:val="007255B2"/>
    <w:rsid w:val="00726ACF"/>
    <w:rsid w:val="00726B08"/>
    <w:rsid w:val="00727B17"/>
    <w:rsid w:val="007302C4"/>
    <w:rsid w:val="007336F2"/>
    <w:rsid w:val="00733FF0"/>
    <w:rsid w:val="00734B1B"/>
    <w:rsid w:val="00734E59"/>
    <w:rsid w:val="00735D21"/>
    <w:rsid w:val="00736039"/>
    <w:rsid w:val="00736290"/>
    <w:rsid w:val="00741220"/>
    <w:rsid w:val="00743A2F"/>
    <w:rsid w:val="00750B8F"/>
    <w:rsid w:val="0075183F"/>
    <w:rsid w:val="00753030"/>
    <w:rsid w:val="0075471D"/>
    <w:rsid w:val="00754A02"/>
    <w:rsid w:val="00754B0D"/>
    <w:rsid w:val="00760963"/>
    <w:rsid w:val="007626D3"/>
    <w:rsid w:val="00762ADB"/>
    <w:rsid w:val="007672FB"/>
    <w:rsid w:val="00767F04"/>
    <w:rsid w:val="00770191"/>
    <w:rsid w:val="00770292"/>
    <w:rsid w:val="00771B70"/>
    <w:rsid w:val="007753E0"/>
    <w:rsid w:val="00775DA3"/>
    <w:rsid w:val="00776B9E"/>
    <w:rsid w:val="0078252D"/>
    <w:rsid w:val="00782D91"/>
    <w:rsid w:val="00784F4A"/>
    <w:rsid w:val="00785494"/>
    <w:rsid w:val="00785F85"/>
    <w:rsid w:val="00795FB4"/>
    <w:rsid w:val="007A02DD"/>
    <w:rsid w:val="007A3C4F"/>
    <w:rsid w:val="007A41B0"/>
    <w:rsid w:val="007A497B"/>
    <w:rsid w:val="007A5E21"/>
    <w:rsid w:val="007A78A0"/>
    <w:rsid w:val="007B1095"/>
    <w:rsid w:val="007B1FD1"/>
    <w:rsid w:val="007B22A8"/>
    <w:rsid w:val="007B2689"/>
    <w:rsid w:val="007B5A3E"/>
    <w:rsid w:val="007C068A"/>
    <w:rsid w:val="007C223D"/>
    <w:rsid w:val="007C2D2D"/>
    <w:rsid w:val="007C2E25"/>
    <w:rsid w:val="007C2F0D"/>
    <w:rsid w:val="007C646A"/>
    <w:rsid w:val="007C6EEA"/>
    <w:rsid w:val="007D0D59"/>
    <w:rsid w:val="007D252B"/>
    <w:rsid w:val="007D4B65"/>
    <w:rsid w:val="007D4F7D"/>
    <w:rsid w:val="007D7B7F"/>
    <w:rsid w:val="007E07D7"/>
    <w:rsid w:val="007E0B55"/>
    <w:rsid w:val="007E141B"/>
    <w:rsid w:val="007E1777"/>
    <w:rsid w:val="007E1AA8"/>
    <w:rsid w:val="007E2655"/>
    <w:rsid w:val="007E39A7"/>
    <w:rsid w:val="007E595A"/>
    <w:rsid w:val="007E5FFD"/>
    <w:rsid w:val="007F5AE1"/>
    <w:rsid w:val="00800DFD"/>
    <w:rsid w:val="00802B79"/>
    <w:rsid w:val="008033D9"/>
    <w:rsid w:val="0080486C"/>
    <w:rsid w:val="008066A4"/>
    <w:rsid w:val="00810525"/>
    <w:rsid w:val="008109A0"/>
    <w:rsid w:val="008115A8"/>
    <w:rsid w:val="00815974"/>
    <w:rsid w:val="00815D8E"/>
    <w:rsid w:val="008178EA"/>
    <w:rsid w:val="00820C26"/>
    <w:rsid w:val="00821326"/>
    <w:rsid w:val="00824018"/>
    <w:rsid w:val="00825E2E"/>
    <w:rsid w:val="008268B8"/>
    <w:rsid w:val="008312C3"/>
    <w:rsid w:val="0083191B"/>
    <w:rsid w:val="00834070"/>
    <w:rsid w:val="008343CE"/>
    <w:rsid w:val="00834A7E"/>
    <w:rsid w:val="00835FE8"/>
    <w:rsid w:val="008379D4"/>
    <w:rsid w:val="00845DA4"/>
    <w:rsid w:val="008461BD"/>
    <w:rsid w:val="008477B5"/>
    <w:rsid w:val="008533C9"/>
    <w:rsid w:val="00854C35"/>
    <w:rsid w:val="008568D4"/>
    <w:rsid w:val="00860951"/>
    <w:rsid w:val="00862912"/>
    <w:rsid w:val="0086605F"/>
    <w:rsid w:val="00872B7C"/>
    <w:rsid w:val="00874303"/>
    <w:rsid w:val="00875932"/>
    <w:rsid w:val="00875C6D"/>
    <w:rsid w:val="008768B6"/>
    <w:rsid w:val="008852FA"/>
    <w:rsid w:val="00887B0F"/>
    <w:rsid w:val="008913A5"/>
    <w:rsid w:val="0089582D"/>
    <w:rsid w:val="008A1E78"/>
    <w:rsid w:val="008A223C"/>
    <w:rsid w:val="008A2D29"/>
    <w:rsid w:val="008A55BA"/>
    <w:rsid w:val="008A6E30"/>
    <w:rsid w:val="008A77C3"/>
    <w:rsid w:val="008B0996"/>
    <w:rsid w:val="008B0F4E"/>
    <w:rsid w:val="008B2CC3"/>
    <w:rsid w:val="008B613C"/>
    <w:rsid w:val="008B7F63"/>
    <w:rsid w:val="008C1247"/>
    <w:rsid w:val="008C14BC"/>
    <w:rsid w:val="008C2A3C"/>
    <w:rsid w:val="008C34AB"/>
    <w:rsid w:val="008C50BC"/>
    <w:rsid w:val="008C7A1B"/>
    <w:rsid w:val="008D3FCF"/>
    <w:rsid w:val="008D4392"/>
    <w:rsid w:val="008D6C22"/>
    <w:rsid w:val="008D6EFB"/>
    <w:rsid w:val="008E22E1"/>
    <w:rsid w:val="008E2890"/>
    <w:rsid w:val="008E3F45"/>
    <w:rsid w:val="008E5389"/>
    <w:rsid w:val="008E6F48"/>
    <w:rsid w:val="008F1D5B"/>
    <w:rsid w:val="008F21A0"/>
    <w:rsid w:val="008F2FB8"/>
    <w:rsid w:val="008F51A6"/>
    <w:rsid w:val="008F5329"/>
    <w:rsid w:val="008F5B54"/>
    <w:rsid w:val="008F5E2B"/>
    <w:rsid w:val="008F77BC"/>
    <w:rsid w:val="00900199"/>
    <w:rsid w:val="00900FB6"/>
    <w:rsid w:val="00903C8C"/>
    <w:rsid w:val="0091128D"/>
    <w:rsid w:val="009141C9"/>
    <w:rsid w:val="009150C7"/>
    <w:rsid w:val="00915686"/>
    <w:rsid w:val="009176F7"/>
    <w:rsid w:val="009224D8"/>
    <w:rsid w:val="00922975"/>
    <w:rsid w:val="00923CD7"/>
    <w:rsid w:val="009245E2"/>
    <w:rsid w:val="00925237"/>
    <w:rsid w:val="00926660"/>
    <w:rsid w:val="00933C24"/>
    <w:rsid w:val="00935527"/>
    <w:rsid w:val="00936792"/>
    <w:rsid w:val="00940782"/>
    <w:rsid w:val="00941DD7"/>
    <w:rsid w:val="009450D9"/>
    <w:rsid w:val="00947AE3"/>
    <w:rsid w:val="0095170B"/>
    <w:rsid w:val="00951C91"/>
    <w:rsid w:val="00954242"/>
    <w:rsid w:val="00956601"/>
    <w:rsid w:val="00956EA4"/>
    <w:rsid w:val="00970EEC"/>
    <w:rsid w:val="00973477"/>
    <w:rsid w:val="00975932"/>
    <w:rsid w:val="00976361"/>
    <w:rsid w:val="009804F7"/>
    <w:rsid w:val="00980A0B"/>
    <w:rsid w:val="009825DC"/>
    <w:rsid w:val="00982890"/>
    <w:rsid w:val="00984387"/>
    <w:rsid w:val="00987A0F"/>
    <w:rsid w:val="009908CF"/>
    <w:rsid w:val="0099102A"/>
    <w:rsid w:val="00991E56"/>
    <w:rsid w:val="00992713"/>
    <w:rsid w:val="00992A30"/>
    <w:rsid w:val="009933E2"/>
    <w:rsid w:val="00993BCA"/>
    <w:rsid w:val="0099406B"/>
    <w:rsid w:val="0099602B"/>
    <w:rsid w:val="00996C4C"/>
    <w:rsid w:val="00996DF1"/>
    <w:rsid w:val="0099717F"/>
    <w:rsid w:val="009A0338"/>
    <w:rsid w:val="009A5D5C"/>
    <w:rsid w:val="009A5E1A"/>
    <w:rsid w:val="009B0CBB"/>
    <w:rsid w:val="009B1C5D"/>
    <w:rsid w:val="009B20DF"/>
    <w:rsid w:val="009B2AFE"/>
    <w:rsid w:val="009B76DE"/>
    <w:rsid w:val="009C134A"/>
    <w:rsid w:val="009C30A8"/>
    <w:rsid w:val="009C5366"/>
    <w:rsid w:val="009C7FA9"/>
    <w:rsid w:val="009D08C7"/>
    <w:rsid w:val="009D269E"/>
    <w:rsid w:val="009D5FDC"/>
    <w:rsid w:val="009D7C94"/>
    <w:rsid w:val="009E03D3"/>
    <w:rsid w:val="009E137C"/>
    <w:rsid w:val="009E7C38"/>
    <w:rsid w:val="009F0E17"/>
    <w:rsid w:val="009F0E18"/>
    <w:rsid w:val="009F17BC"/>
    <w:rsid w:val="009F7850"/>
    <w:rsid w:val="00A01CF9"/>
    <w:rsid w:val="00A02FDE"/>
    <w:rsid w:val="00A04C79"/>
    <w:rsid w:val="00A0624D"/>
    <w:rsid w:val="00A06435"/>
    <w:rsid w:val="00A07831"/>
    <w:rsid w:val="00A10079"/>
    <w:rsid w:val="00A10C58"/>
    <w:rsid w:val="00A1127B"/>
    <w:rsid w:val="00A12EFB"/>
    <w:rsid w:val="00A13620"/>
    <w:rsid w:val="00A162ED"/>
    <w:rsid w:val="00A1655E"/>
    <w:rsid w:val="00A16A74"/>
    <w:rsid w:val="00A17237"/>
    <w:rsid w:val="00A226D8"/>
    <w:rsid w:val="00A23441"/>
    <w:rsid w:val="00A24B27"/>
    <w:rsid w:val="00A26784"/>
    <w:rsid w:val="00A31570"/>
    <w:rsid w:val="00A321FC"/>
    <w:rsid w:val="00A33F89"/>
    <w:rsid w:val="00A36346"/>
    <w:rsid w:val="00A37C3C"/>
    <w:rsid w:val="00A4055A"/>
    <w:rsid w:val="00A41728"/>
    <w:rsid w:val="00A42031"/>
    <w:rsid w:val="00A428F2"/>
    <w:rsid w:val="00A4389B"/>
    <w:rsid w:val="00A44538"/>
    <w:rsid w:val="00A44976"/>
    <w:rsid w:val="00A44AE3"/>
    <w:rsid w:val="00A46127"/>
    <w:rsid w:val="00A50324"/>
    <w:rsid w:val="00A503D9"/>
    <w:rsid w:val="00A52B7C"/>
    <w:rsid w:val="00A555A4"/>
    <w:rsid w:val="00A57337"/>
    <w:rsid w:val="00A5797F"/>
    <w:rsid w:val="00A60011"/>
    <w:rsid w:val="00A6095A"/>
    <w:rsid w:val="00A62272"/>
    <w:rsid w:val="00A622FF"/>
    <w:rsid w:val="00A65F3A"/>
    <w:rsid w:val="00A66521"/>
    <w:rsid w:val="00A67843"/>
    <w:rsid w:val="00A70535"/>
    <w:rsid w:val="00A71108"/>
    <w:rsid w:val="00A73D34"/>
    <w:rsid w:val="00A74687"/>
    <w:rsid w:val="00A778BC"/>
    <w:rsid w:val="00A77DFB"/>
    <w:rsid w:val="00A80249"/>
    <w:rsid w:val="00A80C5F"/>
    <w:rsid w:val="00A811EB"/>
    <w:rsid w:val="00A84457"/>
    <w:rsid w:val="00A90264"/>
    <w:rsid w:val="00A90FA6"/>
    <w:rsid w:val="00A91E33"/>
    <w:rsid w:val="00A95AEA"/>
    <w:rsid w:val="00AA18F3"/>
    <w:rsid w:val="00AA2282"/>
    <w:rsid w:val="00AA244A"/>
    <w:rsid w:val="00AA2B7E"/>
    <w:rsid w:val="00AA6618"/>
    <w:rsid w:val="00AA7A54"/>
    <w:rsid w:val="00AB0538"/>
    <w:rsid w:val="00AB2295"/>
    <w:rsid w:val="00AB31A1"/>
    <w:rsid w:val="00AB67CB"/>
    <w:rsid w:val="00AC7CE3"/>
    <w:rsid w:val="00AD01B7"/>
    <w:rsid w:val="00AD66ED"/>
    <w:rsid w:val="00AD6AC1"/>
    <w:rsid w:val="00AD767F"/>
    <w:rsid w:val="00AE037D"/>
    <w:rsid w:val="00AE075D"/>
    <w:rsid w:val="00AE3CEB"/>
    <w:rsid w:val="00AE4413"/>
    <w:rsid w:val="00AE59D7"/>
    <w:rsid w:val="00AE66A2"/>
    <w:rsid w:val="00AE7D28"/>
    <w:rsid w:val="00AF28D8"/>
    <w:rsid w:val="00AF3D36"/>
    <w:rsid w:val="00AF4596"/>
    <w:rsid w:val="00AF4768"/>
    <w:rsid w:val="00AF6905"/>
    <w:rsid w:val="00AF6A69"/>
    <w:rsid w:val="00AF757A"/>
    <w:rsid w:val="00AF7B3E"/>
    <w:rsid w:val="00B031FC"/>
    <w:rsid w:val="00B0728E"/>
    <w:rsid w:val="00B07420"/>
    <w:rsid w:val="00B100DD"/>
    <w:rsid w:val="00B10CA8"/>
    <w:rsid w:val="00B13DFB"/>
    <w:rsid w:val="00B20D66"/>
    <w:rsid w:val="00B24749"/>
    <w:rsid w:val="00B25540"/>
    <w:rsid w:val="00B26ABC"/>
    <w:rsid w:val="00B31AF7"/>
    <w:rsid w:val="00B3316B"/>
    <w:rsid w:val="00B368DE"/>
    <w:rsid w:val="00B36ECF"/>
    <w:rsid w:val="00B4399C"/>
    <w:rsid w:val="00B445CD"/>
    <w:rsid w:val="00B5193C"/>
    <w:rsid w:val="00B53194"/>
    <w:rsid w:val="00B55849"/>
    <w:rsid w:val="00B56F2B"/>
    <w:rsid w:val="00B579E5"/>
    <w:rsid w:val="00B60853"/>
    <w:rsid w:val="00B642E0"/>
    <w:rsid w:val="00B648BC"/>
    <w:rsid w:val="00B6730A"/>
    <w:rsid w:val="00B70EB4"/>
    <w:rsid w:val="00B7173E"/>
    <w:rsid w:val="00B74685"/>
    <w:rsid w:val="00B8193F"/>
    <w:rsid w:val="00B875D3"/>
    <w:rsid w:val="00B87CE9"/>
    <w:rsid w:val="00B904AD"/>
    <w:rsid w:val="00B91838"/>
    <w:rsid w:val="00B945F6"/>
    <w:rsid w:val="00B95063"/>
    <w:rsid w:val="00B951DA"/>
    <w:rsid w:val="00BA247A"/>
    <w:rsid w:val="00BA4897"/>
    <w:rsid w:val="00BA51B1"/>
    <w:rsid w:val="00BB023A"/>
    <w:rsid w:val="00BB47F1"/>
    <w:rsid w:val="00BB71AA"/>
    <w:rsid w:val="00BC2076"/>
    <w:rsid w:val="00BC37C2"/>
    <w:rsid w:val="00BD28E4"/>
    <w:rsid w:val="00BD3B6F"/>
    <w:rsid w:val="00BD6956"/>
    <w:rsid w:val="00BD7B68"/>
    <w:rsid w:val="00BE095F"/>
    <w:rsid w:val="00BE1105"/>
    <w:rsid w:val="00BE1CA1"/>
    <w:rsid w:val="00BE22B2"/>
    <w:rsid w:val="00BE335D"/>
    <w:rsid w:val="00BE3607"/>
    <w:rsid w:val="00BE5667"/>
    <w:rsid w:val="00BE73C0"/>
    <w:rsid w:val="00BE7CA1"/>
    <w:rsid w:val="00BF0CE5"/>
    <w:rsid w:val="00BF1679"/>
    <w:rsid w:val="00BF24F0"/>
    <w:rsid w:val="00BF4CB4"/>
    <w:rsid w:val="00BF4FBA"/>
    <w:rsid w:val="00C000B2"/>
    <w:rsid w:val="00C01B6D"/>
    <w:rsid w:val="00C01CDC"/>
    <w:rsid w:val="00C02327"/>
    <w:rsid w:val="00C126E4"/>
    <w:rsid w:val="00C13943"/>
    <w:rsid w:val="00C13C38"/>
    <w:rsid w:val="00C15DBA"/>
    <w:rsid w:val="00C16AAC"/>
    <w:rsid w:val="00C17344"/>
    <w:rsid w:val="00C17B51"/>
    <w:rsid w:val="00C21641"/>
    <w:rsid w:val="00C23702"/>
    <w:rsid w:val="00C243DF"/>
    <w:rsid w:val="00C24CA0"/>
    <w:rsid w:val="00C2521A"/>
    <w:rsid w:val="00C26EC3"/>
    <w:rsid w:val="00C303D9"/>
    <w:rsid w:val="00C3156E"/>
    <w:rsid w:val="00C33BF9"/>
    <w:rsid w:val="00C35CCA"/>
    <w:rsid w:val="00C44842"/>
    <w:rsid w:val="00C44E2E"/>
    <w:rsid w:val="00C455B9"/>
    <w:rsid w:val="00C47018"/>
    <w:rsid w:val="00C50E04"/>
    <w:rsid w:val="00C51850"/>
    <w:rsid w:val="00C53DAB"/>
    <w:rsid w:val="00C543B9"/>
    <w:rsid w:val="00C55020"/>
    <w:rsid w:val="00C60E5A"/>
    <w:rsid w:val="00C61FA3"/>
    <w:rsid w:val="00C621CA"/>
    <w:rsid w:val="00C63993"/>
    <w:rsid w:val="00C64F42"/>
    <w:rsid w:val="00C67769"/>
    <w:rsid w:val="00C700A4"/>
    <w:rsid w:val="00C715DB"/>
    <w:rsid w:val="00C724B7"/>
    <w:rsid w:val="00C743A6"/>
    <w:rsid w:val="00C75EB9"/>
    <w:rsid w:val="00C77B48"/>
    <w:rsid w:val="00C805CF"/>
    <w:rsid w:val="00C81138"/>
    <w:rsid w:val="00C869D1"/>
    <w:rsid w:val="00C86A6F"/>
    <w:rsid w:val="00C8796A"/>
    <w:rsid w:val="00C90005"/>
    <w:rsid w:val="00C9177F"/>
    <w:rsid w:val="00C92D10"/>
    <w:rsid w:val="00C93321"/>
    <w:rsid w:val="00C963E6"/>
    <w:rsid w:val="00C970EA"/>
    <w:rsid w:val="00CA141A"/>
    <w:rsid w:val="00CA6293"/>
    <w:rsid w:val="00CA6E59"/>
    <w:rsid w:val="00CA7596"/>
    <w:rsid w:val="00CA78DD"/>
    <w:rsid w:val="00CA7F7A"/>
    <w:rsid w:val="00CB0EF7"/>
    <w:rsid w:val="00CB15BF"/>
    <w:rsid w:val="00CB164C"/>
    <w:rsid w:val="00CB2F66"/>
    <w:rsid w:val="00CB385F"/>
    <w:rsid w:val="00CB3CD1"/>
    <w:rsid w:val="00CB68B6"/>
    <w:rsid w:val="00CC00B9"/>
    <w:rsid w:val="00CC43D8"/>
    <w:rsid w:val="00CC6370"/>
    <w:rsid w:val="00CC7FA7"/>
    <w:rsid w:val="00CD02D8"/>
    <w:rsid w:val="00CD11AD"/>
    <w:rsid w:val="00CD3096"/>
    <w:rsid w:val="00CD57C9"/>
    <w:rsid w:val="00CE136E"/>
    <w:rsid w:val="00CE24A0"/>
    <w:rsid w:val="00CE504D"/>
    <w:rsid w:val="00CE6787"/>
    <w:rsid w:val="00CE6A37"/>
    <w:rsid w:val="00CE73B3"/>
    <w:rsid w:val="00CF206F"/>
    <w:rsid w:val="00CF53EB"/>
    <w:rsid w:val="00CF5881"/>
    <w:rsid w:val="00D04365"/>
    <w:rsid w:val="00D04DD3"/>
    <w:rsid w:val="00D053EC"/>
    <w:rsid w:val="00D05A47"/>
    <w:rsid w:val="00D072AF"/>
    <w:rsid w:val="00D07955"/>
    <w:rsid w:val="00D1013D"/>
    <w:rsid w:val="00D17105"/>
    <w:rsid w:val="00D17F31"/>
    <w:rsid w:val="00D24423"/>
    <w:rsid w:val="00D24A7F"/>
    <w:rsid w:val="00D264A1"/>
    <w:rsid w:val="00D26BE1"/>
    <w:rsid w:val="00D27E37"/>
    <w:rsid w:val="00D31B55"/>
    <w:rsid w:val="00D337E2"/>
    <w:rsid w:val="00D33DA7"/>
    <w:rsid w:val="00D346CF"/>
    <w:rsid w:val="00D34A2E"/>
    <w:rsid w:val="00D34E16"/>
    <w:rsid w:val="00D359E0"/>
    <w:rsid w:val="00D36C3C"/>
    <w:rsid w:val="00D41110"/>
    <w:rsid w:val="00D4138D"/>
    <w:rsid w:val="00D41DC0"/>
    <w:rsid w:val="00D44A1B"/>
    <w:rsid w:val="00D4533A"/>
    <w:rsid w:val="00D45FCC"/>
    <w:rsid w:val="00D51CB6"/>
    <w:rsid w:val="00D57DE0"/>
    <w:rsid w:val="00D60691"/>
    <w:rsid w:val="00D60F06"/>
    <w:rsid w:val="00D62698"/>
    <w:rsid w:val="00D63548"/>
    <w:rsid w:val="00D66197"/>
    <w:rsid w:val="00D66F5A"/>
    <w:rsid w:val="00D708B7"/>
    <w:rsid w:val="00D745D9"/>
    <w:rsid w:val="00D74C8F"/>
    <w:rsid w:val="00D753C6"/>
    <w:rsid w:val="00D77916"/>
    <w:rsid w:val="00D831CF"/>
    <w:rsid w:val="00D8518E"/>
    <w:rsid w:val="00D87F59"/>
    <w:rsid w:val="00D90E33"/>
    <w:rsid w:val="00D91C30"/>
    <w:rsid w:val="00D92E74"/>
    <w:rsid w:val="00D93E21"/>
    <w:rsid w:val="00DA2F1F"/>
    <w:rsid w:val="00DA4063"/>
    <w:rsid w:val="00DA6AE1"/>
    <w:rsid w:val="00DA73C9"/>
    <w:rsid w:val="00DB70B3"/>
    <w:rsid w:val="00DB7189"/>
    <w:rsid w:val="00DB73EF"/>
    <w:rsid w:val="00DC1D11"/>
    <w:rsid w:val="00DC1D77"/>
    <w:rsid w:val="00DC359A"/>
    <w:rsid w:val="00DC5F1B"/>
    <w:rsid w:val="00DD11B5"/>
    <w:rsid w:val="00DD2262"/>
    <w:rsid w:val="00DD3D11"/>
    <w:rsid w:val="00DD5912"/>
    <w:rsid w:val="00DD669A"/>
    <w:rsid w:val="00DD7248"/>
    <w:rsid w:val="00DD786A"/>
    <w:rsid w:val="00DE1377"/>
    <w:rsid w:val="00DE1EDE"/>
    <w:rsid w:val="00DE5622"/>
    <w:rsid w:val="00DF0801"/>
    <w:rsid w:val="00DF1C3F"/>
    <w:rsid w:val="00DF3A99"/>
    <w:rsid w:val="00DF60A5"/>
    <w:rsid w:val="00E001C2"/>
    <w:rsid w:val="00E02CCC"/>
    <w:rsid w:val="00E05004"/>
    <w:rsid w:val="00E06703"/>
    <w:rsid w:val="00E13918"/>
    <w:rsid w:val="00E178B0"/>
    <w:rsid w:val="00E17D6E"/>
    <w:rsid w:val="00E24324"/>
    <w:rsid w:val="00E25309"/>
    <w:rsid w:val="00E35FFC"/>
    <w:rsid w:val="00E36860"/>
    <w:rsid w:val="00E37AB0"/>
    <w:rsid w:val="00E407F4"/>
    <w:rsid w:val="00E41E83"/>
    <w:rsid w:val="00E44286"/>
    <w:rsid w:val="00E50A4F"/>
    <w:rsid w:val="00E529F3"/>
    <w:rsid w:val="00E56E2E"/>
    <w:rsid w:val="00E602AC"/>
    <w:rsid w:val="00E61450"/>
    <w:rsid w:val="00E62570"/>
    <w:rsid w:val="00E627F3"/>
    <w:rsid w:val="00E628E5"/>
    <w:rsid w:val="00E62F26"/>
    <w:rsid w:val="00E66109"/>
    <w:rsid w:val="00E66AA2"/>
    <w:rsid w:val="00E735EE"/>
    <w:rsid w:val="00E77917"/>
    <w:rsid w:val="00E80709"/>
    <w:rsid w:val="00E80D6C"/>
    <w:rsid w:val="00E81DAD"/>
    <w:rsid w:val="00E83A35"/>
    <w:rsid w:val="00E84072"/>
    <w:rsid w:val="00E86E7A"/>
    <w:rsid w:val="00E8791B"/>
    <w:rsid w:val="00E938A5"/>
    <w:rsid w:val="00E948C0"/>
    <w:rsid w:val="00E95DD8"/>
    <w:rsid w:val="00E9651B"/>
    <w:rsid w:val="00EA06B1"/>
    <w:rsid w:val="00EA1132"/>
    <w:rsid w:val="00EA1FFD"/>
    <w:rsid w:val="00EA3D96"/>
    <w:rsid w:val="00EA419A"/>
    <w:rsid w:val="00EA482F"/>
    <w:rsid w:val="00EA568D"/>
    <w:rsid w:val="00EC03E0"/>
    <w:rsid w:val="00EC05D1"/>
    <w:rsid w:val="00EC36B7"/>
    <w:rsid w:val="00EC565F"/>
    <w:rsid w:val="00EC5B72"/>
    <w:rsid w:val="00EC6945"/>
    <w:rsid w:val="00EC69F4"/>
    <w:rsid w:val="00EC6C8E"/>
    <w:rsid w:val="00ED15D3"/>
    <w:rsid w:val="00ED3ABE"/>
    <w:rsid w:val="00ED5A56"/>
    <w:rsid w:val="00EE1F8F"/>
    <w:rsid w:val="00EE73FA"/>
    <w:rsid w:val="00EF07E7"/>
    <w:rsid w:val="00EF114D"/>
    <w:rsid w:val="00EF1F09"/>
    <w:rsid w:val="00EF3AF9"/>
    <w:rsid w:val="00EF6AD7"/>
    <w:rsid w:val="00EF708A"/>
    <w:rsid w:val="00F02344"/>
    <w:rsid w:val="00F02882"/>
    <w:rsid w:val="00F028EB"/>
    <w:rsid w:val="00F037E0"/>
    <w:rsid w:val="00F0408E"/>
    <w:rsid w:val="00F1100D"/>
    <w:rsid w:val="00F13148"/>
    <w:rsid w:val="00F13278"/>
    <w:rsid w:val="00F1626C"/>
    <w:rsid w:val="00F169FA"/>
    <w:rsid w:val="00F17126"/>
    <w:rsid w:val="00F21E3D"/>
    <w:rsid w:val="00F24AE0"/>
    <w:rsid w:val="00F25DF8"/>
    <w:rsid w:val="00F319EC"/>
    <w:rsid w:val="00F324E1"/>
    <w:rsid w:val="00F326F3"/>
    <w:rsid w:val="00F3434E"/>
    <w:rsid w:val="00F35219"/>
    <w:rsid w:val="00F37B2A"/>
    <w:rsid w:val="00F4221F"/>
    <w:rsid w:val="00F42AF3"/>
    <w:rsid w:val="00F43AC2"/>
    <w:rsid w:val="00F43D20"/>
    <w:rsid w:val="00F44A27"/>
    <w:rsid w:val="00F451EB"/>
    <w:rsid w:val="00F459F2"/>
    <w:rsid w:val="00F4643A"/>
    <w:rsid w:val="00F504AF"/>
    <w:rsid w:val="00F530FC"/>
    <w:rsid w:val="00F5494F"/>
    <w:rsid w:val="00F55BFB"/>
    <w:rsid w:val="00F5788A"/>
    <w:rsid w:val="00F6173E"/>
    <w:rsid w:val="00F64415"/>
    <w:rsid w:val="00F6616D"/>
    <w:rsid w:val="00F66789"/>
    <w:rsid w:val="00F67218"/>
    <w:rsid w:val="00F71712"/>
    <w:rsid w:val="00F71994"/>
    <w:rsid w:val="00F72E91"/>
    <w:rsid w:val="00F7521A"/>
    <w:rsid w:val="00F773F3"/>
    <w:rsid w:val="00F80987"/>
    <w:rsid w:val="00F81DB8"/>
    <w:rsid w:val="00F826E1"/>
    <w:rsid w:val="00F83CB4"/>
    <w:rsid w:val="00F85237"/>
    <w:rsid w:val="00F866EE"/>
    <w:rsid w:val="00F86759"/>
    <w:rsid w:val="00F933F7"/>
    <w:rsid w:val="00F9392A"/>
    <w:rsid w:val="00F94FF6"/>
    <w:rsid w:val="00F9525A"/>
    <w:rsid w:val="00F95385"/>
    <w:rsid w:val="00F95815"/>
    <w:rsid w:val="00FA0C17"/>
    <w:rsid w:val="00FA1D4A"/>
    <w:rsid w:val="00FA1EAE"/>
    <w:rsid w:val="00FA268C"/>
    <w:rsid w:val="00FA56EA"/>
    <w:rsid w:val="00FA6DBC"/>
    <w:rsid w:val="00FB4369"/>
    <w:rsid w:val="00FB48F3"/>
    <w:rsid w:val="00FB6D94"/>
    <w:rsid w:val="00FC2768"/>
    <w:rsid w:val="00FC4292"/>
    <w:rsid w:val="00FC4E92"/>
    <w:rsid w:val="00FC7263"/>
    <w:rsid w:val="00FD4175"/>
    <w:rsid w:val="00FD4DFE"/>
    <w:rsid w:val="00FE3210"/>
    <w:rsid w:val="00FE34F6"/>
    <w:rsid w:val="00FE44E9"/>
    <w:rsid w:val="00FE70D0"/>
    <w:rsid w:val="00FF0ED1"/>
    <w:rsid w:val="00FF19DA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F4"/>
    <w:pPr>
      <w:bidi/>
    </w:pPr>
    <w:rPr>
      <w:rFonts w:asciiTheme="minorHAnsi" w:hAnsiTheme="minorHAnsi" w:cstheme="minorBidi"/>
      <w:sz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8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696316"/>
    <w:pPr>
      <w:bidi w:val="0"/>
      <w:spacing w:after="0" w:line="240" w:lineRule="auto"/>
      <w:ind w:leftChars="400" w:left="840"/>
    </w:pPr>
    <w:rPr>
      <w:rFonts w:ascii="MS PGothic" w:eastAsia="MS PGothic" w:hAnsi="MS PGothic" w:cs="MS PGothic"/>
      <w:sz w:val="24"/>
      <w:szCs w:val="24"/>
      <w:lang w:eastAsia="ja-JP" w:bidi="ar-SA"/>
    </w:rPr>
  </w:style>
  <w:style w:type="paragraph" w:customStyle="1" w:styleId="Tabletext">
    <w:name w:val="Table_text"/>
    <w:basedOn w:val="Normal"/>
    <w:link w:val="TabletextChar"/>
    <w:rsid w:val="0069631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bidi="ar-SA"/>
    </w:rPr>
  </w:style>
  <w:style w:type="character" w:customStyle="1" w:styleId="TabletextChar">
    <w:name w:val="Table_text Char"/>
    <w:link w:val="Tabletext"/>
    <w:rsid w:val="00696316"/>
    <w:rPr>
      <w:rFonts w:eastAsia="Times New Roman" w:cs="Times New Roman"/>
      <w:sz w:val="22"/>
      <w:szCs w:val="20"/>
      <w:lang w:val="en-GB"/>
    </w:rPr>
  </w:style>
  <w:style w:type="paragraph" w:customStyle="1" w:styleId="Rectitle">
    <w:name w:val="Rec_title"/>
    <w:basedOn w:val="Normal"/>
    <w:next w:val="Normal"/>
    <w:rsid w:val="00A7110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C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8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E1"/>
    <w:rPr>
      <w:rFonts w:asciiTheme="minorHAnsi" w:hAnsiTheme="minorHAnsi" w:cstheme="minorBidi"/>
      <w:sz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8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E1"/>
    <w:rPr>
      <w:rFonts w:asciiTheme="minorHAnsi" w:hAnsiTheme="minorHAnsi" w:cstheme="minorBidi"/>
      <w:sz w:val="22"/>
      <w:lang w:bidi="fa-IR"/>
    </w:rPr>
  </w:style>
  <w:style w:type="character" w:styleId="Hyperlink">
    <w:name w:val="Hyperlink"/>
    <w:basedOn w:val="DefaultParagraphFont"/>
    <w:uiPriority w:val="99"/>
    <w:unhideWhenUsed/>
    <w:rsid w:val="00C12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F4"/>
    <w:pPr>
      <w:bidi/>
    </w:pPr>
    <w:rPr>
      <w:rFonts w:asciiTheme="minorHAnsi" w:hAnsiTheme="minorHAnsi" w:cstheme="minorBidi"/>
      <w:sz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8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696316"/>
    <w:pPr>
      <w:bidi w:val="0"/>
      <w:spacing w:after="0" w:line="240" w:lineRule="auto"/>
      <w:ind w:leftChars="400" w:left="840"/>
    </w:pPr>
    <w:rPr>
      <w:rFonts w:ascii="MS PGothic" w:eastAsia="MS PGothic" w:hAnsi="MS PGothic" w:cs="MS PGothic"/>
      <w:sz w:val="24"/>
      <w:szCs w:val="24"/>
      <w:lang w:eastAsia="ja-JP" w:bidi="ar-SA"/>
    </w:rPr>
  </w:style>
  <w:style w:type="paragraph" w:customStyle="1" w:styleId="Tabletext">
    <w:name w:val="Table_text"/>
    <w:basedOn w:val="Normal"/>
    <w:link w:val="TabletextChar"/>
    <w:rsid w:val="0069631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bidi="ar-SA"/>
    </w:rPr>
  </w:style>
  <w:style w:type="character" w:customStyle="1" w:styleId="TabletextChar">
    <w:name w:val="Table_text Char"/>
    <w:link w:val="Tabletext"/>
    <w:rsid w:val="00696316"/>
    <w:rPr>
      <w:rFonts w:eastAsia="Times New Roman" w:cs="Times New Roman"/>
      <w:sz w:val="22"/>
      <w:szCs w:val="20"/>
      <w:lang w:val="en-GB"/>
    </w:rPr>
  </w:style>
  <w:style w:type="paragraph" w:customStyle="1" w:styleId="Rectitle">
    <w:name w:val="Rec_title"/>
    <w:basedOn w:val="Normal"/>
    <w:next w:val="Normal"/>
    <w:rsid w:val="00A7110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C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8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E1"/>
    <w:rPr>
      <w:rFonts w:asciiTheme="minorHAnsi" w:hAnsiTheme="minorHAnsi" w:cstheme="minorBidi"/>
      <w:sz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8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E1"/>
    <w:rPr>
      <w:rFonts w:asciiTheme="minorHAnsi" w:hAnsiTheme="minorHAnsi" w:cstheme="minorBidi"/>
      <w:sz w:val="22"/>
      <w:lang w:bidi="fa-IR"/>
    </w:rPr>
  </w:style>
  <w:style w:type="character" w:styleId="Hyperlink">
    <w:name w:val="Hyperlink"/>
    <w:basedOn w:val="DefaultParagraphFont"/>
    <w:uiPriority w:val="99"/>
    <w:unhideWhenUsed/>
    <w:rsid w:val="00C12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zimfard@cr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dashti</dc:creator>
  <cp:lastModifiedBy>Forhadul Parvez</cp:lastModifiedBy>
  <cp:revision>3</cp:revision>
  <dcterms:created xsi:type="dcterms:W3CDTF">2014-03-10T16:52:00Z</dcterms:created>
  <dcterms:modified xsi:type="dcterms:W3CDTF">2014-03-10T16:52:00Z</dcterms:modified>
</cp:coreProperties>
</file>