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1A0AD6" w:rsidRDefault="001A0AD6" w:rsidP="00E66898">
            <w:pPr>
              <w:spacing w:before="0"/>
              <w:rPr>
                <w:b/>
                <w:bCs/>
              </w:rPr>
            </w:pPr>
            <w:r>
              <w:rPr>
                <w:b/>
                <w:bCs/>
              </w:rPr>
              <w:t xml:space="preserve">Addendum 7 </w:t>
            </w:r>
            <w:r w:rsidR="008B11B4">
              <w:rPr>
                <w:b/>
                <w:bCs/>
              </w:rPr>
              <w:t>to</w:t>
            </w:r>
          </w:p>
          <w:p w:rsidR="007D63D6" w:rsidRPr="007D63D6" w:rsidRDefault="007D63D6" w:rsidP="001A0AD6">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1A0AD6">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051635" w:rsidP="00E66898">
            <w:pPr>
              <w:spacing w:before="0"/>
              <w:rPr>
                <w:b/>
                <w:bCs/>
              </w:rPr>
            </w:pPr>
            <w:bookmarkStart w:id="2" w:name="CreationDate"/>
            <w:bookmarkEnd w:id="2"/>
            <w:r>
              <w:rPr>
                <w:b/>
                <w:bCs/>
              </w:rPr>
              <w:t>2</w:t>
            </w:r>
            <w:r w:rsidR="00E66898">
              <w:rPr>
                <w:b/>
                <w:bCs/>
              </w:rPr>
              <w:t>5</w:t>
            </w:r>
            <w:r>
              <w:rPr>
                <w:b/>
                <w:bCs/>
              </w:rPr>
              <w:t xml:space="preserve"> February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CD747E">
            <w:pPr>
              <w:pStyle w:val="Source"/>
              <w:rPr>
                <w:b w:val="0"/>
                <w:bCs/>
              </w:rPr>
            </w:pPr>
            <w:bookmarkStart w:id="4" w:name="Source"/>
            <w:bookmarkEnd w:id="4"/>
            <w:r>
              <w:rPr>
                <w:b w:val="0"/>
                <w:bCs/>
              </w:rPr>
              <w:t xml:space="preserve">Asia-Pacific </w:t>
            </w:r>
            <w:proofErr w:type="spellStart"/>
            <w:r>
              <w:rPr>
                <w:b w:val="0"/>
                <w:bCs/>
              </w:rPr>
              <w:t>Telecommunity</w:t>
            </w:r>
            <w:proofErr w:type="spellEnd"/>
            <w:r w:rsidR="00073A8A">
              <w:rPr>
                <w:b w:val="0"/>
                <w:bCs/>
              </w:rPr>
              <w:t xml:space="preserve"> (See Annex </w:t>
            </w:r>
            <w:r w:rsidR="00CD747E">
              <w:rPr>
                <w:b w:val="0"/>
                <w:bCs/>
              </w:rPr>
              <w:t>2</w:t>
            </w:r>
            <w:r w:rsidR="00073A8A">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CF2D1A">
            <w:pPr>
              <w:pStyle w:val="Title1"/>
              <w:spacing w:before="120"/>
              <w:rPr>
                <w:b w:val="0"/>
                <w:bCs/>
                <w:szCs w:val="18"/>
              </w:rPr>
            </w:pPr>
            <w:bookmarkStart w:id="5" w:name="Title"/>
            <w:bookmarkEnd w:id="5"/>
            <w:r>
              <w:rPr>
                <w:b w:val="0"/>
                <w:bCs/>
                <w:szCs w:val="18"/>
              </w:rPr>
              <w:t xml:space="preserve">Proposed </w:t>
            </w:r>
            <w:r w:rsidR="00CF2D1A">
              <w:rPr>
                <w:b w:val="0"/>
                <w:bCs/>
                <w:szCs w:val="18"/>
              </w:rPr>
              <w:t>Revision of Resolution 52 (</w:t>
            </w:r>
            <w:r w:rsidR="001530BF">
              <w:rPr>
                <w:b w:val="0"/>
                <w:bCs/>
                <w:szCs w:val="18"/>
              </w:rPr>
              <w:t xml:space="preserve">Rev. </w:t>
            </w:r>
            <w:r w:rsidR="00CF2D1A">
              <w:rPr>
                <w:b w:val="0"/>
                <w:bCs/>
                <w:szCs w:val="18"/>
              </w:rPr>
              <w:t>Hyderabad, 2010)</w:t>
            </w:r>
            <w:r w:rsidR="00927103">
              <w:rPr>
                <w:b w:val="0"/>
                <w:bCs/>
                <w:szCs w:val="18"/>
              </w:rPr>
              <w:t xml:space="preserve"> – Strengthening the executing agency role of the ITU Telecommunication Development Sector</w:t>
            </w:r>
          </w:p>
        </w:tc>
      </w:tr>
    </w:tbl>
    <w:p w:rsidR="00210259" w:rsidRPr="00016268" w:rsidRDefault="00210259" w:rsidP="00016268">
      <w:pPr>
        <w:pStyle w:val="Heading1"/>
      </w:pPr>
      <w:bookmarkStart w:id="6" w:name="ProposalNo1"/>
      <w:bookmarkEnd w:id="6"/>
      <w:r w:rsidRPr="00016268">
        <w:t>1</w:t>
      </w:r>
      <w:r w:rsidRPr="00016268">
        <w:tab/>
        <w:t>Introduction</w:t>
      </w:r>
    </w:p>
    <w:p w:rsidR="00CF2D1A" w:rsidRPr="0094114B" w:rsidRDefault="00CF2D1A" w:rsidP="00CF2D1A">
      <w:pPr>
        <w:rPr>
          <w:rFonts w:ascii="TimesNewRoman" w:hAnsi="TimesNewRoman" w:cs="TimesNewRoman"/>
          <w:sz w:val="28"/>
          <w:szCs w:val="28"/>
        </w:rPr>
      </w:pPr>
      <w:r w:rsidRPr="0094114B">
        <w:t xml:space="preserve">The ITU Development Sector (ITU-D) has a long history of implementing effective projects and activities to the benefit of ITU Member States, in particular developing countries. APT Members propose the following amendments to Resolution 52 in order to enhance this ongoing work and ensure that ITU-D activities </w:t>
      </w:r>
      <w:r>
        <w:t>result in even greater benefit.</w:t>
      </w:r>
    </w:p>
    <w:p w:rsidR="00210259" w:rsidRDefault="00210259" w:rsidP="00A55286">
      <w:pPr>
        <w:pStyle w:val="Heading1"/>
        <w:spacing w:before="240"/>
      </w:pPr>
      <w:r>
        <w:t>2</w:t>
      </w:r>
      <w:r>
        <w:tab/>
        <w:t>Proposal</w:t>
      </w:r>
    </w:p>
    <w:p w:rsidR="00A55286" w:rsidRDefault="00A55286" w:rsidP="00CF2D1A">
      <w:pPr>
        <w:rPr>
          <w:ins w:id="7" w:author="BDT" w:date="2014-03-05T10:40:00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A55286" w:rsidTr="00BB64C9">
        <w:tc>
          <w:tcPr>
            <w:tcW w:w="1951" w:type="dxa"/>
          </w:tcPr>
          <w:p w:rsidR="00A55286" w:rsidRPr="001A0AD6" w:rsidRDefault="00A55286" w:rsidP="00BB64C9">
            <w:pPr>
              <w:jc w:val="both"/>
              <w:rPr>
                <w:rFonts w:eastAsia="Malgun Gothic"/>
                <w:b/>
                <w:lang w:eastAsia="ko-KR"/>
              </w:rPr>
            </w:pPr>
            <w:r>
              <w:rPr>
                <w:rFonts w:cs="Calibri"/>
                <w:b/>
                <w:bCs/>
                <w:szCs w:val="24"/>
              </w:rPr>
              <w:t>ACP/37/7</w:t>
            </w:r>
          </w:p>
        </w:tc>
        <w:tc>
          <w:tcPr>
            <w:tcW w:w="7904" w:type="dxa"/>
          </w:tcPr>
          <w:p w:rsidR="00A55286" w:rsidRDefault="00A55286" w:rsidP="00BB64C9">
            <w:pPr>
              <w:spacing w:after="120"/>
            </w:pPr>
            <w:r w:rsidRPr="009171AE">
              <w:rPr>
                <w:rFonts w:cs="Calibri"/>
                <w:szCs w:val="24"/>
              </w:rPr>
              <w:t xml:space="preserve">Objective(s): </w:t>
            </w:r>
            <w:r>
              <w:rPr>
                <w:rFonts w:cs="Calibri"/>
                <w:szCs w:val="24"/>
              </w:rPr>
              <w:t xml:space="preserve"> </w:t>
            </w:r>
            <w:r w:rsidR="00073A8A">
              <w:rPr>
                <w:rFonts w:cs="Calibri"/>
                <w:szCs w:val="24"/>
              </w:rPr>
              <w:t>Not applicable</w:t>
            </w:r>
          </w:p>
        </w:tc>
      </w:tr>
    </w:tbl>
    <w:p w:rsidR="00A55286" w:rsidRDefault="00A55286" w:rsidP="00A55286">
      <w:pPr>
        <w:jc w:val="both"/>
        <w:rPr>
          <w:rFonts w:eastAsia="Malgun Gothic"/>
          <w:b/>
          <w:lang w:eastAsia="ko-KR"/>
        </w:rPr>
      </w:pPr>
      <w:r>
        <w:rPr>
          <w:rFonts w:eastAsia="Malgun Gothic"/>
          <w:b/>
          <w:lang w:eastAsia="ko-KR"/>
        </w:rPr>
        <w:t>MO</w:t>
      </w:r>
      <w:r w:rsidRPr="005B6DCD">
        <w:rPr>
          <w:rFonts w:eastAsia="Malgun Gothic"/>
          <w:b/>
          <w:lang w:eastAsia="ko-KR"/>
        </w:rPr>
        <w:t>D</w:t>
      </w:r>
    </w:p>
    <w:p w:rsidR="00CF2D1A" w:rsidRPr="00593139" w:rsidRDefault="00CF2D1A">
      <w:pPr>
        <w:spacing w:before="240"/>
        <w:pPrChange w:id="8" w:author="BDT" w:date="2014-03-05T10:40:00Z">
          <w:pPr/>
        </w:pPrChange>
      </w:pPr>
      <w:r>
        <w:t>APT Members propose that WTDC-14 considers the revision of Resolution 52 as follows:</w:t>
      </w:r>
    </w:p>
    <w:p w:rsidR="00E35089" w:rsidRDefault="00E35089" w:rsidP="002E06CF">
      <w:pPr>
        <w:jc w:val="both"/>
        <w:rPr>
          <w:rFonts w:eastAsia="Malgun Gothic"/>
          <w:lang w:eastAsia="ko-KR"/>
        </w:rPr>
      </w:pPr>
      <w:r w:rsidRPr="005B6DCD">
        <w:rPr>
          <w:rFonts w:eastAsia="Malgun Gothic"/>
          <w:lang w:eastAsia="ko-KR"/>
        </w:rPr>
        <w:br w:type="page"/>
      </w:r>
    </w:p>
    <w:p w:rsidR="00CF2D1A" w:rsidRPr="00CF2D1A" w:rsidRDefault="00CF2D1A" w:rsidP="00A55286">
      <w:pPr>
        <w:pStyle w:val="ResNo"/>
      </w:pPr>
      <w:r w:rsidRPr="00CF2D1A">
        <w:lastRenderedPageBreak/>
        <w:t xml:space="preserve">RESOLUTION 52 (Rev. </w:t>
      </w:r>
      <w:del w:id="9" w:author="Author">
        <w:r w:rsidRPr="00CF2D1A" w:rsidDel="00531AD3">
          <w:delText>Hyderabad, 2010</w:delText>
        </w:r>
      </w:del>
      <w:ins w:id="10" w:author="Author">
        <w:r w:rsidRPr="00CF2D1A">
          <w:t>Dubai, 2014</w:t>
        </w:r>
      </w:ins>
      <w:r w:rsidRPr="00CF2D1A">
        <w:t>)</w:t>
      </w:r>
    </w:p>
    <w:p w:rsidR="00CF2D1A" w:rsidRPr="00CF2D1A" w:rsidRDefault="00CF2D1A" w:rsidP="00A55286">
      <w:pPr>
        <w:pStyle w:val="Restitle"/>
      </w:pPr>
      <w:r w:rsidRPr="00CF2D1A">
        <w:t>Strengthening the executing agency role of the ITU Telecommunication</w:t>
      </w:r>
    </w:p>
    <w:p w:rsidR="00CF2D1A" w:rsidRPr="00CF2D1A" w:rsidRDefault="00CF2D1A" w:rsidP="00A55286">
      <w:pPr>
        <w:pStyle w:val="Restitle"/>
        <w:spacing w:before="0"/>
      </w:pPr>
      <w:r w:rsidRPr="00CF2D1A">
        <w:t>Development Sector</w:t>
      </w:r>
    </w:p>
    <w:p w:rsidR="00CF2D1A" w:rsidRPr="00CF2D1A" w:rsidRDefault="00CF2D1A" w:rsidP="00A55286">
      <w:pPr>
        <w:pStyle w:val="Normalaftertitle"/>
      </w:pPr>
      <w:r w:rsidRPr="00CF2D1A">
        <w:t>The World Telecommunication Development Conference (</w:t>
      </w:r>
      <w:del w:id="11" w:author="Author">
        <w:r w:rsidRPr="00CF2D1A" w:rsidDel="00531AD3">
          <w:delText>Hyderabad, 2010</w:delText>
        </w:r>
      </w:del>
      <w:ins w:id="12" w:author="Author">
        <w:r w:rsidRPr="00CF2D1A">
          <w:t>Dubai, 2014</w:t>
        </w:r>
      </w:ins>
      <w:r w:rsidRPr="00CF2D1A">
        <w:t>),</w:t>
      </w:r>
    </w:p>
    <w:p w:rsidR="00CF2D1A" w:rsidRPr="00CF2D1A" w:rsidRDefault="00CF2D1A" w:rsidP="00A55286">
      <w:pPr>
        <w:pStyle w:val="Call"/>
      </w:pPr>
      <w:proofErr w:type="gramStart"/>
      <w:r w:rsidRPr="00CF2D1A">
        <w:t>recalling</w:t>
      </w:r>
      <w:proofErr w:type="gramEnd"/>
    </w:p>
    <w:p w:rsidR="00CF2D1A" w:rsidRPr="00CF2D1A" w:rsidRDefault="00CF2D1A" w:rsidP="00483F14">
      <w:pPr>
        <w:pPrChange w:id="13" w:author="BDT" w:date="2014-03-17T11:29:00Z">
          <w:pPr/>
        </w:pPrChange>
      </w:pPr>
      <w:r w:rsidRPr="00CF2D1A">
        <w:rPr>
          <w:rFonts w:cs="TimesNewRoman,Italic"/>
          <w:i/>
          <w:iCs/>
        </w:rPr>
        <w:t xml:space="preserve">a) </w:t>
      </w:r>
      <w:r w:rsidRPr="00CF2D1A">
        <w:rPr>
          <w:rFonts w:cs="TimesNewRoman,Italic"/>
          <w:i/>
          <w:iCs/>
        </w:rPr>
        <w:tab/>
      </w:r>
      <w:r w:rsidRPr="00CF2D1A">
        <w:t>Resolution 52 (</w:t>
      </w:r>
      <w:del w:id="14" w:author="Author">
        <w:r w:rsidRPr="00CF2D1A" w:rsidDel="00531AD3">
          <w:delText>Doha, 2006</w:delText>
        </w:r>
      </w:del>
      <w:ins w:id="15" w:author="BDT" w:date="2014-03-17T11:29:00Z">
        <w:r w:rsidR="00483F14">
          <w:t xml:space="preserve">Rev. </w:t>
        </w:r>
      </w:ins>
      <w:ins w:id="16" w:author="Author">
        <w:r w:rsidR="00483F14" w:rsidRPr="00CF2D1A">
          <w:t>Hyderabad, 2010</w:t>
        </w:r>
      </w:ins>
      <w:r w:rsidRPr="00CF2D1A">
        <w:t>) of the World Telecommunication Development Conference;</w:t>
      </w:r>
    </w:p>
    <w:p w:rsidR="00CF2D1A" w:rsidRPr="00CF2D1A" w:rsidRDefault="00CF2D1A" w:rsidP="00A55286">
      <w:pPr>
        <w:rPr>
          <w:ins w:id="17" w:author="Author"/>
        </w:rPr>
      </w:pPr>
      <w:r w:rsidRPr="00CF2D1A">
        <w:rPr>
          <w:rFonts w:cs="TimesNewRoman,Italic"/>
          <w:i/>
          <w:iCs/>
        </w:rPr>
        <w:t xml:space="preserve">b) </w:t>
      </w:r>
      <w:r w:rsidRPr="00CF2D1A">
        <w:rPr>
          <w:rFonts w:cs="TimesNewRoman,Italic"/>
          <w:i/>
          <w:iCs/>
        </w:rPr>
        <w:tab/>
      </w:r>
      <w:r w:rsidRPr="00CF2D1A">
        <w:t>Resolution 135 (</w:t>
      </w:r>
      <w:ins w:id="18" w:author="Author">
        <w:r w:rsidRPr="00CF2D1A">
          <w:t>Rev. Guadalajara, 2010</w:t>
        </w:r>
        <w:del w:id="19" w:author="Author">
          <w:r w:rsidRPr="00CF2D1A" w:rsidDel="003B6CD1">
            <w:delText>Antalya</w:delText>
          </w:r>
        </w:del>
      </w:ins>
      <w:del w:id="20" w:author="Author">
        <w:r w:rsidRPr="00CF2D1A" w:rsidDel="003B6CD1">
          <w:delText>, 2006</w:delText>
        </w:r>
      </w:del>
      <w:r w:rsidRPr="00CF2D1A">
        <w:t xml:space="preserve">) of the Plenipotentiary Conference, on ITU’s </w:t>
      </w:r>
      <w:del w:id="21" w:author="Author">
        <w:r w:rsidRPr="00CF2D1A" w:rsidDel="003B6CD1">
          <w:delText>participation in the United Nations Development Programme (UNDP) and other programmes of the United Nations system,</w:delText>
        </w:r>
      </w:del>
      <w:ins w:id="22" w:author="Author">
        <w:r w:rsidRPr="00CF2D1A">
          <w:t xml:space="preserve"> role in the development of telecommunications/information and communication technologies, in providing technical assistance and advice to developing countries and in implementing relevant national, regional and interregional projects;</w:t>
        </w:r>
      </w:ins>
    </w:p>
    <w:p w:rsidR="00CF2D1A" w:rsidRPr="00CF2D1A" w:rsidDel="003B6CD1" w:rsidRDefault="00CF2D1A" w:rsidP="00A55286">
      <w:pPr>
        <w:rPr>
          <w:del w:id="23" w:author="Author"/>
        </w:rPr>
      </w:pPr>
      <w:ins w:id="24" w:author="Author">
        <w:r w:rsidRPr="00CF2D1A">
          <w:rPr>
            <w:i/>
          </w:rPr>
          <w:t>c)</w:t>
        </w:r>
        <w:r w:rsidRPr="00CF2D1A">
          <w:tab/>
          <w:t>Resolution 157 (Rev. Guadalajara, 2010) on strengthening of the project execution function in ITU</w:t>
        </w:r>
      </w:ins>
      <w:r w:rsidRPr="00CF2D1A">
        <w:t xml:space="preserve"> </w:t>
      </w:r>
    </w:p>
    <w:p w:rsidR="00CF2D1A" w:rsidRPr="00CF2D1A" w:rsidRDefault="00CF2D1A" w:rsidP="00A55286">
      <w:pPr>
        <w:pStyle w:val="Call"/>
      </w:pPr>
      <w:proofErr w:type="gramStart"/>
      <w:r w:rsidRPr="00CF2D1A">
        <w:t>considering</w:t>
      </w:r>
      <w:proofErr w:type="gramEnd"/>
    </w:p>
    <w:p w:rsidR="00CF2D1A" w:rsidRPr="00CF2D1A" w:rsidRDefault="00CF2D1A">
      <w:pPr>
        <w:rPr>
          <w:ins w:id="25" w:author="Author"/>
        </w:rPr>
        <w:pPrChange w:id="26" w:author="Author">
          <w:pPr>
            <w:ind w:left="720"/>
          </w:pPr>
        </w:pPrChange>
      </w:pPr>
      <w:r w:rsidRPr="00CF2D1A">
        <w:rPr>
          <w:rFonts w:cs="TimesNewRoman,Italic"/>
          <w:i/>
          <w:iCs/>
        </w:rPr>
        <w:t xml:space="preserve">a) </w:t>
      </w:r>
      <w:r w:rsidRPr="00CF2D1A">
        <w:rPr>
          <w:rFonts w:cs="TimesNewRoman,Italic"/>
          <w:i/>
          <w:iCs/>
        </w:rPr>
        <w:tab/>
      </w:r>
      <w:r w:rsidRPr="00CF2D1A">
        <w:t>that, in accordance with No. 118 of the ITU Constitution, one of the functions of the ITU Telecommunication Development Sector (ITU-D) is to discharge</w:t>
      </w:r>
      <w:ins w:id="27" w:author="Author">
        <w:r w:rsidRPr="00CF2D1A">
          <w:t xml:space="preserve">, within its specific sphere of competence, </w:t>
        </w:r>
      </w:ins>
      <w:r w:rsidRPr="00CF2D1A">
        <w:t xml:space="preserve">the Union's dual  responsibility as a United Nations specialized agency and executing agency for implementing projects under the United Nations development system or other funding arrangements, so as to facilitate and enhance </w:t>
      </w:r>
      <w:ins w:id="28" w:author="Author">
        <w:r w:rsidRPr="00CF2D1A">
          <w:t xml:space="preserve">telecommunication development </w:t>
        </w:r>
      </w:ins>
      <w:del w:id="29" w:author="Author">
        <w:r w:rsidRPr="00CF2D1A" w:rsidDel="0001635C">
          <w:delText xml:space="preserve">projects related to information and communication technology (ICT) </w:delText>
        </w:r>
      </w:del>
      <w:r w:rsidRPr="00CF2D1A">
        <w:t>by offering, organizing and coordinating technical cooperation and assistance activities;</w:t>
      </w:r>
    </w:p>
    <w:p w:rsidR="00CF2D1A" w:rsidRPr="00CF2D1A" w:rsidRDefault="00CF2D1A" w:rsidP="00A55286">
      <w:pPr>
        <w:rPr>
          <w:ins w:id="30" w:author="Author"/>
          <w:rFonts w:cs="TimesNewRoman,Italic"/>
          <w:iCs/>
        </w:rPr>
      </w:pPr>
      <w:ins w:id="31" w:author="Author">
        <w:r w:rsidRPr="00CF2D1A">
          <w:rPr>
            <w:i/>
          </w:rPr>
          <w:t>b)</w:t>
        </w:r>
      </w:ins>
      <w:r w:rsidRPr="00CF2D1A">
        <w:tab/>
      </w:r>
      <w:proofErr w:type="gramStart"/>
      <w:ins w:id="32" w:author="Author">
        <w:r w:rsidRPr="00CF2D1A">
          <w:t>that</w:t>
        </w:r>
        <w:proofErr w:type="gramEnd"/>
        <w:r w:rsidRPr="00CF2D1A">
          <w:t xml:space="preserve"> Resolution 13 </w:t>
        </w:r>
        <w:r w:rsidRPr="00CF2D1A">
          <w:rPr>
            <w:rFonts w:cs="TimesNewRoman,Italic"/>
            <w:iCs/>
          </w:rPr>
          <w:t>(</w:t>
        </w:r>
      </w:ins>
      <w:ins w:id="33" w:author="BDT" w:date="2014-03-17T11:31:00Z">
        <w:r w:rsidR="002D5EDF">
          <w:rPr>
            <w:rFonts w:cs="TimesNewRoman,Italic"/>
            <w:iCs/>
          </w:rPr>
          <w:t xml:space="preserve">Rev. </w:t>
        </w:r>
      </w:ins>
      <w:ins w:id="34" w:author="Author">
        <w:r w:rsidRPr="00CF2D1A">
          <w:rPr>
            <w:rFonts w:cs="TimesNewRoman,Italic"/>
            <w:iCs/>
          </w:rPr>
          <w:t>Hyderabad, 2010) of the World Telecommunication Development Conference on resource mobilization and partnerships for accelerating telecommunication/information and communication technology development;</w:t>
        </w:r>
      </w:ins>
    </w:p>
    <w:p w:rsidR="00CF2D1A" w:rsidRPr="00CF2D1A" w:rsidRDefault="00CF2D1A" w:rsidP="00A55286">
      <w:pPr>
        <w:rPr>
          <w:ins w:id="35" w:author="Author"/>
          <w:rFonts w:cs="TimesNewRoman,Italic"/>
          <w:iCs/>
        </w:rPr>
      </w:pPr>
      <w:ins w:id="36" w:author="Author">
        <w:r w:rsidRPr="00CF2D1A">
          <w:rPr>
            <w:rFonts w:cs="TimesNewRoman,Italic"/>
            <w:i/>
            <w:iCs/>
          </w:rPr>
          <w:t>c)</w:t>
        </w:r>
        <w:r w:rsidRPr="00CF2D1A">
          <w:rPr>
            <w:rFonts w:cs="TimesNewRoman,Italic"/>
            <w:iCs/>
          </w:rPr>
          <w:tab/>
        </w:r>
        <w:proofErr w:type="gramStart"/>
        <w:r w:rsidRPr="00CF2D1A">
          <w:rPr>
            <w:rFonts w:cs="TimesNewRoman,Italic"/>
            <w:iCs/>
          </w:rPr>
          <w:t>that</w:t>
        </w:r>
        <w:proofErr w:type="gramEnd"/>
        <w:r w:rsidRPr="00CF2D1A">
          <w:rPr>
            <w:rFonts w:cs="TimesNewRoman,Italic"/>
            <w:iCs/>
          </w:rPr>
          <w:t xml:space="preserve"> Resolution 17 (</w:t>
        </w:r>
      </w:ins>
      <w:ins w:id="37" w:author="BDT" w:date="2014-03-17T11:30:00Z">
        <w:r w:rsidR="00EA56B3">
          <w:rPr>
            <w:rFonts w:cs="TimesNewRoman,Italic"/>
            <w:iCs/>
          </w:rPr>
          <w:t xml:space="preserve">Rev. </w:t>
        </w:r>
      </w:ins>
      <w:ins w:id="38" w:author="Author">
        <w:r w:rsidRPr="00CF2D1A">
          <w:rPr>
            <w:rFonts w:cs="TimesNewRoman,Italic"/>
            <w:iCs/>
          </w:rPr>
          <w:t>Hyderabad, 2010) of the World Telecommunication Development Conference on implementation of regionally approved initiatives at the national, regional, interregional and global levels;</w:t>
        </w:r>
      </w:ins>
    </w:p>
    <w:p w:rsidR="00CF2D1A" w:rsidRPr="00CF2D1A" w:rsidRDefault="00CF2D1A" w:rsidP="00A55286">
      <w:pPr>
        <w:rPr>
          <w:ins w:id="39" w:author="Author"/>
        </w:rPr>
      </w:pPr>
      <w:del w:id="40" w:author="Author">
        <w:r w:rsidRPr="00CF2D1A" w:rsidDel="00D3550C">
          <w:rPr>
            <w:rFonts w:cs="TimesNewRoman,Italic"/>
            <w:i/>
            <w:iCs/>
          </w:rPr>
          <w:delText>b</w:delText>
        </w:r>
      </w:del>
      <w:ins w:id="41" w:author="Author">
        <w:r w:rsidRPr="00CF2D1A">
          <w:rPr>
            <w:rFonts w:cs="TimesNewRoman,Italic"/>
            <w:i/>
            <w:iCs/>
          </w:rPr>
          <w:t>d)</w:t>
        </w:r>
      </w:ins>
      <w:r w:rsidRPr="00CF2D1A">
        <w:rPr>
          <w:rFonts w:cs="TimesNewRoman,Italic"/>
          <w:iCs/>
        </w:rPr>
        <w:t xml:space="preserve"> </w:t>
      </w:r>
      <w:r w:rsidRPr="00CF2D1A">
        <w:rPr>
          <w:rFonts w:cs="TimesNewRoman,Italic"/>
          <w:iCs/>
        </w:rPr>
        <w:tab/>
        <w:t xml:space="preserve">that </w:t>
      </w:r>
      <w:ins w:id="42" w:author="Author">
        <w:r w:rsidRPr="00CF2D1A">
          <w:rPr>
            <w:rFonts w:cs="TimesNewRoman,Italic"/>
            <w:iCs/>
          </w:rPr>
          <w:t>Resolution 140 (</w:t>
        </w:r>
      </w:ins>
      <w:ins w:id="43" w:author="BDT" w:date="2014-03-17T11:31:00Z">
        <w:r w:rsidR="002D5EDF">
          <w:rPr>
            <w:rFonts w:cs="TimesNewRoman,Italic"/>
            <w:iCs/>
          </w:rPr>
          <w:t xml:space="preserve">Rev. </w:t>
        </w:r>
      </w:ins>
      <w:ins w:id="44" w:author="Author">
        <w:r w:rsidRPr="00CF2D1A">
          <w:rPr>
            <w:rFonts w:cs="TimesNewRoman,Italic"/>
            <w:iCs/>
          </w:rPr>
          <w:t xml:space="preserve">Guadalajara, 2010) on the ITU’s role in implementing the outcomes of </w:t>
        </w:r>
      </w:ins>
      <w:r w:rsidRPr="00CF2D1A">
        <w:t>the World Summit on the Information society (WSIS)</w:t>
      </w:r>
      <w:ins w:id="45" w:author="Author">
        <w:r w:rsidRPr="00CF2D1A">
          <w:t xml:space="preserve">, which </w:t>
        </w:r>
      </w:ins>
      <w:r w:rsidRPr="00CF2D1A">
        <w:t>recognized the key role that ITU can play in executing many of the projects pursuant to the WSIS outcomes;</w:t>
      </w:r>
    </w:p>
    <w:p w:rsidR="00CF2D1A" w:rsidRPr="00CF2D1A" w:rsidRDefault="00CF2D1A" w:rsidP="00A55286">
      <w:del w:id="46" w:author="Author">
        <w:r w:rsidRPr="00CF2D1A" w:rsidDel="00D3550C">
          <w:rPr>
            <w:i/>
          </w:rPr>
          <w:delText>c</w:delText>
        </w:r>
      </w:del>
      <w:ins w:id="47" w:author="Author">
        <w:r w:rsidRPr="00CF2D1A">
          <w:rPr>
            <w:i/>
          </w:rPr>
          <w:t>e)</w:t>
        </w:r>
      </w:ins>
      <w:r w:rsidRPr="00CF2D1A">
        <w:tab/>
      </w:r>
      <w:proofErr w:type="gramStart"/>
      <w:r w:rsidRPr="00CF2D1A">
        <w:t>that</w:t>
      </w:r>
      <w:proofErr w:type="gramEnd"/>
      <w:r w:rsidRPr="00CF2D1A">
        <w:t>, through</w:t>
      </w:r>
      <w:ins w:id="48" w:author="Author">
        <w:r w:rsidRPr="00CF2D1A">
          <w:t xml:space="preserve"> programmes, projects and </w:t>
        </w:r>
      </w:ins>
      <w:r w:rsidRPr="00CF2D1A">
        <w:t>initiatives of the Telecommunication Development Bureau (BDT) and the regional offices, and some other efforts, including partnerships, there is significant local expertise that has developed over time;</w:t>
      </w:r>
    </w:p>
    <w:p w:rsidR="00CF2D1A" w:rsidRPr="00CF2D1A" w:rsidRDefault="00CF2D1A" w:rsidP="00A55286">
      <w:del w:id="49" w:author="Author">
        <w:r w:rsidRPr="00CF2D1A" w:rsidDel="00D3550C">
          <w:rPr>
            <w:rFonts w:cs="TimesNewRoman,Italic"/>
            <w:i/>
            <w:iCs/>
          </w:rPr>
          <w:delText>d</w:delText>
        </w:r>
      </w:del>
      <w:ins w:id="50" w:author="Author">
        <w:r w:rsidRPr="00CF2D1A">
          <w:rPr>
            <w:rFonts w:cs="TimesNewRoman,Italic"/>
            <w:i/>
            <w:iCs/>
          </w:rPr>
          <w:t>f</w:t>
        </w:r>
      </w:ins>
      <w:r w:rsidRPr="00CF2D1A">
        <w:rPr>
          <w:rFonts w:cs="TimesNewRoman,Italic"/>
          <w:i/>
          <w:iCs/>
        </w:rPr>
        <w:t>)</w:t>
      </w:r>
      <w:r w:rsidRPr="00CF2D1A">
        <w:rPr>
          <w:rFonts w:cs="TimesNewRoman,Italic"/>
          <w:i/>
          <w:iCs/>
        </w:rPr>
        <w:tab/>
      </w:r>
      <w:proofErr w:type="gramStart"/>
      <w:r w:rsidRPr="00CF2D1A">
        <w:t>that</w:t>
      </w:r>
      <w:proofErr w:type="gramEnd"/>
      <w:r w:rsidRPr="00CF2D1A">
        <w:t xml:space="preserve"> partnerships between the public and private sectors are recognized as an efficient way of implementing sustainable ITU projects,</w:t>
      </w:r>
    </w:p>
    <w:p w:rsidR="00CF2D1A" w:rsidRPr="00CF2D1A" w:rsidRDefault="00CF2D1A" w:rsidP="00A55286">
      <w:pPr>
        <w:pStyle w:val="Call"/>
      </w:pPr>
      <w:proofErr w:type="gramStart"/>
      <w:r w:rsidRPr="00CF2D1A">
        <w:lastRenderedPageBreak/>
        <w:t>recognizing</w:t>
      </w:r>
      <w:proofErr w:type="gramEnd"/>
    </w:p>
    <w:p w:rsidR="00CF2D1A" w:rsidRPr="00CF2D1A" w:rsidRDefault="00CF2D1A" w:rsidP="00A55286">
      <w:r w:rsidRPr="00CF2D1A">
        <w:rPr>
          <w:i/>
        </w:rPr>
        <w:t>a)</w:t>
      </w:r>
      <w:r w:rsidRPr="00CF2D1A">
        <w:t xml:space="preserve"> </w:t>
      </w:r>
      <w:r w:rsidRPr="00CF2D1A">
        <w:tab/>
        <w:t>that the final outputs of the WSIS process have an impact on the definition of the future activities of ITU in general and ITU-D in particular;</w:t>
      </w:r>
    </w:p>
    <w:p w:rsidR="00CF2D1A" w:rsidRPr="00CF2D1A" w:rsidDel="0001635C" w:rsidRDefault="00CF2D1A" w:rsidP="00A55286">
      <w:pPr>
        <w:rPr>
          <w:del w:id="51" w:author="Author"/>
        </w:rPr>
      </w:pPr>
      <w:r w:rsidRPr="00CF2D1A">
        <w:rPr>
          <w:i/>
          <w:iCs/>
        </w:rPr>
        <w:t>b)</w:t>
      </w:r>
      <w:r w:rsidRPr="00CF2D1A">
        <w:rPr>
          <w:i/>
          <w:iCs/>
        </w:rPr>
        <w:tab/>
      </w:r>
      <w:r w:rsidRPr="00CF2D1A">
        <w:t>that</w:t>
      </w:r>
      <w:ins w:id="52" w:author="Author">
        <w:r w:rsidRPr="00CF2D1A">
          <w:t xml:space="preserve"> the ITU-D undertakes a significant number of projects and activities each year, corresponding to its goals and objectives, including  in relation to the various ITU-D programmes, projects and regional initiatives</w:t>
        </w:r>
      </w:ins>
      <w:r w:rsidRPr="00CF2D1A">
        <w:t xml:space="preserve"> </w:t>
      </w:r>
      <w:del w:id="53" w:author="Author">
        <w:r w:rsidRPr="00CF2D1A" w:rsidDel="0001635C">
          <w:delText>the Plenipotentiary Conference (Antalya, 2006) adopted resolutions on ITU's role in the implementation of and follow-up to the Geneva Plan of Action, emphasizing that any follow-up actions should be undertaken within the context of the Union's core competencies and within the financial and human resources available, and that the next plenipotentiary conference will update these resolutions on the role of ITU in implementing the Geneva Plan of Action,</w:delText>
        </w:r>
      </w:del>
    </w:p>
    <w:p w:rsidR="00CF2D1A" w:rsidRPr="00CF2D1A" w:rsidRDefault="00CF2D1A" w:rsidP="00A55286">
      <w:pPr>
        <w:pStyle w:val="Call"/>
      </w:pPr>
      <w:proofErr w:type="gramStart"/>
      <w:r w:rsidRPr="00CF2D1A">
        <w:t>noting</w:t>
      </w:r>
      <w:proofErr w:type="gramEnd"/>
    </w:p>
    <w:p w:rsidR="00CF2D1A" w:rsidRPr="00CF2D1A" w:rsidRDefault="00CF2D1A" w:rsidP="00A55286">
      <w:ins w:id="54" w:author="Author">
        <w:r w:rsidRPr="00CF2D1A">
          <w:t>a)</w:t>
        </w:r>
        <w:r w:rsidRPr="00CF2D1A">
          <w:tab/>
        </w:r>
      </w:ins>
      <w:proofErr w:type="gramStart"/>
      <w:r w:rsidRPr="00CF2D1A">
        <w:t>that</w:t>
      </w:r>
      <w:proofErr w:type="gramEnd"/>
      <w:r w:rsidRPr="00CF2D1A">
        <w:t xml:space="preserve"> the</w:t>
      </w:r>
      <w:del w:id="55" w:author="Author">
        <w:r w:rsidRPr="00CF2D1A" w:rsidDel="00D638A7">
          <w:delText xml:space="preserve"> Director of the BDT continues to emphasize that the following principles should be applied during the operational planning process:</w:delText>
        </w:r>
      </w:del>
      <w:ins w:id="56" w:author="Author">
        <w:r w:rsidRPr="00CF2D1A">
          <w:t xml:space="preserve"> BDT has taken several steps to strengthen its project execution role by developing necessary tools and methodologies, including guidelines and templates for project management;</w:t>
        </w:r>
      </w:ins>
    </w:p>
    <w:p w:rsidR="00CF2D1A" w:rsidRPr="00CF2D1A" w:rsidDel="00D638A7" w:rsidRDefault="00CF2D1A" w:rsidP="00A55286">
      <w:pPr>
        <w:rPr>
          <w:del w:id="57" w:author="Author"/>
        </w:rPr>
      </w:pPr>
      <w:r w:rsidRPr="00CF2D1A">
        <w:t>–</w:t>
      </w:r>
      <w:r w:rsidRPr="00CF2D1A">
        <w:tab/>
      </w:r>
      <w:del w:id="58" w:author="Author">
        <w:r w:rsidRPr="00CF2D1A" w:rsidDel="00D638A7">
          <w:delText>focusing on development issues of a strategic nature;</w:delText>
        </w:r>
      </w:del>
    </w:p>
    <w:p w:rsidR="00CF2D1A" w:rsidRPr="00CF2D1A" w:rsidRDefault="00CF2D1A" w:rsidP="00A55286">
      <w:pPr>
        <w:rPr>
          <w:ins w:id="59" w:author="Author"/>
        </w:rPr>
      </w:pPr>
      <w:r w:rsidRPr="00CF2D1A">
        <w:t>–</w:t>
      </w:r>
      <w:r w:rsidRPr="00CF2D1A">
        <w:tab/>
      </w:r>
      <w:del w:id="60" w:author="Author">
        <w:r w:rsidRPr="00CF2D1A" w:rsidDel="00D638A7">
          <w:delText>reducing the fragmentation of ITU-D activities, particularly at the country level, by integrating them into long</w:delText>
        </w:r>
        <w:r w:rsidRPr="00CF2D1A" w:rsidDel="00D638A7">
          <w:noBreakHyphen/>
          <w:delText>term projects and activities aimed at addressing issues that have the potential to exert significant impact on the development process;</w:delText>
        </w:r>
      </w:del>
    </w:p>
    <w:p w:rsidR="00CF2D1A" w:rsidRPr="00CF2D1A" w:rsidRDefault="00CF2D1A" w:rsidP="00A55286">
      <w:pPr>
        <w:rPr>
          <w:ins w:id="61" w:author="Author"/>
          <w:rFonts w:cs="TimesNewRoman"/>
        </w:rPr>
      </w:pPr>
      <w:ins w:id="62" w:author="Author">
        <w:r w:rsidRPr="00CF2D1A">
          <w:rPr>
            <w:i/>
          </w:rPr>
          <w:t>b)</w:t>
        </w:r>
        <w:r w:rsidRPr="00CF2D1A">
          <w:rPr>
            <w:i/>
          </w:rPr>
          <w:tab/>
        </w:r>
        <w:proofErr w:type="gramStart"/>
        <w:r w:rsidRPr="00CF2D1A">
          <w:rPr>
            <w:rFonts w:cs="TimesNewRoman"/>
          </w:rPr>
          <w:t>that</w:t>
        </w:r>
        <w:proofErr w:type="gramEnd"/>
        <w:r w:rsidRPr="00CF2D1A">
          <w:rPr>
            <w:rFonts w:cs="TimesNewRoman"/>
          </w:rPr>
          <w:t xml:space="preserve"> both large-scale and small-scale activities should contribute to the goals and objectives of the ITU-D and the broader Strategic Plan for the Union;</w:t>
        </w:r>
      </w:ins>
    </w:p>
    <w:p w:rsidR="00CF2D1A" w:rsidRPr="00CF2D1A" w:rsidRDefault="00CF2D1A">
      <w:pPr>
        <w:pPrChange w:id="63" w:author="Author">
          <w:pPr>
            <w:pStyle w:val="enumlev1"/>
          </w:pPr>
        </w:pPrChange>
      </w:pPr>
      <w:del w:id="64" w:author="Author">
        <w:r w:rsidRPr="00CF2D1A" w:rsidDel="00D638A7">
          <w:delText>–</w:delText>
        </w:r>
      </w:del>
      <w:ins w:id="65" w:author="Author">
        <w:r w:rsidRPr="00CF2D1A">
          <w:rPr>
            <w:i/>
          </w:rPr>
          <w:t>c)</w:t>
        </w:r>
      </w:ins>
      <w:r w:rsidRPr="00CF2D1A">
        <w:tab/>
      </w:r>
      <w:proofErr w:type="gramStart"/>
      <w:ins w:id="66" w:author="Author">
        <w:r w:rsidRPr="00CF2D1A">
          <w:t>that</w:t>
        </w:r>
        <w:proofErr w:type="gramEnd"/>
        <w:r w:rsidRPr="00CF2D1A">
          <w:t xml:space="preserve"> the BDT </w:t>
        </w:r>
      </w:ins>
      <w:del w:id="67" w:author="Author">
        <w:r w:rsidRPr="00CF2D1A" w:rsidDel="00CE5DDE">
          <w:delText>continuing</w:delText>
        </w:r>
      </w:del>
      <w:ins w:id="68" w:author="Author">
        <w:r w:rsidRPr="00CF2D1A">
          <w:t>continues</w:t>
        </w:r>
      </w:ins>
      <w:r w:rsidRPr="00CF2D1A">
        <w:t xml:space="preserve"> to build effective partnerships around specific projects and long-term activities, particularly in relation to the initiatives adopted by the six regions;</w:t>
      </w:r>
    </w:p>
    <w:p w:rsidR="00CF2D1A" w:rsidRPr="00CF2D1A" w:rsidRDefault="00CF2D1A">
      <w:pPr>
        <w:pPrChange w:id="69" w:author="Author">
          <w:pPr>
            <w:pStyle w:val="enumlev1"/>
          </w:pPr>
        </w:pPrChange>
      </w:pPr>
      <w:del w:id="70" w:author="Author">
        <w:r w:rsidRPr="00CF2D1A" w:rsidDel="00CE5DDE">
          <w:rPr>
            <w:i/>
            <w:rPrChange w:id="71" w:author="Author">
              <w:rPr/>
            </w:rPrChange>
          </w:rPr>
          <w:delText>–</w:delText>
        </w:r>
      </w:del>
      <w:ins w:id="72" w:author="Author">
        <w:r w:rsidRPr="00CF2D1A">
          <w:rPr>
            <w:i/>
            <w:rPrChange w:id="73" w:author="Author">
              <w:rPr/>
            </w:rPrChange>
          </w:rPr>
          <w:t>d)</w:t>
        </w:r>
      </w:ins>
      <w:r w:rsidRPr="00CF2D1A">
        <w:tab/>
      </w:r>
      <w:del w:id="74" w:author="Author">
        <w:r w:rsidRPr="00CF2D1A" w:rsidDel="00CE5DDE">
          <w:delText xml:space="preserve">using, </w:delText>
        </w:r>
      </w:del>
      <w:proofErr w:type="gramStart"/>
      <w:r w:rsidRPr="00CF2D1A">
        <w:t>to</w:t>
      </w:r>
      <w:proofErr w:type="gramEnd"/>
      <w:r w:rsidRPr="00CF2D1A">
        <w:t xml:space="preserve"> the greatest extent possible, </w:t>
      </w:r>
      <w:ins w:id="75" w:author="Author">
        <w:r w:rsidRPr="00CF2D1A">
          <w:rPr>
            <w:rFonts w:cs="TimesNewRoman"/>
          </w:rPr>
          <w:t xml:space="preserve">it is important to develop and maintain </w:t>
        </w:r>
      </w:ins>
      <w:r w:rsidRPr="00CF2D1A">
        <w:t>the professional potential of BDT staff for project implementation in the ITU central administration and regional offices</w:t>
      </w:r>
      <w:del w:id="76" w:author="Author">
        <w:r w:rsidRPr="00CF2D1A" w:rsidDel="00CE5DDE">
          <w:delText>;</w:delText>
        </w:r>
      </w:del>
      <w:ins w:id="77" w:author="Author">
        <w:r w:rsidRPr="00CF2D1A">
          <w:t>,</w:t>
        </w:r>
      </w:ins>
    </w:p>
    <w:p w:rsidR="00CF2D1A" w:rsidRPr="00CF2D1A" w:rsidDel="00CE5DDE" w:rsidRDefault="00CF2D1A" w:rsidP="00A55286">
      <w:pPr>
        <w:rPr>
          <w:del w:id="78" w:author="Author"/>
        </w:rPr>
      </w:pPr>
      <w:del w:id="79" w:author="Author">
        <w:r w:rsidRPr="00CF2D1A" w:rsidDel="00CE5DDE">
          <w:delText>–</w:delText>
        </w:r>
        <w:r w:rsidRPr="00CF2D1A" w:rsidDel="00CE5DDE">
          <w:tab/>
          <w:delText>implementing a team-based project approach,</w:delText>
        </w:r>
      </w:del>
    </w:p>
    <w:p w:rsidR="00CF2D1A" w:rsidRPr="00CF2D1A" w:rsidRDefault="00CF2D1A">
      <w:pPr>
        <w:pStyle w:val="Call"/>
        <w:pPrChange w:id="80" w:author="Author">
          <w:pPr/>
        </w:pPrChange>
      </w:pPr>
      <w:proofErr w:type="gramStart"/>
      <w:r w:rsidRPr="00CF2D1A">
        <w:t>taking</w:t>
      </w:r>
      <w:proofErr w:type="gramEnd"/>
      <w:r w:rsidRPr="00CF2D1A">
        <w:t xml:space="preserve"> into account</w:t>
      </w:r>
    </w:p>
    <w:p w:rsidR="00CF2D1A" w:rsidRPr="00CF2D1A" w:rsidRDefault="00CF2D1A">
      <w:pPr>
        <w:pPrChange w:id="81" w:author="Author">
          <w:pPr>
            <w:ind w:left="720" w:hanging="720"/>
          </w:pPr>
        </w:pPrChange>
      </w:pPr>
      <w:r w:rsidRPr="00CF2D1A">
        <w:rPr>
          <w:rFonts w:cs="TimesNewRoman,Italic"/>
          <w:i/>
          <w:iCs/>
        </w:rPr>
        <w:t>a)</w:t>
      </w:r>
      <w:r w:rsidRPr="00CF2D1A">
        <w:rPr>
          <w:rFonts w:cs="TimesNewRoman,Italic"/>
          <w:i/>
          <w:iCs/>
        </w:rPr>
        <w:tab/>
      </w:r>
      <w:r w:rsidRPr="00CF2D1A">
        <w:t>the continued implementation of results-based budgeting</w:t>
      </w:r>
      <w:ins w:id="82" w:author="Author">
        <w:r w:rsidRPr="00CF2D1A">
          <w:t xml:space="preserve"> (RBB) and results-based management (RBM) </w:t>
        </w:r>
      </w:ins>
      <w:r w:rsidRPr="00CF2D1A">
        <w:t xml:space="preserve">in ITU, the main </w:t>
      </w:r>
      <w:ins w:id="83" w:author="Author">
        <w:r w:rsidRPr="00CF2D1A">
          <w:t xml:space="preserve">purpose </w:t>
        </w:r>
      </w:ins>
      <w:del w:id="84" w:author="Author">
        <w:r w:rsidRPr="00CF2D1A" w:rsidDel="00565B13">
          <w:delText xml:space="preserve">feature </w:delText>
        </w:r>
      </w:del>
      <w:r w:rsidRPr="00CF2D1A">
        <w:t>of which is</w:t>
      </w:r>
      <w:ins w:id="85" w:author="Author">
        <w:r w:rsidRPr="00CF2D1A">
          <w:t xml:space="preserve"> to ensure that activities within the framework are adequately resourced in order to achieve planned results;</w:t>
        </w:r>
      </w:ins>
      <w:del w:id="86" w:author="Author">
        <w:r w:rsidRPr="00CF2D1A" w:rsidDel="00565B13">
          <w:delText>the identification of costs, expected results, performance indicators and priorities presented within the framework of well-defined outputs (defined as Sector or intersectoral products or services provided by ITU),</w:delText>
        </w:r>
      </w:del>
    </w:p>
    <w:p w:rsidR="00CF2D1A" w:rsidRPr="00CF2D1A" w:rsidRDefault="00CF2D1A" w:rsidP="00A55286">
      <w:pPr>
        <w:rPr>
          <w:ins w:id="87" w:author="Author"/>
        </w:rPr>
      </w:pPr>
      <w:r w:rsidRPr="00CF2D1A">
        <w:rPr>
          <w:rFonts w:cs="TimesNewRoman,Italic"/>
          <w:i/>
          <w:iCs/>
        </w:rPr>
        <w:t xml:space="preserve">b) </w:t>
      </w:r>
      <w:r w:rsidRPr="00CF2D1A">
        <w:rPr>
          <w:rFonts w:cs="TimesNewRoman,Italic"/>
          <w:i/>
          <w:iCs/>
        </w:rPr>
        <w:tab/>
      </w:r>
      <w:del w:id="88" w:author="Author">
        <w:r w:rsidRPr="00CF2D1A" w:rsidDel="00405F16">
          <w:delText xml:space="preserve">the continued clear linkage between the strategic plan and financial plan for 2012-2015, and between strategic and operational planning, financial planning and budgeting, i.e. linking objectives, outputs, activities, expected results, performance indicators and priorities, </w:delText>
        </w:r>
      </w:del>
      <w:ins w:id="89" w:author="Author">
        <w:r w:rsidRPr="00CF2D1A">
          <w:t xml:space="preserve">that at the main pillars of RBB and RMB are the process of planning, programming, budgeting, monitoring and evaluation; delegation of authority and accountability; and staff performance and contract management, </w:t>
        </w:r>
      </w:ins>
    </w:p>
    <w:p w:rsidR="00CF2D1A" w:rsidRPr="00CF2D1A" w:rsidRDefault="00CF2D1A">
      <w:pPr>
        <w:rPr>
          <w:ins w:id="90" w:author="Author"/>
        </w:rPr>
        <w:pPrChange w:id="91" w:author="Author">
          <w:pPr>
            <w:ind w:left="720" w:hanging="720"/>
          </w:pPr>
        </w:pPrChange>
      </w:pPr>
      <w:ins w:id="92" w:author="Author">
        <w:r w:rsidRPr="00CF2D1A">
          <w:lastRenderedPageBreak/>
          <w:t xml:space="preserve">c) </w:t>
        </w:r>
        <w:r w:rsidRPr="00CF2D1A">
          <w:tab/>
        </w:r>
        <w:proofErr w:type="gramStart"/>
        <w:r w:rsidRPr="00CF2D1A">
          <w:t>the</w:t>
        </w:r>
        <w:proofErr w:type="gramEnd"/>
        <w:r w:rsidRPr="00CF2D1A">
          <w:t xml:space="preserve"> potential for improved sharing of information, experiences and lessons learned which would assist in reducing fragmentation and duplication among the wide range of projects undertaken by the BDT,</w:t>
        </w:r>
      </w:ins>
    </w:p>
    <w:p w:rsidR="00CF2D1A" w:rsidRPr="00CF2D1A" w:rsidRDefault="00CF2D1A" w:rsidP="00A55286">
      <w:pPr>
        <w:pStyle w:val="Call"/>
      </w:pPr>
      <w:proofErr w:type="gramStart"/>
      <w:r w:rsidRPr="00CF2D1A">
        <w:t>resolves</w:t>
      </w:r>
      <w:proofErr w:type="gramEnd"/>
      <w:r w:rsidRPr="00CF2D1A">
        <w:t xml:space="preserve"> to instruct the Director of the Telecommunication Development Bureau</w:t>
      </w:r>
    </w:p>
    <w:p w:rsidR="00CF2D1A" w:rsidRPr="00CF2D1A" w:rsidRDefault="00CF2D1A" w:rsidP="00A55286">
      <w:proofErr w:type="gramStart"/>
      <w:r w:rsidRPr="00CF2D1A">
        <w:t>on</w:t>
      </w:r>
      <w:proofErr w:type="gramEnd"/>
      <w:r w:rsidRPr="00CF2D1A">
        <w:t xml:space="preserve"> the basis of experience acquired in implementing Resolution 52 (</w:t>
      </w:r>
      <w:ins w:id="93" w:author="BDT" w:date="2014-03-17T11:49:00Z">
        <w:r w:rsidR="00E51008">
          <w:t xml:space="preserve">Rev. </w:t>
        </w:r>
      </w:ins>
      <w:ins w:id="94" w:author="Author">
        <w:r w:rsidRPr="00CF2D1A">
          <w:t>Hyderabad, 2010</w:t>
        </w:r>
      </w:ins>
      <w:del w:id="95" w:author="Author">
        <w:r w:rsidRPr="00CF2D1A" w:rsidDel="00565B13">
          <w:delText>Doha, 2006</w:delText>
        </w:r>
      </w:del>
      <w:r w:rsidRPr="00CF2D1A">
        <w:t>), the contents of</w:t>
      </w:r>
      <w:ins w:id="96" w:author="Author">
        <w:r w:rsidRPr="00CF2D1A">
          <w:t xml:space="preserve"> </w:t>
        </w:r>
      </w:ins>
      <w:r w:rsidRPr="00CF2D1A">
        <w:t>Resolutions 135 (</w:t>
      </w:r>
      <w:ins w:id="97" w:author="BDT" w:date="2014-03-17T11:49:00Z">
        <w:r w:rsidR="00E51008">
          <w:t xml:space="preserve">Rev. </w:t>
        </w:r>
      </w:ins>
      <w:ins w:id="98" w:author="Author">
        <w:r w:rsidRPr="00CF2D1A">
          <w:t>Guadalajara, 2010</w:t>
        </w:r>
      </w:ins>
      <w:del w:id="99" w:author="Author">
        <w:r w:rsidRPr="00CF2D1A" w:rsidDel="00565B13">
          <w:delText>Antalya, 2006</w:delText>
        </w:r>
      </w:del>
      <w:r w:rsidRPr="00CF2D1A">
        <w:t>) and</w:t>
      </w:r>
      <w:ins w:id="100" w:author="Author">
        <w:r w:rsidRPr="00CF2D1A">
          <w:t xml:space="preserve"> Resolution 157 </w:t>
        </w:r>
      </w:ins>
      <w:del w:id="101" w:author="Author">
        <w:r w:rsidRPr="00CF2D1A" w:rsidDel="00565B13">
          <w:delText xml:space="preserve"> 139 </w:delText>
        </w:r>
      </w:del>
      <w:r w:rsidRPr="00CF2D1A">
        <w:t>(</w:t>
      </w:r>
      <w:ins w:id="102" w:author="BDT" w:date="2014-03-17T11:49:00Z">
        <w:r w:rsidR="00E51008">
          <w:t xml:space="preserve">Rev. </w:t>
        </w:r>
      </w:ins>
      <w:ins w:id="103" w:author="Author">
        <w:r w:rsidRPr="00CF2D1A">
          <w:t>Guadalajara, 2010</w:t>
        </w:r>
      </w:ins>
      <w:del w:id="104" w:author="Author">
        <w:r w:rsidRPr="00CF2D1A" w:rsidDel="00565B13">
          <w:delText>Antalya, 2006</w:delText>
        </w:r>
      </w:del>
      <w:r w:rsidRPr="00CF2D1A">
        <w:t>) of the Plenipotentiary Conference and other relevant resolutions,</w:t>
      </w:r>
    </w:p>
    <w:p w:rsidR="00CF2D1A" w:rsidRPr="00CF2D1A" w:rsidRDefault="00CF2D1A" w:rsidP="00A55286">
      <w:r w:rsidRPr="00CF2D1A">
        <w:t>1</w:t>
      </w:r>
      <w:r w:rsidRPr="00CF2D1A">
        <w:tab/>
        <w:t>to recognize the various benefits of involving locally available expertise, in the region and the country, as the case may be, in executing ITU projects in their region or country, and to stress the involvement of this expertise in the relevant ITU-D projects;</w:t>
      </w:r>
    </w:p>
    <w:p w:rsidR="00CF2D1A" w:rsidRPr="00CF2D1A" w:rsidRDefault="00CF2D1A" w:rsidP="00A55286">
      <w:r w:rsidRPr="00CF2D1A">
        <w:t>2</w:t>
      </w:r>
      <w:r w:rsidRPr="00CF2D1A">
        <w:tab/>
        <w:t xml:space="preserve">to </w:t>
      </w:r>
      <w:ins w:id="105" w:author="Author">
        <w:r w:rsidRPr="00CF2D1A">
          <w:t xml:space="preserve">encourage use of the ITU project toolbox </w:t>
        </w:r>
      </w:ins>
      <w:del w:id="106" w:author="Author">
        <w:r w:rsidRPr="00CF2D1A" w:rsidDel="00565B13">
          <w:delText xml:space="preserve">standardize suitable methods and principles in the Hyderabad Action Plan, encouraging their definition and best practices </w:delText>
        </w:r>
      </w:del>
      <w:r w:rsidRPr="00CF2D1A">
        <w:t>for implementing</w:t>
      </w:r>
      <w:ins w:id="107" w:author="Author">
        <w:r w:rsidRPr="00CF2D1A">
          <w:t xml:space="preserve"> projects and the Regional Initiatives </w:t>
        </w:r>
      </w:ins>
      <w:del w:id="108" w:author="Author">
        <w:r w:rsidRPr="00CF2D1A" w:rsidDel="00565B13">
          <w:delText xml:space="preserve">for the six regions, </w:delText>
        </w:r>
      </w:del>
      <w:r w:rsidRPr="00CF2D1A">
        <w:t>in the capacity of executing agency;</w:t>
      </w:r>
    </w:p>
    <w:p w:rsidR="00CF2D1A" w:rsidRPr="00CF2D1A" w:rsidRDefault="00CF2D1A" w:rsidP="00A55286">
      <w:r w:rsidRPr="00CF2D1A">
        <w:t>3</w:t>
      </w:r>
      <w:r w:rsidRPr="00CF2D1A">
        <w:tab/>
        <w:t>to ensure</w:t>
      </w:r>
      <w:ins w:id="109" w:author="Author">
        <w:r w:rsidRPr="00CF2D1A">
          <w:t>, as specified in Resolution 157 (Rev. Guadalajara, 2010)</w:t>
        </w:r>
      </w:ins>
      <w:r w:rsidRPr="00CF2D1A">
        <w:t xml:space="preserve"> that, as far as possible, support costs and expenses borne by ITU-D in respect of project implementation under UNDP arrangements or other agreed financing arrangements are recovered;</w:t>
      </w:r>
    </w:p>
    <w:p w:rsidR="00CF2D1A" w:rsidRPr="00CF2D1A" w:rsidRDefault="00CF2D1A" w:rsidP="00A55286">
      <w:pPr>
        <w:rPr>
          <w:ins w:id="110" w:author="Author"/>
        </w:rPr>
      </w:pPr>
      <w:r w:rsidRPr="00CF2D1A">
        <w:t>4</w:t>
      </w:r>
      <w:r w:rsidRPr="00CF2D1A">
        <w:tab/>
        <w:t>to continue to conclude partnerships with Member States, Sector Members, financial institutions and international and regional organizations in order to finance activities pertaining to implementation of this resolution.</w:t>
      </w:r>
    </w:p>
    <w:p w:rsidR="00CF2D1A" w:rsidRPr="00CF2D1A" w:rsidRDefault="00CF2D1A" w:rsidP="00A55286">
      <w:pPr>
        <w:rPr>
          <w:ins w:id="111" w:author="Author"/>
        </w:rPr>
      </w:pPr>
      <w:ins w:id="112" w:author="Author">
        <w:r w:rsidRPr="00CF2D1A">
          <w:t>5</w:t>
        </w:r>
        <w:r w:rsidRPr="00CF2D1A">
          <w:tab/>
          <w:t>to encourage collaboration and information sharing between the ITU headquarters,  regional and</w:t>
        </w:r>
      </w:ins>
      <w:ins w:id="113" w:author="BDT" w:date="2014-03-05T10:46:00Z">
        <w:r w:rsidR="00F573A0">
          <w:t xml:space="preserve"> </w:t>
        </w:r>
      </w:ins>
      <w:ins w:id="114" w:author="Author">
        <w:r w:rsidRPr="00CF2D1A">
          <w:t>area offices, in order to optimize resources and efforts in implementing ITU-D projects;</w:t>
        </w:r>
      </w:ins>
    </w:p>
    <w:p w:rsidR="00CF2D1A" w:rsidRPr="00CF2D1A" w:rsidRDefault="00CF2D1A" w:rsidP="00A55286">
      <w:pPr>
        <w:rPr>
          <w:ins w:id="115" w:author="Author"/>
        </w:rPr>
      </w:pPr>
      <w:proofErr w:type="gramStart"/>
      <w:ins w:id="116" w:author="Author">
        <w:r w:rsidRPr="00CF2D1A">
          <w:t>6</w:t>
        </w:r>
        <w:r w:rsidRPr="00CF2D1A">
          <w:tab/>
          <w:t>to consider enhancing the projects portfolio on the ITU website, as far as practicable within existing resources, along with project activities and outcomes where appropriate, in order to learn from past experiences.</w:t>
        </w:r>
        <w:proofErr w:type="gramEnd"/>
      </w:ins>
    </w:p>
    <w:p w:rsidR="00A55286" w:rsidRDefault="00A55286" w:rsidP="00A55286"/>
    <w:p w:rsidR="00CF2D1A" w:rsidRPr="00CF2D1A" w:rsidRDefault="00CF2D1A" w:rsidP="00A55286">
      <w:r w:rsidRPr="00CF2D1A">
        <w:t xml:space="preserve">NOTE – When implementing this resolution, the updating of </w:t>
      </w:r>
      <w:ins w:id="117" w:author="Author">
        <w:r w:rsidRPr="00CF2D1A">
          <w:t>relevant r</w:t>
        </w:r>
      </w:ins>
      <w:del w:id="118" w:author="Author">
        <w:r w:rsidRPr="00CF2D1A" w:rsidDel="00F04B8A">
          <w:delText>R</w:delText>
        </w:r>
      </w:del>
      <w:r w:rsidRPr="00CF2D1A">
        <w:t>esolution</w:t>
      </w:r>
      <w:ins w:id="119" w:author="Author">
        <w:r w:rsidRPr="00CF2D1A">
          <w:t>s</w:t>
        </w:r>
      </w:ins>
      <w:r w:rsidRPr="00CF2D1A">
        <w:t xml:space="preserve"> </w:t>
      </w:r>
      <w:del w:id="120" w:author="Author">
        <w:r w:rsidRPr="00CF2D1A" w:rsidDel="00F04B8A">
          <w:delText>135 (Antalya, 2006)</w:delText>
        </w:r>
      </w:del>
      <w:r w:rsidRPr="00CF2D1A">
        <w:t xml:space="preserve"> by the next Plenipotentiary Conference (</w:t>
      </w:r>
      <w:bookmarkStart w:id="121" w:name="_GoBack"/>
      <w:bookmarkEnd w:id="121"/>
      <w:ins w:id="122" w:author="Author">
        <w:r w:rsidRPr="00CF2D1A">
          <w:t>Busan, 2014</w:t>
        </w:r>
      </w:ins>
      <w:del w:id="123" w:author="Author">
        <w:r w:rsidRPr="00CF2D1A" w:rsidDel="00F04B8A">
          <w:delText>Guadalajara, 2010</w:delText>
        </w:r>
      </w:del>
      <w:r w:rsidRPr="00CF2D1A">
        <w:t xml:space="preserve">) </w:t>
      </w:r>
      <w:ins w:id="124" w:author="Author">
        <w:r w:rsidRPr="00CF2D1A">
          <w:t>may</w:t>
        </w:r>
      </w:ins>
      <w:r w:rsidRPr="00CF2D1A">
        <w:t xml:space="preserve"> be taken into consideration.</w:t>
      </w:r>
    </w:p>
    <w:p w:rsidR="00CF2D1A" w:rsidRPr="009A4A6D" w:rsidRDefault="00CF2D1A" w:rsidP="00531AD3">
      <w:pPr>
        <w:rPr>
          <w:snapToGrid w:val="0"/>
        </w:rPr>
      </w:pPr>
    </w:p>
    <w:p w:rsidR="00CF2D1A" w:rsidRPr="00A55286" w:rsidRDefault="00A55286">
      <w:pPr>
        <w:jc w:val="center"/>
        <w:rPr>
          <w:rFonts w:eastAsia="Malgun Gothic"/>
          <w:bCs/>
          <w:lang w:eastAsia="ko-KR"/>
        </w:rPr>
        <w:pPrChange w:id="125" w:author="BDT" w:date="2014-03-05T10:44:00Z">
          <w:pPr>
            <w:jc w:val="both"/>
          </w:pPr>
        </w:pPrChange>
      </w:pPr>
      <w:r>
        <w:rPr>
          <w:rFonts w:eastAsia="Malgun Gothic"/>
          <w:bCs/>
          <w:lang w:eastAsia="ko-KR"/>
        </w:rPr>
        <w:t>________________</w:t>
      </w:r>
    </w:p>
    <w:sectPr w:rsidR="00CF2D1A" w:rsidRPr="00A55286"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3A1" w:rsidRDefault="00B243A1">
      <w:r>
        <w:separator/>
      </w:r>
    </w:p>
  </w:endnote>
  <w:endnote w:type="continuationSeparator" w:id="0">
    <w:p w:rsidR="00B243A1" w:rsidRDefault="00B2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NewRoman,Italic">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F573A0" w:rsidRDefault="00F573A0" w:rsidP="000A6829">
    <w:pPr>
      <w:pStyle w:val="Footer"/>
      <w:rPr>
        <w:lang w:val="en-US"/>
      </w:rPr>
    </w:pPr>
    <w:r>
      <w:rPr>
        <w:lang w:val="en-US"/>
      </w:rPr>
      <w:fldChar w:fldCharType="begin"/>
    </w:r>
    <w:r>
      <w:rPr>
        <w:lang w:val="en-US"/>
      </w:rPr>
      <w:instrText xml:space="preserve"> FILENAME  \p  \* MERGEFORMAT </w:instrText>
    </w:r>
    <w:r>
      <w:rPr>
        <w:lang w:val="en-US"/>
      </w:rPr>
      <w:fldChar w:fldCharType="separate"/>
    </w:r>
    <w:r w:rsidR="001530BF">
      <w:rPr>
        <w:lang w:val="en-US"/>
      </w:rPr>
      <w:t>Z:\DOC\037ADD7E_APT_V1_clean.docx</w:t>
    </w:r>
    <w:r>
      <w:rPr>
        <w:lang w:val="en-US"/>
      </w:rPr>
      <w:fldChar w:fldCharType="end"/>
    </w:r>
    <w:r w:rsidR="00721657" w:rsidRPr="00F573A0">
      <w:rPr>
        <w:lang w:val="en-US"/>
      </w:rPr>
      <w:tab/>
    </w:r>
    <w:r w:rsidR="005464BD" w:rsidRPr="00F573A0">
      <w:rPr>
        <w:lang w:val="en-US"/>
      </w:rPr>
      <w:tab/>
    </w:r>
    <w:r w:rsidR="00721657">
      <w:fldChar w:fldCharType="begin"/>
    </w:r>
    <w:r w:rsidR="00721657">
      <w:instrText xml:space="preserve"> savedate \@ dd.MM.yy </w:instrText>
    </w:r>
    <w:r w:rsidR="00721657">
      <w:fldChar w:fldCharType="separate"/>
    </w:r>
    <w:r w:rsidR="00483F14">
      <w:t>12.03.14</w:t>
    </w:r>
    <w:r w:rsidR="0072165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28" w:name="OrgName"/>
    <w:bookmarkEnd w:id="128"/>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129"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30" w:name="PhoneNo"/>
    <w:bookmarkEnd w:id="130"/>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31" w:name="Email"/>
    <w:bookmarkEnd w:id="131"/>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3A1" w:rsidRDefault="00B243A1">
      <w:r>
        <w:t>____________________</w:t>
      </w:r>
    </w:p>
  </w:footnote>
  <w:footnote w:type="continuationSeparator" w:id="0">
    <w:p w:rsidR="00B243A1" w:rsidRDefault="00B24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126" w:name="DocRef2"/>
    <w:bookmarkEnd w:id="126"/>
    <w:r w:rsidR="00051635">
      <w:t>WTDC14</w:t>
    </w:r>
    <w:r w:rsidR="00AF605F">
      <w:t>/</w:t>
    </w:r>
    <w:bookmarkStart w:id="127" w:name="DocNo2"/>
    <w:bookmarkEnd w:id="127"/>
    <w:r w:rsidR="00210259">
      <w:t>37</w:t>
    </w:r>
    <w:r w:rsidR="001A0AD6">
      <w:t>(Add.7)</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E51008">
          <w:rPr>
            <w:noProof/>
          </w:rPr>
          <w:t>2</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16268"/>
    <w:rsid w:val="00037A9E"/>
    <w:rsid w:val="00051635"/>
    <w:rsid w:val="000539F1"/>
    <w:rsid w:val="00055A2A"/>
    <w:rsid w:val="00073A8A"/>
    <w:rsid w:val="000A17C4"/>
    <w:rsid w:val="000A6829"/>
    <w:rsid w:val="000A7150"/>
    <w:rsid w:val="000D261B"/>
    <w:rsid w:val="000E3E5C"/>
    <w:rsid w:val="000E3ED4"/>
    <w:rsid w:val="000E550E"/>
    <w:rsid w:val="000F6644"/>
    <w:rsid w:val="00100833"/>
    <w:rsid w:val="00114A65"/>
    <w:rsid w:val="0012538A"/>
    <w:rsid w:val="00141699"/>
    <w:rsid w:val="00147000"/>
    <w:rsid w:val="001510DA"/>
    <w:rsid w:val="001530BF"/>
    <w:rsid w:val="001645CB"/>
    <w:rsid w:val="00173781"/>
    <w:rsid w:val="00175CAE"/>
    <w:rsid w:val="001828DB"/>
    <w:rsid w:val="001850FE"/>
    <w:rsid w:val="00185135"/>
    <w:rsid w:val="001905A9"/>
    <w:rsid w:val="00191273"/>
    <w:rsid w:val="00192BBF"/>
    <w:rsid w:val="001942A7"/>
    <w:rsid w:val="001A0AD6"/>
    <w:rsid w:val="001A163D"/>
    <w:rsid w:val="001A441E"/>
    <w:rsid w:val="001B357F"/>
    <w:rsid w:val="001C3702"/>
    <w:rsid w:val="001D607D"/>
    <w:rsid w:val="001E1613"/>
    <w:rsid w:val="001F0F8E"/>
    <w:rsid w:val="001F4238"/>
    <w:rsid w:val="00200A38"/>
    <w:rsid w:val="00200A46"/>
    <w:rsid w:val="00210259"/>
    <w:rsid w:val="00217CC3"/>
    <w:rsid w:val="0022120F"/>
    <w:rsid w:val="0022754A"/>
    <w:rsid w:val="00232336"/>
    <w:rsid w:val="00245D0F"/>
    <w:rsid w:val="00257ACD"/>
    <w:rsid w:val="00262908"/>
    <w:rsid w:val="002650F4"/>
    <w:rsid w:val="00273F7E"/>
    <w:rsid w:val="002836AF"/>
    <w:rsid w:val="00285B33"/>
    <w:rsid w:val="002C1EC7"/>
    <w:rsid w:val="002C7EA3"/>
    <w:rsid w:val="002D20AE"/>
    <w:rsid w:val="002D5EDF"/>
    <w:rsid w:val="002E2104"/>
    <w:rsid w:val="002F05D8"/>
    <w:rsid w:val="002F2DE0"/>
    <w:rsid w:val="002F5E25"/>
    <w:rsid w:val="00312AE6"/>
    <w:rsid w:val="00317D1A"/>
    <w:rsid w:val="00321193"/>
    <w:rsid w:val="00327A9D"/>
    <w:rsid w:val="003302AC"/>
    <w:rsid w:val="0033130E"/>
    <w:rsid w:val="00360B73"/>
    <w:rsid w:val="003615AF"/>
    <w:rsid w:val="003A7FFE"/>
    <w:rsid w:val="003B0C61"/>
    <w:rsid w:val="003C1746"/>
    <w:rsid w:val="003D2F3B"/>
    <w:rsid w:val="003D451D"/>
    <w:rsid w:val="00401BFF"/>
    <w:rsid w:val="00413B78"/>
    <w:rsid w:val="00453435"/>
    <w:rsid w:val="00466398"/>
    <w:rsid w:val="00477A44"/>
    <w:rsid w:val="00483F14"/>
    <w:rsid w:val="00490374"/>
    <w:rsid w:val="0049128B"/>
    <w:rsid w:val="00493B49"/>
    <w:rsid w:val="004A070A"/>
    <w:rsid w:val="004B1A3C"/>
    <w:rsid w:val="004D2CC3"/>
    <w:rsid w:val="004D35CB"/>
    <w:rsid w:val="004E20E5"/>
    <w:rsid w:val="004E64EA"/>
    <w:rsid w:val="004F6A70"/>
    <w:rsid w:val="004F6B2B"/>
    <w:rsid w:val="00504DB0"/>
    <w:rsid w:val="005072FE"/>
    <w:rsid w:val="00534D5F"/>
    <w:rsid w:val="00544D1B"/>
    <w:rsid w:val="00545DC0"/>
    <w:rsid w:val="00545F6C"/>
    <w:rsid w:val="005464BD"/>
    <w:rsid w:val="0055720C"/>
    <w:rsid w:val="0056423B"/>
    <w:rsid w:val="00573424"/>
    <w:rsid w:val="00584AEF"/>
    <w:rsid w:val="00592518"/>
    <w:rsid w:val="00592E87"/>
    <w:rsid w:val="00594C4D"/>
    <w:rsid w:val="005A33B0"/>
    <w:rsid w:val="005C2DC2"/>
    <w:rsid w:val="005D57C8"/>
    <w:rsid w:val="005E0278"/>
    <w:rsid w:val="005E3CA0"/>
    <w:rsid w:val="005E44B1"/>
    <w:rsid w:val="005E67B0"/>
    <w:rsid w:val="005F43DD"/>
    <w:rsid w:val="005F7416"/>
    <w:rsid w:val="00625FB8"/>
    <w:rsid w:val="006261BD"/>
    <w:rsid w:val="0064734E"/>
    <w:rsid w:val="00650137"/>
    <w:rsid w:val="006748F8"/>
    <w:rsid w:val="00680489"/>
    <w:rsid w:val="006A7710"/>
    <w:rsid w:val="006A7A61"/>
    <w:rsid w:val="006B4952"/>
    <w:rsid w:val="006C1F18"/>
    <w:rsid w:val="006D0F8B"/>
    <w:rsid w:val="006D253B"/>
    <w:rsid w:val="006D40D5"/>
    <w:rsid w:val="006F009A"/>
    <w:rsid w:val="00721657"/>
    <w:rsid w:val="00727B1A"/>
    <w:rsid w:val="00740EEF"/>
    <w:rsid w:val="00752258"/>
    <w:rsid w:val="00762880"/>
    <w:rsid w:val="00763B2C"/>
    <w:rsid w:val="00765DE5"/>
    <w:rsid w:val="00772290"/>
    <w:rsid w:val="007805E7"/>
    <w:rsid w:val="0078222A"/>
    <w:rsid w:val="007A4E50"/>
    <w:rsid w:val="007B18A7"/>
    <w:rsid w:val="007B250E"/>
    <w:rsid w:val="007C27FC"/>
    <w:rsid w:val="007C51FF"/>
    <w:rsid w:val="007D50E4"/>
    <w:rsid w:val="007D63D6"/>
    <w:rsid w:val="007E195A"/>
    <w:rsid w:val="0080137B"/>
    <w:rsid w:val="008028CE"/>
    <w:rsid w:val="008141E0"/>
    <w:rsid w:val="00816F88"/>
    <w:rsid w:val="00852081"/>
    <w:rsid w:val="00874DFD"/>
    <w:rsid w:val="00883086"/>
    <w:rsid w:val="008879FD"/>
    <w:rsid w:val="00894C37"/>
    <w:rsid w:val="008A00EA"/>
    <w:rsid w:val="008A3F93"/>
    <w:rsid w:val="008A6E1C"/>
    <w:rsid w:val="008A72FD"/>
    <w:rsid w:val="008B11B4"/>
    <w:rsid w:val="008B2EDF"/>
    <w:rsid w:val="008B54CB"/>
    <w:rsid w:val="008C4010"/>
    <w:rsid w:val="008C4FDF"/>
    <w:rsid w:val="008E0636"/>
    <w:rsid w:val="008F71C1"/>
    <w:rsid w:val="00902D41"/>
    <w:rsid w:val="00914004"/>
    <w:rsid w:val="009171AE"/>
    <w:rsid w:val="00927103"/>
    <w:rsid w:val="009301F1"/>
    <w:rsid w:val="00942A8A"/>
    <w:rsid w:val="009431F8"/>
    <w:rsid w:val="009642F2"/>
    <w:rsid w:val="00966CB5"/>
    <w:rsid w:val="00974DA5"/>
    <w:rsid w:val="00975786"/>
    <w:rsid w:val="00983E1F"/>
    <w:rsid w:val="00985EB2"/>
    <w:rsid w:val="00993F46"/>
    <w:rsid w:val="00994B91"/>
    <w:rsid w:val="00997358"/>
    <w:rsid w:val="009A452B"/>
    <w:rsid w:val="009B050C"/>
    <w:rsid w:val="009C110B"/>
    <w:rsid w:val="009C5441"/>
    <w:rsid w:val="009F3940"/>
    <w:rsid w:val="009F3EB2"/>
    <w:rsid w:val="00A20267"/>
    <w:rsid w:val="00A22048"/>
    <w:rsid w:val="00A32170"/>
    <w:rsid w:val="00A53E7C"/>
    <w:rsid w:val="00A55286"/>
    <w:rsid w:val="00A60087"/>
    <w:rsid w:val="00A6555F"/>
    <w:rsid w:val="00A705E8"/>
    <w:rsid w:val="00A70BC6"/>
    <w:rsid w:val="00A9392C"/>
    <w:rsid w:val="00A9462B"/>
    <w:rsid w:val="00A97D59"/>
    <w:rsid w:val="00AE5961"/>
    <w:rsid w:val="00AF605F"/>
    <w:rsid w:val="00B06F50"/>
    <w:rsid w:val="00B243A1"/>
    <w:rsid w:val="00B310F9"/>
    <w:rsid w:val="00B37866"/>
    <w:rsid w:val="00B4576B"/>
    <w:rsid w:val="00B8460A"/>
    <w:rsid w:val="00B8650D"/>
    <w:rsid w:val="00B879B4"/>
    <w:rsid w:val="00B90F07"/>
    <w:rsid w:val="00B97BB9"/>
    <w:rsid w:val="00BB25EE"/>
    <w:rsid w:val="00BC10A0"/>
    <w:rsid w:val="00BC7BA2"/>
    <w:rsid w:val="00BD426B"/>
    <w:rsid w:val="00BE00BD"/>
    <w:rsid w:val="00BE2B4D"/>
    <w:rsid w:val="00C015F8"/>
    <w:rsid w:val="00C177C5"/>
    <w:rsid w:val="00C4038C"/>
    <w:rsid w:val="00C44066"/>
    <w:rsid w:val="00C44E13"/>
    <w:rsid w:val="00C56238"/>
    <w:rsid w:val="00C62DFB"/>
    <w:rsid w:val="00C66F4D"/>
    <w:rsid w:val="00C87BCA"/>
    <w:rsid w:val="00C94506"/>
    <w:rsid w:val="00C954BC"/>
    <w:rsid w:val="00CA6190"/>
    <w:rsid w:val="00CB2A2E"/>
    <w:rsid w:val="00CB79C5"/>
    <w:rsid w:val="00CC732E"/>
    <w:rsid w:val="00CD5569"/>
    <w:rsid w:val="00CD7207"/>
    <w:rsid w:val="00CD747E"/>
    <w:rsid w:val="00CE1786"/>
    <w:rsid w:val="00CE5E4D"/>
    <w:rsid w:val="00CF02C4"/>
    <w:rsid w:val="00CF2D1A"/>
    <w:rsid w:val="00D01F54"/>
    <w:rsid w:val="00D10FC7"/>
    <w:rsid w:val="00D11891"/>
    <w:rsid w:val="00D35BDD"/>
    <w:rsid w:val="00D63006"/>
    <w:rsid w:val="00D72301"/>
    <w:rsid w:val="00D91B97"/>
    <w:rsid w:val="00D93ACC"/>
    <w:rsid w:val="00D93C08"/>
    <w:rsid w:val="00D95DAC"/>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51008"/>
    <w:rsid w:val="00E66898"/>
    <w:rsid w:val="00E81961"/>
    <w:rsid w:val="00E83810"/>
    <w:rsid w:val="00E86933"/>
    <w:rsid w:val="00EA56B3"/>
    <w:rsid w:val="00EA7DE7"/>
    <w:rsid w:val="00EB7A8A"/>
    <w:rsid w:val="00EF01CF"/>
    <w:rsid w:val="00EF5EDA"/>
    <w:rsid w:val="00EF73C0"/>
    <w:rsid w:val="00F03590"/>
    <w:rsid w:val="00F238B3"/>
    <w:rsid w:val="00F25586"/>
    <w:rsid w:val="00F31498"/>
    <w:rsid w:val="00F42F1C"/>
    <w:rsid w:val="00F43B44"/>
    <w:rsid w:val="00F440E5"/>
    <w:rsid w:val="00F448F6"/>
    <w:rsid w:val="00F52741"/>
    <w:rsid w:val="00F53D8A"/>
    <w:rsid w:val="00F573A0"/>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AAD6C-9F31-4461-A4A0-E2BB9937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968</Words>
  <Characters>7815</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8766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4</cp:revision>
  <cp:lastPrinted>2014-03-05T09:46:00Z</cp:lastPrinted>
  <dcterms:created xsi:type="dcterms:W3CDTF">2014-03-17T10:30:00Z</dcterms:created>
  <dcterms:modified xsi:type="dcterms:W3CDTF">2014-03-17T10:50:00Z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