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4" w:space="0" w:color="auto"/>
        </w:tblBorders>
        <w:tblLayout w:type="fixed"/>
        <w:tblCellMar>
          <w:left w:w="99" w:type="dxa"/>
          <w:right w:w="99" w:type="dxa"/>
        </w:tblCellMar>
        <w:tblLook w:val="0000" w:firstRow="0" w:lastRow="0" w:firstColumn="0" w:lastColumn="0" w:noHBand="0" w:noVBand="0"/>
      </w:tblPr>
      <w:tblGrid>
        <w:gridCol w:w="1399"/>
        <w:gridCol w:w="4530"/>
        <w:gridCol w:w="1250"/>
        <w:gridCol w:w="411"/>
        <w:gridCol w:w="2229"/>
      </w:tblGrid>
      <w:tr w:rsidR="00DA7595" w:rsidRPr="00891D0B">
        <w:trPr>
          <w:cantSplit/>
        </w:trPr>
        <w:tc>
          <w:tcPr>
            <w:tcW w:w="1399" w:type="dxa"/>
            <w:vMerge w:val="restart"/>
            <w:tcBorders>
              <w:top w:val="nil"/>
              <w:left w:val="nil"/>
              <w:bottom w:val="nil"/>
              <w:right w:val="nil"/>
            </w:tcBorders>
          </w:tcPr>
          <w:p w:rsidR="00DA7595" w:rsidRPr="00891D0B" w:rsidRDefault="00C85119"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Heading8"/>
              <w:rPr>
                <w:sz w:val="24"/>
                <w:szCs w:val="24"/>
              </w:rPr>
            </w:pPr>
          </w:p>
        </w:tc>
      </w:tr>
      <w:tr w:rsidR="00DA7595" w:rsidRPr="00C15799">
        <w:trPr>
          <w:cantSplit/>
        </w:trPr>
        <w:tc>
          <w:tcPr>
            <w:tcW w:w="1399" w:type="dxa"/>
            <w:vMerge/>
            <w:tcBorders>
              <w:top w:val="nil"/>
              <w:left w:val="nil"/>
              <w:bottom w:val="nil"/>
              <w:right w:val="nil"/>
            </w:tcBorders>
          </w:tcPr>
          <w:p w:rsidR="00DA7595" w:rsidRPr="00891D0B" w:rsidRDefault="00DA7595" w:rsidP="0045458F"/>
        </w:tc>
        <w:tc>
          <w:tcPr>
            <w:tcW w:w="5780" w:type="dxa"/>
            <w:gridSpan w:val="2"/>
            <w:tcBorders>
              <w:top w:val="nil"/>
              <w:left w:val="nil"/>
              <w:bottom w:val="nil"/>
              <w:right w:val="nil"/>
            </w:tcBorders>
          </w:tcPr>
          <w:p w:rsidR="00DA7595" w:rsidRPr="00891D0B" w:rsidRDefault="00DA7595" w:rsidP="00E85633">
            <w:pPr>
              <w:spacing w:line="0" w:lineRule="atLeast"/>
            </w:pPr>
            <w:r>
              <w:rPr>
                <w:b/>
              </w:rPr>
              <w:t xml:space="preserve">The </w:t>
            </w:r>
            <w:r w:rsidR="00E85633">
              <w:rPr>
                <w:b/>
              </w:rPr>
              <w:t>2</w:t>
            </w:r>
            <w:r w:rsidR="00E85633" w:rsidRPr="00E85633">
              <w:rPr>
                <w:b/>
                <w:vertAlign w:val="superscript"/>
              </w:rPr>
              <w:t>nd</w:t>
            </w:r>
            <w:r w:rsidR="00E85633">
              <w:rPr>
                <w:b/>
              </w:rPr>
              <w:t xml:space="preserve"> </w:t>
            </w:r>
            <w:r w:rsidR="00DB0A68">
              <w:rPr>
                <w:b/>
              </w:rPr>
              <w:t>Meeting of the APT</w:t>
            </w:r>
            <w:r w:rsidR="00182505">
              <w:rPr>
                <w:b/>
              </w:rPr>
              <w:t xml:space="preserve"> </w:t>
            </w:r>
            <w:r w:rsidR="00DB0A68">
              <w:rPr>
                <w:b/>
              </w:rPr>
              <w:t>Preparatory</w:t>
            </w:r>
            <w:r w:rsidR="002926D4">
              <w:rPr>
                <w:b/>
              </w:rPr>
              <w:t xml:space="preserve"> </w:t>
            </w:r>
            <w:r w:rsidR="00DB0A68">
              <w:rPr>
                <w:b/>
              </w:rPr>
              <w:t xml:space="preserve"> Group for</w:t>
            </w:r>
            <w:r w:rsidR="00182505">
              <w:rPr>
                <w:b/>
              </w:rPr>
              <w:t xml:space="preserve"> WTSA-16</w:t>
            </w:r>
            <w:r w:rsidR="00DB0A68">
              <w:rPr>
                <w:b/>
              </w:rPr>
              <w:t xml:space="preserve"> (</w:t>
            </w:r>
            <w:r w:rsidR="00E85633">
              <w:rPr>
                <w:b/>
              </w:rPr>
              <w:t>APT WTSA16-2</w:t>
            </w:r>
            <w:r w:rsidR="00DB0A68">
              <w:rPr>
                <w:b/>
              </w:rPr>
              <w:t>)</w:t>
            </w:r>
          </w:p>
        </w:tc>
        <w:tc>
          <w:tcPr>
            <w:tcW w:w="2640" w:type="dxa"/>
            <w:gridSpan w:val="2"/>
            <w:tcBorders>
              <w:top w:val="nil"/>
              <w:left w:val="nil"/>
              <w:bottom w:val="nil"/>
              <w:right w:val="nil"/>
            </w:tcBorders>
          </w:tcPr>
          <w:p w:rsidR="00DA7595" w:rsidRPr="00C15799" w:rsidRDefault="00DA7595" w:rsidP="0045458F">
            <w:pPr>
              <w:rPr>
                <w:b/>
                <w:bCs/>
                <w:lang w:val="fr-FR"/>
              </w:rPr>
            </w:pPr>
            <w:r w:rsidRPr="00C15799">
              <w:rPr>
                <w:b/>
                <w:lang w:val="fr-FR"/>
              </w:rPr>
              <w:t>Document</w:t>
            </w:r>
            <w:r w:rsidR="007B5626">
              <w:rPr>
                <w:b/>
                <w:lang w:val="fr-FR"/>
              </w:rPr>
              <w:t xml:space="preserve"> </w:t>
            </w:r>
          </w:p>
          <w:p w:rsidR="00DA7595" w:rsidRPr="00C15799" w:rsidRDefault="00E85633" w:rsidP="00FE3DE5">
            <w:pPr>
              <w:rPr>
                <w:b/>
                <w:bCs/>
                <w:lang w:val="fr-FR"/>
              </w:rPr>
            </w:pPr>
            <w:r>
              <w:rPr>
                <w:b/>
                <w:bCs/>
                <w:lang w:val="fr-FR"/>
              </w:rPr>
              <w:t>WTSA16-2</w:t>
            </w:r>
            <w:r w:rsidR="008319BF">
              <w:rPr>
                <w:b/>
                <w:bCs/>
                <w:lang w:val="fr-FR"/>
              </w:rPr>
              <w:t>/</w:t>
            </w:r>
            <w:r w:rsidR="00D15A91">
              <w:rPr>
                <w:b/>
                <w:bCs/>
                <w:lang w:val="fr-FR"/>
              </w:rPr>
              <w:t>INP</w:t>
            </w:r>
            <w:r w:rsidR="000F75CE">
              <w:rPr>
                <w:b/>
                <w:bCs/>
                <w:lang w:val="fr-FR"/>
              </w:rPr>
              <w:t>-</w:t>
            </w:r>
            <w:r w:rsidR="00CC7264">
              <w:rPr>
                <w:b/>
                <w:bCs/>
                <w:lang w:val="fr-FR"/>
              </w:rPr>
              <w:t>05</w:t>
            </w:r>
          </w:p>
        </w:tc>
      </w:tr>
      <w:tr w:rsidR="004B3553" w:rsidRPr="00891D0B">
        <w:trPr>
          <w:cantSplit/>
          <w:trHeight w:val="219"/>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5780" w:type="dxa"/>
            <w:gridSpan w:val="2"/>
            <w:tcBorders>
              <w:top w:val="nil"/>
              <w:left w:val="nil"/>
              <w:bottom w:val="single" w:sz="12" w:space="0" w:color="auto"/>
              <w:right w:val="nil"/>
            </w:tcBorders>
          </w:tcPr>
          <w:p w:rsidR="004B3553" w:rsidRPr="00891D0B" w:rsidRDefault="00E85633" w:rsidP="00E85633">
            <w:r>
              <w:t>15 – 17 October</w:t>
            </w:r>
            <w:r w:rsidR="004B3553">
              <w:t xml:space="preserve"> </w:t>
            </w:r>
            <w:r w:rsidR="00291C9E">
              <w:t>20</w:t>
            </w:r>
            <w:r w:rsidR="00FE3DE5">
              <w:t>15</w:t>
            </w:r>
            <w:r w:rsidR="004B3553" w:rsidRPr="00891D0B">
              <w:t xml:space="preserve">, </w:t>
            </w:r>
            <w:r w:rsidR="00FE3DE5">
              <w:t>Bangkok</w:t>
            </w:r>
            <w:r w:rsidR="004B3553">
              <w:t xml:space="preserve">, </w:t>
            </w:r>
            <w:r w:rsidR="00FE3DE5">
              <w:t>Thailand</w:t>
            </w:r>
          </w:p>
        </w:tc>
        <w:tc>
          <w:tcPr>
            <w:tcW w:w="2640" w:type="dxa"/>
            <w:gridSpan w:val="2"/>
            <w:tcBorders>
              <w:top w:val="nil"/>
              <w:left w:val="nil"/>
              <w:bottom w:val="single" w:sz="12" w:space="0" w:color="auto"/>
              <w:right w:val="nil"/>
            </w:tcBorders>
          </w:tcPr>
          <w:p w:rsidR="004B3553" w:rsidRPr="00712451" w:rsidRDefault="00D15A91" w:rsidP="00D15A91">
            <w:pPr>
              <w:rPr>
                <w:b/>
              </w:rPr>
            </w:pPr>
            <w:r>
              <w:rPr>
                <w:b/>
              </w:rPr>
              <w:t>28</w:t>
            </w:r>
            <w:r w:rsidR="00FE3DE5">
              <w:rPr>
                <w:b/>
              </w:rPr>
              <w:t xml:space="preserve"> </w:t>
            </w:r>
            <w:r>
              <w:rPr>
                <w:b/>
              </w:rPr>
              <w:t xml:space="preserve">September </w:t>
            </w:r>
            <w:r w:rsidR="00291C9E">
              <w:rPr>
                <w:b/>
              </w:rPr>
              <w:t>20</w:t>
            </w:r>
            <w:r w:rsidR="008319BF">
              <w:rPr>
                <w:b/>
              </w:rPr>
              <w:t>1</w:t>
            </w:r>
            <w:r w:rsidR="00FE3DE5">
              <w:rPr>
                <w:b/>
              </w:rPr>
              <w:t>5</w:t>
            </w:r>
          </w:p>
        </w:tc>
      </w:tr>
    </w:tbl>
    <w:p w:rsidR="00DA7595" w:rsidRDefault="00DA7595" w:rsidP="00DA7595">
      <w:pPr>
        <w:rPr>
          <w:lang w:eastAsia="ko-KR"/>
        </w:rPr>
      </w:pPr>
    </w:p>
    <w:p w:rsidR="00DA7595" w:rsidRPr="00182505" w:rsidRDefault="00D15A91" w:rsidP="00DA7595">
      <w:pPr>
        <w:jc w:val="center"/>
        <w:rPr>
          <w:b/>
          <w:lang w:eastAsia="ko-KR"/>
        </w:rPr>
      </w:pPr>
      <w:r>
        <w:rPr>
          <w:b/>
          <w:lang w:eastAsia="ko-KR"/>
        </w:rPr>
        <w:t>Chairman, Working Group 1</w:t>
      </w:r>
    </w:p>
    <w:p w:rsidR="00FE3DE5" w:rsidRDefault="00FE3DE5" w:rsidP="0063062B">
      <w:pPr>
        <w:jc w:val="center"/>
        <w:rPr>
          <w:b/>
          <w:bCs/>
          <w:caps/>
          <w:sz w:val="28"/>
          <w:szCs w:val="28"/>
        </w:rPr>
      </w:pPr>
    </w:p>
    <w:p w:rsidR="00C357AD" w:rsidRPr="00607E2B" w:rsidRDefault="00D15A91" w:rsidP="0063062B">
      <w:pPr>
        <w:jc w:val="center"/>
        <w:rPr>
          <w:b/>
          <w:bCs/>
          <w:caps/>
          <w:sz w:val="28"/>
          <w:szCs w:val="28"/>
        </w:rPr>
      </w:pPr>
      <w:r>
        <w:rPr>
          <w:b/>
          <w:bCs/>
          <w:caps/>
          <w:sz w:val="28"/>
          <w:szCs w:val="28"/>
        </w:rPr>
        <w:t>issue paper of the working group 1: ITU-T Working Methods</w:t>
      </w:r>
    </w:p>
    <w:p w:rsidR="00DB0A68" w:rsidRDefault="00DB0A68" w:rsidP="00C357AD">
      <w:pPr>
        <w:jc w:val="center"/>
      </w:pPr>
    </w:p>
    <w:p w:rsidR="00C357AD" w:rsidRDefault="00C357AD" w:rsidP="00C357AD">
      <w:pPr>
        <w:jc w:val="center"/>
        <w:rPr>
          <w:b/>
        </w:rPr>
      </w:pPr>
    </w:p>
    <w:p w:rsidR="00C357AD" w:rsidRDefault="00C357AD" w:rsidP="00C357AD">
      <w:pPr>
        <w:jc w:val="both"/>
        <w:rPr>
          <w:b/>
        </w:rPr>
      </w:pPr>
    </w:p>
    <w:p w:rsidR="00D15A91" w:rsidRPr="00A54AC6" w:rsidRDefault="00D15A91" w:rsidP="00D15A91">
      <w:pPr>
        <w:widowControl w:val="0"/>
        <w:numPr>
          <w:ilvl w:val="0"/>
          <w:numId w:val="9"/>
        </w:numPr>
        <w:tabs>
          <w:tab w:val="num" w:pos="786"/>
        </w:tabs>
        <w:autoSpaceDE w:val="0"/>
        <w:autoSpaceDN w:val="0"/>
        <w:adjustRightInd w:val="0"/>
        <w:snapToGrid w:val="0"/>
        <w:spacing w:line="240" w:lineRule="atLeast"/>
        <w:rPr>
          <w:b/>
        </w:rPr>
      </w:pPr>
      <w:r w:rsidRPr="00A54AC6">
        <w:rPr>
          <w:b/>
        </w:rPr>
        <w:t>Introduction</w:t>
      </w:r>
    </w:p>
    <w:p w:rsidR="00D15A91" w:rsidRPr="00A54AC6" w:rsidRDefault="00D15A91" w:rsidP="000F75CE">
      <w:pPr>
        <w:autoSpaceDE w:val="0"/>
        <w:autoSpaceDN w:val="0"/>
        <w:adjustRightInd w:val="0"/>
        <w:snapToGrid w:val="0"/>
        <w:spacing w:before="120"/>
        <w:ind w:left="426"/>
        <w:jc w:val="both"/>
      </w:pPr>
      <w:r w:rsidRPr="00A54AC6">
        <w:t xml:space="preserve">This issue paper has been developed to facilitate effective </w:t>
      </w:r>
      <w:bookmarkStart w:id="0" w:name="_GoBack"/>
      <w:r w:rsidRPr="00A54AC6">
        <w:t xml:space="preserve">discussion </w:t>
      </w:r>
      <w:bookmarkEnd w:id="0"/>
      <w:r w:rsidRPr="00A54AC6">
        <w:t xml:space="preserve">on ITU-T working methods. It intends to stimulate regional discussion on ITU-T working methods issues which may interest the Asia-Pacific region. Based on the discussion, WG1 will develop APT common proposals. The main objectives of this meeting is reviewing the current status and on-going discussions in ITU-T and identify the possible topics for the APT common proposals for WTSA-16.  </w:t>
      </w:r>
    </w:p>
    <w:p w:rsidR="00D15A91" w:rsidRPr="00A54AC6" w:rsidRDefault="00D15A91" w:rsidP="00D15A91">
      <w:pPr>
        <w:widowControl w:val="0"/>
        <w:numPr>
          <w:ilvl w:val="0"/>
          <w:numId w:val="9"/>
        </w:numPr>
        <w:tabs>
          <w:tab w:val="num" w:pos="786"/>
        </w:tabs>
        <w:autoSpaceDE w:val="0"/>
        <w:autoSpaceDN w:val="0"/>
        <w:adjustRightInd w:val="0"/>
        <w:snapToGrid w:val="0"/>
        <w:spacing w:beforeLines="100" w:before="240" w:line="240" w:lineRule="atLeast"/>
        <w:ind w:left="357" w:hanging="357"/>
        <w:rPr>
          <w:b/>
        </w:rPr>
      </w:pPr>
      <w:r w:rsidRPr="00A54AC6">
        <w:rPr>
          <w:b/>
        </w:rPr>
        <w:t>Background</w:t>
      </w:r>
    </w:p>
    <w:p w:rsidR="00D15A91" w:rsidRPr="00A54AC6" w:rsidRDefault="00D15A91" w:rsidP="000F75CE">
      <w:pPr>
        <w:autoSpaceDE w:val="0"/>
        <w:autoSpaceDN w:val="0"/>
        <w:adjustRightInd w:val="0"/>
        <w:snapToGrid w:val="0"/>
        <w:spacing w:before="120"/>
        <w:ind w:left="426"/>
        <w:jc w:val="both"/>
      </w:pPr>
      <w:r w:rsidRPr="00A54AC6">
        <w:t xml:space="preserve">The 1st APT Preparatory Meeting was held on 07 May 2015 in Bangkok, Thailand. The meeting elected Chairman, Vice Chairmen of the Preparatory Meeting and established three Working Groups (WGs) as follows: </w:t>
      </w:r>
    </w:p>
    <w:p w:rsidR="00D15A91" w:rsidRPr="00A54AC6" w:rsidRDefault="00D15A91" w:rsidP="00D15A91">
      <w:pPr>
        <w:pStyle w:val="ListParagraph"/>
        <w:numPr>
          <w:ilvl w:val="0"/>
          <w:numId w:val="10"/>
        </w:numPr>
        <w:rPr>
          <w:color w:val="000000"/>
          <w:shd w:val="clear" w:color="auto" w:fill="FFFFFF"/>
        </w:rPr>
      </w:pPr>
      <w:r w:rsidRPr="00A54AC6">
        <w:rPr>
          <w:color w:val="000000"/>
          <w:shd w:val="clear" w:color="auto" w:fill="FFFFFF"/>
        </w:rPr>
        <w:t>WG1 – ITU-T Working Methods</w:t>
      </w:r>
    </w:p>
    <w:p w:rsidR="00D15A91" w:rsidRPr="00A54AC6" w:rsidRDefault="00D15A91" w:rsidP="00D15A91">
      <w:pPr>
        <w:pStyle w:val="ListParagraph"/>
        <w:numPr>
          <w:ilvl w:val="0"/>
          <w:numId w:val="10"/>
        </w:numPr>
        <w:rPr>
          <w:color w:val="000000"/>
          <w:shd w:val="clear" w:color="auto" w:fill="FFFFFF"/>
        </w:rPr>
      </w:pPr>
      <w:r w:rsidRPr="00A54AC6">
        <w:rPr>
          <w:color w:val="000000"/>
          <w:shd w:val="clear" w:color="auto" w:fill="FFFFFF"/>
        </w:rPr>
        <w:t>WG2 – ITU-T Work Organization</w:t>
      </w:r>
    </w:p>
    <w:p w:rsidR="00D15A91" w:rsidRPr="00A54AC6" w:rsidRDefault="00D15A91" w:rsidP="00D15A91">
      <w:pPr>
        <w:pStyle w:val="ListParagraph"/>
        <w:numPr>
          <w:ilvl w:val="0"/>
          <w:numId w:val="10"/>
        </w:numPr>
        <w:rPr>
          <w:color w:val="000000"/>
          <w:shd w:val="clear" w:color="auto" w:fill="FFFFFF"/>
        </w:rPr>
      </w:pPr>
      <w:r w:rsidRPr="00A54AC6">
        <w:rPr>
          <w:color w:val="000000"/>
          <w:shd w:val="clear" w:color="auto" w:fill="FFFFFF"/>
        </w:rPr>
        <w:t>WG3 – Standardization Related Issues</w:t>
      </w:r>
    </w:p>
    <w:p w:rsidR="00D15A91" w:rsidRPr="00A54AC6" w:rsidRDefault="00D15A91" w:rsidP="00D15A91">
      <w:pPr>
        <w:autoSpaceDE w:val="0"/>
        <w:autoSpaceDN w:val="0"/>
        <w:adjustRightInd w:val="0"/>
        <w:snapToGrid w:val="0"/>
        <w:spacing w:before="120"/>
        <w:ind w:left="426"/>
      </w:pPr>
      <w:r w:rsidRPr="00A54AC6">
        <w:t>The office bearers of this preparatory work are shown as Annex A.</w:t>
      </w:r>
    </w:p>
    <w:p w:rsidR="00D15A91" w:rsidRPr="00A54AC6" w:rsidRDefault="00D15A91" w:rsidP="00D15A91">
      <w:pPr>
        <w:widowControl w:val="0"/>
        <w:numPr>
          <w:ilvl w:val="0"/>
          <w:numId w:val="9"/>
        </w:numPr>
        <w:tabs>
          <w:tab w:val="num" w:pos="786"/>
        </w:tabs>
        <w:autoSpaceDE w:val="0"/>
        <w:autoSpaceDN w:val="0"/>
        <w:adjustRightInd w:val="0"/>
        <w:snapToGrid w:val="0"/>
        <w:spacing w:beforeLines="100" w:before="240" w:line="240" w:lineRule="atLeast"/>
        <w:ind w:left="357" w:hanging="357"/>
        <w:rPr>
          <w:b/>
        </w:rPr>
      </w:pPr>
      <w:r w:rsidRPr="00A54AC6">
        <w:rPr>
          <w:b/>
        </w:rPr>
        <w:t>Issues for discussion of WG1</w:t>
      </w:r>
    </w:p>
    <w:p w:rsidR="00D15A91" w:rsidRPr="00A54AC6" w:rsidRDefault="00D15A91" w:rsidP="000F75CE">
      <w:pPr>
        <w:autoSpaceDE w:val="0"/>
        <w:autoSpaceDN w:val="0"/>
        <w:adjustRightInd w:val="0"/>
        <w:snapToGrid w:val="0"/>
        <w:spacing w:before="120"/>
        <w:ind w:left="426"/>
        <w:jc w:val="both"/>
      </w:pPr>
      <w:r w:rsidRPr="00A54AC6">
        <w:t xml:space="preserve">ITU-T review committee was established in WTSA-12 in Dubai, UAE, </w:t>
      </w:r>
      <w:proofErr w:type="gramStart"/>
      <w:r w:rsidRPr="00A54AC6">
        <w:t>20</w:t>
      </w:r>
      <w:proofErr w:type="gramEnd"/>
      <w:r w:rsidRPr="00A54AC6">
        <w:t>-29 November 2012. The objective of the review committee is to review the structure and working method of ITU-T to ensure that ITU-T continues meeting the standardization needs of an evolving business environment. The summary of the discussions were reported in TD174 R2/</w:t>
      </w:r>
      <w:proofErr w:type="spellStart"/>
      <w:r w:rsidRPr="00A54AC6">
        <w:t>RevCom</w:t>
      </w:r>
      <w:proofErr w:type="spellEnd"/>
      <w:r w:rsidRPr="00A54AC6">
        <w:t>. WTSA-12 resolutions should be reviewed and considered in the WG1 of the preparatory meeting as well. The following sections are the highlight of TSAG /</w:t>
      </w:r>
      <w:proofErr w:type="spellStart"/>
      <w:r w:rsidRPr="00A54AC6">
        <w:t>RevCom</w:t>
      </w:r>
      <w:proofErr w:type="spellEnd"/>
      <w:r w:rsidRPr="00A54AC6">
        <w:t xml:space="preserve"> and WTSA-12 Resolutions for the discussions in WG1.</w:t>
      </w:r>
    </w:p>
    <w:p w:rsidR="00D15A91" w:rsidRPr="00A54AC6" w:rsidRDefault="00D15A91" w:rsidP="00D15A91">
      <w:pPr>
        <w:pStyle w:val="Heading1"/>
        <w:numPr>
          <w:ilvl w:val="0"/>
          <w:numId w:val="11"/>
        </w:numPr>
        <w:spacing w:before="240" w:after="60"/>
        <w:jc w:val="left"/>
        <w:rPr>
          <w:b w:val="0"/>
        </w:rPr>
      </w:pPr>
      <w:r w:rsidRPr="00A54AC6">
        <w:t xml:space="preserve">Review of working mechanisms </w:t>
      </w:r>
    </w:p>
    <w:p w:rsidR="00D15A91" w:rsidRPr="00A54AC6" w:rsidRDefault="00D15A91" w:rsidP="000F75CE">
      <w:pPr>
        <w:autoSpaceDE w:val="0"/>
        <w:autoSpaceDN w:val="0"/>
        <w:adjustRightInd w:val="0"/>
        <w:snapToGrid w:val="0"/>
        <w:spacing w:before="120"/>
        <w:ind w:left="426"/>
        <w:jc w:val="both"/>
      </w:pPr>
      <w:r w:rsidRPr="00A54AC6">
        <w:t xml:space="preserve">A review of the effectiveness and efficiency of the current ITU-T structure and groups (SG, FG, JCA, GSI, etc.) is in progress. Usage of other tools and their success will depend heavily on their operational management. Focus Groups were identified as a key tool in ITU-T to trigger new work in the various Study Groups. </w:t>
      </w:r>
    </w:p>
    <w:p w:rsidR="00D15A91" w:rsidRPr="00A54AC6" w:rsidRDefault="00D15A91" w:rsidP="00D15A91">
      <w:pPr>
        <w:autoSpaceDE w:val="0"/>
        <w:autoSpaceDN w:val="0"/>
        <w:adjustRightInd w:val="0"/>
        <w:snapToGrid w:val="0"/>
        <w:spacing w:before="120"/>
      </w:pPr>
      <w:r w:rsidRPr="00A54AC6">
        <w:t>(Discussion points in WG1)</w:t>
      </w:r>
    </w:p>
    <w:p w:rsidR="00D15A91" w:rsidRPr="00A54AC6" w:rsidRDefault="00D15A91" w:rsidP="000F75CE">
      <w:pPr>
        <w:autoSpaceDE w:val="0"/>
        <w:autoSpaceDN w:val="0"/>
        <w:adjustRightInd w:val="0"/>
        <w:snapToGrid w:val="0"/>
        <w:spacing w:before="120"/>
        <w:ind w:left="426"/>
        <w:jc w:val="both"/>
      </w:pPr>
      <w:r w:rsidRPr="00A54AC6">
        <w:t xml:space="preserve">WG1 evaluate the current mechanisms of ITU-T and studies the improvements of them.  </w:t>
      </w:r>
    </w:p>
    <w:p w:rsidR="00D15A91" w:rsidRPr="00A54AC6" w:rsidRDefault="00D15A91" w:rsidP="00D15A91">
      <w:pPr>
        <w:pStyle w:val="Heading1"/>
        <w:numPr>
          <w:ilvl w:val="0"/>
          <w:numId w:val="11"/>
        </w:numPr>
        <w:tabs>
          <w:tab w:val="num" w:pos="432"/>
        </w:tabs>
        <w:spacing w:before="240" w:after="60"/>
        <w:jc w:val="left"/>
        <w:rPr>
          <w:b w:val="0"/>
        </w:rPr>
      </w:pPr>
      <w:r w:rsidRPr="00A54AC6">
        <w:lastRenderedPageBreak/>
        <w:t xml:space="preserve">Efficient transfer of FG deliverables </w:t>
      </w:r>
    </w:p>
    <w:p w:rsidR="00D15A91" w:rsidRPr="00A54AC6" w:rsidRDefault="00D15A91" w:rsidP="000F75CE">
      <w:pPr>
        <w:autoSpaceDE w:val="0"/>
        <w:autoSpaceDN w:val="0"/>
        <w:adjustRightInd w:val="0"/>
        <w:snapToGrid w:val="0"/>
        <w:spacing w:before="120"/>
        <w:ind w:left="426"/>
        <w:jc w:val="both"/>
      </w:pPr>
      <w:r w:rsidRPr="00A54AC6">
        <w:t>FGs are a flexible tool for progressing new work. Such flexibility may allow groups to develop a wide range of deliverables. Since there have been many instances in which the membership of a FG does not have experience in the development of technical specifications, it has been common that FG deliverables, although useful, needed to be reworked by the parent SG.</w:t>
      </w:r>
      <w:bookmarkStart w:id="1" w:name="OLE_LINK5"/>
      <w:r w:rsidRPr="00A54AC6">
        <w:t xml:space="preserve"> The creation of FG “guidelines”, including continued coordination with its parent group, could facilitate the efficient transfer to the parent group of FG deliverables aimed at becoming draft Recommendations or Supplements. </w:t>
      </w:r>
      <w:bookmarkEnd w:id="1"/>
      <w:r w:rsidRPr="00A54AC6">
        <w:t xml:space="preserve"> </w:t>
      </w:r>
    </w:p>
    <w:p w:rsidR="00D15A91" w:rsidRPr="00A54AC6" w:rsidRDefault="00D15A91" w:rsidP="000F75CE">
      <w:pPr>
        <w:autoSpaceDE w:val="0"/>
        <w:autoSpaceDN w:val="0"/>
        <w:adjustRightInd w:val="0"/>
        <w:snapToGrid w:val="0"/>
        <w:spacing w:before="120"/>
        <w:ind w:left="426"/>
        <w:jc w:val="both"/>
      </w:pPr>
      <w:proofErr w:type="spellStart"/>
      <w:r w:rsidRPr="00A54AC6">
        <w:t>RevCom</w:t>
      </w:r>
      <w:proofErr w:type="spellEnd"/>
      <w:r w:rsidRPr="00A54AC6">
        <w:t xml:space="preserve"> recommends to TSAG that ITU-T issue guidelines as an appendix to ITU-T A.7, as found in TD 309/TSA</w:t>
      </w:r>
      <w:bookmarkStart w:id="2" w:name="OLE_LINK9"/>
      <w:r w:rsidRPr="00A54AC6">
        <w:t>G.</w:t>
      </w:r>
    </w:p>
    <w:p w:rsidR="00D15A91" w:rsidRPr="00A54AC6" w:rsidRDefault="00D15A91" w:rsidP="00D15A91">
      <w:pPr>
        <w:autoSpaceDE w:val="0"/>
        <w:autoSpaceDN w:val="0"/>
        <w:adjustRightInd w:val="0"/>
        <w:snapToGrid w:val="0"/>
        <w:spacing w:before="120"/>
      </w:pPr>
      <w:r w:rsidRPr="00A54AC6">
        <w:t>(Discussion points in WG1)</w:t>
      </w:r>
    </w:p>
    <w:p w:rsidR="00D15A91" w:rsidRPr="00A54AC6" w:rsidRDefault="00D15A91" w:rsidP="000F75CE">
      <w:pPr>
        <w:autoSpaceDE w:val="0"/>
        <w:autoSpaceDN w:val="0"/>
        <w:adjustRightInd w:val="0"/>
        <w:snapToGrid w:val="0"/>
        <w:spacing w:before="120"/>
        <w:ind w:left="426"/>
        <w:jc w:val="both"/>
      </w:pPr>
      <w:r w:rsidRPr="00A54AC6">
        <w:t>ITU-T Recommendation A.7 has revised with new appendix. Are there any additional improvements on A.7?</w:t>
      </w:r>
    </w:p>
    <w:p w:rsidR="00D15A91" w:rsidRPr="00A54AC6" w:rsidRDefault="00D15A91" w:rsidP="00D15A91">
      <w:pPr>
        <w:pStyle w:val="Heading1"/>
        <w:numPr>
          <w:ilvl w:val="0"/>
          <w:numId w:val="11"/>
        </w:numPr>
        <w:tabs>
          <w:tab w:val="num" w:pos="432"/>
        </w:tabs>
        <w:spacing w:before="240" w:after="60"/>
        <w:jc w:val="left"/>
        <w:rPr>
          <w:b w:val="0"/>
        </w:rPr>
      </w:pPr>
      <w:r w:rsidRPr="00A54AC6">
        <w:t>Standardization Strategy Function</w:t>
      </w:r>
    </w:p>
    <w:p w:rsidR="00D15A91" w:rsidRPr="00A54AC6" w:rsidRDefault="00D15A91" w:rsidP="000F75CE">
      <w:pPr>
        <w:autoSpaceDE w:val="0"/>
        <w:autoSpaceDN w:val="0"/>
        <w:adjustRightInd w:val="0"/>
        <w:snapToGrid w:val="0"/>
        <w:spacing w:before="120"/>
        <w:ind w:left="426"/>
        <w:jc w:val="both"/>
      </w:pPr>
      <w:proofErr w:type="spellStart"/>
      <w:r w:rsidRPr="00A54AC6">
        <w:t>RevCom</w:t>
      </w:r>
      <w:proofErr w:type="spellEnd"/>
      <w:r w:rsidRPr="00A54AC6">
        <w:t xml:space="preserve"> agrees on the need to implement in ITU-T a new standardization strategy function created by TSAG, in line with TSAG's responsibility for strategic planning. </w:t>
      </w:r>
      <w:bookmarkStart w:id="3" w:name="OLE_LINK4"/>
      <w:r w:rsidRPr="00A54AC6">
        <w:t xml:space="preserve">This function would study and coordinate standardization strategy based on the dynamic developments in the technical market(s) taking into account the dialogue among the leadership of ITU-T working groups (e.g., SG and FG Chairmen) on the identification and initiation of new work topics that are of strategic importance to industry and governments. </w:t>
      </w:r>
      <w:bookmarkStart w:id="4" w:name="OLE_LINK2"/>
      <w:bookmarkStart w:id="5" w:name="OLE_LINK3"/>
    </w:p>
    <w:p w:rsidR="00D15A91" w:rsidRPr="00A54AC6" w:rsidRDefault="00D15A91" w:rsidP="000F75CE">
      <w:pPr>
        <w:autoSpaceDE w:val="0"/>
        <w:autoSpaceDN w:val="0"/>
        <w:adjustRightInd w:val="0"/>
        <w:snapToGrid w:val="0"/>
        <w:spacing w:before="120"/>
        <w:ind w:left="426"/>
        <w:jc w:val="both"/>
      </w:pPr>
      <w:r w:rsidRPr="00A54AC6">
        <w:t xml:space="preserve">At this meeting, </w:t>
      </w:r>
      <w:proofErr w:type="spellStart"/>
      <w:r w:rsidRPr="00A54AC6">
        <w:t>RevCom</w:t>
      </w:r>
      <w:proofErr w:type="spellEnd"/>
      <w:r w:rsidRPr="00A54AC6">
        <w:t xml:space="preserve"> agreed at basic terms of reference for this function, as seen in </w:t>
      </w:r>
      <w:hyperlink r:id="rId8" w:history="1">
        <w:r w:rsidRPr="00A54AC6">
          <w:t>TD 186r2/</w:t>
        </w:r>
        <w:proofErr w:type="spellStart"/>
        <w:r w:rsidRPr="00A54AC6">
          <w:t>RevCom</w:t>
        </w:r>
        <w:proofErr w:type="spellEnd"/>
      </w:hyperlink>
      <w:r w:rsidRPr="00A54AC6">
        <w:t xml:space="preserve"> (2015-05), but still need further discussion on three principle aspects: whether it should be a function implemented under TSAG, or independently; who should chair it (TSB Director, an ITU-T member, or a non-ITU-T member from industry); and whether the group should be open to non-ITU-T members. </w:t>
      </w:r>
      <w:proofErr w:type="spellStart"/>
      <w:r w:rsidRPr="00A54AC6">
        <w:t>RevCom</w:t>
      </w:r>
      <w:proofErr w:type="spellEnd"/>
      <w:r w:rsidRPr="00A54AC6">
        <w:t xml:space="preserve"> will continue discussion of the proposal and will report at the next TSAG meeting. Contributions on the topic are invited.</w:t>
      </w:r>
      <w:bookmarkEnd w:id="3"/>
      <w:bookmarkEnd w:id="4"/>
      <w:bookmarkEnd w:id="5"/>
    </w:p>
    <w:p w:rsidR="00D15A91" w:rsidRPr="00A54AC6" w:rsidRDefault="00D15A91" w:rsidP="00D15A91">
      <w:pPr>
        <w:autoSpaceDE w:val="0"/>
        <w:autoSpaceDN w:val="0"/>
        <w:adjustRightInd w:val="0"/>
        <w:snapToGrid w:val="0"/>
        <w:spacing w:before="120"/>
      </w:pPr>
      <w:r w:rsidRPr="00A54AC6">
        <w:t>(Discussion points in WG1)</w:t>
      </w:r>
    </w:p>
    <w:p w:rsidR="00D15A91" w:rsidRPr="00A54AC6" w:rsidRDefault="00D15A91" w:rsidP="000F75CE">
      <w:pPr>
        <w:autoSpaceDE w:val="0"/>
        <w:autoSpaceDN w:val="0"/>
        <w:adjustRightInd w:val="0"/>
        <w:snapToGrid w:val="0"/>
        <w:spacing w:before="120"/>
        <w:ind w:left="360"/>
        <w:jc w:val="both"/>
      </w:pPr>
      <w:r w:rsidRPr="00A54AC6">
        <w:t>New function of SSF has been proposed and discussed. It will be decided in the next TSAG meeting in January 2016. WG1 should follow the discussion in TSAG/</w:t>
      </w:r>
      <w:proofErr w:type="spellStart"/>
      <w:r w:rsidRPr="00A54AC6">
        <w:t>RevCom</w:t>
      </w:r>
      <w:proofErr w:type="spellEnd"/>
      <w:r w:rsidRPr="00A54AC6">
        <w:t xml:space="preserve"> on this topic and study the possibility of APT common proposal for the next study period. </w:t>
      </w:r>
    </w:p>
    <w:p w:rsidR="00D15A91" w:rsidRPr="00A54AC6" w:rsidRDefault="00D15A91" w:rsidP="00D15A91">
      <w:pPr>
        <w:pStyle w:val="Heading1"/>
        <w:numPr>
          <w:ilvl w:val="0"/>
          <w:numId w:val="11"/>
        </w:numPr>
        <w:tabs>
          <w:tab w:val="num" w:pos="432"/>
        </w:tabs>
        <w:spacing w:before="240" w:after="60"/>
        <w:jc w:val="left"/>
        <w:rPr>
          <w:b w:val="0"/>
        </w:rPr>
      </w:pPr>
      <w:r w:rsidRPr="00A54AC6">
        <w:t>External collaboration mechanisms</w:t>
      </w:r>
      <w:bookmarkEnd w:id="2"/>
      <w:r w:rsidRPr="00A54AC6">
        <w:t xml:space="preserve"> </w:t>
      </w:r>
    </w:p>
    <w:p w:rsidR="00D15A91" w:rsidRPr="00A54AC6" w:rsidRDefault="00D15A91" w:rsidP="000F75CE">
      <w:pPr>
        <w:autoSpaceDE w:val="0"/>
        <w:autoSpaceDN w:val="0"/>
        <w:adjustRightInd w:val="0"/>
        <w:snapToGrid w:val="0"/>
        <w:spacing w:before="120"/>
        <w:ind w:left="426"/>
        <w:jc w:val="both"/>
      </w:pPr>
      <w:bookmarkStart w:id="6" w:name="OLE_LINK10"/>
      <w:r w:rsidRPr="00A54AC6">
        <w:t>The collaboration of ITU and ISO/IEC is long-standing, as signified in WTSA Res.7 and Recommendation ITU-T A.23, as well as the WSC. Nevertheless, many times inter-organizational conflicts arise during the standardization work.</w:t>
      </w:r>
    </w:p>
    <w:p w:rsidR="00D15A91" w:rsidRPr="00A54AC6" w:rsidRDefault="00D15A91" w:rsidP="000F75CE">
      <w:pPr>
        <w:autoSpaceDE w:val="0"/>
        <w:autoSpaceDN w:val="0"/>
        <w:adjustRightInd w:val="0"/>
        <w:snapToGrid w:val="0"/>
        <w:spacing w:before="120"/>
        <w:ind w:left="426"/>
        <w:jc w:val="both"/>
      </w:pPr>
      <w:r w:rsidRPr="00A54AC6">
        <w:t>An agreement on technical co-ordination mechanism among ISO, IEC and ITU-</w:t>
      </w:r>
      <w:proofErr w:type="gramStart"/>
      <w:r w:rsidRPr="00A54AC6">
        <w:t>T[</w:t>
      </w:r>
      <w:proofErr w:type="gramEnd"/>
      <w:r w:rsidRPr="00A54AC6">
        <w:t xml:space="preserve">/ITU-R] was introduced by TSB Director to </w:t>
      </w:r>
      <w:proofErr w:type="spellStart"/>
      <w:r w:rsidRPr="00A54AC6">
        <w:t>RevCom</w:t>
      </w:r>
      <w:proofErr w:type="spellEnd"/>
      <w:r w:rsidRPr="00A54AC6">
        <w:t xml:space="preserve"> in January 2014, after adoption by WSC. This mechanism includes a four-level escalation approach to resolve conflicts between IEC and ITU-T (</w:t>
      </w:r>
      <w:hyperlink r:id="rId9" w:history="1">
        <w:r w:rsidRPr="00A54AC6">
          <w:t>TD 71/</w:t>
        </w:r>
        <w:proofErr w:type="spellStart"/>
        <w:r w:rsidRPr="00A54AC6">
          <w:t>RevCom</w:t>
        </w:r>
        <w:proofErr w:type="spellEnd"/>
      </w:hyperlink>
      <w:r w:rsidRPr="00A54AC6">
        <w:t xml:space="preserve">, 2014-01). The action point for chairmen of SGs and TSAG is to adopt the four levels of conflict resolution.  IEC noted that they have been using this mechanism for a number of years and in fact they have not gone beyond Step 2 of the four-step coordination. </w:t>
      </w:r>
    </w:p>
    <w:p w:rsidR="00D15A91" w:rsidRPr="00A54AC6" w:rsidRDefault="00D15A91" w:rsidP="000F75CE">
      <w:pPr>
        <w:autoSpaceDE w:val="0"/>
        <w:autoSpaceDN w:val="0"/>
        <w:adjustRightInd w:val="0"/>
        <w:snapToGrid w:val="0"/>
        <w:spacing w:before="120"/>
        <w:jc w:val="both"/>
      </w:pPr>
      <w:r w:rsidRPr="00A54AC6">
        <w:t>(Discussion points in WG1)</w:t>
      </w:r>
    </w:p>
    <w:p w:rsidR="00D15A91" w:rsidRPr="00A54AC6" w:rsidRDefault="00D15A91" w:rsidP="000F75CE">
      <w:pPr>
        <w:autoSpaceDE w:val="0"/>
        <w:autoSpaceDN w:val="0"/>
        <w:adjustRightInd w:val="0"/>
        <w:snapToGrid w:val="0"/>
        <w:spacing w:before="120"/>
        <w:ind w:left="360"/>
        <w:jc w:val="both"/>
      </w:pPr>
      <w:r w:rsidRPr="00A54AC6">
        <w:t xml:space="preserve">ITU-T and relevant SDOs are seeking wider and deeper cooperation and collaboration on the various standardization areas. Working procedures are defined in A.4 (Forums /Consortia), </w:t>
      </w:r>
      <w:r w:rsidRPr="00A54AC6">
        <w:lastRenderedPageBreak/>
        <w:t>A.6 (Regional/National SDOs) and A.23 (ISO/IEC). Multi-lateral collaboration mechanism was proposed from the successful experiences in CITS (Collaboration on ITS Communication Standards) in TD 185/</w:t>
      </w:r>
      <w:proofErr w:type="spellStart"/>
      <w:r w:rsidRPr="00A54AC6">
        <w:t>RevCom</w:t>
      </w:r>
      <w:proofErr w:type="spellEnd"/>
      <w:r w:rsidRPr="00A54AC6">
        <w:t xml:space="preserve">. </w:t>
      </w:r>
    </w:p>
    <w:bookmarkEnd w:id="6"/>
    <w:p w:rsidR="00D15A91" w:rsidRPr="00A54AC6" w:rsidRDefault="00D15A91" w:rsidP="00D15A91">
      <w:pPr>
        <w:pStyle w:val="Heading1"/>
        <w:numPr>
          <w:ilvl w:val="0"/>
          <w:numId w:val="11"/>
        </w:numPr>
        <w:spacing w:before="240" w:after="60"/>
        <w:jc w:val="left"/>
        <w:rPr>
          <w:b w:val="0"/>
          <w:bCs w:val="0"/>
          <w:lang w:eastAsia="zh-CN"/>
        </w:rPr>
      </w:pPr>
      <w:r w:rsidRPr="00A54AC6">
        <w:rPr>
          <w:lang w:eastAsia="zh-CN"/>
        </w:rPr>
        <w:t xml:space="preserve">Outcomes of ITU PP-14 </w:t>
      </w:r>
    </w:p>
    <w:p w:rsidR="00D15A91" w:rsidRPr="00A54AC6" w:rsidRDefault="00D15A91" w:rsidP="000F75CE">
      <w:pPr>
        <w:autoSpaceDE w:val="0"/>
        <w:autoSpaceDN w:val="0"/>
        <w:adjustRightInd w:val="0"/>
        <w:snapToGrid w:val="0"/>
        <w:spacing w:before="120"/>
        <w:ind w:left="426"/>
        <w:jc w:val="both"/>
      </w:pPr>
      <w:r w:rsidRPr="00A54AC6">
        <w:t xml:space="preserve">The outcomes of the Plenipotentiary Conference 2014 (PP-14), 20 October – 7 November 2014, Busan, </w:t>
      </w:r>
      <w:proofErr w:type="gramStart"/>
      <w:r w:rsidRPr="00A54AC6">
        <w:t>Republic</w:t>
      </w:r>
      <w:proofErr w:type="gramEnd"/>
      <w:r w:rsidRPr="00A54AC6">
        <w:t xml:space="preserve"> of Korea should be considered when discussing on working methods. Final acts of the PP-14 is attached in Annex B. Summary of the result of PP-14 was reported by TSB director in TD272/TSAG. </w:t>
      </w:r>
    </w:p>
    <w:p w:rsidR="00D15A91" w:rsidRPr="00A54AC6" w:rsidRDefault="00D15A91" w:rsidP="00D15A91">
      <w:pPr>
        <w:autoSpaceDE w:val="0"/>
        <w:autoSpaceDN w:val="0"/>
        <w:adjustRightInd w:val="0"/>
        <w:snapToGrid w:val="0"/>
        <w:spacing w:before="120"/>
      </w:pPr>
      <w:r w:rsidRPr="00A54AC6">
        <w:t>(Discussion points in WG1)</w:t>
      </w:r>
    </w:p>
    <w:p w:rsidR="00D15A91" w:rsidRPr="00A54AC6" w:rsidRDefault="00D15A91" w:rsidP="00D15A91">
      <w:pPr>
        <w:autoSpaceDE w:val="0"/>
        <w:autoSpaceDN w:val="0"/>
        <w:adjustRightInd w:val="0"/>
        <w:snapToGrid w:val="0"/>
        <w:spacing w:before="120"/>
        <w:ind w:left="426"/>
      </w:pPr>
      <w:r w:rsidRPr="00A54AC6">
        <w:t>These are the lists of the WTSA-12 resolutions which should be considered under WG1.</w:t>
      </w:r>
    </w:p>
    <w:p w:rsidR="00D15A91" w:rsidRPr="00A54AC6" w:rsidRDefault="00D15A91" w:rsidP="00D15A91">
      <w:pPr>
        <w:pStyle w:val="TableNotitle"/>
      </w:pPr>
      <w:r w:rsidRPr="00A54AC6">
        <w:t>Table 1</w:t>
      </w:r>
      <w:r w:rsidRPr="00A54AC6">
        <w:br/>
        <w:t>List of WTSA-12 Resolutions and Opinion and responsible WG1</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19"/>
        <w:gridCol w:w="6862"/>
        <w:gridCol w:w="864"/>
      </w:tblGrid>
      <w:tr w:rsidR="00D15A91" w:rsidRPr="00A54AC6" w:rsidTr="00352479">
        <w:trPr>
          <w:cantSplit/>
          <w:tblHeader/>
          <w:jc w:val="center"/>
        </w:trPr>
        <w:tc>
          <w:tcPr>
            <w:tcW w:w="1001" w:type="dxa"/>
            <w:tcBorders>
              <w:top w:val="single" w:sz="12" w:space="0" w:color="auto"/>
              <w:bottom w:val="single" w:sz="12" w:space="0" w:color="auto"/>
            </w:tcBorders>
            <w:shd w:val="clear" w:color="auto" w:fill="auto"/>
          </w:tcPr>
          <w:p w:rsidR="00D15A91" w:rsidRPr="00A54AC6" w:rsidRDefault="00D15A91" w:rsidP="00352479">
            <w:pPr>
              <w:pStyle w:val="Tablehead"/>
              <w:spacing w:before="100" w:beforeAutospacing="1" w:after="100" w:afterAutospacing="1"/>
            </w:pPr>
            <w:r w:rsidRPr="00A54AC6">
              <w:t>Resolution Number*</w:t>
            </w:r>
          </w:p>
        </w:tc>
        <w:tc>
          <w:tcPr>
            <w:tcW w:w="6862" w:type="dxa"/>
            <w:tcBorders>
              <w:top w:val="single" w:sz="12" w:space="0" w:color="auto"/>
              <w:bottom w:val="single" w:sz="12" w:space="0" w:color="auto"/>
            </w:tcBorders>
            <w:shd w:val="clear" w:color="auto" w:fill="auto"/>
          </w:tcPr>
          <w:p w:rsidR="00D15A91" w:rsidRPr="00A54AC6" w:rsidRDefault="00D15A91" w:rsidP="00352479">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00" w:beforeAutospacing="1" w:after="100" w:afterAutospacing="1"/>
            </w:pPr>
            <w:r w:rsidRPr="00A54AC6">
              <w:t>Title</w:t>
            </w:r>
          </w:p>
        </w:tc>
        <w:tc>
          <w:tcPr>
            <w:tcW w:w="864" w:type="dxa"/>
            <w:tcBorders>
              <w:top w:val="single" w:sz="12" w:space="0" w:color="auto"/>
              <w:bottom w:val="single" w:sz="12" w:space="0" w:color="auto"/>
            </w:tcBorders>
          </w:tcPr>
          <w:p w:rsidR="00D15A91" w:rsidRPr="00A54AC6" w:rsidRDefault="00D15A91" w:rsidP="00352479">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00" w:beforeAutospacing="1" w:after="100" w:afterAutospacing="1"/>
              <w:rPr>
                <w:rFonts w:eastAsiaTheme="minorEastAsia"/>
                <w:lang w:eastAsia="ja-JP"/>
              </w:rPr>
            </w:pPr>
            <w:r w:rsidRPr="00A54AC6">
              <w:rPr>
                <w:rFonts w:eastAsiaTheme="minorEastAsia"/>
                <w:lang w:eastAsia="ja-JP"/>
              </w:rPr>
              <w:t>WG</w:t>
            </w:r>
          </w:p>
        </w:tc>
      </w:tr>
      <w:tr w:rsidR="00D15A91" w:rsidRPr="00A54AC6" w:rsidTr="00352479">
        <w:trPr>
          <w:cantSplit/>
          <w:jc w:val="center"/>
        </w:trPr>
        <w:tc>
          <w:tcPr>
            <w:tcW w:w="1001" w:type="dxa"/>
            <w:tcBorders>
              <w:top w:val="single" w:sz="12" w:space="0" w:color="auto"/>
            </w:tcBorders>
            <w:shd w:val="clear" w:color="auto" w:fill="auto"/>
          </w:tcPr>
          <w:p w:rsidR="00D15A91" w:rsidRPr="00A54AC6" w:rsidRDefault="00D15A91" w:rsidP="00352479">
            <w:pPr>
              <w:pStyle w:val="Tabletext"/>
              <w:spacing w:before="100" w:beforeAutospacing="1" w:after="100" w:afterAutospacing="1"/>
              <w:jc w:val="center"/>
            </w:pPr>
            <w:hyperlink r:id="rId10" w:history="1">
              <w:r w:rsidRPr="00A54AC6">
                <w:rPr>
                  <w:rStyle w:val="Hyperlink"/>
                </w:rPr>
                <w:t>1</w:t>
              </w:r>
            </w:hyperlink>
          </w:p>
        </w:tc>
        <w:tc>
          <w:tcPr>
            <w:tcW w:w="6862" w:type="dxa"/>
            <w:tcBorders>
              <w:top w:val="single" w:sz="12" w:space="0" w:color="auto"/>
            </w:tcBorders>
            <w:shd w:val="clear" w:color="auto" w:fill="auto"/>
          </w:tcPr>
          <w:p w:rsidR="00D15A91" w:rsidRPr="00A54AC6" w:rsidRDefault="00D15A91" w:rsidP="00352479">
            <w:pPr>
              <w:pStyle w:val="Tabletext"/>
              <w:spacing w:before="100" w:beforeAutospacing="1" w:after="100" w:afterAutospacing="1"/>
            </w:pPr>
            <w:r w:rsidRPr="00A54AC6">
              <w:t xml:space="preserve">Resolution 1 – Rules of procedure of the ITU Telecommunication Standardization Sector </w:t>
            </w:r>
          </w:p>
        </w:tc>
        <w:tc>
          <w:tcPr>
            <w:tcW w:w="864" w:type="dxa"/>
            <w:tcBorders>
              <w:top w:val="single" w:sz="12" w:space="0" w:color="auto"/>
            </w:tcBorders>
          </w:tcPr>
          <w:p w:rsidR="00D15A91" w:rsidRPr="00A54AC6" w:rsidRDefault="00D15A91" w:rsidP="00352479">
            <w:pPr>
              <w:pStyle w:val="Tabletext"/>
              <w:spacing w:before="100" w:beforeAutospacing="1" w:after="100" w:afterAutospacing="1"/>
              <w:rPr>
                <w:rFonts w:eastAsiaTheme="minorEastAsia"/>
                <w:lang w:eastAsia="ja-JP"/>
              </w:rPr>
            </w:pPr>
            <w:r w:rsidRPr="00A54AC6">
              <w:rPr>
                <w:rFonts w:eastAsiaTheme="minorEastAsia"/>
                <w:lang w:eastAsia="ja-JP"/>
              </w:rPr>
              <w:t>WG1</w:t>
            </w:r>
          </w:p>
        </w:tc>
      </w:tr>
      <w:tr w:rsidR="00D15A91" w:rsidRPr="00A54AC6" w:rsidTr="00352479">
        <w:trPr>
          <w:cantSplit/>
          <w:jc w:val="center"/>
        </w:trPr>
        <w:tc>
          <w:tcPr>
            <w:tcW w:w="1001" w:type="dxa"/>
            <w:shd w:val="clear" w:color="auto" w:fill="auto"/>
          </w:tcPr>
          <w:p w:rsidR="00D15A91" w:rsidRPr="00A54AC6" w:rsidRDefault="00D15A91" w:rsidP="00352479">
            <w:pPr>
              <w:pStyle w:val="Tabletext"/>
              <w:spacing w:before="100" w:beforeAutospacing="1" w:after="100" w:afterAutospacing="1"/>
              <w:jc w:val="center"/>
            </w:pPr>
            <w:hyperlink r:id="rId11" w:history="1">
              <w:r w:rsidRPr="00A54AC6">
                <w:rPr>
                  <w:rStyle w:val="Hyperlink"/>
                </w:rPr>
                <w:t>7</w:t>
              </w:r>
            </w:hyperlink>
          </w:p>
        </w:tc>
        <w:tc>
          <w:tcPr>
            <w:tcW w:w="6862" w:type="dxa"/>
            <w:shd w:val="clear" w:color="auto" w:fill="auto"/>
          </w:tcPr>
          <w:p w:rsidR="00D15A91" w:rsidRPr="00A54AC6" w:rsidRDefault="00D15A91" w:rsidP="00352479">
            <w:pPr>
              <w:pStyle w:val="Tabletext"/>
              <w:spacing w:before="100" w:beforeAutospacing="1" w:after="100" w:afterAutospacing="1"/>
            </w:pPr>
            <w:r w:rsidRPr="00A54AC6">
              <w:t xml:space="preserve">Resolution 7 – Collaboration with the International Organization for Standardization and the International </w:t>
            </w:r>
            <w:proofErr w:type="spellStart"/>
            <w:r w:rsidRPr="00A54AC6">
              <w:t>Electrotechnical</w:t>
            </w:r>
            <w:proofErr w:type="spellEnd"/>
            <w:r w:rsidRPr="00A54AC6">
              <w:t xml:space="preserve"> Commission </w:t>
            </w:r>
          </w:p>
        </w:tc>
        <w:tc>
          <w:tcPr>
            <w:tcW w:w="864" w:type="dxa"/>
          </w:tcPr>
          <w:p w:rsidR="00D15A91" w:rsidRPr="00A54AC6" w:rsidRDefault="00D15A91" w:rsidP="00352479">
            <w:pPr>
              <w:pStyle w:val="Tabletext"/>
              <w:spacing w:before="100" w:beforeAutospacing="1" w:after="100" w:afterAutospacing="1"/>
              <w:rPr>
                <w:rFonts w:eastAsiaTheme="minorEastAsia"/>
                <w:lang w:eastAsia="ja-JP"/>
              </w:rPr>
            </w:pPr>
            <w:r w:rsidRPr="00A54AC6">
              <w:rPr>
                <w:rFonts w:eastAsiaTheme="minorEastAsia"/>
                <w:lang w:eastAsia="ja-JP"/>
              </w:rPr>
              <w:t>WG1</w:t>
            </w:r>
          </w:p>
        </w:tc>
      </w:tr>
      <w:tr w:rsidR="00D15A91" w:rsidRPr="00A54AC6" w:rsidTr="00352479">
        <w:trPr>
          <w:cantSplit/>
          <w:jc w:val="center"/>
        </w:trPr>
        <w:tc>
          <w:tcPr>
            <w:tcW w:w="1001" w:type="dxa"/>
            <w:shd w:val="clear" w:color="auto" w:fill="auto"/>
          </w:tcPr>
          <w:p w:rsidR="00D15A91" w:rsidRPr="00A54AC6" w:rsidRDefault="00D15A91" w:rsidP="00352479">
            <w:pPr>
              <w:pStyle w:val="Tabletext"/>
              <w:spacing w:before="100" w:beforeAutospacing="1" w:after="100" w:afterAutospacing="1"/>
              <w:jc w:val="center"/>
            </w:pPr>
            <w:hyperlink r:id="rId12" w:history="1">
              <w:r w:rsidRPr="00A54AC6">
                <w:rPr>
                  <w:rStyle w:val="Hyperlink"/>
                </w:rPr>
                <w:t>11</w:t>
              </w:r>
            </w:hyperlink>
          </w:p>
        </w:tc>
        <w:tc>
          <w:tcPr>
            <w:tcW w:w="6862" w:type="dxa"/>
            <w:shd w:val="clear" w:color="auto" w:fill="auto"/>
          </w:tcPr>
          <w:p w:rsidR="00D15A91" w:rsidRPr="00A54AC6" w:rsidRDefault="00D15A91" w:rsidP="00352479">
            <w:pPr>
              <w:pStyle w:val="Tabletext"/>
              <w:spacing w:before="100" w:beforeAutospacing="1" w:after="100" w:afterAutospacing="1"/>
            </w:pPr>
            <w:r w:rsidRPr="00A54AC6">
              <w:t>Resolution 11 – Collaboration with the Postal Operations Council of the Universal Postal Union in the study of services concerning both the postal and the telecommunication sectors</w:t>
            </w:r>
          </w:p>
        </w:tc>
        <w:tc>
          <w:tcPr>
            <w:tcW w:w="864" w:type="dxa"/>
          </w:tcPr>
          <w:p w:rsidR="00D15A91" w:rsidRPr="00A54AC6" w:rsidRDefault="00D15A91" w:rsidP="00352479">
            <w:pPr>
              <w:pStyle w:val="Tabletext"/>
              <w:spacing w:before="100" w:beforeAutospacing="1" w:after="100" w:afterAutospacing="1"/>
              <w:rPr>
                <w:rFonts w:eastAsiaTheme="minorEastAsia"/>
                <w:lang w:eastAsia="ja-JP"/>
              </w:rPr>
            </w:pPr>
            <w:r w:rsidRPr="00A54AC6">
              <w:rPr>
                <w:rFonts w:eastAsiaTheme="minorEastAsia"/>
                <w:lang w:eastAsia="ja-JP"/>
              </w:rPr>
              <w:t>WG1</w:t>
            </w:r>
          </w:p>
        </w:tc>
      </w:tr>
      <w:tr w:rsidR="00D15A91" w:rsidRPr="00A54AC6" w:rsidTr="00352479">
        <w:trPr>
          <w:cantSplit/>
          <w:jc w:val="center"/>
        </w:trPr>
        <w:tc>
          <w:tcPr>
            <w:tcW w:w="1001" w:type="dxa"/>
            <w:shd w:val="clear" w:color="auto" w:fill="auto"/>
          </w:tcPr>
          <w:p w:rsidR="00D15A91" w:rsidRPr="00A54AC6" w:rsidRDefault="00D15A91" w:rsidP="00352479">
            <w:pPr>
              <w:pStyle w:val="Tabletext"/>
              <w:spacing w:before="100" w:beforeAutospacing="1" w:after="100" w:afterAutospacing="1"/>
              <w:jc w:val="center"/>
            </w:pPr>
            <w:hyperlink r:id="rId13" w:history="1">
              <w:r w:rsidRPr="00A54AC6">
                <w:rPr>
                  <w:rStyle w:val="Hyperlink"/>
                </w:rPr>
                <w:t>18</w:t>
              </w:r>
            </w:hyperlink>
          </w:p>
        </w:tc>
        <w:tc>
          <w:tcPr>
            <w:tcW w:w="6862" w:type="dxa"/>
            <w:shd w:val="clear" w:color="auto" w:fill="auto"/>
          </w:tcPr>
          <w:p w:rsidR="00D15A91" w:rsidRPr="00A54AC6" w:rsidRDefault="00D15A91" w:rsidP="00352479">
            <w:pPr>
              <w:pStyle w:val="Tabletext"/>
              <w:spacing w:before="100" w:beforeAutospacing="1" w:after="100" w:afterAutospacing="1"/>
            </w:pPr>
            <w:r w:rsidRPr="00A54AC6">
              <w:t>Resolution 18 – Principles and procedures for the allocation of work to, and coordination between, ITU Radiocommunication and ITU Telecommunication Standardization Sectors</w:t>
            </w:r>
          </w:p>
        </w:tc>
        <w:tc>
          <w:tcPr>
            <w:tcW w:w="864" w:type="dxa"/>
          </w:tcPr>
          <w:p w:rsidR="00D15A91" w:rsidRPr="00A54AC6" w:rsidRDefault="00D15A91" w:rsidP="00352479">
            <w:pPr>
              <w:pStyle w:val="Tabletext"/>
              <w:spacing w:before="100" w:beforeAutospacing="1" w:after="100" w:afterAutospacing="1"/>
              <w:rPr>
                <w:rFonts w:eastAsiaTheme="minorEastAsia"/>
                <w:lang w:eastAsia="ja-JP"/>
              </w:rPr>
            </w:pPr>
            <w:r w:rsidRPr="00A54AC6">
              <w:rPr>
                <w:rFonts w:eastAsiaTheme="minorEastAsia"/>
                <w:lang w:eastAsia="ja-JP"/>
              </w:rPr>
              <w:t>WG1</w:t>
            </w:r>
          </w:p>
        </w:tc>
      </w:tr>
      <w:tr w:rsidR="00D15A91" w:rsidRPr="00A54AC6" w:rsidTr="00352479">
        <w:trPr>
          <w:cantSplit/>
          <w:jc w:val="center"/>
        </w:trPr>
        <w:tc>
          <w:tcPr>
            <w:tcW w:w="1001" w:type="dxa"/>
            <w:shd w:val="clear" w:color="auto" w:fill="auto"/>
          </w:tcPr>
          <w:p w:rsidR="00D15A91" w:rsidRPr="00A54AC6" w:rsidRDefault="00D15A91" w:rsidP="00352479">
            <w:pPr>
              <w:pStyle w:val="Tabletext"/>
              <w:spacing w:before="100" w:beforeAutospacing="1" w:after="100" w:afterAutospacing="1"/>
              <w:jc w:val="center"/>
            </w:pPr>
            <w:hyperlink r:id="rId14" w:history="1">
              <w:r w:rsidRPr="00A54AC6">
                <w:rPr>
                  <w:rStyle w:val="Hyperlink"/>
                </w:rPr>
                <w:t>22</w:t>
              </w:r>
            </w:hyperlink>
          </w:p>
        </w:tc>
        <w:tc>
          <w:tcPr>
            <w:tcW w:w="6862" w:type="dxa"/>
            <w:shd w:val="clear" w:color="auto" w:fill="auto"/>
          </w:tcPr>
          <w:p w:rsidR="00D15A91" w:rsidRPr="00A54AC6" w:rsidRDefault="00D15A91" w:rsidP="00352479">
            <w:pPr>
              <w:pStyle w:val="Tabletext"/>
              <w:spacing w:before="100" w:beforeAutospacing="1" w:after="100" w:afterAutospacing="1"/>
            </w:pPr>
            <w:r w:rsidRPr="00A54AC6">
              <w:t>Resolution 22 – Authorization for Telecommunication Standardization Advisory Group to act between world telecommunication standardization assemblies</w:t>
            </w:r>
          </w:p>
        </w:tc>
        <w:tc>
          <w:tcPr>
            <w:tcW w:w="864" w:type="dxa"/>
          </w:tcPr>
          <w:p w:rsidR="00D15A91" w:rsidRPr="00A54AC6" w:rsidRDefault="00D15A91" w:rsidP="00352479">
            <w:pPr>
              <w:pStyle w:val="Tabletext"/>
              <w:spacing w:before="100" w:beforeAutospacing="1" w:after="100" w:afterAutospacing="1"/>
              <w:rPr>
                <w:rFonts w:eastAsiaTheme="minorEastAsia"/>
                <w:lang w:eastAsia="ja-JP"/>
              </w:rPr>
            </w:pPr>
            <w:r w:rsidRPr="00A54AC6">
              <w:rPr>
                <w:rFonts w:eastAsiaTheme="minorEastAsia"/>
                <w:lang w:eastAsia="ja-JP"/>
              </w:rPr>
              <w:t>WG1</w:t>
            </w:r>
          </w:p>
        </w:tc>
      </w:tr>
      <w:tr w:rsidR="00D15A91" w:rsidRPr="00A54AC6" w:rsidTr="00352479">
        <w:trPr>
          <w:cantSplit/>
          <w:jc w:val="center"/>
        </w:trPr>
        <w:tc>
          <w:tcPr>
            <w:tcW w:w="1001" w:type="dxa"/>
            <w:shd w:val="clear" w:color="auto" w:fill="auto"/>
          </w:tcPr>
          <w:p w:rsidR="00D15A91" w:rsidRPr="00A54AC6" w:rsidRDefault="00D15A91" w:rsidP="00352479">
            <w:pPr>
              <w:pStyle w:val="Tabletext"/>
              <w:spacing w:before="100" w:beforeAutospacing="1" w:after="100" w:afterAutospacing="1"/>
              <w:jc w:val="center"/>
            </w:pPr>
            <w:hyperlink r:id="rId15" w:history="1">
              <w:r w:rsidRPr="00A54AC6">
                <w:rPr>
                  <w:rStyle w:val="Hyperlink"/>
                </w:rPr>
                <w:t>31</w:t>
              </w:r>
            </w:hyperlink>
          </w:p>
        </w:tc>
        <w:tc>
          <w:tcPr>
            <w:tcW w:w="6862" w:type="dxa"/>
            <w:shd w:val="clear" w:color="auto" w:fill="auto"/>
          </w:tcPr>
          <w:p w:rsidR="00D15A91" w:rsidRPr="00A54AC6" w:rsidRDefault="00D15A91" w:rsidP="00352479">
            <w:pPr>
              <w:pStyle w:val="Tabletext"/>
              <w:spacing w:before="100" w:beforeAutospacing="1" w:after="100" w:afterAutospacing="1"/>
            </w:pPr>
            <w:r w:rsidRPr="00A54AC6">
              <w:t>Resolution 31 – Admission of entities or organizations to participate as Associates in the work of the ITU Telecommunication Standardization Sector</w:t>
            </w:r>
          </w:p>
        </w:tc>
        <w:tc>
          <w:tcPr>
            <w:tcW w:w="864" w:type="dxa"/>
          </w:tcPr>
          <w:p w:rsidR="00D15A91" w:rsidRPr="00A54AC6" w:rsidRDefault="00D15A91" w:rsidP="00352479">
            <w:pPr>
              <w:pStyle w:val="Tabletext"/>
              <w:spacing w:before="100" w:beforeAutospacing="1" w:after="100" w:afterAutospacing="1"/>
              <w:rPr>
                <w:rFonts w:eastAsiaTheme="minorEastAsia"/>
                <w:lang w:eastAsia="ja-JP"/>
              </w:rPr>
            </w:pPr>
            <w:r w:rsidRPr="00A54AC6">
              <w:rPr>
                <w:rFonts w:eastAsiaTheme="minorEastAsia"/>
                <w:lang w:eastAsia="ja-JP"/>
              </w:rPr>
              <w:t>WG1</w:t>
            </w:r>
          </w:p>
        </w:tc>
      </w:tr>
      <w:tr w:rsidR="00D15A91" w:rsidRPr="00A54AC6" w:rsidTr="00352479">
        <w:trPr>
          <w:cantSplit/>
          <w:jc w:val="center"/>
        </w:trPr>
        <w:tc>
          <w:tcPr>
            <w:tcW w:w="1001" w:type="dxa"/>
            <w:shd w:val="clear" w:color="auto" w:fill="auto"/>
          </w:tcPr>
          <w:p w:rsidR="00D15A91" w:rsidRPr="00A54AC6" w:rsidRDefault="00D15A91" w:rsidP="00352479">
            <w:pPr>
              <w:pStyle w:val="Tabletext"/>
              <w:spacing w:before="100" w:beforeAutospacing="1" w:after="100" w:afterAutospacing="1"/>
              <w:jc w:val="center"/>
            </w:pPr>
            <w:hyperlink r:id="rId16" w:history="1">
              <w:r w:rsidRPr="00A54AC6">
                <w:rPr>
                  <w:rStyle w:val="Hyperlink"/>
                </w:rPr>
                <w:t>32</w:t>
              </w:r>
            </w:hyperlink>
          </w:p>
        </w:tc>
        <w:tc>
          <w:tcPr>
            <w:tcW w:w="6862" w:type="dxa"/>
            <w:shd w:val="clear" w:color="auto" w:fill="auto"/>
          </w:tcPr>
          <w:p w:rsidR="00D15A91" w:rsidRPr="00A54AC6" w:rsidRDefault="00D15A91" w:rsidP="00352479">
            <w:pPr>
              <w:pStyle w:val="Tabletext"/>
              <w:spacing w:before="100" w:beforeAutospacing="1" w:after="100" w:afterAutospacing="1"/>
            </w:pPr>
            <w:r w:rsidRPr="00A54AC6">
              <w:t>Resolution 32 – Strengthening electronic working methods for the work of the ITU Telecommunication Standardization Sector</w:t>
            </w:r>
          </w:p>
        </w:tc>
        <w:tc>
          <w:tcPr>
            <w:tcW w:w="864" w:type="dxa"/>
          </w:tcPr>
          <w:p w:rsidR="00D15A91" w:rsidRPr="00A54AC6" w:rsidRDefault="00D15A91" w:rsidP="00352479">
            <w:pPr>
              <w:pStyle w:val="Tabletext"/>
              <w:spacing w:before="100" w:beforeAutospacing="1" w:after="100" w:afterAutospacing="1"/>
              <w:rPr>
                <w:rFonts w:eastAsiaTheme="minorEastAsia"/>
                <w:lang w:eastAsia="ja-JP"/>
              </w:rPr>
            </w:pPr>
            <w:r w:rsidRPr="00A54AC6">
              <w:rPr>
                <w:rFonts w:eastAsiaTheme="minorEastAsia"/>
                <w:lang w:eastAsia="ja-JP"/>
              </w:rPr>
              <w:t>WG1</w:t>
            </w:r>
          </w:p>
        </w:tc>
      </w:tr>
      <w:tr w:rsidR="00D15A91" w:rsidRPr="00A54AC6" w:rsidTr="00352479">
        <w:trPr>
          <w:cantSplit/>
          <w:jc w:val="center"/>
        </w:trPr>
        <w:tc>
          <w:tcPr>
            <w:tcW w:w="1001" w:type="dxa"/>
            <w:shd w:val="clear" w:color="auto" w:fill="auto"/>
          </w:tcPr>
          <w:p w:rsidR="00D15A91" w:rsidRPr="00A54AC6" w:rsidRDefault="00D15A91" w:rsidP="00352479">
            <w:pPr>
              <w:pStyle w:val="Tabletext"/>
              <w:spacing w:before="100" w:beforeAutospacing="1" w:after="100" w:afterAutospacing="1"/>
              <w:jc w:val="center"/>
            </w:pPr>
            <w:hyperlink r:id="rId17" w:history="1">
              <w:r w:rsidRPr="00A54AC6">
                <w:rPr>
                  <w:rStyle w:val="Hyperlink"/>
                </w:rPr>
                <w:t>34</w:t>
              </w:r>
            </w:hyperlink>
          </w:p>
        </w:tc>
        <w:tc>
          <w:tcPr>
            <w:tcW w:w="6862" w:type="dxa"/>
            <w:shd w:val="clear" w:color="auto" w:fill="auto"/>
          </w:tcPr>
          <w:p w:rsidR="00D15A91" w:rsidRPr="00A54AC6" w:rsidRDefault="00D15A91" w:rsidP="00352479">
            <w:pPr>
              <w:pStyle w:val="Tabletext"/>
              <w:spacing w:before="100" w:beforeAutospacing="1" w:after="100" w:afterAutospacing="1"/>
            </w:pPr>
            <w:r w:rsidRPr="00A54AC6">
              <w:t>Resolution 34 – Voluntary contributions</w:t>
            </w:r>
          </w:p>
        </w:tc>
        <w:tc>
          <w:tcPr>
            <w:tcW w:w="864" w:type="dxa"/>
          </w:tcPr>
          <w:p w:rsidR="00D15A91" w:rsidRPr="00A54AC6" w:rsidRDefault="00D15A91" w:rsidP="00352479">
            <w:pPr>
              <w:pStyle w:val="Tabletext"/>
              <w:spacing w:before="100" w:beforeAutospacing="1" w:after="100" w:afterAutospacing="1"/>
              <w:rPr>
                <w:rFonts w:eastAsiaTheme="minorEastAsia"/>
                <w:lang w:eastAsia="ja-JP"/>
              </w:rPr>
            </w:pPr>
            <w:r w:rsidRPr="00A54AC6">
              <w:rPr>
                <w:rFonts w:eastAsiaTheme="minorEastAsia"/>
                <w:lang w:eastAsia="ja-JP"/>
              </w:rPr>
              <w:t>WG1</w:t>
            </w:r>
          </w:p>
        </w:tc>
      </w:tr>
      <w:tr w:rsidR="00D15A91" w:rsidRPr="00A54AC6" w:rsidTr="00352479">
        <w:trPr>
          <w:cantSplit/>
          <w:jc w:val="center"/>
        </w:trPr>
        <w:tc>
          <w:tcPr>
            <w:tcW w:w="1001" w:type="dxa"/>
            <w:shd w:val="clear" w:color="auto" w:fill="auto"/>
          </w:tcPr>
          <w:p w:rsidR="00D15A91" w:rsidRPr="00A54AC6" w:rsidRDefault="00D15A91" w:rsidP="00352479">
            <w:pPr>
              <w:pStyle w:val="Tabletext"/>
              <w:spacing w:before="100" w:beforeAutospacing="1" w:after="100" w:afterAutospacing="1"/>
              <w:jc w:val="center"/>
            </w:pPr>
            <w:hyperlink r:id="rId18" w:history="1">
              <w:r w:rsidRPr="00A54AC6">
                <w:rPr>
                  <w:rStyle w:val="Hyperlink"/>
                </w:rPr>
                <w:t>35</w:t>
              </w:r>
            </w:hyperlink>
          </w:p>
        </w:tc>
        <w:tc>
          <w:tcPr>
            <w:tcW w:w="6862" w:type="dxa"/>
            <w:shd w:val="clear" w:color="auto" w:fill="auto"/>
          </w:tcPr>
          <w:p w:rsidR="00D15A91" w:rsidRPr="00A54AC6" w:rsidRDefault="00D15A91" w:rsidP="00352479">
            <w:pPr>
              <w:pStyle w:val="Tabletext"/>
              <w:spacing w:before="100" w:beforeAutospacing="1" w:after="100" w:afterAutospacing="1"/>
            </w:pPr>
            <w:r w:rsidRPr="00A54AC6">
              <w:t>Resolution 35 – Appointment and maximum term of office for chairmen and vice-chairmen of study groups of the  Telecommunication Standardization Sector and of Telecommunication Standardization Advisory Group</w:t>
            </w:r>
          </w:p>
        </w:tc>
        <w:tc>
          <w:tcPr>
            <w:tcW w:w="864" w:type="dxa"/>
          </w:tcPr>
          <w:p w:rsidR="00D15A91" w:rsidRPr="00A54AC6" w:rsidRDefault="00D15A91" w:rsidP="00352479">
            <w:pPr>
              <w:pStyle w:val="Tabletext"/>
              <w:spacing w:before="100" w:beforeAutospacing="1" w:after="100" w:afterAutospacing="1"/>
              <w:rPr>
                <w:rFonts w:eastAsiaTheme="minorEastAsia"/>
                <w:lang w:eastAsia="ja-JP"/>
              </w:rPr>
            </w:pPr>
            <w:r w:rsidRPr="00A54AC6">
              <w:rPr>
                <w:rFonts w:eastAsiaTheme="minorEastAsia"/>
                <w:lang w:eastAsia="ja-JP"/>
              </w:rPr>
              <w:t>WG1</w:t>
            </w:r>
          </w:p>
        </w:tc>
      </w:tr>
      <w:tr w:rsidR="00D15A91" w:rsidRPr="00A54AC6" w:rsidTr="00352479">
        <w:trPr>
          <w:cantSplit/>
          <w:jc w:val="center"/>
        </w:trPr>
        <w:tc>
          <w:tcPr>
            <w:tcW w:w="1001" w:type="dxa"/>
            <w:shd w:val="clear" w:color="auto" w:fill="auto"/>
          </w:tcPr>
          <w:p w:rsidR="00D15A91" w:rsidRPr="00A54AC6" w:rsidRDefault="00D15A91" w:rsidP="00352479">
            <w:pPr>
              <w:pStyle w:val="Tabletext"/>
              <w:spacing w:before="100" w:beforeAutospacing="1" w:after="100" w:afterAutospacing="1"/>
              <w:jc w:val="center"/>
            </w:pPr>
            <w:hyperlink r:id="rId19" w:history="1">
              <w:r w:rsidRPr="00A54AC6">
                <w:rPr>
                  <w:rStyle w:val="Hyperlink"/>
                </w:rPr>
                <w:t>43</w:t>
              </w:r>
            </w:hyperlink>
          </w:p>
        </w:tc>
        <w:tc>
          <w:tcPr>
            <w:tcW w:w="6862" w:type="dxa"/>
            <w:shd w:val="clear" w:color="auto" w:fill="auto"/>
          </w:tcPr>
          <w:p w:rsidR="00D15A91" w:rsidRPr="00A54AC6" w:rsidRDefault="00D15A91" w:rsidP="00352479">
            <w:pPr>
              <w:pStyle w:val="Tabletext"/>
              <w:spacing w:before="100" w:beforeAutospacing="1" w:after="100" w:afterAutospacing="1"/>
            </w:pPr>
            <w:r w:rsidRPr="00A54AC6">
              <w:t>Resolution 43 – Regional preparations for world telecommunication standardization assemblies</w:t>
            </w:r>
          </w:p>
        </w:tc>
        <w:tc>
          <w:tcPr>
            <w:tcW w:w="864" w:type="dxa"/>
          </w:tcPr>
          <w:p w:rsidR="00D15A91" w:rsidRPr="00A54AC6" w:rsidRDefault="00D15A91" w:rsidP="00352479">
            <w:pPr>
              <w:pStyle w:val="Tabletext"/>
              <w:spacing w:before="100" w:beforeAutospacing="1" w:after="100" w:afterAutospacing="1"/>
              <w:rPr>
                <w:rFonts w:eastAsiaTheme="minorEastAsia"/>
                <w:lang w:eastAsia="ja-JP"/>
              </w:rPr>
            </w:pPr>
            <w:r w:rsidRPr="00A54AC6">
              <w:rPr>
                <w:rFonts w:eastAsiaTheme="minorEastAsia"/>
                <w:lang w:eastAsia="ja-JP"/>
              </w:rPr>
              <w:t>WG1/3</w:t>
            </w:r>
          </w:p>
        </w:tc>
      </w:tr>
      <w:tr w:rsidR="00D15A91" w:rsidRPr="00A54AC6" w:rsidTr="00352479">
        <w:trPr>
          <w:cantSplit/>
          <w:jc w:val="center"/>
        </w:trPr>
        <w:tc>
          <w:tcPr>
            <w:tcW w:w="1001" w:type="dxa"/>
            <w:shd w:val="clear" w:color="auto" w:fill="auto"/>
          </w:tcPr>
          <w:p w:rsidR="00D15A91" w:rsidRPr="00A54AC6" w:rsidRDefault="00D15A91" w:rsidP="00352479">
            <w:pPr>
              <w:pStyle w:val="Tabletext"/>
              <w:spacing w:before="100" w:beforeAutospacing="1" w:after="100" w:afterAutospacing="1"/>
              <w:jc w:val="center"/>
            </w:pPr>
            <w:hyperlink r:id="rId20" w:history="1">
              <w:r w:rsidRPr="00A54AC6">
                <w:rPr>
                  <w:rStyle w:val="Hyperlink"/>
                </w:rPr>
                <w:t>45</w:t>
              </w:r>
            </w:hyperlink>
          </w:p>
        </w:tc>
        <w:tc>
          <w:tcPr>
            <w:tcW w:w="6862" w:type="dxa"/>
            <w:shd w:val="clear" w:color="auto" w:fill="auto"/>
          </w:tcPr>
          <w:p w:rsidR="00D15A91" w:rsidRPr="00A54AC6" w:rsidRDefault="00D15A91" w:rsidP="00352479">
            <w:pPr>
              <w:pStyle w:val="Tabletext"/>
              <w:spacing w:before="100" w:beforeAutospacing="1" w:after="100" w:afterAutospacing="1"/>
            </w:pPr>
            <w:r w:rsidRPr="00A54AC6">
              <w:t>Resolution 45 – Effective coordination of standardization work across study groups in the ITU Telecommunication Standardization Sector and the role of Telecommunication Standardization Advisory Group</w:t>
            </w:r>
          </w:p>
        </w:tc>
        <w:tc>
          <w:tcPr>
            <w:tcW w:w="864" w:type="dxa"/>
          </w:tcPr>
          <w:p w:rsidR="00D15A91" w:rsidRPr="00A54AC6" w:rsidRDefault="00D15A91" w:rsidP="00352479">
            <w:pPr>
              <w:pStyle w:val="Tabletext"/>
              <w:spacing w:before="100" w:beforeAutospacing="1" w:after="100" w:afterAutospacing="1"/>
              <w:rPr>
                <w:rFonts w:eastAsiaTheme="minorEastAsia"/>
                <w:lang w:eastAsia="ja-JP"/>
              </w:rPr>
            </w:pPr>
            <w:r w:rsidRPr="00A54AC6">
              <w:rPr>
                <w:rFonts w:eastAsiaTheme="minorEastAsia"/>
                <w:lang w:eastAsia="ja-JP"/>
              </w:rPr>
              <w:t>WG1</w:t>
            </w:r>
          </w:p>
        </w:tc>
      </w:tr>
      <w:tr w:rsidR="00D15A91" w:rsidRPr="00A54AC6" w:rsidTr="00352479">
        <w:trPr>
          <w:cantSplit/>
          <w:jc w:val="center"/>
        </w:trPr>
        <w:tc>
          <w:tcPr>
            <w:tcW w:w="1001" w:type="dxa"/>
            <w:shd w:val="clear" w:color="auto" w:fill="auto"/>
          </w:tcPr>
          <w:p w:rsidR="00D15A91" w:rsidRPr="00A54AC6" w:rsidRDefault="00D15A91" w:rsidP="00352479">
            <w:pPr>
              <w:pStyle w:val="Tabletext"/>
              <w:spacing w:before="100" w:beforeAutospacing="1" w:after="100" w:afterAutospacing="1"/>
              <w:jc w:val="center"/>
            </w:pPr>
            <w:hyperlink r:id="rId21" w:history="1">
              <w:r w:rsidRPr="00A54AC6">
                <w:rPr>
                  <w:rStyle w:val="Hyperlink"/>
                </w:rPr>
                <w:t>54</w:t>
              </w:r>
            </w:hyperlink>
          </w:p>
        </w:tc>
        <w:tc>
          <w:tcPr>
            <w:tcW w:w="6862" w:type="dxa"/>
            <w:shd w:val="clear" w:color="auto" w:fill="auto"/>
          </w:tcPr>
          <w:p w:rsidR="00D15A91" w:rsidRPr="00A54AC6" w:rsidRDefault="00D15A91" w:rsidP="00352479">
            <w:pPr>
              <w:pStyle w:val="Tabletext"/>
              <w:spacing w:before="100" w:beforeAutospacing="1" w:after="100" w:afterAutospacing="1"/>
            </w:pPr>
            <w:r w:rsidRPr="00A54AC6">
              <w:t>Resolution 54 – Creation of, and assistance to, regional groups</w:t>
            </w:r>
          </w:p>
        </w:tc>
        <w:tc>
          <w:tcPr>
            <w:tcW w:w="864" w:type="dxa"/>
          </w:tcPr>
          <w:p w:rsidR="00D15A91" w:rsidRPr="00A54AC6" w:rsidRDefault="00D15A91" w:rsidP="00352479">
            <w:pPr>
              <w:pStyle w:val="Tabletext"/>
              <w:spacing w:before="100" w:beforeAutospacing="1" w:after="100" w:afterAutospacing="1"/>
              <w:rPr>
                <w:rFonts w:eastAsiaTheme="minorEastAsia"/>
                <w:lang w:eastAsia="ja-JP"/>
              </w:rPr>
            </w:pPr>
            <w:r w:rsidRPr="00A54AC6">
              <w:rPr>
                <w:rFonts w:eastAsiaTheme="minorEastAsia"/>
                <w:lang w:eastAsia="ja-JP"/>
              </w:rPr>
              <w:t>WG1/3</w:t>
            </w:r>
          </w:p>
        </w:tc>
      </w:tr>
      <w:tr w:rsidR="00D15A91" w:rsidRPr="00A54AC6" w:rsidTr="00352479">
        <w:trPr>
          <w:cantSplit/>
          <w:jc w:val="center"/>
        </w:trPr>
        <w:tc>
          <w:tcPr>
            <w:tcW w:w="1001" w:type="dxa"/>
            <w:shd w:val="clear" w:color="auto" w:fill="auto"/>
          </w:tcPr>
          <w:p w:rsidR="00D15A91" w:rsidRPr="00A54AC6" w:rsidRDefault="00D15A91" w:rsidP="00352479">
            <w:pPr>
              <w:pStyle w:val="Tabletext"/>
              <w:spacing w:before="100" w:beforeAutospacing="1" w:after="100" w:afterAutospacing="1"/>
              <w:jc w:val="center"/>
            </w:pPr>
            <w:hyperlink r:id="rId22" w:history="1">
              <w:r w:rsidRPr="00A54AC6">
                <w:rPr>
                  <w:rStyle w:val="Hyperlink"/>
                </w:rPr>
                <w:t>55</w:t>
              </w:r>
            </w:hyperlink>
          </w:p>
        </w:tc>
        <w:tc>
          <w:tcPr>
            <w:tcW w:w="6862" w:type="dxa"/>
            <w:shd w:val="clear" w:color="auto" w:fill="auto"/>
          </w:tcPr>
          <w:p w:rsidR="00D15A91" w:rsidRPr="00A54AC6" w:rsidRDefault="00D15A91" w:rsidP="00352479">
            <w:pPr>
              <w:pStyle w:val="Tabletext"/>
              <w:spacing w:before="100" w:beforeAutospacing="1" w:after="100" w:afterAutospacing="1"/>
            </w:pPr>
            <w:r w:rsidRPr="00A54AC6">
              <w:t>Resolution 55 – Mainstreaming a gender perspective in ITU Telecommunication Standardization Sector activities</w:t>
            </w:r>
          </w:p>
        </w:tc>
        <w:tc>
          <w:tcPr>
            <w:tcW w:w="864" w:type="dxa"/>
          </w:tcPr>
          <w:p w:rsidR="00D15A91" w:rsidRPr="00A54AC6" w:rsidRDefault="00D15A91" w:rsidP="00352479">
            <w:pPr>
              <w:pStyle w:val="Tabletext"/>
              <w:spacing w:before="100" w:beforeAutospacing="1" w:after="100" w:afterAutospacing="1"/>
              <w:rPr>
                <w:rFonts w:eastAsiaTheme="minorEastAsia"/>
                <w:lang w:eastAsia="ja-JP"/>
              </w:rPr>
            </w:pPr>
            <w:r w:rsidRPr="00A54AC6">
              <w:rPr>
                <w:rFonts w:eastAsiaTheme="minorEastAsia"/>
                <w:lang w:eastAsia="ja-JP"/>
              </w:rPr>
              <w:t>WG1</w:t>
            </w:r>
          </w:p>
        </w:tc>
      </w:tr>
      <w:tr w:rsidR="00D15A91" w:rsidRPr="00A54AC6" w:rsidTr="00352479">
        <w:trPr>
          <w:cantSplit/>
          <w:jc w:val="center"/>
        </w:trPr>
        <w:tc>
          <w:tcPr>
            <w:tcW w:w="1001" w:type="dxa"/>
            <w:shd w:val="clear" w:color="auto" w:fill="auto"/>
          </w:tcPr>
          <w:p w:rsidR="00D15A91" w:rsidRPr="00A54AC6" w:rsidRDefault="00D15A91" w:rsidP="00352479">
            <w:pPr>
              <w:pStyle w:val="Tabletext"/>
              <w:spacing w:before="100" w:beforeAutospacing="1" w:after="100" w:afterAutospacing="1"/>
              <w:jc w:val="center"/>
            </w:pPr>
            <w:hyperlink r:id="rId23" w:history="1">
              <w:r w:rsidRPr="00A54AC6">
                <w:rPr>
                  <w:rStyle w:val="Hyperlink"/>
                </w:rPr>
                <w:t>57</w:t>
              </w:r>
            </w:hyperlink>
          </w:p>
        </w:tc>
        <w:tc>
          <w:tcPr>
            <w:tcW w:w="6862" w:type="dxa"/>
            <w:shd w:val="clear" w:color="auto" w:fill="auto"/>
          </w:tcPr>
          <w:p w:rsidR="00D15A91" w:rsidRPr="00A54AC6" w:rsidRDefault="00D15A91" w:rsidP="00352479">
            <w:pPr>
              <w:pStyle w:val="Tabletext"/>
              <w:spacing w:before="100" w:beforeAutospacing="1" w:after="100" w:afterAutospacing="1"/>
            </w:pPr>
            <w:r w:rsidRPr="00A54AC6">
              <w:t>Resolution 57 – Strengthening coordination and cooperation among the three ITU Sectors on matters of mutual interest</w:t>
            </w:r>
          </w:p>
        </w:tc>
        <w:tc>
          <w:tcPr>
            <w:tcW w:w="864" w:type="dxa"/>
          </w:tcPr>
          <w:p w:rsidR="00D15A91" w:rsidRPr="00A54AC6" w:rsidRDefault="00D15A91" w:rsidP="00352479">
            <w:pPr>
              <w:pStyle w:val="Tabletext"/>
              <w:spacing w:before="100" w:beforeAutospacing="1" w:after="100" w:afterAutospacing="1"/>
              <w:rPr>
                <w:rFonts w:eastAsiaTheme="minorEastAsia"/>
                <w:lang w:eastAsia="ja-JP"/>
              </w:rPr>
            </w:pPr>
            <w:r w:rsidRPr="00A54AC6">
              <w:rPr>
                <w:rFonts w:eastAsiaTheme="minorEastAsia"/>
                <w:lang w:eastAsia="ja-JP"/>
              </w:rPr>
              <w:t>WG1</w:t>
            </w:r>
          </w:p>
        </w:tc>
      </w:tr>
      <w:tr w:rsidR="00D15A91" w:rsidRPr="00A54AC6" w:rsidTr="00352479">
        <w:trPr>
          <w:cantSplit/>
          <w:jc w:val="center"/>
        </w:trPr>
        <w:tc>
          <w:tcPr>
            <w:tcW w:w="1001" w:type="dxa"/>
            <w:shd w:val="clear" w:color="auto" w:fill="auto"/>
          </w:tcPr>
          <w:p w:rsidR="00D15A91" w:rsidRPr="00A54AC6" w:rsidRDefault="00D15A91" w:rsidP="00352479">
            <w:pPr>
              <w:pStyle w:val="Tabletext"/>
              <w:spacing w:before="100" w:beforeAutospacing="1" w:after="100" w:afterAutospacing="1"/>
              <w:jc w:val="center"/>
            </w:pPr>
            <w:hyperlink r:id="rId24" w:history="1">
              <w:r w:rsidRPr="00A54AC6">
                <w:rPr>
                  <w:rStyle w:val="Hyperlink"/>
                </w:rPr>
                <w:t>66</w:t>
              </w:r>
            </w:hyperlink>
          </w:p>
        </w:tc>
        <w:tc>
          <w:tcPr>
            <w:tcW w:w="6862" w:type="dxa"/>
            <w:shd w:val="clear" w:color="auto" w:fill="auto"/>
          </w:tcPr>
          <w:p w:rsidR="00D15A91" w:rsidRPr="00A54AC6" w:rsidRDefault="00D15A91" w:rsidP="00352479">
            <w:pPr>
              <w:pStyle w:val="Tabletext"/>
              <w:spacing w:before="100" w:beforeAutospacing="1" w:after="100" w:afterAutospacing="1"/>
            </w:pPr>
            <w:r w:rsidRPr="00A54AC6">
              <w:t>Resolution 66 – Technology Watch in the Telecommunication Standardization Bureau</w:t>
            </w:r>
          </w:p>
        </w:tc>
        <w:tc>
          <w:tcPr>
            <w:tcW w:w="864" w:type="dxa"/>
          </w:tcPr>
          <w:p w:rsidR="00D15A91" w:rsidRPr="00A54AC6" w:rsidRDefault="00D15A91" w:rsidP="00352479">
            <w:pPr>
              <w:pStyle w:val="Tabletext"/>
              <w:spacing w:before="100" w:beforeAutospacing="1" w:after="100" w:afterAutospacing="1"/>
              <w:rPr>
                <w:rFonts w:eastAsiaTheme="minorEastAsia"/>
                <w:lang w:eastAsia="ja-JP"/>
              </w:rPr>
            </w:pPr>
            <w:r w:rsidRPr="00A54AC6">
              <w:rPr>
                <w:rFonts w:eastAsiaTheme="minorEastAsia"/>
                <w:lang w:eastAsia="ja-JP"/>
              </w:rPr>
              <w:t>WG1</w:t>
            </w:r>
          </w:p>
        </w:tc>
      </w:tr>
      <w:tr w:rsidR="00D15A91" w:rsidRPr="00A54AC6" w:rsidTr="00352479">
        <w:trPr>
          <w:cantSplit/>
          <w:jc w:val="center"/>
        </w:trPr>
        <w:tc>
          <w:tcPr>
            <w:tcW w:w="1001" w:type="dxa"/>
            <w:shd w:val="clear" w:color="auto" w:fill="auto"/>
          </w:tcPr>
          <w:p w:rsidR="00D15A91" w:rsidRPr="00A54AC6" w:rsidRDefault="00D15A91" w:rsidP="00352479">
            <w:pPr>
              <w:pStyle w:val="Tabletext"/>
              <w:spacing w:before="100" w:beforeAutospacing="1" w:after="100" w:afterAutospacing="1"/>
              <w:jc w:val="center"/>
            </w:pPr>
            <w:hyperlink r:id="rId25" w:history="1">
              <w:r w:rsidRPr="00A54AC6">
                <w:rPr>
                  <w:rStyle w:val="Hyperlink"/>
                </w:rPr>
                <w:t>67</w:t>
              </w:r>
            </w:hyperlink>
          </w:p>
        </w:tc>
        <w:tc>
          <w:tcPr>
            <w:tcW w:w="6862" w:type="dxa"/>
            <w:shd w:val="clear" w:color="auto" w:fill="auto"/>
          </w:tcPr>
          <w:p w:rsidR="00D15A91" w:rsidRPr="00A54AC6" w:rsidRDefault="00D15A91" w:rsidP="00352479">
            <w:pPr>
              <w:pStyle w:val="Tabletext"/>
              <w:spacing w:before="100" w:beforeAutospacing="1" w:after="100" w:afterAutospacing="1"/>
            </w:pPr>
            <w:r w:rsidRPr="00A54AC6">
              <w:t>Resolution 67 – Use in the ITU Telecommunication Standardization Sector of the languages of the Union on an equal footing</w:t>
            </w:r>
          </w:p>
        </w:tc>
        <w:tc>
          <w:tcPr>
            <w:tcW w:w="864" w:type="dxa"/>
          </w:tcPr>
          <w:p w:rsidR="00D15A91" w:rsidRPr="00A54AC6" w:rsidRDefault="00D15A91" w:rsidP="00352479">
            <w:pPr>
              <w:pStyle w:val="Tabletext"/>
              <w:spacing w:before="100" w:beforeAutospacing="1" w:after="100" w:afterAutospacing="1"/>
              <w:rPr>
                <w:rFonts w:eastAsiaTheme="minorEastAsia"/>
                <w:lang w:eastAsia="ja-JP"/>
              </w:rPr>
            </w:pPr>
            <w:r w:rsidRPr="00A54AC6">
              <w:rPr>
                <w:rFonts w:eastAsiaTheme="minorEastAsia"/>
                <w:lang w:eastAsia="ja-JP"/>
              </w:rPr>
              <w:t>WG1</w:t>
            </w:r>
          </w:p>
        </w:tc>
      </w:tr>
      <w:tr w:rsidR="00D15A91" w:rsidRPr="00A54AC6" w:rsidTr="00352479">
        <w:trPr>
          <w:cantSplit/>
          <w:jc w:val="center"/>
        </w:trPr>
        <w:tc>
          <w:tcPr>
            <w:tcW w:w="1001" w:type="dxa"/>
            <w:shd w:val="clear" w:color="auto" w:fill="auto"/>
          </w:tcPr>
          <w:p w:rsidR="00D15A91" w:rsidRPr="00A54AC6" w:rsidRDefault="00D15A91" w:rsidP="00352479">
            <w:pPr>
              <w:pStyle w:val="Tabletext"/>
              <w:spacing w:before="100" w:beforeAutospacing="1" w:after="100" w:afterAutospacing="1"/>
              <w:jc w:val="center"/>
            </w:pPr>
            <w:hyperlink r:id="rId26" w:history="1">
              <w:r w:rsidRPr="00A54AC6">
                <w:rPr>
                  <w:rStyle w:val="Hyperlink"/>
                </w:rPr>
                <w:t>68</w:t>
              </w:r>
            </w:hyperlink>
          </w:p>
        </w:tc>
        <w:tc>
          <w:tcPr>
            <w:tcW w:w="6862" w:type="dxa"/>
            <w:shd w:val="clear" w:color="auto" w:fill="auto"/>
          </w:tcPr>
          <w:p w:rsidR="00D15A91" w:rsidRPr="00A54AC6" w:rsidRDefault="00D15A91" w:rsidP="00352479">
            <w:pPr>
              <w:pStyle w:val="Tabletext"/>
              <w:spacing w:before="100" w:beforeAutospacing="1" w:after="100" w:afterAutospacing="1"/>
            </w:pPr>
            <w:r w:rsidRPr="00A54AC6">
              <w:t>Resolution 68 – Implementation of Resolution 122 (Rev. Antalya, 2006) of the Plenipotentiary Conference on the evolving role of the World Telecommunication Standardization Assembly</w:t>
            </w:r>
          </w:p>
        </w:tc>
        <w:tc>
          <w:tcPr>
            <w:tcW w:w="864" w:type="dxa"/>
          </w:tcPr>
          <w:p w:rsidR="00D15A91" w:rsidRPr="00A54AC6" w:rsidRDefault="00D15A91" w:rsidP="00352479">
            <w:pPr>
              <w:pStyle w:val="Tabletext"/>
              <w:spacing w:before="100" w:beforeAutospacing="1" w:after="100" w:afterAutospacing="1"/>
              <w:rPr>
                <w:rFonts w:eastAsiaTheme="minorEastAsia"/>
                <w:lang w:eastAsia="ja-JP"/>
              </w:rPr>
            </w:pPr>
            <w:r w:rsidRPr="00A54AC6">
              <w:rPr>
                <w:rFonts w:eastAsiaTheme="minorEastAsia"/>
                <w:lang w:eastAsia="ja-JP"/>
              </w:rPr>
              <w:t>WG1</w:t>
            </w:r>
          </w:p>
        </w:tc>
      </w:tr>
      <w:tr w:rsidR="00D15A91" w:rsidRPr="00A54AC6" w:rsidTr="00352479">
        <w:trPr>
          <w:cantSplit/>
          <w:jc w:val="center"/>
        </w:trPr>
        <w:tc>
          <w:tcPr>
            <w:tcW w:w="1001" w:type="dxa"/>
            <w:shd w:val="clear" w:color="auto" w:fill="auto"/>
          </w:tcPr>
          <w:p w:rsidR="00D15A91" w:rsidRPr="00A54AC6" w:rsidRDefault="00D15A91" w:rsidP="00352479">
            <w:pPr>
              <w:pStyle w:val="Tabletext"/>
              <w:spacing w:before="100" w:beforeAutospacing="1" w:after="100" w:afterAutospacing="1"/>
              <w:jc w:val="center"/>
            </w:pPr>
            <w:hyperlink r:id="rId27" w:history="1">
              <w:r w:rsidRPr="00A54AC6">
                <w:rPr>
                  <w:rStyle w:val="Hyperlink"/>
                </w:rPr>
                <w:t>70</w:t>
              </w:r>
            </w:hyperlink>
          </w:p>
        </w:tc>
        <w:tc>
          <w:tcPr>
            <w:tcW w:w="6862" w:type="dxa"/>
            <w:shd w:val="clear" w:color="auto" w:fill="auto"/>
          </w:tcPr>
          <w:p w:rsidR="00D15A91" w:rsidRPr="00A54AC6" w:rsidRDefault="00D15A91" w:rsidP="00352479">
            <w:pPr>
              <w:pStyle w:val="Tabletext"/>
              <w:spacing w:before="100" w:beforeAutospacing="1" w:after="100" w:afterAutospacing="1"/>
            </w:pPr>
            <w:r w:rsidRPr="00A54AC6">
              <w:t>Resolution 70 – Telecommunication/information and communication technology accessibility for persons with disabilities</w:t>
            </w:r>
          </w:p>
        </w:tc>
        <w:tc>
          <w:tcPr>
            <w:tcW w:w="864" w:type="dxa"/>
          </w:tcPr>
          <w:p w:rsidR="00D15A91" w:rsidRPr="00A54AC6" w:rsidRDefault="00D15A91" w:rsidP="00352479">
            <w:pPr>
              <w:pStyle w:val="Tabletext"/>
              <w:spacing w:before="100" w:beforeAutospacing="1" w:after="100" w:afterAutospacing="1"/>
              <w:rPr>
                <w:rFonts w:eastAsiaTheme="minorEastAsia"/>
                <w:lang w:eastAsia="ja-JP"/>
              </w:rPr>
            </w:pPr>
            <w:r w:rsidRPr="00A54AC6">
              <w:rPr>
                <w:rFonts w:eastAsiaTheme="minorEastAsia"/>
                <w:lang w:eastAsia="ja-JP"/>
              </w:rPr>
              <w:t>WG1</w:t>
            </w:r>
          </w:p>
        </w:tc>
      </w:tr>
      <w:tr w:rsidR="00D15A91" w:rsidRPr="00A54AC6" w:rsidTr="00352479">
        <w:trPr>
          <w:cantSplit/>
          <w:jc w:val="center"/>
        </w:trPr>
        <w:tc>
          <w:tcPr>
            <w:tcW w:w="1001" w:type="dxa"/>
            <w:shd w:val="clear" w:color="auto" w:fill="auto"/>
          </w:tcPr>
          <w:p w:rsidR="00D15A91" w:rsidRPr="00A54AC6" w:rsidRDefault="00D15A91" w:rsidP="00352479">
            <w:pPr>
              <w:pStyle w:val="Tabletext"/>
              <w:spacing w:before="100" w:beforeAutospacing="1" w:after="100" w:afterAutospacing="1"/>
              <w:jc w:val="center"/>
            </w:pPr>
            <w:hyperlink r:id="rId28" w:history="1">
              <w:r w:rsidRPr="00A54AC6">
                <w:rPr>
                  <w:rStyle w:val="Hyperlink"/>
                </w:rPr>
                <w:t>71</w:t>
              </w:r>
            </w:hyperlink>
          </w:p>
        </w:tc>
        <w:tc>
          <w:tcPr>
            <w:tcW w:w="6862" w:type="dxa"/>
            <w:shd w:val="clear" w:color="auto" w:fill="auto"/>
          </w:tcPr>
          <w:p w:rsidR="00D15A91" w:rsidRPr="00A54AC6" w:rsidRDefault="00D15A91" w:rsidP="00352479">
            <w:pPr>
              <w:pStyle w:val="Tabletext"/>
              <w:spacing w:before="100" w:beforeAutospacing="1" w:after="100" w:afterAutospacing="1"/>
            </w:pPr>
            <w:r w:rsidRPr="00A54AC6">
              <w:t>Resolution 71 – Admission of academia to participate in the work of the ITU Telecommunication Standardization Sector</w:t>
            </w:r>
          </w:p>
        </w:tc>
        <w:tc>
          <w:tcPr>
            <w:tcW w:w="864" w:type="dxa"/>
          </w:tcPr>
          <w:p w:rsidR="00D15A91" w:rsidRPr="00A54AC6" w:rsidRDefault="00D15A91" w:rsidP="00352479">
            <w:pPr>
              <w:pStyle w:val="Tabletext"/>
              <w:spacing w:before="100" w:beforeAutospacing="1" w:after="100" w:afterAutospacing="1"/>
              <w:rPr>
                <w:rFonts w:eastAsiaTheme="minorEastAsia"/>
                <w:lang w:eastAsia="ja-JP"/>
              </w:rPr>
            </w:pPr>
            <w:r w:rsidRPr="00A54AC6">
              <w:rPr>
                <w:rFonts w:eastAsiaTheme="minorEastAsia"/>
                <w:lang w:eastAsia="ja-JP"/>
              </w:rPr>
              <w:t>WG1</w:t>
            </w:r>
          </w:p>
        </w:tc>
      </w:tr>
      <w:tr w:rsidR="00D15A91" w:rsidRPr="00A54AC6" w:rsidTr="00352479">
        <w:trPr>
          <w:cantSplit/>
          <w:jc w:val="center"/>
        </w:trPr>
        <w:tc>
          <w:tcPr>
            <w:tcW w:w="1001" w:type="dxa"/>
            <w:shd w:val="clear" w:color="auto" w:fill="auto"/>
          </w:tcPr>
          <w:p w:rsidR="00D15A91" w:rsidRPr="00A54AC6" w:rsidRDefault="00D15A91" w:rsidP="00352479">
            <w:pPr>
              <w:pStyle w:val="Tabletext"/>
              <w:spacing w:before="100" w:beforeAutospacing="1" w:after="100" w:afterAutospacing="1"/>
              <w:jc w:val="center"/>
            </w:pPr>
            <w:hyperlink r:id="rId29" w:history="1">
              <w:r w:rsidRPr="00A54AC6">
                <w:rPr>
                  <w:rStyle w:val="Hyperlink"/>
                </w:rPr>
                <w:t>80</w:t>
              </w:r>
            </w:hyperlink>
          </w:p>
        </w:tc>
        <w:tc>
          <w:tcPr>
            <w:tcW w:w="6862" w:type="dxa"/>
            <w:shd w:val="clear" w:color="auto" w:fill="auto"/>
          </w:tcPr>
          <w:p w:rsidR="00D15A91" w:rsidRPr="00A54AC6" w:rsidRDefault="00D15A91" w:rsidP="00352479">
            <w:pPr>
              <w:pStyle w:val="Tabletext"/>
              <w:spacing w:before="100" w:beforeAutospacing="1" w:after="100" w:afterAutospacing="1"/>
            </w:pPr>
            <w:r w:rsidRPr="00A54AC6">
              <w:t>Resolution 80 – Acknowledging the active involvement of the membership in the development of ITU Telecommunication Standardization Sector deliverables</w:t>
            </w:r>
          </w:p>
        </w:tc>
        <w:tc>
          <w:tcPr>
            <w:tcW w:w="864" w:type="dxa"/>
          </w:tcPr>
          <w:p w:rsidR="00D15A91" w:rsidRPr="00A54AC6" w:rsidRDefault="00D15A91" w:rsidP="00352479">
            <w:pPr>
              <w:pStyle w:val="Tabletext"/>
              <w:spacing w:before="100" w:beforeAutospacing="1" w:after="100" w:afterAutospacing="1"/>
              <w:rPr>
                <w:rFonts w:eastAsiaTheme="minorEastAsia"/>
                <w:lang w:eastAsia="ja-JP"/>
              </w:rPr>
            </w:pPr>
            <w:r w:rsidRPr="00A54AC6">
              <w:rPr>
                <w:rFonts w:eastAsiaTheme="minorEastAsia"/>
                <w:lang w:eastAsia="ja-JP"/>
              </w:rPr>
              <w:t>WG1</w:t>
            </w:r>
          </w:p>
        </w:tc>
      </w:tr>
      <w:tr w:rsidR="00D15A91" w:rsidRPr="00A54AC6" w:rsidTr="00352479">
        <w:trPr>
          <w:cantSplit/>
          <w:jc w:val="center"/>
        </w:trPr>
        <w:tc>
          <w:tcPr>
            <w:tcW w:w="1001" w:type="dxa"/>
            <w:shd w:val="clear" w:color="auto" w:fill="auto"/>
          </w:tcPr>
          <w:p w:rsidR="00D15A91" w:rsidRPr="00A54AC6" w:rsidRDefault="00D15A91" w:rsidP="00352479">
            <w:pPr>
              <w:pStyle w:val="Tabletext"/>
              <w:spacing w:before="100" w:beforeAutospacing="1" w:after="100" w:afterAutospacing="1"/>
              <w:jc w:val="center"/>
            </w:pPr>
            <w:hyperlink r:id="rId30" w:history="1">
              <w:r w:rsidRPr="00A54AC6">
                <w:rPr>
                  <w:rStyle w:val="Hyperlink"/>
                </w:rPr>
                <w:t>81</w:t>
              </w:r>
            </w:hyperlink>
          </w:p>
        </w:tc>
        <w:tc>
          <w:tcPr>
            <w:tcW w:w="6862" w:type="dxa"/>
            <w:shd w:val="clear" w:color="auto" w:fill="auto"/>
          </w:tcPr>
          <w:p w:rsidR="00D15A91" w:rsidRPr="00A54AC6" w:rsidRDefault="00D15A91" w:rsidP="00352479">
            <w:pPr>
              <w:pStyle w:val="Tabletext"/>
              <w:spacing w:before="100" w:beforeAutospacing="1" w:after="100" w:afterAutospacing="1"/>
            </w:pPr>
            <w:r w:rsidRPr="00A54AC6">
              <w:t>Resolution 81 – Strengthening collaboration</w:t>
            </w:r>
          </w:p>
        </w:tc>
        <w:tc>
          <w:tcPr>
            <w:tcW w:w="864" w:type="dxa"/>
          </w:tcPr>
          <w:p w:rsidR="00D15A91" w:rsidRPr="00A54AC6" w:rsidRDefault="00D15A91" w:rsidP="00352479">
            <w:pPr>
              <w:pStyle w:val="Tabletext"/>
              <w:spacing w:before="100" w:beforeAutospacing="1" w:after="100" w:afterAutospacing="1"/>
              <w:rPr>
                <w:rFonts w:eastAsiaTheme="minorEastAsia"/>
                <w:lang w:eastAsia="ja-JP"/>
              </w:rPr>
            </w:pPr>
            <w:r w:rsidRPr="00A54AC6">
              <w:rPr>
                <w:rFonts w:eastAsiaTheme="minorEastAsia"/>
                <w:lang w:eastAsia="ja-JP"/>
              </w:rPr>
              <w:t>WG1</w:t>
            </w:r>
          </w:p>
        </w:tc>
      </w:tr>
      <w:tr w:rsidR="00D15A91" w:rsidRPr="00A54AC6" w:rsidTr="00352479">
        <w:trPr>
          <w:cantSplit/>
          <w:jc w:val="center"/>
        </w:trPr>
        <w:tc>
          <w:tcPr>
            <w:tcW w:w="1001" w:type="dxa"/>
            <w:shd w:val="clear" w:color="auto" w:fill="auto"/>
          </w:tcPr>
          <w:p w:rsidR="00D15A91" w:rsidRPr="00A54AC6" w:rsidRDefault="00D15A91" w:rsidP="00352479">
            <w:pPr>
              <w:pStyle w:val="Tabletext"/>
              <w:spacing w:before="100" w:beforeAutospacing="1" w:after="100" w:afterAutospacing="1"/>
              <w:jc w:val="center"/>
            </w:pPr>
            <w:hyperlink r:id="rId31" w:history="1">
              <w:r w:rsidRPr="00A54AC6">
                <w:rPr>
                  <w:rStyle w:val="Hyperlink"/>
                </w:rPr>
                <w:t>82</w:t>
              </w:r>
            </w:hyperlink>
          </w:p>
        </w:tc>
        <w:tc>
          <w:tcPr>
            <w:tcW w:w="6862" w:type="dxa"/>
            <w:shd w:val="clear" w:color="auto" w:fill="auto"/>
          </w:tcPr>
          <w:p w:rsidR="00D15A91" w:rsidRPr="00A54AC6" w:rsidRDefault="00D15A91" w:rsidP="00352479">
            <w:pPr>
              <w:pStyle w:val="Tabletext"/>
              <w:spacing w:before="100" w:beforeAutospacing="1" w:after="100" w:afterAutospacing="1"/>
            </w:pPr>
            <w:r w:rsidRPr="00A54AC6">
              <w:t>Resolution 82 – Strategic and structural review of the ITU Telecommunication Standardization Sector</w:t>
            </w:r>
          </w:p>
        </w:tc>
        <w:tc>
          <w:tcPr>
            <w:tcW w:w="864" w:type="dxa"/>
          </w:tcPr>
          <w:p w:rsidR="00D15A91" w:rsidRPr="00A54AC6" w:rsidRDefault="00D15A91" w:rsidP="00352479">
            <w:pPr>
              <w:pStyle w:val="Tabletext"/>
              <w:spacing w:before="100" w:beforeAutospacing="1" w:after="100" w:afterAutospacing="1"/>
              <w:rPr>
                <w:rFonts w:eastAsiaTheme="minorEastAsia"/>
                <w:lang w:eastAsia="ja-JP"/>
              </w:rPr>
            </w:pPr>
            <w:r w:rsidRPr="00A54AC6">
              <w:rPr>
                <w:rFonts w:eastAsiaTheme="minorEastAsia"/>
                <w:lang w:eastAsia="ja-JP"/>
              </w:rPr>
              <w:t>WG1</w:t>
            </w:r>
          </w:p>
        </w:tc>
      </w:tr>
    </w:tbl>
    <w:p w:rsidR="00D15A91" w:rsidRPr="00A54AC6" w:rsidRDefault="00D15A91" w:rsidP="00D15A91">
      <w:pPr>
        <w:widowControl w:val="0"/>
        <w:numPr>
          <w:ilvl w:val="0"/>
          <w:numId w:val="9"/>
        </w:numPr>
        <w:tabs>
          <w:tab w:val="num" w:pos="786"/>
        </w:tabs>
        <w:autoSpaceDE w:val="0"/>
        <w:autoSpaceDN w:val="0"/>
        <w:adjustRightInd w:val="0"/>
        <w:snapToGrid w:val="0"/>
        <w:spacing w:beforeLines="100" w:before="240" w:line="240" w:lineRule="atLeast"/>
        <w:ind w:left="357" w:hanging="357"/>
        <w:rPr>
          <w:b/>
        </w:rPr>
      </w:pPr>
      <w:r w:rsidRPr="00A54AC6">
        <w:rPr>
          <w:b/>
        </w:rPr>
        <w:t xml:space="preserve">Other issues for discussion </w:t>
      </w:r>
    </w:p>
    <w:p w:rsidR="00D15A91" w:rsidRPr="00A54AC6" w:rsidRDefault="00D15A91" w:rsidP="000F75CE">
      <w:pPr>
        <w:autoSpaceDE w:val="0"/>
        <w:autoSpaceDN w:val="0"/>
        <w:adjustRightInd w:val="0"/>
        <w:snapToGrid w:val="0"/>
        <w:spacing w:before="120"/>
        <w:ind w:left="426"/>
        <w:jc w:val="both"/>
      </w:pPr>
      <w:r w:rsidRPr="00A54AC6">
        <w:t>APT Member countries are invited to propose any other issues not covered by this Issue Paper that should be studied by WG1.</w:t>
      </w:r>
    </w:p>
    <w:p w:rsidR="00D15A91" w:rsidRPr="00A54AC6" w:rsidRDefault="00D15A91" w:rsidP="00D15A91">
      <w:pPr>
        <w:widowControl w:val="0"/>
        <w:numPr>
          <w:ilvl w:val="0"/>
          <w:numId w:val="9"/>
        </w:numPr>
        <w:tabs>
          <w:tab w:val="num" w:pos="786"/>
        </w:tabs>
        <w:autoSpaceDE w:val="0"/>
        <w:autoSpaceDN w:val="0"/>
        <w:adjustRightInd w:val="0"/>
        <w:snapToGrid w:val="0"/>
        <w:spacing w:beforeLines="100" w:before="240" w:line="240" w:lineRule="atLeast"/>
        <w:ind w:left="357" w:hanging="357"/>
        <w:rPr>
          <w:b/>
        </w:rPr>
      </w:pPr>
      <w:r w:rsidRPr="00A54AC6">
        <w:rPr>
          <w:b/>
        </w:rPr>
        <w:t>Future plan</w:t>
      </w:r>
    </w:p>
    <w:p w:rsidR="00D15A91" w:rsidRPr="00A54AC6" w:rsidRDefault="00D15A91" w:rsidP="00D15A91">
      <w:pPr>
        <w:tabs>
          <w:tab w:val="left" w:pos="4962"/>
        </w:tabs>
        <w:autoSpaceDE w:val="0"/>
        <w:autoSpaceDN w:val="0"/>
        <w:adjustRightInd w:val="0"/>
        <w:snapToGrid w:val="0"/>
        <w:spacing w:before="120"/>
        <w:ind w:left="426"/>
      </w:pPr>
      <w:r w:rsidRPr="00A54AC6">
        <w:t xml:space="preserve">The 3rd APT WTSA16 preparatory meeting </w:t>
      </w:r>
      <w:r w:rsidRPr="00A54AC6">
        <w:tab/>
        <w:t>19-22 April 2016</w:t>
      </w:r>
    </w:p>
    <w:p w:rsidR="00D15A91" w:rsidRPr="00A54AC6" w:rsidRDefault="00D15A91" w:rsidP="00D15A91">
      <w:pPr>
        <w:tabs>
          <w:tab w:val="left" w:pos="4962"/>
        </w:tabs>
        <w:autoSpaceDE w:val="0"/>
        <w:autoSpaceDN w:val="0"/>
        <w:adjustRightInd w:val="0"/>
        <w:snapToGrid w:val="0"/>
        <w:spacing w:before="120"/>
        <w:ind w:left="426"/>
      </w:pPr>
      <w:r w:rsidRPr="00A54AC6">
        <w:t xml:space="preserve">The 4th APT WTSA16 preparatory meeting </w:t>
      </w:r>
      <w:r w:rsidRPr="00A54AC6">
        <w:tab/>
        <w:t>6-9 September 2016</w:t>
      </w:r>
    </w:p>
    <w:p w:rsidR="00D15A91" w:rsidRPr="00A54AC6" w:rsidRDefault="00D15A91" w:rsidP="00D15A91">
      <w:pPr>
        <w:widowControl w:val="0"/>
        <w:numPr>
          <w:ilvl w:val="0"/>
          <w:numId w:val="9"/>
        </w:numPr>
        <w:tabs>
          <w:tab w:val="num" w:pos="786"/>
        </w:tabs>
        <w:autoSpaceDE w:val="0"/>
        <w:autoSpaceDN w:val="0"/>
        <w:adjustRightInd w:val="0"/>
        <w:snapToGrid w:val="0"/>
        <w:spacing w:beforeLines="100" w:before="240" w:line="240" w:lineRule="atLeast"/>
        <w:ind w:left="357" w:hanging="357"/>
        <w:rPr>
          <w:b/>
        </w:rPr>
      </w:pPr>
      <w:r w:rsidRPr="00A54AC6">
        <w:rPr>
          <w:b/>
        </w:rPr>
        <w:t>Conclusion</w:t>
      </w:r>
    </w:p>
    <w:p w:rsidR="000F75CE" w:rsidRDefault="00D15A91" w:rsidP="000F75CE">
      <w:pPr>
        <w:autoSpaceDE w:val="0"/>
        <w:autoSpaceDN w:val="0"/>
        <w:adjustRightInd w:val="0"/>
        <w:snapToGrid w:val="0"/>
        <w:spacing w:before="120"/>
        <w:ind w:left="426"/>
        <w:jc w:val="both"/>
      </w:pPr>
      <w:r w:rsidRPr="00A54AC6">
        <w:t>The preliminary version of the Issue Paper will be circulated to the APT member countries and affiliate members in order to receive comments, and this document will be updated to include other important discussion topics of APT membership's interest. It is emphasized that the Issue Paper is important to stimulate discussion and identify the issues of interest to ASTAP and APT Members.</w:t>
      </w:r>
    </w:p>
    <w:p w:rsidR="000F75CE" w:rsidRDefault="000F75CE" w:rsidP="000F75CE">
      <w:pPr>
        <w:autoSpaceDE w:val="0"/>
        <w:autoSpaceDN w:val="0"/>
        <w:adjustRightInd w:val="0"/>
        <w:snapToGrid w:val="0"/>
        <w:spacing w:before="120"/>
        <w:ind w:left="426"/>
        <w:jc w:val="both"/>
      </w:pPr>
    </w:p>
    <w:p w:rsidR="00DA7595" w:rsidRPr="009A4A6D" w:rsidRDefault="00C357AD" w:rsidP="000F75CE">
      <w:pPr>
        <w:autoSpaceDE w:val="0"/>
        <w:autoSpaceDN w:val="0"/>
        <w:adjustRightInd w:val="0"/>
        <w:snapToGrid w:val="0"/>
        <w:spacing w:before="120"/>
        <w:ind w:left="426"/>
        <w:jc w:val="center"/>
        <w:rPr>
          <w:snapToGrid w:val="0"/>
        </w:rPr>
      </w:pPr>
      <w:r>
        <w:t>___________</w:t>
      </w:r>
    </w:p>
    <w:sectPr w:rsidR="00DA7595" w:rsidRPr="009A4A6D" w:rsidSect="00DB0A68">
      <w:headerReference w:type="default" r:id="rId32"/>
      <w:footerReference w:type="even" r:id="rId33"/>
      <w:footerReference w:type="default" r:id="rId34"/>
      <w:footerReference w:type="first" r:id="rId35"/>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673" w:rsidRDefault="005F3673">
      <w:r>
        <w:separator/>
      </w:r>
    </w:p>
  </w:endnote>
  <w:endnote w:type="continuationSeparator" w:id="0">
    <w:p w:rsidR="005F3673" w:rsidRDefault="005F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Arial Unicode MS"/>
    <w:panose1 w:val="020B0609000101010101"/>
    <w:charset w:val="81"/>
    <w:family w:val="modern"/>
    <w:pitch w:val="fixed"/>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Arial Unicode MS"/>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2C7EA9"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CC7264">
      <w:rPr>
        <w:rStyle w:val="PageNumber"/>
        <w:noProof/>
      </w:rPr>
      <w:t>4</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CC7264">
      <w:rPr>
        <w:rStyle w:val="PageNumber"/>
        <w:noProof/>
      </w:rPr>
      <w:t>4</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r>
            <w:rPr>
              <w:b/>
              <w:bCs/>
            </w:rPr>
            <w:t>Contact:</w:t>
          </w:r>
        </w:p>
      </w:tc>
      <w:tc>
        <w:tcPr>
          <w:tcW w:w="4394" w:type="dxa"/>
          <w:tcBorders>
            <w:top w:val="single" w:sz="12" w:space="0" w:color="auto"/>
          </w:tcBorders>
        </w:tcPr>
        <w:p w:rsidR="0097693B" w:rsidRDefault="00D15A91" w:rsidP="00762576">
          <w:pPr>
            <w:pStyle w:val="Equation"/>
            <w:tabs>
              <w:tab w:val="clear" w:pos="4820"/>
              <w:tab w:val="clear" w:pos="9639"/>
              <w:tab w:val="left" w:pos="1191"/>
              <w:tab w:val="left" w:pos="1588"/>
              <w:tab w:val="left" w:pos="1985"/>
            </w:tabs>
            <w:spacing w:beforeLines="0" w:before="0"/>
            <w:rPr>
              <w:rFonts w:eastAsia="Batang"/>
              <w:sz w:val="22"/>
              <w:lang w:eastAsia="ko-KR"/>
            </w:rPr>
          </w:pPr>
          <w:r>
            <w:rPr>
              <w:rFonts w:eastAsia="Batang"/>
              <w:sz w:val="22"/>
              <w:lang w:eastAsia="ko-KR"/>
            </w:rPr>
            <w:t>MR. KAORU KENYOSHI</w:t>
          </w:r>
        </w:p>
        <w:p w:rsidR="0097693B" w:rsidRDefault="00D15A91" w:rsidP="00762576">
          <w:pPr>
            <w:pStyle w:val="Equation"/>
            <w:tabs>
              <w:tab w:val="clear" w:pos="4820"/>
              <w:tab w:val="clear" w:pos="9639"/>
              <w:tab w:val="left" w:pos="1191"/>
              <w:tab w:val="left" w:pos="1588"/>
              <w:tab w:val="left" w:pos="1985"/>
            </w:tabs>
            <w:spacing w:beforeLines="0" w:before="0"/>
            <w:rPr>
              <w:rFonts w:eastAsia="Batang"/>
              <w:sz w:val="22"/>
              <w:lang w:eastAsia="ko-KR"/>
            </w:rPr>
          </w:pPr>
          <w:r>
            <w:rPr>
              <w:rFonts w:eastAsia="Batang"/>
              <w:sz w:val="22"/>
              <w:lang w:eastAsia="ko-KR"/>
            </w:rPr>
            <w:t>Chairman, WG1</w:t>
          </w:r>
        </w:p>
        <w:p w:rsidR="0097693B" w:rsidRDefault="0097693B" w:rsidP="00762576">
          <w:pPr>
            <w:rPr>
              <w:rFonts w:eastAsia="Batang"/>
            </w:rPr>
          </w:pPr>
        </w:p>
      </w:tc>
      <w:tc>
        <w:tcPr>
          <w:tcW w:w="3912" w:type="dxa"/>
          <w:tcBorders>
            <w:top w:val="single" w:sz="12" w:space="0" w:color="auto"/>
          </w:tcBorders>
        </w:tcPr>
        <w:p w:rsidR="0097693B" w:rsidRDefault="0097693B" w:rsidP="00762576">
          <w:pPr>
            <w:rPr>
              <w:lang w:eastAsia="ja-JP"/>
            </w:rPr>
          </w:pPr>
          <w:r>
            <w:t>Email</w:t>
          </w:r>
          <w:r>
            <w:rPr>
              <w:rFonts w:hint="eastAsia"/>
            </w:rPr>
            <w:t xml:space="preserve">: </w:t>
          </w:r>
          <w:hyperlink r:id="rId1" w:history="1">
            <w:r w:rsidR="00D15A91" w:rsidRPr="0065557D">
              <w:rPr>
                <w:rStyle w:val="Hyperlink"/>
              </w:rPr>
              <w:t>Kaoru.Kenyoshi@EMEA.NEC.COM</w:t>
            </w:r>
          </w:hyperlink>
          <w:r w:rsidR="00D15A91">
            <w:t xml:space="preserve"> </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673" w:rsidRDefault="005F3673">
      <w:r>
        <w:separator/>
      </w:r>
    </w:p>
  </w:footnote>
  <w:footnote w:type="continuationSeparator" w:id="0">
    <w:p w:rsidR="005F3673" w:rsidRDefault="005F3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C15633">
    <w:pPr>
      <w:pStyle w:val="Header"/>
      <w:tabs>
        <w:tab w:val="center" w:pos="4763"/>
        <w:tab w:val="left" w:pos="5820"/>
      </w:tabs>
      <w:rPr>
        <w:lang w:eastAsia="ko-KR"/>
      </w:rPr>
    </w:pPr>
    <w:r>
      <w:rPr>
        <w:lang w:eastAsia="ko-KR"/>
      </w:rPr>
      <w:tab/>
    </w:r>
    <w:r w:rsidR="00D15A91">
      <w:rPr>
        <w:rFonts w:hint="eastAsia"/>
        <w:lang w:eastAsia="ko-KR"/>
      </w:rPr>
      <w:t>WTSA16-2</w:t>
    </w:r>
    <w:r w:rsidR="008319BF">
      <w:rPr>
        <w:rFonts w:hint="eastAsia"/>
        <w:lang w:eastAsia="ko-KR"/>
      </w:rPr>
      <w:t>/</w:t>
    </w:r>
    <w:r w:rsidR="008319BF">
      <w:rPr>
        <w:lang w:eastAsia="ko-KR"/>
      </w:rPr>
      <w:t>INP-</w:t>
    </w:r>
    <w:r w:rsidR="00D15A91">
      <w:rPr>
        <w:lang w:eastAsia="ko-KR"/>
      </w:rPr>
      <w:t>05</w:t>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multilevel"/>
    <w:tmpl w:val="9934DEBC"/>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7AD7F94"/>
    <w:multiLevelType w:val="hybridMultilevel"/>
    <w:tmpl w:val="3D3EE87C"/>
    <w:lvl w:ilvl="0" w:tplc="722A45E8">
      <w:start w:val="2"/>
      <w:numFmt w:val="bullet"/>
      <w:lvlText w:val="-"/>
      <w:lvlJc w:val="left"/>
      <w:pPr>
        <w:ind w:left="786" w:hanging="360"/>
      </w:pPr>
      <w:rPr>
        <w:rFonts w:ascii="Times New Roman" w:eastAsia="GulimChe"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69B51EAD"/>
    <w:multiLevelType w:val="hybridMultilevel"/>
    <w:tmpl w:val="303003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7"/>
  </w:num>
  <w:num w:numId="2">
    <w:abstractNumId w:val="5"/>
  </w:num>
  <w:num w:numId="3">
    <w:abstractNumId w:val="4"/>
  </w:num>
  <w:num w:numId="4">
    <w:abstractNumId w:val="10"/>
  </w:num>
  <w:num w:numId="5">
    <w:abstractNumId w:val="6"/>
  </w:num>
  <w:num w:numId="6">
    <w:abstractNumId w:val="8"/>
  </w:num>
  <w:num w:numId="7">
    <w:abstractNumId w:val="3"/>
  </w:num>
  <w:num w:numId="8">
    <w:abstractNumId w:val="1"/>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3595B"/>
    <w:rsid w:val="000713CF"/>
    <w:rsid w:val="00094B87"/>
    <w:rsid w:val="000A5418"/>
    <w:rsid w:val="000F517C"/>
    <w:rsid w:val="000F5540"/>
    <w:rsid w:val="000F75CE"/>
    <w:rsid w:val="001539DD"/>
    <w:rsid w:val="00182505"/>
    <w:rsid w:val="00196568"/>
    <w:rsid w:val="001A2F16"/>
    <w:rsid w:val="001B18C2"/>
    <w:rsid w:val="001D5D7E"/>
    <w:rsid w:val="0021588B"/>
    <w:rsid w:val="002216AC"/>
    <w:rsid w:val="00254A1B"/>
    <w:rsid w:val="0028454D"/>
    <w:rsid w:val="00291C9E"/>
    <w:rsid w:val="002926D4"/>
    <w:rsid w:val="002C07DA"/>
    <w:rsid w:val="002C7EA9"/>
    <w:rsid w:val="00342F20"/>
    <w:rsid w:val="003809C7"/>
    <w:rsid w:val="003B6263"/>
    <w:rsid w:val="003C64A7"/>
    <w:rsid w:val="003D3FDA"/>
    <w:rsid w:val="00420822"/>
    <w:rsid w:val="0045458F"/>
    <w:rsid w:val="004633B4"/>
    <w:rsid w:val="004B3553"/>
    <w:rsid w:val="00530E8C"/>
    <w:rsid w:val="00545933"/>
    <w:rsid w:val="00557544"/>
    <w:rsid w:val="00587875"/>
    <w:rsid w:val="005F3673"/>
    <w:rsid w:val="00607E2B"/>
    <w:rsid w:val="006139D6"/>
    <w:rsid w:val="00623CE1"/>
    <w:rsid w:val="0063062B"/>
    <w:rsid w:val="00667229"/>
    <w:rsid w:val="00682BE5"/>
    <w:rsid w:val="00690FED"/>
    <w:rsid w:val="006939A5"/>
    <w:rsid w:val="00712451"/>
    <w:rsid w:val="00731041"/>
    <w:rsid w:val="007319FC"/>
    <w:rsid w:val="00732F08"/>
    <w:rsid w:val="0074190C"/>
    <w:rsid w:val="00762576"/>
    <w:rsid w:val="00791060"/>
    <w:rsid w:val="007B5626"/>
    <w:rsid w:val="0080570B"/>
    <w:rsid w:val="008148E1"/>
    <w:rsid w:val="008319BF"/>
    <w:rsid w:val="00857C5F"/>
    <w:rsid w:val="008D0E09"/>
    <w:rsid w:val="008E6B7B"/>
    <w:rsid w:val="0097693B"/>
    <w:rsid w:val="00993355"/>
    <w:rsid w:val="009A4A6D"/>
    <w:rsid w:val="00A13265"/>
    <w:rsid w:val="00A71136"/>
    <w:rsid w:val="00A849DD"/>
    <w:rsid w:val="00AA474C"/>
    <w:rsid w:val="00AA6C59"/>
    <w:rsid w:val="00AD7E5F"/>
    <w:rsid w:val="00B01AA1"/>
    <w:rsid w:val="00B30C81"/>
    <w:rsid w:val="00B4793B"/>
    <w:rsid w:val="00B623AD"/>
    <w:rsid w:val="00C15633"/>
    <w:rsid w:val="00C15799"/>
    <w:rsid w:val="00C357AD"/>
    <w:rsid w:val="00C6069C"/>
    <w:rsid w:val="00C85119"/>
    <w:rsid w:val="00CB75C8"/>
    <w:rsid w:val="00CC7264"/>
    <w:rsid w:val="00CD5431"/>
    <w:rsid w:val="00CF2491"/>
    <w:rsid w:val="00D1252E"/>
    <w:rsid w:val="00D15A91"/>
    <w:rsid w:val="00D57772"/>
    <w:rsid w:val="00D72AE3"/>
    <w:rsid w:val="00D75A4D"/>
    <w:rsid w:val="00D8478B"/>
    <w:rsid w:val="00D86151"/>
    <w:rsid w:val="00DA7595"/>
    <w:rsid w:val="00DB0A68"/>
    <w:rsid w:val="00DC43A3"/>
    <w:rsid w:val="00DD7C09"/>
    <w:rsid w:val="00E0124F"/>
    <w:rsid w:val="00E674D3"/>
    <w:rsid w:val="00E70FD0"/>
    <w:rsid w:val="00E85633"/>
    <w:rsid w:val="00EB5934"/>
    <w:rsid w:val="00F84067"/>
    <w:rsid w:val="00FE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FEA937-2611-48B7-B6C7-C27E0BCA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styleId="Hyperlink">
    <w:name w:val="Hyperlink"/>
    <w:basedOn w:val="DefaultParagraphFont"/>
    <w:rsid w:val="00D15A91"/>
    <w:rPr>
      <w:color w:val="0000FF"/>
      <w:u w:val="single"/>
    </w:rPr>
  </w:style>
  <w:style w:type="paragraph" w:styleId="ListParagraph">
    <w:name w:val="List Paragraph"/>
    <w:basedOn w:val="Normal"/>
    <w:uiPriority w:val="34"/>
    <w:qFormat/>
    <w:rsid w:val="00D15A91"/>
    <w:pPr>
      <w:ind w:left="720"/>
      <w:contextualSpacing/>
    </w:pPr>
  </w:style>
  <w:style w:type="paragraph" w:customStyle="1" w:styleId="Tablehead">
    <w:name w:val="Table_head"/>
    <w:basedOn w:val="Normal"/>
    <w:next w:val="Normal"/>
    <w:rsid w:val="00D15A9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val="en-GB"/>
    </w:rPr>
  </w:style>
  <w:style w:type="paragraph" w:customStyle="1" w:styleId="Tabletext">
    <w:name w:val="Table_text"/>
    <w:basedOn w:val="Normal"/>
    <w:rsid w:val="00D15A9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val="en-GB"/>
    </w:rPr>
  </w:style>
  <w:style w:type="paragraph" w:customStyle="1" w:styleId="TableNotitle">
    <w:name w:val="Table_No &amp; title"/>
    <w:basedOn w:val="Normal"/>
    <w:next w:val="Normal"/>
    <w:rsid w:val="00D15A9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heme="minorEastAsia"/>
      <w:b/>
      <w:sz w:val="22"/>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tsa12/Documents/resolutions/Resolution%2018.pdf" TargetMode="External"/><Relationship Id="rId18" Type="http://schemas.openxmlformats.org/officeDocument/2006/relationships/hyperlink" Target="http://www.itu.int/en/ITU-T/wtsa12/Documents/resolutions/Resolution%2035.pdf" TargetMode="External"/><Relationship Id="rId26" Type="http://schemas.openxmlformats.org/officeDocument/2006/relationships/hyperlink" Target="http://www.itu.int/en/ITU-T/wtsa12/Documents/resolutions/Resolution%2068.pdf" TargetMode="External"/><Relationship Id="rId21" Type="http://schemas.openxmlformats.org/officeDocument/2006/relationships/hyperlink" Target="http://www.itu.int/en/ITU-T/wtsa12/Documents/resolutions/Resolution%2054.pdf"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itu.int/en/ITU-T/wtsa12/Documents/resolutions/Resolution%2011.pdf" TargetMode="External"/><Relationship Id="rId17" Type="http://schemas.openxmlformats.org/officeDocument/2006/relationships/hyperlink" Target="http://www.itu.int/en/ITU-T/wtsa12/Documents/resolutions/Resolution%2034.pdf" TargetMode="External"/><Relationship Id="rId25" Type="http://schemas.openxmlformats.org/officeDocument/2006/relationships/hyperlink" Target="http://www.itu.int/en/ITU-T/wtsa12/Documents/resolutions/Resolution%2067.pd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tu.int/en/ITU-T/wtsa12/Documents/resolutions/Resolution%2032.pdf" TargetMode="External"/><Relationship Id="rId20" Type="http://schemas.openxmlformats.org/officeDocument/2006/relationships/hyperlink" Target="http://www.itu.int/en/ITU-T/wtsa12/Documents/resolutions/Resolution%2045.pdf" TargetMode="External"/><Relationship Id="rId29" Type="http://schemas.openxmlformats.org/officeDocument/2006/relationships/hyperlink" Target="http://www.itu.int/en/ITU-T/wtsa12/Documents/resolutions/Resolution%208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T/wtsa12/Documents/resolutions/Resolution%2007.pdf" TargetMode="External"/><Relationship Id="rId24" Type="http://schemas.openxmlformats.org/officeDocument/2006/relationships/hyperlink" Target="http://www.itu.int/en/ITU-T/wtsa12/Documents/resolutions/Resolution%2066.pdf"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en/ITU-T/wtsa12/Documents/resolutions/Resolution%2031.pdf" TargetMode="External"/><Relationship Id="rId23" Type="http://schemas.openxmlformats.org/officeDocument/2006/relationships/hyperlink" Target="http://www.itu.int/en/ITU-T/wtsa12/Documents/resolutions/Resolution%2057.pdf" TargetMode="External"/><Relationship Id="rId28" Type="http://schemas.openxmlformats.org/officeDocument/2006/relationships/hyperlink" Target="http://www.itu.int/en/ITU-T/wtsa12/Documents/resolutions/Resolution%2071.pdf" TargetMode="External"/><Relationship Id="rId36" Type="http://schemas.openxmlformats.org/officeDocument/2006/relationships/fontTable" Target="fontTable.xml"/><Relationship Id="rId10" Type="http://schemas.openxmlformats.org/officeDocument/2006/relationships/hyperlink" Target="http://www.itu.int/en/ITU-T/wtsa12/Documents/resolutions/Resolution%2001.pdf" TargetMode="External"/><Relationship Id="rId19" Type="http://schemas.openxmlformats.org/officeDocument/2006/relationships/hyperlink" Target="http://www.itu.int/en/ITU-T/wtsa12/Documents/resolutions/Resolution%2043.pdf" TargetMode="External"/><Relationship Id="rId31" Type="http://schemas.openxmlformats.org/officeDocument/2006/relationships/hyperlink" Target="http://www.itu.int/en/ITU-T/wtsa12/Documents/resolutions/Resolution%2082.pdf" TargetMode="External"/><Relationship Id="rId4" Type="http://schemas.openxmlformats.org/officeDocument/2006/relationships/webSettings" Target="webSettings.xml"/><Relationship Id="rId9" Type="http://schemas.openxmlformats.org/officeDocument/2006/relationships/hyperlink" Target="http://www.itu.int/md/T13-REVCOM-140116-TD-GEN-0071/en" TargetMode="External"/><Relationship Id="rId14" Type="http://schemas.openxmlformats.org/officeDocument/2006/relationships/hyperlink" Target="http://www.itu.int/en/ITU-T/wtsa12/Documents/resolutions/Resolution%2022.pdf" TargetMode="External"/><Relationship Id="rId22" Type="http://schemas.openxmlformats.org/officeDocument/2006/relationships/hyperlink" Target="http://www.itu.int/en/ITU-T/wtsa12/Documents/resolutions/Resolution%2055.pdf" TargetMode="External"/><Relationship Id="rId27" Type="http://schemas.openxmlformats.org/officeDocument/2006/relationships/hyperlink" Target="http://www.itu.int/en/ITU-T/wtsa12/Documents/resolutions/Resolution%2070.pdf" TargetMode="External"/><Relationship Id="rId30" Type="http://schemas.openxmlformats.org/officeDocument/2006/relationships/hyperlink" Target="http://www.itu.int/en/ITU-T/wtsa12/Documents/resolutions/Resolution%2081.pdf" TargetMode="External"/><Relationship Id="rId35" Type="http://schemas.openxmlformats.org/officeDocument/2006/relationships/footer" Target="footer3.xml"/><Relationship Id="rId8" Type="http://schemas.openxmlformats.org/officeDocument/2006/relationships/hyperlink" Target="http://www.itu.int/md/T13-REVCOM-150529-TD-GEN-0186/en"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hyperlink" Target="mailto:Kaoru.Kenyoshi@EMEA.N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4</cp:revision>
  <cp:lastPrinted>2004-07-28T02:14:00Z</cp:lastPrinted>
  <dcterms:created xsi:type="dcterms:W3CDTF">2015-09-28T01:48:00Z</dcterms:created>
  <dcterms:modified xsi:type="dcterms:W3CDTF">2015-09-28T01:49:00Z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