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C85119"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A7595" w:rsidP="00E85633">
            <w:pPr>
              <w:spacing w:line="0" w:lineRule="atLeast"/>
            </w:pPr>
            <w:r>
              <w:rPr>
                <w:b/>
              </w:rPr>
              <w:t xml:space="preserve">The </w:t>
            </w:r>
            <w:r w:rsidR="00E85633">
              <w:rPr>
                <w:b/>
              </w:rPr>
              <w:t>2</w:t>
            </w:r>
            <w:r w:rsidR="00E85633" w:rsidRPr="00E85633">
              <w:rPr>
                <w:b/>
                <w:vertAlign w:val="superscript"/>
              </w:rPr>
              <w:t>nd</w:t>
            </w:r>
            <w:r w:rsidR="00E85633">
              <w:rPr>
                <w:b/>
              </w:rPr>
              <w:t xml:space="preserve"> </w:t>
            </w:r>
            <w:r w:rsidR="00DB0A68">
              <w:rPr>
                <w:b/>
              </w:rPr>
              <w:t>Meeting of the APT</w:t>
            </w:r>
            <w:r w:rsidR="00182505">
              <w:rPr>
                <w:b/>
              </w:rPr>
              <w:t xml:space="preserve"> </w:t>
            </w:r>
            <w:r w:rsidR="00DB0A68">
              <w:rPr>
                <w:b/>
              </w:rPr>
              <w:t>Preparatory</w:t>
            </w:r>
            <w:r w:rsidR="002926D4">
              <w:rPr>
                <w:b/>
              </w:rPr>
              <w:t xml:space="preserve"> </w:t>
            </w:r>
            <w:r w:rsidR="00DB0A68">
              <w:rPr>
                <w:b/>
              </w:rPr>
              <w:t xml:space="preserve"> Group for</w:t>
            </w:r>
            <w:r w:rsidR="00182505">
              <w:rPr>
                <w:b/>
              </w:rPr>
              <w:t xml:space="preserve"> WTSA-16</w:t>
            </w:r>
            <w:r w:rsidR="00DB0A68">
              <w:rPr>
                <w:b/>
              </w:rPr>
              <w:t xml:space="preserve"> (</w:t>
            </w:r>
            <w:r w:rsidR="00E85633">
              <w:rPr>
                <w:b/>
              </w:rPr>
              <w:t>APT WTSA16-2</w:t>
            </w:r>
            <w:r w:rsidR="00DB0A68">
              <w:rPr>
                <w:b/>
              </w:rPr>
              <w:t>)</w:t>
            </w:r>
          </w:p>
        </w:tc>
        <w:tc>
          <w:tcPr>
            <w:tcW w:w="26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r w:rsidR="007B5626">
              <w:rPr>
                <w:b/>
                <w:lang w:val="fr-FR"/>
              </w:rPr>
              <w:t xml:space="preserve"> </w:t>
            </w:r>
          </w:p>
          <w:p w:rsidR="00DA7595" w:rsidRPr="00C15799" w:rsidRDefault="00E85633" w:rsidP="00FE3DE5">
            <w:pPr>
              <w:rPr>
                <w:b/>
                <w:bCs/>
                <w:lang w:val="fr-FR"/>
              </w:rPr>
            </w:pPr>
            <w:r>
              <w:rPr>
                <w:b/>
                <w:bCs/>
                <w:lang w:val="fr-FR"/>
              </w:rPr>
              <w:t>WTSA16-2</w:t>
            </w:r>
            <w:r w:rsidR="008319BF">
              <w:rPr>
                <w:b/>
                <w:bCs/>
                <w:lang w:val="fr-FR"/>
              </w:rPr>
              <w:t>/</w:t>
            </w:r>
            <w:r w:rsidR="00D15A91">
              <w:rPr>
                <w:b/>
                <w:bCs/>
                <w:lang w:val="fr-FR"/>
              </w:rPr>
              <w:t>INP</w:t>
            </w:r>
            <w:r w:rsidR="000F75CE">
              <w:rPr>
                <w:b/>
                <w:bCs/>
                <w:lang w:val="fr-FR"/>
              </w:rPr>
              <w:t>-</w:t>
            </w:r>
            <w:r w:rsidR="00CC7264">
              <w:rPr>
                <w:b/>
                <w:bCs/>
                <w:lang w:val="fr-FR"/>
              </w:rPr>
              <w:t>0</w:t>
            </w:r>
            <w:r w:rsidR="003A2F95">
              <w:rPr>
                <w:b/>
                <w:bCs/>
                <w:lang w:val="fr-FR"/>
              </w:rPr>
              <w:t>6</w:t>
            </w: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E85633" w:rsidP="00E85633">
            <w:r>
              <w:t>15 – 17 October</w:t>
            </w:r>
            <w:r w:rsidR="004B3553">
              <w:t xml:space="preserve"> </w:t>
            </w:r>
            <w:r w:rsidR="00291C9E">
              <w:t>20</w:t>
            </w:r>
            <w:r w:rsidR="00FE3DE5">
              <w:t>15</w:t>
            </w:r>
            <w:r w:rsidR="004B3553" w:rsidRPr="00891D0B">
              <w:t xml:space="preserve">, </w:t>
            </w:r>
            <w:r w:rsidR="00FE3DE5">
              <w:t>Bangkok</w:t>
            </w:r>
            <w:r w:rsidR="004B3553">
              <w:t xml:space="preserve">, </w:t>
            </w:r>
            <w:r w:rsidR="00FE3DE5">
              <w:t>Thailand</w:t>
            </w:r>
          </w:p>
        </w:tc>
        <w:tc>
          <w:tcPr>
            <w:tcW w:w="2640" w:type="dxa"/>
            <w:gridSpan w:val="2"/>
            <w:tcBorders>
              <w:top w:val="nil"/>
              <w:left w:val="nil"/>
              <w:bottom w:val="single" w:sz="12" w:space="0" w:color="auto"/>
              <w:right w:val="nil"/>
            </w:tcBorders>
          </w:tcPr>
          <w:p w:rsidR="004B3553" w:rsidRPr="00712451" w:rsidRDefault="00D15A91" w:rsidP="00D15A91">
            <w:pPr>
              <w:rPr>
                <w:b/>
              </w:rPr>
            </w:pPr>
            <w:r>
              <w:rPr>
                <w:b/>
              </w:rPr>
              <w:t>28</w:t>
            </w:r>
            <w:r w:rsidR="00FE3DE5">
              <w:rPr>
                <w:b/>
              </w:rPr>
              <w:t xml:space="preserve"> </w:t>
            </w:r>
            <w:r>
              <w:rPr>
                <w:b/>
              </w:rPr>
              <w:t xml:space="preserve">September </w:t>
            </w:r>
            <w:r w:rsidR="00291C9E">
              <w:rPr>
                <w:b/>
              </w:rPr>
              <w:t>20</w:t>
            </w:r>
            <w:r w:rsidR="008319BF">
              <w:rPr>
                <w:b/>
              </w:rPr>
              <w:t>1</w:t>
            </w:r>
            <w:r w:rsidR="00FE3DE5">
              <w:rPr>
                <w:b/>
              </w:rPr>
              <w:t>5</w:t>
            </w:r>
          </w:p>
        </w:tc>
      </w:tr>
    </w:tbl>
    <w:p w:rsidR="00DA7595" w:rsidRDefault="00DA7595" w:rsidP="00DA7595">
      <w:pPr>
        <w:rPr>
          <w:lang w:eastAsia="ko-KR"/>
        </w:rPr>
      </w:pPr>
    </w:p>
    <w:p w:rsidR="00DA7595" w:rsidRPr="00182505" w:rsidRDefault="003A2F95" w:rsidP="00DA7595">
      <w:pPr>
        <w:jc w:val="center"/>
        <w:rPr>
          <w:b/>
          <w:lang w:eastAsia="ko-KR"/>
        </w:rPr>
      </w:pPr>
      <w:r>
        <w:rPr>
          <w:b/>
          <w:lang w:eastAsia="ko-KR"/>
        </w:rPr>
        <w:t>Chairman, Working Group 2</w:t>
      </w:r>
    </w:p>
    <w:p w:rsidR="00FE3DE5" w:rsidRDefault="00FE3DE5" w:rsidP="0063062B">
      <w:pPr>
        <w:jc w:val="center"/>
        <w:rPr>
          <w:b/>
          <w:bCs/>
          <w:caps/>
          <w:sz w:val="28"/>
          <w:szCs w:val="28"/>
        </w:rPr>
      </w:pPr>
    </w:p>
    <w:p w:rsidR="00C357AD" w:rsidRPr="00607E2B" w:rsidRDefault="00D15A91" w:rsidP="0063062B">
      <w:pPr>
        <w:jc w:val="center"/>
        <w:rPr>
          <w:b/>
          <w:bCs/>
          <w:caps/>
          <w:sz w:val="28"/>
          <w:szCs w:val="28"/>
        </w:rPr>
      </w:pPr>
      <w:r>
        <w:rPr>
          <w:b/>
          <w:bCs/>
          <w:caps/>
          <w:sz w:val="28"/>
          <w:szCs w:val="28"/>
        </w:rPr>
        <w:t xml:space="preserve">issue paper of the working group </w:t>
      </w:r>
      <w:r w:rsidR="003A2F95">
        <w:rPr>
          <w:b/>
          <w:bCs/>
          <w:caps/>
          <w:sz w:val="28"/>
          <w:szCs w:val="28"/>
        </w:rPr>
        <w:t>2: ITU-T Work</w:t>
      </w:r>
      <w:r>
        <w:rPr>
          <w:b/>
          <w:bCs/>
          <w:caps/>
          <w:sz w:val="28"/>
          <w:szCs w:val="28"/>
        </w:rPr>
        <w:t xml:space="preserve"> </w:t>
      </w:r>
      <w:r w:rsidR="003A2F95">
        <w:rPr>
          <w:b/>
          <w:bCs/>
          <w:caps/>
          <w:sz w:val="28"/>
          <w:szCs w:val="28"/>
        </w:rPr>
        <w:t>organization</w:t>
      </w:r>
    </w:p>
    <w:p w:rsidR="00DB0A68" w:rsidRDefault="00DB0A68" w:rsidP="00C357AD">
      <w:pPr>
        <w:jc w:val="center"/>
      </w:pPr>
    </w:p>
    <w:p w:rsidR="00C357AD" w:rsidRDefault="00C357AD" w:rsidP="00C357AD">
      <w:pPr>
        <w:jc w:val="center"/>
        <w:rPr>
          <w:b/>
        </w:rPr>
      </w:pPr>
    </w:p>
    <w:p w:rsidR="003A2F95" w:rsidRPr="003A2F95" w:rsidRDefault="003A2F95" w:rsidP="003A2F95">
      <w:pPr>
        <w:autoSpaceDE w:val="0"/>
        <w:autoSpaceDN w:val="0"/>
        <w:adjustRightInd w:val="0"/>
        <w:snapToGrid w:val="0"/>
        <w:spacing w:line="240" w:lineRule="atLeast"/>
        <w:rPr>
          <w:rFonts w:eastAsia="Batang"/>
          <w:lang w:eastAsia="ko-KR"/>
        </w:rPr>
      </w:pPr>
    </w:p>
    <w:p w:rsidR="003A2F95" w:rsidRPr="003A2F95" w:rsidRDefault="003A2F95" w:rsidP="003A2F95">
      <w:pPr>
        <w:numPr>
          <w:ilvl w:val="0"/>
          <w:numId w:val="12"/>
        </w:numPr>
        <w:spacing w:after="120" w:line="360" w:lineRule="auto"/>
        <w:ind w:left="357" w:hanging="357"/>
        <w:contextualSpacing/>
        <w:jc w:val="both"/>
        <w:rPr>
          <w:b/>
        </w:rPr>
      </w:pPr>
      <w:r w:rsidRPr="003A2F95">
        <w:rPr>
          <w:b/>
        </w:rPr>
        <w:t>Introduction</w:t>
      </w:r>
    </w:p>
    <w:p w:rsidR="003A2F95" w:rsidRPr="003A2F95" w:rsidRDefault="003A2F95" w:rsidP="003A2F95">
      <w:pPr>
        <w:spacing w:after="120"/>
        <w:jc w:val="both"/>
      </w:pPr>
      <w:r w:rsidRPr="003A2F95">
        <w:t>This paper is prepared by WG2 of APT Preparatory Group for WTSA-16 (see Annex.1) to encourage discussion among APT members on the SG restructuring that will be considered at the 2</w:t>
      </w:r>
      <w:r w:rsidRPr="003A2F95">
        <w:rPr>
          <w:vertAlign w:val="superscript"/>
        </w:rPr>
        <w:t>nd</w:t>
      </w:r>
      <w:r w:rsidRPr="003A2F95">
        <w:t xml:space="preserve"> </w:t>
      </w:r>
      <w:smartTag w:uri="urn:schemas-microsoft-com:office:smarttags" w:element="stockticker">
        <w:r w:rsidRPr="003A2F95">
          <w:t>APT</w:t>
        </w:r>
      </w:smartTag>
      <w:r w:rsidRPr="003A2F95">
        <w:t xml:space="preserve"> Preparatory Meeting for the WTSA-16. This paper provides four discussion points </w:t>
      </w:r>
      <w:r w:rsidRPr="003A2F95">
        <w:rPr>
          <w:rFonts w:eastAsia="MS Mincho"/>
          <w:lang w:eastAsia="ja-JP"/>
        </w:rPr>
        <w:t>–</w:t>
      </w:r>
      <w:r w:rsidRPr="003A2F95">
        <w:t xml:space="preserve"> Review of current SG structure, New Study Topics, Principles of SG restructuring and APT Strategic Plan.</w:t>
      </w:r>
    </w:p>
    <w:p w:rsidR="003A2F95" w:rsidRPr="003A2F95" w:rsidRDefault="003A2F95" w:rsidP="003A2F95">
      <w:pPr>
        <w:spacing w:after="120"/>
        <w:jc w:val="both"/>
      </w:pPr>
    </w:p>
    <w:p w:rsidR="003A2F95" w:rsidRPr="003A2F95" w:rsidRDefault="003A2F95" w:rsidP="003A2F95">
      <w:pPr>
        <w:numPr>
          <w:ilvl w:val="0"/>
          <w:numId w:val="12"/>
        </w:numPr>
        <w:spacing w:after="120" w:line="360" w:lineRule="auto"/>
        <w:ind w:left="357" w:hanging="357"/>
        <w:contextualSpacing/>
        <w:jc w:val="both"/>
        <w:rPr>
          <w:b/>
        </w:rPr>
      </w:pPr>
      <w:r w:rsidRPr="003A2F95">
        <w:rPr>
          <w:rFonts w:hint="eastAsia"/>
          <w:b/>
        </w:rPr>
        <w:t>Issues for discussion</w:t>
      </w:r>
      <w:r w:rsidRPr="003A2F95">
        <w:rPr>
          <w:b/>
        </w:rPr>
        <w:t xml:space="preserve"> </w:t>
      </w:r>
    </w:p>
    <w:p w:rsidR="003A2F95" w:rsidRPr="003A2F95" w:rsidRDefault="003A2F95" w:rsidP="003A2F95">
      <w:pPr>
        <w:numPr>
          <w:ilvl w:val="1"/>
          <w:numId w:val="15"/>
        </w:numPr>
        <w:autoSpaceDE w:val="0"/>
        <w:autoSpaceDN w:val="0"/>
        <w:adjustRightInd w:val="0"/>
        <w:snapToGrid w:val="0"/>
        <w:spacing w:after="120" w:line="360" w:lineRule="auto"/>
        <w:contextualSpacing/>
        <w:rPr>
          <w:b/>
        </w:rPr>
      </w:pPr>
      <w:r w:rsidRPr="003A2F95">
        <w:rPr>
          <w:rFonts w:eastAsia="MS Mincho" w:hint="eastAsia"/>
          <w:b/>
          <w:lang w:eastAsia="ja-JP"/>
        </w:rPr>
        <w:t>Review of the current SG structure</w:t>
      </w:r>
    </w:p>
    <w:p w:rsidR="003A2F95" w:rsidRPr="003A2F95" w:rsidRDefault="003A2F95" w:rsidP="003A2F95">
      <w:pPr>
        <w:autoSpaceDE w:val="0"/>
        <w:autoSpaceDN w:val="0"/>
        <w:adjustRightInd w:val="0"/>
        <w:snapToGrid w:val="0"/>
        <w:rPr>
          <w:rFonts w:eastAsia="MS Mincho"/>
          <w:lang w:eastAsia="ja-JP"/>
        </w:rPr>
      </w:pPr>
      <w:r w:rsidRPr="003A2F95">
        <w:rPr>
          <w:rFonts w:eastAsia="MS Mincho" w:hint="eastAsia"/>
          <w:lang w:eastAsia="ja-JP"/>
        </w:rPr>
        <w:t xml:space="preserve">Table 1 shows the current structure of Study Groups in this study period (2013-2016). </w:t>
      </w:r>
    </w:p>
    <w:p w:rsidR="003A2F95" w:rsidRPr="003A2F95" w:rsidRDefault="003A2F95" w:rsidP="003A2F95">
      <w:pPr>
        <w:autoSpaceDE w:val="0"/>
        <w:autoSpaceDN w:val="0"/>
        <w:adjustRightInd w:val="0"/>
        <w:snapToGrid w:val="0"/>
        <w:rPr>
          <w:rFonts w:eastAsia="MS Mincho"/>
          <w:lang w:eastAsia="ja-JP"/>
        </w:rPr>
      </w:pPr>
    </w:p>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 xml:space="preserve">Table 1 </w:t>
      </w:r>
      <w:r w:rsidRPr="003A2F95">
        <w:rPr>
          <w:rFonts w:eastAsia="MS Mincho"/>
          <w:lang w:eastAsia="ja-JP"/>
        </w:rPr>
        <w:t>–</w:t>
      </w:r>
      <w:r w:rsidRPr="003A2F95">
        <w:rPr>
          <w:rFonts w:eastAsia="MS Mincho" w:hint="eastAsia"/>
          <w:lang w:eastAsia="ja-JP"/>
        </w:rPr>
        <w:t xml:space="preserve"> The current structure of S</w:t>
      </w:r>
      <w:r w:rsidRPr="003A2F95">
        <w:rPr>
          <w:rFonts w:eastAsia="MS Mincho"/>
          <w:lang w:eastAsia="ja-JP"/>
        </w:rPr>
        <w:t>t</w:t>
      </w:r>
      <w:r w:rsidRPr="003A2F95">
        <w:rPr>
          <w:rFonts w:eastAsia="MS Mincho" w:hint="eastAsia"/>
          <w:lang w:eastAsia="ja-JP"/>
        </w:rPr>
        <w:t>udy Groups</w:t>
      </w:r>
      <w:r w:rsidRPr="003A2F95">
        <w:rPr>
          <w:rFonts w:eastAsia="MS Mincho"/>
          <w:lang w:eastAsia="ja-JP"/>
        </w:rPr>
        <w:t xml:space="preserve"> in ITU-T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628"/>
      </w:tblGrid>
      <w:tr w:rsidR="003A2F95" w:rsidRPr="003A2F95" w:rsidTr="00A55DAC">
        <w:trPr>
          <w:trHeight w:val="129"/>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SG</w:t>
            </w:r>
          </w:p>
        </w:tc>
        <w:tc>
          <w:tcPr>
            <w:tcW w:w="7628"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Title</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2</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Operational aspects of service provision and telecommunication management</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3</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Tariff and accounting principles including related telecommunication economic and policy issues</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5</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Environment and climate change</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9</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Television and sound transmission and integrated broadband cable networks</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11</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proofErr w:type="spellStart"/>
            <w:r w:rsidRPr="003A2F95">
              <w:rPr>
                <w:rFonts w:eastAsia="MS Mincho"/>
                <w:lang w:eastAsia="ja-JP"/>
              </w:rPr>
              <w:t>Signalling</w:t>
            </w:r>
            <w:proofErr w:type="spellEnd"/>
            <w:r w:rsidRPr="003A2F95">
              <w:rPr>
                <w:rFonts w:eastAsia="MS Mincho"/>
                <w:lang w:eastAsia="ja-JP"/>
              </w:rPr>
              <w:t xml:space="preserve"> requirements, protocols and test specifications</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12</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 xml:space="preserve">Performance, </w:t>
            </w:r>
            <w:proofErr w:type="spellStart"/>
            <w:r w:rsidRPr="003A2F95">
              <w:rPr>
                <w:rFonts w:eastAsia="MS Mincho"/>
                <w:lang w:eastAsia="ja-JP"/>
              </w:rPr>
              <w:t>QoS</w:t>
            </w:r>
            <w:proofErr w:type="spellEnd"/>
            <w:r w:rsidRPr="003A2F95">
              <w:rPr>
                <w:rFonts w:eastAsia="MS Mincho"/>
                <w:lang w:eastAsia="ja-JP"/>
              </w:rPr>
              <w:t xml:space="preserve"> and </w:t>
            </w:r>
            <w:proofErr w:type="spellStart"/>
            <w:r w:rsidRPr="003A2F95">
              <w:rPr>
                <w:rFonts w:eastAsia="MS Mincho"/>
                <w:lang w:eastAsia="ja-JP"/>
              </w:rPr>
              <w:t>QoE</w:t>
            </w:r>
            <w:proofErr w:type="spellEnd"/>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13</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 xml:space="preserve">Future networks including </w:t>
            </w:r>
            <w:r w:rsidRPr="003A2F95">
              <w:rPr>
                <w:rFonts w:eastAsia="MS Mincho" w:hint="eastAsia"/>
                <w:lang w:eastAsia="ja-JP"/>
              </w:rPr>
              <w:t xml:space="preserve">cloud computing, </w:t>
            </w:r>
            <w:r w:rsidRPr="003A2F95">
              <w:rPr>
                <w:rFonts w:eastAsia="MS Mincho"/>
                <w:lang w:eastAsia="ja-JP"/>
              </w:rPr>
              <w:t xml:space="preserve">mobile and </w:t>
            </w:r>
            <w:r w:rsidRPr="003A2F95">
              <w:rPr>
                <w:rFonts w:eastAsia="MS Mincho" w:hint="eastAsia"/>
                <w:lang w:eastAsia="ja-JP"/>
              </w:rPr>
              <w:t>next-generation networks</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15</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hint="eastAsia"/>
                <w:lang w:eastAsia="ja-JP"/>
              </w:rPr>
              <w:t>Ne</w:t>
            </w:r>
            <w:r w:rsidRPr="003A2F95">
              <w:rPr>
                <w:rFonts w:eastAsia="MS Mincho"/>
                <w:lang w:eastAsia="ja-JP"/>
              </w:rPr>
              <w:t>tworks</w:t>
            </w:r>
            <w:r w:rsidRPr="003A2F95">
              <w:rPr>
                <w:rFonts w:eastAsia="MS Mincho" w:hint="eastAsia"/>
                <w:lang w:eastAsia="ja-JP"/>
              </w:rPr>
              <w:t xml:space="preserve">, technologies and infrastructures for transport, </w:t>
            </w:r>
            <w:r w:rsidRPr="003A2F95">
              <w:rPr>
                <w:rFonts w:eastAsia="MS Mincho"/>
                <w:lang w:eastAsia="ja-JP"/>
              </w:rPr>
              <w:t>acces</w:t>
            </w:r>
            <w:r w:rsidRPr="003A2F95">
              <w:rPr>
                <w:rFonts w:eastAsia="MS Mincho" w:hint="eastAsia"/>
                <w:lang w:eastAsia="ja-JP"/>
              </w:rPr>
              <w:t>s and home</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16</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Multimedia coding, systems and applications</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17</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r w:rsidRPr="003A2F95">
              <w:rPr>
                <w:rFonts w:eastAsia="MS Mincho"/>
                <w:lang w:eastAsia="ja-JP"/>
              </w:rPr>
              <w:t>Security</w:t>
            </w:r>
          </w:p>
        </w:tc>
      </w:tr>
      <w:tr w:rsidR="003A2F95" w:rsidRPr="003A2F95" w:rsidTr="00A55DAC">
        <w:trPr>
          <w:trHeight w:val="260"/>
          <w:jc w:val="center"/>
        </w:trPr>
        <w:tc>
          <w:tcPr>
            <w:tcW w:w="693" w:type="dxa"/>
            <w:vAlign w:val="center"/>
          </w:tcPr>
          <w:p w:rsidR="003A2F95" w:rsidRPr="003A2F95" w:rsidRDefault="003A2F95" w:rsidP="003A2F95">
            <w:pPr>
              <w:autoSpaceDE w:val="0"/>
              <w:autoSpaceDN w:val="0"/>
              <w:adjustRightInd w:val="0"/>
              <w:snapToGrid w:val="0"/>
              <w:jc w:val="center"/>
              <w:rPr>
                <w:rFonts w:eastAsia="MS Mincho"/>
                <w:lang w:eastAsia="ja-JP"/>
              </w:rPr>
            </w:pPr>
            <w:r w:rsidRPr="003A2F95">
              <w:rPr>
                <w:rFonts w:eastAsia="MS Mincho" w:hint="eastAsia"/>
                <w:lang w:eastAsia="ja-JP"/>
              </w:rPr>
              <w:t>20</w:t>
            </w:r>
          </w:p>
        </w:tc>
        <w:tc>
          <w:tcPr>
            <w:tcW w:w="7628" w:type="dxa"/>
            <w:vAlign w:val="center"/>
          </w:tcPr>
          <w:p w:rsidR="003A2F95" w:rsidRPr="003A2F95" w:rsidRDefault="003A2F95" w:rsidP="003A2F95">
            <w:pPr>
              <w:autoSpaceDE w:val="0"/>
              <w:autoSpaceDN w:val="0"/>
              <w:adjustRightInd w:val="0"/>
              <w:snapToGrid w:val="0"/>
              <w:jc w:val="both"/>
              <w:rPr>
                <w:rFonts w:eastAsia="MS Mincho"/>
                <w:lang w:eastAsia="ja-JP"/>
              </w:rPr>
            </w:pPr>
            <w:proofErr w:type="spellStart"/>
            <w:r w:rsidRPr="003A2F95">
              <w:t>IoT</w:t>
            </w:r>
            <w:proofErr w:type="spellEnd"/>
            <w:r w:rsidRPr="003A2F95">
              <w:t xml:space="preserve"> and its applications including smart cities and communities (SC&amp;C)</w:t>
            </w:r>
          </w:p>
        </w:tc>
      </w:tr>
    </w:tbl>
    <w:p w:rsidR="003A2F95" w:rsidRPr="003A2F95" w:rsidRDefault="003A2F95" w:rsidP="003A2F95">
      <w:pPr>
        <w:autoSpaceDE w:val="0"/>
        <w:autoSpaceDN w:val="0"/>
        <w:adjustRightInd w:val="0"/>
        <w:snapToGrid w:val="0"/>
        <w:rPr>
          <w:rFonts w:eastAsia="MS Mincho"/>
          <w:lang w:eastAsia="ja-JP"/>
        </w:rPr>
      </w:pPr>
    </w:p>
    <w:p w:rsidR="003A2F95" w:rsidRPr="003A2F95" w:rsidRDefault="003A2F95" w:rsidP="003A2F95">
      <w:pPr>
        <w:autoSpaceDE w:val="0"/>
        <w:autoSpaceDN w:val="0"/>
        <w:adjustRightInd w:val="0"/>
        <w:snapToGrid w:val="0"/>
        <w:spacing w:after="240"/>
        <w:rPr>
          <w:rFonts w:eastAsia="MS Mincho"/>
          <w:lang w:eastAsia="ja-JP"/>
        </w:rPr>
      </w:pPr>
      <w:r w:rsidRPr="003A2F95">
        <w:rPr>
          <w:rFonts w:eastAsia="MS Mincho" w:hint="eastAsia"/>
          <w:lang w:eastAsia="ja-JP"/>
        </w:rPr>
        <w:t xml:space="preserve">Each SG is given a responsibility as appeared in WTSA Resolution 2. Lead study items for SGs are described in Annex. 2. Also, initial information about SG20 is described in </w:t>
      </w:r>
      <w:hyperlink r:id="rId8" w:history="1">
        <w:r w:rsidRPr="003A2F95">
          <w:rPr>
            <w:color w:val="0000FF" w:themeColor="hyperlink"/>
            <w:u w:val="single"/>
          </w:rPr>
          <w:t>TD322 Rev3</w:t>
        </w:r>
      </w:hyperlink>
      <w:r w:rsidRPr="003A2F95">
        <w:rPr>
          <w:rFonts w:eastAsia="MS Mincho" w:hint="eastAsia"/>
          <w:lang w:eastAsia="ja-JP"/>
        </w:rPr>
        <w:t xml:space="preserve"> (TSAG). It is </w:t>
      </w:r>
      <w:r w:rsidRPr="003A2F95">
        <w:rPr>
          <w:rFonts w:eastAsia="MS Mincho"/>
          <w:lang w:eastAsia="ja-JP"/>
        </w:rPr>
        <w:t>possible</w:t>
      </w:r>
      <w:r w:rsidRPr="003A2F95">
        <w:rPr>
          <w:rFonts w:eastAsia="MS Mincho" w:hint="eastAsia"/>
          <w:lang w:eastAsia="ja-JP"/>
        </w:rPr>
        <w:t xml:space="preserve"> that </w:t>
      </w:r>
      <w:r w:rsidRPr="003A2F95">
        <w:rPr>
          <w:rFonts w:eastAsia="MS Mincho"/>
          <w:lang w:eastAsia="ja-JP"/>
        </w:rPr>
        <w:t>responsible</w:t>
      </w:r>
      <w:r w:rsidRPr="003A2F95">
        <w:rPr>
          <w:rFonts w:eastAsia="MS Mincho" w:hint="eastAsia"/>
          <w:lang w:eastAsia="ja-JP"/>
        </w:rPr>
        <w:t xml:space="preserve"> area of some SGs does not meet the interest of APT members while APT members would like to enhance some SGs working for specific areas.</w:t>
      </w:r>
    </w:p>
    <w:p w:rsidR="003A2F95" w:rsidRPr="003A2F95" w:rsidRDefault="003A2F95" w:rsidP="003A2F95">
      <w:pPr>
        <w:numPr>
          <w:ilvl w:val="1"/>
          <w:numId w:val="15"/>
        </w:numPr>
        <w:autoSpaceDE w:val="0"/>
        <w:autoSpaceDN w:val="0"/>
        <w:adjustRightInd w:val="0"/>
        <w:snapToGrid w:val="0"/>
        <w:spacing w:after="120" w:line="360" w:lineRule="auto"/>
        <w:contextualSpacing/>
        <w:rPr>
          <w:b/>
        </w:rPr>
      </w:pPr>
      <w:r w:rsidRPr="003A2F95">
        <w:rPr>
          <w:rFonts w:eastAsia="MS Mincho"/>
          <w:b/>
          <w:lang w:eastAsia="ja-JP"/>
        </w:rPr>
        <w:t>New Study Topics in ITU-T</w:t>
      </w:r>
    </w:p>
    <w:p w:rsidR="003A2F95" w:rsidRPr="003A2F95" w:rsidRDefault="003A2F95" w:rsidP="003A2F95">
      <w:pPr>
        <w:autoSpaceDE w:val="0"/>
        <w:autoSpaceDN w:val="0"/>
        <w:adjustRightInd w:val="0"/>
        <w:snapToGrid w:val="0"/>
        <w:spacing w:after="240"/>
        <w:rPr>
          <w:rFonts w:eastAsia="MS Mincho"/>
          <w:lang w:eastAsia="ja-JP"/>
        </w:rPr>
      </w:pPr>
      <w:r w:rsidRPr="003A2F95">
        <w:rPr>
          <w:rFonts w:eastAsia="MS Mincho" w:hint="eastAsia"/>
          <w:lang w:eastAsia="ja-JP"/>
        </w:rPr>
        <w:lastRenderedPageBreak/>
        <w:t>ITU-T is conducting studies of emerging topics which are being carried out in F</w:t>
      </w:r>
      <w:r w:rsidRPr="003A2F95">
        <w:rPr>
          <w:rFonts w:eastAsia="MS Mincho"/>
          <w:lang w:eastAsia="ja-JP"/>
        </w:rPr>
        <w:t xml:space="preserve">ocus </w:t>
      </w:r>
      <w:r w:rsidRPr="003A2F95">
        <w:rPr>
          <w:rFonts w:eastAsia="MS Mincho" w:hint="eastAsia"/>
          <w:lang w:eastAsia="ja-JP"/>
        </w:rPr>
        <w:t>G</w:t>
      </w:r>
      <w:r w:rsidRPr="003A2F95">
        <w:rPr>
          <w:rFonts w:eastAsia="MS Mincho"/>
          <w:lang w:eastAsia="ja-JP"/>
        </w:rPr>
        <w:t>roup</w:t>
      </w:r>
      <w:r w:rsidRPr="003A2F95">
        <w:rPr>
          <w:rFonts w:eastAsia="MS Mincho" w:hint="eastAsia"/>
          <w:lang w:eastAsia="ja-JP"/>
        </w:rPr>
        <w:t>s, JCAs</w:t>
      </w:r>
      <w:r w:rsidRPr="003A2F95">
        <w:rPr>
          <w:rFonts w:eastAsia="MS Mincho"/>
          <w:lang w:eastAsia="ja-JP"/>
        </w:rPr>
        <w:t xml:space="preserve"> (Joint Coordination Activities)</w:t>
      </w:r>
      <w:r w:rsidRPr="003A2F95">
        <w:rPr>
          <w:rFonts w:eastAsia="MS Mincho" w:hint="eastAsia"/>
          <w:lang w:eastAsia="ja-JP"/>
        </w:rPr>
        <w:t xml:space="preserve"> and GSIs</w:t>
      </w:r>
      <w:r w:rsidRPr="003A2F95">
        <w:rPr>
          <w:rFonts w:eastAsia="MS Mincho"/>
          <w:lang w:eastAsia="ja-JP"/>
        </w:rPr>
        <w:t xml:space="preserve"> (Global Standards Initiatives)</w:t>
      </w:r>
      <w:r w:rsidRPr="003A2F95">
        <w:rPr>
          <w:rFonts w:eastAsia="MS Mincho" w:hint="eastAsia"/>
          <w:lang w:eastAsia="ja-JP"/>
        </w:rPr>
        <w:t>. Different from the traditional study items being studied in SGs, such items require flexible arrangements for some reasons, for example</w:t>
      </w:r>
      <w:r w:rsidRPr="003A2F95">
        <w:rPr>
          <w:rFonts w:eastAsia="Malgun Gothic" w:hint="eastAsia"/>
        </w:rPr>
        <w:t>,</w:t>
      </w:r>
      <w:r w:rsidRPr="003A2F95">
        <w:rPr>
          <w:rFonts w:eastAsia="MS Mincho" w:hint="eastAsia"/>
          <w:lang w:eastAsia="ja-JP"/>
        </w:rPr>
        <w:t xml:space="preserve"> inviting external experts and having co-located meetings belonging to more than two study groups.</w:t>
      </w:r>
    </w:p>
    <w:p w:rsidR="003A2F95" w:rsidRPr="003A2F95" w:rsidRDefault="003A2F95" w:rsidP="003A2F95">
      <w:pPr>
        <w:widowControl w:val="0"/>
        <w:autoSpaceDE w:val="0"/>
        <w:autoSpaceDN w:val="0"/>
        <w:adjustRightInd w:val="0"/>
        <w:rPr>
          <w:rFonts w:eastAsiaTheme="minorEastAsia"/>
          <w:color w:val="000000"/>
          <w:lang w:eastAsia="ja-JP"/>
        </w:rPr>
      </w:pPr>
      <w:r w:rsidRPr="003A2F95">
        <w:rPr>
          <w:rFonts w:eastAsia="MS Mincho"/>
          <w:color w:val="000000"/>
          <w:lang w:eastAsia="ja-JP"/>
        </w:rPr>
        <w:t>For academic topics, ITU-T holds the ITU Kaleidoscope events to increase the dialogue between experts working on the standardization of Information and Communication Technologies (ICTs) and academia. ITU-T CTO meeting discussed key topics</w:t>
      </w:r>
      <w:r w:rsidRPr="003A2F95">
        <w:rPr>
          <w:rFonts w:eastAsia="Batang"/>
          <w:color w:val="000000"/>
        </w:rPr>
        <w:t xml:space="preserve"> in the telecommunication/ICT sector and subject of ongoing standardization</w:t>
      </w:r>
      <w:r w:rsidRPr="003A2F95">
        <w:rPr>
          <w:rFonts w:eastAsia="MS Mincho" w:hint="eastAsia"/>
          <w:color w:val="000000"/>
          <w:lang w:eastAsia="ja-JP"/>
        </w:rPr>
        <w:t>, which</w:t>
      </w:r>
      <w:r w:rsidRPr="003A2F95">
        <w:rPr>
          <w:rFonts w:eastAsia="MS Mincho"/>
          <w:color w:val="000000"/>
          <w:lang w:eastAsia="ja-JP"/>
        </w:rPr>
        <w:t xml:space="preserve"> were identified</w:t>
      </w:r>
      <w:r w:rsidRPr="003A2F95">
        <w:rPr>
          <w:rFonts w:eastAsiaTheme="minorEastAsia"/>
          <w:color w:val="000000"/>
          <w:lang w:eastAsia="ja-JP"/>
        </w:rPr>
        <w:t xml:space="preserve"> </w:t>
      </w:r>
      <w:r w:rsidRPr="003A2F95">
        <w:rPr>
          <w:rFonts w:eastAsia="MS Mincho"/>
          <w:color w:val="000000"/>
          <w:lang w:eastAsia="ja-JP"/>
        </w:rPr>
        <w:t xml:space="preserve">as areas of particular strategic importance. </w:t>
      </w:r>
      <w:r w:rsidRPr="003A2F95">
        <w:rPr>
          <w:rFonts w:eastAsiaTheme="minorEastAsia"/>
          <w:bCs/>
          <w:color w:val="000000"/>
          <w:lang w:eastAsia="ja-JP"/>
        </w:rPr>
        <w:t xml:space="preserve">Also, ITU-T </w:t>
      </w:r>
      <w:r w:rsidRPr="003A2F95">
        <w:rPr>
          <w:rFonts w:eastAsia="Batang"/>
          <w:bCs/>
          <w:color w:val="000000"/>
        </w:rPr>
        <w:t>Technology Watch</w:t>
      </w:r>
      <w:r w:rsidRPr="003A2F95">
        <w:rPr>
          <w:rFonts w:eastAsia="Batang"/>
          <w:b/>
          <w:color w:val="000000"/>
        </w:rPr>
        <w:t xml:space="preserve"> </w:t>
      </w:r>
      <w:r w:rsidRPr="003A2F95">
        <w:rPr>
          <w:rFonts w:eastAsia="Batang"/>
          <w:color w:val="000000"/>
        </w:rPr>
        <w:t>surveys emerging information and communication technologies and how they can be included within the ITU-T work program.</w:t>
      </w:r>
    </w:p>
    <w:p w:rsidR="003A2F95" w:rsidRPr="003A2F95" w:rsidRDefault="003A2F95" w:rsidP="003A2F95">
      <w:pPr>
        <w:autoSpaceDE w:val="0"/>
        <w:autoSpaceDN w:val="0"/>
        <w:adjustRightInd w:val="0"/>
        <w:snapToGrid w:val="0"/>
        <w:spacing w:after="240"/>
        <w:rPr>
          <w:rFonts w:eastAsia="MS Mincho"/>
          <w:lang w:eastAsia="ja-JP"/>
        </w:rPr>
      </w:pPr>
    </w:p>
    <w:p w:rsidR="003A2F95" w:rsidRPr="003A2F95" w:rsidRDefault="003A2F95" w:rsidP="003A2F95">
      <w:pPr>
        <w:numPr>
          <w:ilvl w:val="2"/>
          <w:numId w:val="15"/>
        </w:numPr>
        <w:autoSpaceDE w:val="0"/>
        <w:autoSpaceDN w:val="0"/>
        <w:adjustRightInd w:val="0"/>
        <w:snapToGrid w:val="0"/>
        <w:spacing w:after="120" w:line="360" w:lineRule="auto"/>
        <w:contextualSpacing/>
        <w:rPr>
          <w:rFonts w:eastAsia="MS Mincho"/>
          <w:b/>
          <w:lang w:eastAsia="ja-JP"/>
        </w:rPr>
      </w:pPr>
      <w:r w:rsidRPr="003A2F95">
        <w:rPr>
          <w:rFonts w:eastAsia="MS Mincho" w:hint="eastAsia"/>
          <w:b/>
          <w:lang w:eastAsia="ja-JP"/>
        </w:rPr>
        <w:t>ITU-T Focus Groups</w:t>
      </w:r>
    </w:p>
    <w:p w:rsidR="003A2F95" w:rsidRPr="003A2F95" w:rsidRDefault="003A2F95" w:rsidP="003A2F95">
      <w:pPr>
        <w:autoSpaceDE w:val="0"/>
        <w:autoSpaceDN w:val="0"/>
        <w:adjustRightInd w:val="0"/>
        <w:snapToGrid w:val="0"/>
        <w:spacing w:after="240"/>
        <w:rPr>
          <w:rFonts w:eastAsia="MS Mincho"/>
          <w:lang w:eastAsia="ja-JP"/>
        </w:rPr>
      </w:pPr>
      <w:r w:rsidRPr="003A2F95">
        <w:rPr>
          <w:rFonts w:eastAsia="MS Mincho" w:hint="eastAsia"/>
          <w:lang w:eastAsia="ja-JP"/>
        </w:rPr>
        <w:t xml:space="preserve">Focus Group is defined in ITU-T Recommendation A.7. Different from Study Group, the Focus Group allows </w:t>
      </w:r>
      <w:r w:rsidRPr="003A2F95">
        <w:rPr>
          <w:rFonts w:eastAsia="MS Mincho"/>
          <w:lang w:eastAsia="ja-JP"/>
        </w:rPr>
        <w:t>the participation</w:t>
      </w:r>
      <w:r w:rsidRPr="003A2F95">
        <w:rPr>
          <w:rFonts w:eastAsia="MS Mincho" w:hint="eastAsia"/>
          <w:lang w:eastAsia="ja-JP"/>
        </w:rPr>
        <w:t xml:space="preserve"> of non-member of ITU-T. Because of this </w:t>
      </w:r>
      <w:r w:rsidRPr="003A2F95">
        <w:rPr>
          <w:rFonts w:eastAsia="MS Mincho"/>
          <w:lang w:eastAsia="ja-JP"/>
        </w:rPr>
        <w:t>flexibility</w:t>
      </w:r>
      <w:r w:rsidRPr="003A2F95">
        <w:rPr>
          <w:rFonts w:eastAsia="MS Mincho" w:hint="eastAsia"/>
          <w:lang w:eastAsia="ja-JP"/>
        </w:rPr>
        <w:t xml:space="preserve">, this group is relevant for emerging topics which need to involve experts from non-ICT sectors. </w:t>
      </w:r>
    </w:p>
    <w:p w:rsidR="003A2F95" w:rsidRPr="003A2F95" w:rsidRDefault="003A2F95" w:rsidP="003A2F95">
      <w:pPr>
        <w:autoSpaceDE w:val="0"/>
        <w:autoSpaceDN w:val="0"/>
        <w:adjustRightInd w:val="0"/>
        <w:snapToGrid w:val="0"/>
        <w:spacing w:after="240"/>
        <w:rPr>
          <w:rFonts w:eastAsia="MS Mincho"/>
          <w:lang w:eastAsia="ja-JP"/>
        </w:rPr>
      </w:pPr>
      <w:r w:rsidRPr="003A2F95">
        <w:rPr>
          <w:rFonts w:eastAsia="MS Mincho"/>
          <w:lang w:eastAsia="ja-JP"/>
        </w:rPr>
        <w:t xml:space="preserve">The </w:t>
      </w:r>
      <w:r w:rsidRPr="003A2F95">
        <w:rPr>
          <w:rFonts w:eastAsia="MS Mincho" w:hint="eastAsia"/>
          <w:lang w:eastAsia="ja-JP"/>
        </w:rPr>
        <w:t xml:space="preserve">Focus Group can be established by Study Group. But, from the viewpoint of possible impact for SG restructuring, this document introduces </w:t>
      </w:r>
      <w:r w:rsidRPr="003A2F95">
        <w:rPr>
          <w:rFonts w:eastAsia="MS Mincho"/>
          <w:lang w:eastAsia="ja-JP"/>
        </w:rPr>
        <w:t xml:space="preserve">the </w:t>
      </w:r>
      <w:r w:rsidRPr="003A2F95">
        <w:rPr>
          <w:rFonts w:eastAsia="MS Mincho" w:hint="eastAsia"/>
          <w:lang w:eastAsia="ja-JP"/>
        </w:rPr>
        <w:t xml:space="preserve">Focus Groups which are working currently and were established </w:t>
      </w:r>
      <w:r w:rsidRPr="003A2F95">
        <w:rPr>
          <w:rFonts w:eastAsia="MS Mincho"/>
          <w:lang w:eastAsia="ja-JP"/>
        </w:rPr>
        <w:t xml:space="preserve">by </w:t>
      </w:r>
      <w:r w:rsidRPr="003A2F95">
        <w:rPr>
          <w:rFonts w:eastAsia="MS Mincho" w:hint="eastAsia"/>
          <w:lang w:eastAsia="ja-JP"/>
        </w:rPr>
        <w:t>TSAG.</w:t>
      </w:r>
    </w:p>
    <w:p w:rsidR="003A2F95" w:rsidRPr="003A2F95" w:rsidRDefault="003A2F95" w:rsidP="003A2F95">
      <w:pPr>
        <w:widowControl w:val="0"/>
        <w:numPr>
          <w:ilvl w:val="0"/>
          <w:numId w:val="18"/>
        </w:numPr>
        <w:autoSpaceDE w:val="0"/>
        <w:autoSpaceDN w:val="0"/>
        <w:adjustRightInd w:val="0"/>
        <w:snapToGrid w:val="0"/>
        <w:spacing w:line="240" w:lineRule="atLeast"/>
        <w:ind w:left="284" w:hanging="284"/>
        <w:rPr>
          <w:rFonts w:eastAsia="MS Mincho"/>
          <w:b/>
          <w:lang w:eastAsia="ja-JP"/>
        </w:rPr>
      </w:pPr>
      <w:r w:rsidRPr="003A2F95">
        <w:rPr>
          <w:rFonts w:eastAsia="MS Mincho"/>
          <w:b/>
          <w:lang w:eastAsia="ja-JP"/>
        </w:rPr>
        <w:t xml:space="preserve">Focus Group on </w:t>
      </w:r>
      <w:r w:rsidRPr="003A2F95">
        <w:rPr>
          <w:rFonts w:eastAsia="MS Mincho" w:hint="eastAsia"/>
          <w:b/>
          <w:lang w:eastAsia="ja-JP"/>
        </w:rPr>
        <w:t>IMT-2020 (FG IMT-2020)</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color w:val="000000"/>
          <w:lang w:eastAsia="ja-JP"/>
        </w:rPr>
        <w:t xml:space="preserve">ITU has established a new Focus Group to identify the network standardization requirements for the '5G' development of International Mobile Telecommunications (IMT) for 2020 and beyond. The network studies are hosted by ITU’s Standardization Sector (ITU-T), benefiting from the strength of ITU-T standardization in wireline communications. </w:t>
      </w:r>
      <w:r w:rsidRPr="003A2F95">
        <w:rPr>
          <w:rFonts w:eastAsia="MS Mincho"/>
          <w:lang w:eastAsia="ja-JP"/>
        </w:rPr>
        <w:t>The parent study group is SG13.</w:t>
      </w:r>
    </w:p>
    <w:p w:rsidR="003A2F95" w:rsidRPr="003A2F95" w:rsidRDefault="003A2F95" w:rsidP="003A2F95">
      <w:pPr>
        <w:autoSpaceDE w:val="0"/>
        <w:autoSpaceDN w:val="0"/>
        <w:adjustRightInd w:val="0"/>
        <w:snapToGrid w:val="0"/>
        <w:spacing w:after="240"/>
        <w:ind w:leftChars="100" w:left="240"/>
        <w:rPr>
          <w:rFonts w:eastAsia="MS Mincho"/>
          <w:lang w:eastAsia="ja-JP"/>
        </w:rPr>
      </w:pPr>
      <w:r w:rsidRPr="003A2F95">
        <w:rPr>
          <w:rFonts w:eastAsia="MS Mincho" w:hint="eastAsia"/>
          <w:lang w:eastAsia="ja-JP"/>
        </w:rPr>
        <w:t>The detailed information can be found at</w:t>
      </w:r>
      <w:proofErr w:type="gramStart"/>
      <w:r w:rsidRPr="003A2F95">
        <w:rPr>
          <w:rFonts w:eastAsia="MS Mincho" w:hint="eastAsia"/>
          <w:lang w:eastAsia="ja-JP"/>
        </w:rPr>
        <w:t>:</w:t>
      </w:r>
      <w:proofErr w:type="gramEnd"/>
      <w:r w:rsidRPr="003A2F95">
        <w:rPr>
          <w:rFonts w:eastAsia="MS Mincho"/>
          <w:lang w:eastAsia="ja-JP"/>
        </w:rPr>
        <w:br/>
      </w:r>
      <w:hyperlink r:id="rId9" w:history="1">
        <w:r w:rsidRPr="003A2F95">
          <w:rPr>
            <w:rFonts w:eastAsia="MS Mincho"/>
            <w:color w:val="0000FF" w:themeColor="hyperlink"/>
            <w:u w:val="single"/>
            <w:lang w:eastAsia="ja-JP"/>
          </w:rPr>
          <w:t>http://www.itu.int/en/ITU-T/focusgroups/</w:t>
        </w:r>
        <w:r w:rsidRPr="003A2F95">
          <w:rPr>
            <w:rFonts w:eastAsia="MS Mincho" w:hint="eastAsia"/>
            <w:color w:val="0000FF" w:themeColor="hyperlink"/>
            <w:u w:val="single"/>
            <w:lang w:eastAsia="ja-JP"/>
          </w:rPr>
          <w:t>imt-2020</w:t>
        </w:r>
        <w:r w:rsidRPr="003A2F95">
          <w:rPr>
            <w:rFonts w:eastAsia="MS Mincho"/>
            <w:color w:val="0000FF" w:themeColor="hyperlink"/>
            <w:u w:val="single"/>
            <w:lang w:eastAsia="ja-JP"/>
          </w:rPr>
          <w:t>/Pages/default.aspx</w:t>
        </w:r>
      </w:hyperlink>
      <w:r w:rsidRPr="003A2F95">
        <w:rPr>
          <w:rFonts w:eastAsia="MS Mincho" w:hint="eastAsia"/>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line="240" w:lineRule="atLeast"/>
        <w:ind w:left="284" w:hanging="284"/>
        <w:rPr>
          <w:rFonts w:eastAsia="MS Mincho"/>
          <w:b/>
          <w:lang w:eastAsia="ja-JP"/>
        </w:rPr>
      </w:pPr>
      <w:r w:rsidRPr="003A2F95">
        <w:rPr>
          <w:rFonts w:eastAsia="MS Mincho"/>
          <w:b/>
          <w:lang w:eastAsia="ja-JP"/>
        </w:rPr>
        <w:t xml:space="preserve">Focus Group on </w:t>
      </w:r>
      <w:r w:rsidRPr="003A2F95">
        <w:rPr>
          <w:rFonts w:eastAsia="MS Mincho" w:hint="eastAsia"/>
          <w:b/>
          <w:lang w:eastAsia="ja-JP"/>
        </w:rPr>
        <w:t>Digital Financial Services</w:t>
      </w:r>
      <w:r w:rsidRPr="003A2F95">
        <w:rPr>
          <w:rFonts w:eastAsia="MS Mincho"/>
          <w:b/>
          <w:lang w:eastAsia="ja-JP"/>
        </w:rPr>
        <w:t xml:space="preserve"> (FG </w:t>
      </w:r>
      <w:r w:rsidRPr="003A2F95">
        <w:rPr>
          <w:rFonts w:eastAsia="MS Mincho" w:hint="eastAsia"/>
          <w:b/>
          <w:lang w:eastAsia="ja-JP"/>
        </w:rPr>
        <w:t>DFS</w:t>
      </w:r>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color w:val="000000"/>
          <w:lang w:eastAsia="ja-JP"/>
        </w:rPr>
        <w:t>The ITU-T Focus Group Digital Financial Services was established by ITU-T TSAG at its meeting in Geneva, 17-20 June 2014. FG-DFS will provide a platform for dialogue among players in the banking/financial and telecom sectors to share information, best practices, develop a series of deliverables and showcasing innovations, policies and standards activities that are taking place in the area of digital financial services.</w:t>
      </w:r>
      <w:r w:rsidRPr="003A2F95">
        <w:rPr>
          <w:rFonts w:eastAsia="MS PGothic" w:hint="eastAsia"/>
          <w:color w:val="000000"/>
          <w:lang w:eastAsia="ja-JP"/>
        </w:rPr>
        <w:t xml:space="preserve"> </w:t>
      </w:r>
      <w:r w:rsidRPr="003A2F95">
        <w:rPr>
          <w:rFonts w:eastAsia="MS PGothic"/>
          <w:color w:val="000000"/>
          <w:lang w:eastAsia="ja-JP"/>
        </w:rPr>
        <w:t xml:space="preserve">The parent study group is </w:t>
      </w:r>
      <w:r w:rsidRPr="003A2F95">
        <w:rPr>
          <w:rFonts w:eastAsia="MS PGothic" w:hint="eastAsia"/>
          <w:color w:val="000000"/>
          <w:lang w:eastAsia="ja-JP"/>
        </w:rPr>
        <w:t>TSAG.</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hint="eastAsia"/>
          <w:color w:val="000000"/>
          <w:lang w:eastAsia="ja-JP"/>
        </w:rPr>
        <w:t>The detailed information can be found at</w:t>
      </w:r>
      <w:proofErr w:type="gramStart"/>
      <w:r w:rsidRPr="003A2F95">
        <w:rPr>
          <w:rFonts w:eastAsia="MS PGothic" w:hint="eastAsia"/>
          <w:color w:val="000000"/>
          <w:lang w:eastAsia="ja-JP"/>
        </w:rPr>
        <w:t>;</w:t>
      </w:r>
      <w:proofErr w:type="gramEnd"/>
      <w:r w:rsidRPr="003A2F95">
        <w:rPr>
          <w:rFonts w:eastAsia="MS PGothic"/>
          <w:color w:val="000000"/>
          <w:lang w:eastAsia="ja-JP"/>
        </w:rPr>
        <w:br/>
      </w:r>
      <w:hyperlink r:id="rId10" w:history="1">
        <w:r w:rsidRPr="003A2F95">
          <w:rPr>
            <w:rFonts w:eastAsia="MS Mincho"/>
            <w:color w:val="0000FF" w:themeColor="hyperlink"/>
            <w:u w:val="single"/>
            <w:lang w:eastAsia="ja-JP"/>
          </w:rPr>
          <w:t>http://www.itu.int/en/ITU-T/focusgroups/dfs/Pages/Default.aspx</w:t>
        </w:r>
      </w:hyperlink>
      <w:r w:rsidRPr="003A2F95">
        <w:rPr>
          <w:rFonts w:eastAsia="MS Mincho"/>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 xml:space="preserve">Focus Group on </w:t>
      </w:r>
      <w:r w:rsidRPr="003A2F95">
        <w:rPr>
          <w:rFonts w:eastAsia="MS Mincho" w:hint="eastAsia"/>
          <w:b/>
          <w:lang w:eastAsia="ja-JP"/>
        </w:rPr>
        <w:t xml:space="preserve">Aviation Applications of Cloud Computing for Flight Data Monitoring </w:t>
      </w:r>
      <w:r w:rsidRPr="003A2F95">
        <w:rPr>
          <w:rFonts w:eastAsia="MS Mincho"/>
          <w:b/>
          <w:lang w:eastAsia="ja-JP"/>
        </w:rPr>
        <w:t xml:space="preserve"> (FG </w:t>
      </w:r>
      <w:r w:rsidRPr="003A2F95">
        <w:rPr>
          <w:rFonts w:eastAsia="MS Mincho" w:hint="eastAsia"/>
          <w:b/>
          <w:lang w:eastAsia="ja-JP"/>
        </w:rPr>
        <w:t>AC</w:t>
      </w:r>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color w:val="000000"/>
          <w:lang w:eastAsia="ja-JP"/>
        </w:rPr>
        <w:t>The Focus Group on Aviation Applications of Cloud Computing for Flight Data Monitoring (FG AC) will identify the requirements for telecommunication standards for an aviation cloud for real-time monitoring of flight data. The parent group is TSAG.</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hint="eastAsia"/>
          <w:color w:val="000000"/>
          <w:lang w:eastAsia="ja-JP"/>
        </w:rPr>
        <w:t>The detailed information can be found at</w:t>
      </w:r>
      <w:proofErr w:type="gramStart"/>
      <w:r w:rsidRPr="003A2F95">
        <w:rPr>
          <w:rFonts w:eastAsia="MS PGothic" w:hint="eastAsia"/>
          <w:color w:val="000000"/>
          <w:lang w:eastAsia="ja-JP"/>
        </w:rPr>
        <w:t>;</w:t>
      </w:r>
      <w:proofErr w:type="gramEnd"/>
      <w:r w:rsidRPr="003A2F95">
        <w:rPr>
          <w:rFonts w:eastAsia="MS PGothic"/>
          <w:color w:val="000000"/>
          <w:lang w:eastAsia="ja-JP"/>
        </w:rPr>
        <w:br/>
      </w:r>
      <w:hyperlink r:id="rId11" w:history="1">
        <w:r w:rsidRPr="003A2F95">
          <w:rPr>
            <w:rFonts w:eastAsia="MS Mincho"/>
            <w:color w:val="0000FF" w:themeColor="hyperlink"/>
            <w:szCs w:val="18"/>
            <w:u w:val="single"/>
            <w:lang w:eastAsia="ja-JP"/>
          </w:rPr>
          <w:t>http://www.itu.int/en/ITU-T/focusgroups/ac/Pages/default.aspx</w:t>
        </w:r>
      </w:hyperlink>
      <w:r w:rsidRPr="003A2F95">
        <w:rPr>
          <w:rFonts w:eastAsia="MS PGothic" w:cs="MS PGothic"/>
          <w:color w:val="000000"/>
          <w:sz w:val="36"/>
          <w:lang w:eastAsia="ja-JP"/>
        </w:rPr>
        <w:t xml:space="preserve"> </w:t>
      </w:r>
      <w:r w:rsidRPr="003A2F95">
        <w:rPr>
          <w:rFonts w:eastAsia="MS PGothic" w:hint="eastAsia"/>
          <w:color w:val="000000"/>
          <w:lang w:eastAsia="ja-JP"/>
        </w:rPr>
        <w:t>.</w:t>
      </w:r>
    </w:p>
    <w:p w:rsidR="003A2F95" w:rsidRPr="003A2F95" w:rsidRDefault="003A2F95" w:rsidP="003A2F95">
      <w:pPr>
        <w:autoSpaceDE w:val="0"/>
        <w:autoSpaceDN w:val="0"/>
        <w:adjustRightInd w:val="0"/>
        <w:snapToGrid w:val="0"/>
        <w:rPr>
          <w:rFonts w:eastAsia="MS Mincho"/>
          <w:lang w:eastAsia="ja-JP"/>
        </w:rPr>
      </w:pPr>
    </w:p>
    <w:p w:rsidR="003A2F95" w:rsidRPr="003A2F95" w:rsidRDefault="003A2F95" w:rsidP="003A2F95">
      <w:pPr>
        <w:autoSpaceDE w:val="0"/>
        <w:autoSpaceDN w:val="0"/>
        <w:adjustRightInd w:val="0"/>
        <w:snapToGrid w:val="0"/>
        <w:rPr>
          <w:b/>
        </w:rPr>
      </w:pPr>
      <w:r w:rsidRPr="003A2F95">
        <w:rPr>
          <w:b/>
        </w:rPr>
        <w:lastRenderedPageBreak/>
        <w:t>2.</w:t>
      </w:r>
      <w:r w:rsidRPr="003A2F95">
        <w:rPr>
          <w:rFonts w:eastAsia="MS Mincho" w:hint="eastAsia"/>
          <w:b/>
          <w:lang w:eastAsia="ja-JP"/>
        </w:rPr>
        <w:t>2.2.</w:t>
      </w:r>
      <w:r w:rsidRPr="003A2F95">
        <w:rPr>
          <w:b/>
        </w:rPr>
        <w:t xml:space="preserve"> </w:t>
      </w:r>
      <w:r w:rsidRPr="003A2F95">
        <w:rPr>
          <w:rFonts w:eastAsia="MS Mincho" w:hint="eastAsia"/>
          <w:b/>
          <w:lang w:eastAsia="ja-JP"/>
        </w:rPr>
        <w:tab/>
      </w:r>
      <w:r w:rsidRPr="003A2F95">
        <w:rPr>
          <w:rFonts w:eastAsia="MS Mincho"/>
          <w:b/>
          <w:lang w:eastAsia="ja-JP"/>
        </w:rPr>
        <w:t xml:space="preserve">ITU-T </w:t>
      </w:r>
      <w:r w:rsidRPr="003A2F95">
        <w:rPr>
          <w:rFonts w:eastAsia="MS Mincho" w:hint="eastAsia"/>
          <w:b/>
          <w:lang w:eastAsia="ja-JP"/>
        </w:rPr>
        <w:t>JCAs and GSIs</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lang w:eastAsia="ja-JP"/>
        </w:rPr>
      </w:pPr>
      <w:r w:rsidRPr="003A2F95">
        <w:rPr>
          <w:rFonts w:eastAsia="MS Mincho"/>
          <w:b/>
          <w:lang w:eastAsia="ja-JP"/>
        </w:rPr>
        <w:t>Joint Coordination Activity on Internet of Things (JCA-</w:t>
      </w:r>
      <w:proofErr w:type="spellStart"/>
      <w:r w:rsidRPr="003A2F95">
        <w:rPr>
          <w:rFonts w:eastAsia="MS Mincho"/>
          <w:b/>
          <w:lang w:eastAsia="ja-JP"/>
        </w:rPr>
        <w:t>IoT</w:t>
      </w:r>
      <w:proofErr w:type="spellEnd"/>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color w:val="000000"/>
          <w:lang w:eastAsia="ja-JP"/>
        </w:rPr>
        <w:t>JCA-</w:t>
      </w:r>
      <w:proofErr w:type="spellStart"/>
      <w:r w:rsidRPr="003A2F95">
        <w:rPr>
          <w:rFonts w:eastAsia="MS PGothic"/>
          <w:color w:val="000000"/>
          <w:lang w:eastAsia="ja-JP"/>
        </w:rPr>
        <w:t>IoT</w:t>
      </w:r>
      <w:proofErr w:type="spellEnd"/>
      <w:r w:rsidRPr="003A2F95">
        <w:rPr>
          <w:rFonts w:eastAsia="MS PGothic"/>
          <w:color w:val="000000"/>
          <w:lang w:eastAsia="ja-JP"/>
        </w:rPr>
        <w:t xml:space="preserve"> coordinate</w:t>
      </w:r>
      <w:r w:rsidRPr="003A2F95">
        <w:rPr>
          <w:rFonts w:eastAsia="MS PGothic" w:hint="eastAsia"/>
          <w:color w:val="000000"/>
          <w:lang w:eastAsia="ja-JP"/>
        </w:rPr>
        <w:t>s</w:t>
      </w:r>
      <w:r w:rsidRPr="003A2F95">
        <w:rPr>
          <w:rFonts w:eastAsia="MS PGothic"/>
          <w:color w:val="000000"/>
          <w:lang w:eastAsia="ja-JP"/>
        </w:rPr>
        <w:t xml:space="preserve"> the ITU-T work on the “Internet of Things”</w:t>
      </w:r>
      <w:r w:rsidRPr="003A2F95">
        <w:rPr>
          <w:rFonts w:eastAsia="MS PGothic" w:hint="eastAsia"/>
          <w:color w:val="000000"/>
          <w:lang w:eastAsia="ja-JP"/>
        </w:rPr>
        <w:t xml:space="preserve"> and acts as</w:t>
      </w:r>
      <w:r w:rsidRPr="003A2F95">
        <w:rPr>
          <w:rFonts w:eastAsia="MS PGothic"/>
          <w:color w:val="000000"/>
          <w:lang w:eastAsia="ja-JP"/>
        </w:rPr>
        <w:t xml:space="preserve"> a single point of contact within ITU-T with other SDOs in order to avoid duplication of</w:t>
      </w:r>
      <w:r w:rsidRPr="003A2F95">
        <w:rPr>
          <w:rFonts w:eastAsia="MS PGothic" w:hint="eastAsia"/>
          <w:color w:val="000000"/>
          <w:lang w:eastAsia="ja-JP"/>
        </w:rPr>
        <w:t xml:space="preserve"> </w:t>
      </w:r>
      <w:r w:rsidRPr="003A2F95">
        <w:rPr>
          <w:rFonts w:eastAsia="MS PGothic"/>
          <w:color w:val="000000"/>
          <w:lang w:eastAsia="ja-JP"/>
        </w:rPr>
        <w:t>work.</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hint="eastAsia"/>
          <w:color w:val="000000"/>
          <w:lang w:eastAsia="ja-JP"/>
        </w:rPr>
        <w:t>The detailed information of JCA-</w:t>
      </w:r>
      <w:proofErr w:type="spellStart"/>
      <w:r w:rsidRPr="003A2F95">
        <w:rPr>
          <w:rFonts w:eastAsia="MS PGothic" w:hint="eastAsia"/>
          <w:color w:val="000000"/>
          <w:lang w:eastAsia="ja-JP"/>
        </w:rPr>
        <w:t>IoT</w:t>
      </w:r>
      <w:proofErr w:type="spellEnd"/>
      <w:r w:rsidRPr="003A2F95">
        <w:rPr>
          <w:rFonts w:eastAsia="MS PGothic" w:hint="eastAsia"/>
          <w:color w:val="000000"/>
          <w:lang w:eastAsia="ja-JP"/>
        </w:rPr>
        <w:t xml:space="preserve"> can be found at</w:t>
      </w:r>
      <w:proofErr w:type="gramStart"/>
      <w:r w:rsidRPr="003A2F95">
        <w:rPr>
          <w:rFonts w:eastAsia="MS PGothic" w:hint="eastAsia"/>
          <w:color w:val="000000"/>
          <w:lang w:eastAsia="ja-JP"/>
        </w:rPr>
        <w:t>;</w:t>
      </w:r>
      <w:proofErr w:type="gramEnd"/>
      <w:r w:rsidRPr="003A2F95">
        <w:rPr>
          <w:rFonts w:eastAsia="MS PGothic"/>
          <w:color w:val="000000"/>
          <w:lang w:eastAsia="ja-JP"/>
        </w:rPr>
        <w:br/>
      </w:r>
      <w:hyperlink r:id="rId12" w:history="1">
        <w:r w:rsidRPr="003A2F95">
          <w:rPr>
            <w:rFonts w:eastAsia="MS Mincho"/>
            <w:color w:val="0000FF" w:themeColor="hyperlink"/>
            <w:szCs w:val="18"/>
            <w:u w:val="single"/>
            <w:lang w:eastAsia="ja-JP"/>
          </w:rPr>
          <w:t>http://www.itu.int/en/ITU-T/jca/iot/Pages/default.aspx</w:t>
        </w:r>
      </w:hyperlink>
      <w:r w:rsidRPr="003A2F95">
        <w:rPr>
          <w:rFonts w:eastAsia="MS Mincho"/>
          <w:color w:val="0000FF" w:themeColor="hyperlink"/>
          <w:szCs w:val="18"/>
          <w:u w:val="single"/>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 xml:space="preserve">Joint Coordination Activity </w:t>
      </w:r>
      <w:r w:rsidRPr="003A2F95">
        <w:rPr>
          <w:rFonts w:eastAsia="MS Mincho" w:hint="eastAsia"/>
          <w:b/>
          <w:lang w:eastAsia="ja-JP"/>
        </w:rPr>
        <w:t xml:space="preserve">on </w:t>
      </w:r>
      <w:r w:rsidRPr="003A2F95">
        <w:rPr>
          <w:rFonts w:eastAsia="MS Mincho"/>
          <w:b/>
          <w:lang w:eastAsia="ja-JP"/>
        </w:rPr>
        <w:t>IPTV (</w:t>
      </w:r>
      <w:r w:rsidRPr="003A2F95">
        <w:rPr>
          <w:rFonts w:eastAsia="MS Mincho" w:hint="eastAsia"/>
          <w:b/>
          <w:lang w:eastAsia="ja-JP"/>
        </w:rPr>
        <w:t>JCA-</w:t>
      </w:r>
      <w:r w:rsidRPr="003A2F95">
        <w:rPr>
          <w:rFonts w:eastAsia="MS Mincho"/>
          <w:b/>
          <w:lang w:eastAsia="ja-JP"/>
        </w:rPr>
        <w:t>IPTV)</w:t>
      </w:r>
      <w:r w:rsidRPr="003A2F95">
        <w:rPr>
          <w:rFonts w:eastAsia="MS Mincho" w:hint="eastAsia"/>
          <w:b/>
          <w:lang w:eastAsia="ja-JP"/>
        </w:rPr>
        <w:t>/</w:t>
      </w:r>
      <w:r w:rsidRPr="003A2F95">
        <w:rPr>
          <w:rFonts w:eastAsia="MS Mincho"/>
          <w:b/>
          <w:lang w:eastAsia="ja-JP"/>
        </w:rPr>
        <w:t>IPTV Global Standards Initiative (IPTV-GSI)</w:t>
      </w:r>
    </w:p>
    <w:p w:rsidR="003A2F95" w:rsidRPr="003A2F95" w:rsidRDefault="003A2F95" w:rsidP="003A2F95">
      <w:pPr>
        <w:shd w:val="clear" w:color="auto" w:fill="FFFFFF"/>
        <w:spacing w:before="100" w:after="100" w:line="240" w:lineRule="atLeast"/>
        <w:ind w:leftChars="117" w:left="281" w:firstLine="1"/>
        <w:rPr>
          <w:rFonts w:eastAsia="MS PGothic"/>
          <w:color w:val="000000"/>
          <w:lang w:eastAsia="ja-JP"/>
        </w:rPr>
      </w:pPr>
      <w:r w:rsidRPr="003A2F95">
        <w:rPr>
          <w:rFonts w:eastAsia="MS PGothic"/>
          <w:color w:val="000000"/>
          <w:lang w:eastAsia="ja-JP"/>
        </w:rPr>
        <w:t>IPTV</w:t>
      </w:r>
      <w:r w:rsidRPr="003A2F95">
        <w:rPr>
          <w:rFonts w:eastAsia="MS PGothic" w:hint="eastAsia"/>
          <w:color w:val="000000"/>
          <w:lang w:eastAsia="ja-JP"/>
        </w:rPr>
        <w:t>-</w:t>
      </w:r>
      <w:r w:rsidRPr="003A2F95">
        <w:rPr>
          <w:rFonts w:eastAsia="MS PGothic"/>
          <w:color w:val="000000"/>
          <w:lang w:eastAsia="ja-JP"/>
        </w:rPr>
        <w:t xml:space="preserve">GSI </w:t>
      </w:r>
      <w:r w:rsidRPr="003A2F95">
        <w:rPr>
          <w:rFonts w:eastAsia="MS PGothic" w:hint="eastAsia"/>
          <w:color w:val="000000"/>
          <w:lang w:eastAsia="ja-JP"/>
        </w:rPr>
        <w:t xml:space="preserve">and ICA-IPTV </w:t>
      </w:r>
      <w:r w:rsidRPr="003A2F95">
        <w:rPr>
          <w:rFonts w:eastAsia="MS PGothic"/>
          <w:color w:val="000000"/>
          <w:lang w:eastAsia="ja-JP"/>
        </w:rPr>
        <w:t>provide</w:t>
      </w:r>
      <w:r w:rsidRPr="003A2F95">
        <w:rPr>
          <w:rFonts w:eastAsia="MS PGothic" w:hint="eastAsia"/>
          <w:color w:val="000000"/>
          <w:lang w:eastAsia="ja-JP"/>
        </w:rPr>
        <w:t>s</w:t>
      </w:r>
      <w:r w:rsidRPr="003A2F95">
        <w:rPr>
          <w:rFonts w:eastAsia="MS PGothic"/>
          <w:color w:val="000000"/>
          <w:lang w:eastAsia="ja-JP"/>
        </w:rPr>
        <w:t xml:space="preserve"> a visible single location for information on and</w:t>
      </w:r>
      <w:r w:rsidRPr="003A2F95">
        <w:rPr>
          <w:rFonts w:eastAsia="MS PGothic" w:hint="eastAsia"/>
          <w:color w:val="000000"/>
          <w:lang w:eastAsia="ja-JP"/>
        </w:rPr>
        <w:t xml:space="preserve"> </w:t>
      </w:r>
      <w:r w:rsidRPr="003A2F95">
        <w:rPr>
          <w:rFonts w:eastAsia="MS PGothic"/>
          <w:color w:val="000000"/>
          <w:lang w:eastAsia="ja-JP"/>
        </w:rPr>
        <w:t>coordination of the</w:t>
      </w:r>
      <w:r w:rsidRPr="003A2F95">
        <w:rPr>
          <w:rFonts w:eastAsia="MS PGothic" w:hint="eastAsia"/>
          <w:color w:val="000000"/>
          <w:lang w:eastAsia="ja-JP"/>
        </w:rPr>
        <w:t xml:space="preserve"> </w:t>
      </w:r>
      <w:r w:rsidRPr="003A2F95">
        <w:rPr>
          <w:rFonts w:eastAsia="MS PGothic"/>
          <w:color w:val="000000"/>
          <w:lang w:eastAsia="ja-JP"/>
        </w:rPr>
        <w:t>development of IPTV standards. These are the detailed standards necessary for</w:t>
      </w:r>
      <w:r w:rsidRPr="003A2F95">
        <w:rPr>
          <w:rFonts w:eastAsia="MS PGothic" w:hint="eastAsia"/>
          <w:color w:val="000000"/>
          <w:lang w:eastAsia="ja-JP"/>
        </w:rPr>
        <w:t xml:space="preserve"> </w:t>
      </w:r>
      <w:r w:rsidRPr="003A2F95">
        <w:rPr>
          <w:rFonts w:eastAsia="MS PGothic"/>
          <w:color w:val="000000"/>
          <w:lang w:eastAsia="ja-JP"/>
        </w:rPr>
        <w:t>IPTV deployment to give service providers the means to offer the wide range of services expected in</w:t>
      </w:r>
      <w:r w:rsidRPr="003A2F95">
        <w:rPr>
          <w:rFonts w:eastAsia="MS PGothic" w:hint="eastAsia"/>
          <w:color w:val="000000"/>
          <w:lang w:eastAsia="ja-JP"/>
        </w:rPr>
        <w:t xml:space="preserve"> </w:t>
      </w:r>
      <w:r w:rsidRPr="003A2F95">
        <w:rPr>
          <w:rFonts w:eastAsia="MS PGothic"/>
          <w:color w:val="000000"/>
          <w:lang w:eastAsia="ja-JP"/>
        </w:rPr>
        <w:t>IPTV.</w:t>
      </w:r>
    </w:p>
    <w:p w:rsidR="003A2F95" w:rsidRPr="003A2F95" w:rsidRDefault="003A2F95" w:rsidP="003A2F95">
      <w:pPr>
        <w:shd w:val="clear" w:color="auto" w:fill="FFFFFF"/>
        <w:spacing w:before="100" w:after="100" w:line="240" w:lineRule="atLeast"/>
        <w:ind w:leftChars="117" w:left="281" w:firstLine="1"/>
        <w:rPr>
          <w:rFonts w:eastAsia="MS PGothic"/>
          <w:color w:val="000000"/>
          <w:sz w:val="36"/>
          <w:lang w:eastAsia="ja-JP"/>
        </w:rPr>
      </w:pPr>
      <w:r w:rsidRPr="003A2F95">
        <w:rPr>
          <w:rFonts w:eastAsia="MS Mincho"/>
          <w:szCs w:val="18"/>
          <w:lang w:eastAsia="ja-JP"/>
        </w:rPr>
        <w:t>The detailed information of JCA-IPTV and IPTV-GSI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13" w:history="1">
        <w:r w:rsidRPr="003A2F95">
          <w:rPr>
            <w:rFonts w:eastAsia="MS Mincho"/>
            <w:color w:val="0000FF" w:themeColor="hyperlink"/>
            <w:szCs w:val="18"/>
            <w:u w:val="single"/>
            <w:lang w:eastAsia="ja-JP"/>
          </w:rPr>
          <w:t>http://www.itu.int/en/ITU-T/jca/iptv/Pages/default.aspx</w:t>
        </w:r>
      </w:hyperlink>
      <w:r w:rsidRPr="003A2F95">
        <w:rPr>
          <w:rFonts w:eastAsia="MS Mincho"/>
          <w:color w:val="0000FF" w:themeColor="hyperlink"/>
          <w:szCs w:val="18"/>
          <w:u w:val="single"/>
          <w:lang w:eastAsia="ja-JP"/>
        </w:rPr>
        <w:t xml:space="preserve"> </w:t>
      </w:r>
      <w:r w:rsidRPr="003A2F95">
        <w:rPr>
          <w:rFonts w:eastAsia="MS Mincho"/>
          <w:color w:val="0000FF" w:themeColor="hyperlink"/>
          <w:szCs w:val="18"/>
          <w:u w:val="single"/>
          <w:lang w:eastAsia="ja-JP"/>
        </w:rPr>
        <w:br/>
      </w:r>
      <w:hyperlink r:id="rId14" w:history="1">
        <w:r w:rsidRPr="003A2F95">
          <w:rPr>
            <w:rFonts w:eastAsia="MS Mincho"/>
            <w:color w:val="0000FF" w:themeColor="hyperlink"/>
            <w:szCs w:val="18"/>
            <w:u w:val="single"/>
            <w:lang w:eastAsia="ja-JP"/>
          </w:rPr>
          <w:t>http://www.itu.int/en/ITU-T/gsi/iptv/Pages/default.aspx</w:t>
        </w:r>
      </w:hyperlink>
      <w:r w:rsidRPr="003A2F95">
        <w:rPr>
          <w:rFonts w:eastAsia="MS Mincho"/>
          <w:szCs w:val="18"/>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 xml:space="preserve">Joint Coordination Activity </w:t>
      </w:r>
      <w:r w:rsidRPr="003A2F95">
        <w:rPr>
          <w:rFonts w:eastAsia="MS Mincho" w:hint="eastAsia"/>
          <w:b/>
          <w:lang w:eastAsia="ja-JP"/>
        </w:rPr>
        <w:t xml:space="preserve">on Software-Defined Networking </w:t>
      </w:r>
      <w:r w:rsidRPr="003A2F95">
        <w:rPr>
          <w:rFonts w:eastAsia="MS Mincho"/>
          <w:b/>
          <w:lang w:eastAsia="ja-JP"/>
        </w:rPr>
        <w:t>(JCA</w:t>
      </w:r>
      <w:r w:rsidRPr="003A2F95">
        <w:rPr>
          <w:rFonts w:eastAsia="MS Mincho" w:hint="eastAsia"/>
          <w:b/>
          <w:lang w:eastAsia="ja-JP"/>
        </w:rPr>
        <w:t>-SDN</w:t>
      </w:r>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szCs w:val="18"/>
          <w:lang w:eastAsia="ja-JP"/>
        </w:rPr>
        <w:t>The role of JCA-SDN is the coordination of the standardization work on SDN and related technical topics within ITU-T, taking into consideration the work of relevant other standards development organizations (SDOs), forums and consortia</w:t>
      </w:r>
      <w:r w:rsidRPr="003A2F95">
        <w:rPr>
          <w:rFonts w:eastAsia="MS Mincho"/>
          <w:szCs w:val="18"/>
          <w:lang w:eastAsia="ja-JP"/>
        </w:rPr>
        <w:t>.</w:t>
      </w:r>
    </w:p>
    <w:p w:rsidR="003A2F95" w:rsidRPr="003A2F95" w:rsidRDefault="003A2F95" w:rsidP="003A2F95">
      <w:pPr>
        <w:shd w:val="clear" w:color="auto" w:fill="FFFFFF"/>
        <w:spacing w:before="100" w:after="100" w:line="240" w:lineRule="atLeast"/>
        <w:ind w:leftChars="117" w:left="281" w:firstLine="1"/>
        <w:rPr>
          <w:rFonts w:eastAsia="MS Mincho"/>
          <w:szCs w:val="18"/>
          <w:lang w:eastAsia="ja-JP"/>
        </w:rPr>
      </w:pPr>
      <w:r w:rsidRPr="003A2F95">
        <w:rPr>
          <w:rFonts w:eastAsia="MS Mincho"/>
          <w:szCs w:val="18"/>
          <w:lang w:eastAsia="ja-JP"/>
        </w:rPr>
        <w:t>The detailed information of JCA-SDN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15" w:history="1">
        <w:r w:rsidRPr="003A2F95">
          <w:rPr>
            <w:rFonts w:eastAsia="MS Mincho"/>
            <w:color w:val="0000FF" w:themeColor="hyperlink"/>
            <w:szCs w:val="18"/>
            <w:u w:val="single"/>
            <w:lang w:eastAsia="ja-JP"/>
          </w:rPr>
          <w:t>http://www.itu.int/en/ITU-T/jca/sdn/Pages/default.aspx</w:t>
        </w:r>
      </w:hyperlink>
      <w:r w:rsidRPr="003A2F95">
        <w:rPr>
          <w:rFonts w:eastAsia="MS Mincho"/>
          <w:color w:val="0000FF" w:themeColor="hyperlink"/>
          <w:szCs w:val="18"/>
          <w:u w:val="single"/>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 xml:space="preserve">Joint Coordination Activity </w:t>
      </w:r>
      <w:r w:rsidRPr="003A2F95">
        <w:rPr>
          <w:rFonts w:eastAsia="MS Mincho" w:hint="eastAsia"/>
          <w:b/>
          <w:lang w:eastAsia="ja-JP"/>
        </w:rPr>
        <w:t xml:space="preserve">on technical aspects of telecommunication networks to support the Internet </w:t>
      </w:r>
      <w:r w:rsidRPr="003A2F95">
        <w:rPr>
          <w:rFonts w:eastAsia="MS Mincho"/>
          <w:b/>
          <w:lang w:eastAsia="ja-JP"/>
        </w:rPr>
        <w:t>(JCA</w:t>
      </w:r>
      <w:r w:rsidRPr="003A2F95">
        <w:rPr>
          <w:rFonts w:eastAsia="MS Mincho" w:hint="eastAsia"/>
          <w:b/>
          <w:lang w:eastAsia="ja-JP"/>
        </w:rPr>
        <w:t>-Res178</w:t>
      </w:r>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szCs w:val="18"/>
          <w:lang w:eastAsia="ja-JP"/>
        </w:rPr>
        <w:t>The scope of the JCA-Res178 is to coordinate and identify ITU-T work on aspects of telecommunication networks to support the Internet that help advance network evolution, capacity, continuity, interoperability and security, through contribution-based work; and to coordinate ITU-T contributions to the implementation of WSIS.</w:t>
      </w:r>
    </w:p>
    <w:p w:rsidR="003A2F95" w:rsidRPr="003A2F95" w:rsidRDefault="003A2F95" w:rsidP="003A2F95">
      <w:pPr>
        <w:shd w:val="clear" w:color="auto" w:fill="FFFFFF"/>
        <w:spacing w:before="100" w:after="100" w:line="240" w:lineRule="atLeast"/>
        <w:ind w:leftChars="117" w:left="281" w:firstLine="1"/>
        <w:rPr>
          <w:rFonts w:eastAsia="MS PGothic"/>
          <w:sz w:val="36"/>
          <w:szCs w:val="18"/>
          <w:lang w:eastAsia="ja-JP"/>
        </w:rPr>
      </w:pPr>
      <w:r w:rsidRPr="003A2F95">
        <w:rPr>
          <w:rFonts w:eastAsia="MS Mincho"/>
          <w:szCs w:val="18"/>
          <w:lang w:eastAsia="ja-JP"/>
        </w:rPr>
        <w:t>The detailed information of JCA-Res178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16" w:history="1">
        <w:r w:rsidRPr="003A2F95">
          <w:rPr>
            <w:rFonts w:eastAsia="MS Mincho"/>
            <w:color w:val="0000FF" w:themeColor="hyperlink"/>
            <w:szCs w:val="18"/>
            <w:u w:val="single"/>
            <w:lang w:eastAsia="ja-JP"/>
          </w:rPr>
          <w:t>http://www.itu.int/en/ITU-T/jca/Res178/Pages/default.aspx</w:t>
        </w:r>
      </w:hyperlink>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 xml:space="preserve">Joint Coordination Activity </w:t>
      </w:r>
      <w:r w:rsidRPr="003A2F95">
        <w:rPr>
          <w:rFonts w:eastAsia="MS Mincho" w:hint="eastAsia"/>
          <w:b/>
          <w:lang w:eastAsia="ja-JP"/>
        </w:rPr>
        <w:t xml:space="preserve">on Child Online Protection </w:t>
      </w:r>
      <w:r w:rsidRPr="003A2F95">
        <w:rPr>
          <w:rFonts w:eastAsia="MS Mincho"/>
          <w:b/>
          <w:lang w:eastAsia="ja-JP"/>
        </w:rPr>
        <w:t>(JCA</w:t>
      </w:r>
      <w:r w:rsidRPr="003A2F95">
        <w:rPr>
          <w:rFonts w:eastAsia="MS Mincho" w:hint="eastAsia"/>
          <w:b/>
          <w:lang w:eastAsia="ja-JP"/>
        </w:rPr>
        <w:t>-COP</w:t>
      </w:r>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szCs w:val="18"/>
          <w:lang w:eastAsia="ja-JP"/>
        </w:rPr>
        <w:t>The purpose of the JCA-COP is to coordinate the ITU-T child online protection (COP) work amongst the ITU-T study groups, and to liaise with ITU-R and ITU-D as well as with the Council Working Group on Child Online Protection.</w:t>
      </w:r>
    </w:p>
    <w:p w:rsidR="003A2F95" w:rsidRPr="003A2F95" w:rsidRDefault="003A2F95" w:rsidP="003A2F95">
      <w:pPr>
        <w:shd w:val="clear" w:color="auto" w:fill="FFFFFF"/>
        <w:spacing w:before="100" w:after="100" w:line="240" w:lineRule="atLeast"/>
        <w:ind w:leftChars="117" w:left="281" w:firstLine="1"/>
        <w:rPr>
          <w:rFonts w:eastAsia="MS Mincho"/>
          <w:szCs w:val="18"/>
          <w:lang w:eastAsia="ja-JP"/>
        </w:rPr>
      </w:pPr>
      <w:r w:rsidRPr="003A2F95">
        <w:rPr>
          <w:rFonts w:eastAsia="MS Mincho"/>
          <w:szCs w:val="18"/>
          <w:lang w:eastAsia="ja-JP"/>
        </w:rPr>
        <w:t>The detailed information of JCA-COP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17" w:history="1">
        <w:r w:rsidRPr="003A2F95">
          <w:rPr>
            <w:rFonts w:eastAsia="MS Mincho"/>
            <w:color w:val="0000FF" w:themeColor="hyperlink"/>
            <w:szCs w:val="18"/>
            <w:u w:val="single"/>
            <w:lang w:eastAsia="ja-JP"/>
          </w:rPr>
          <w:t>http://www.itu.int/en/ITU-T/jca/COP/Pages/default.aspx</w:t>
        </w:r>
      </w:hyperlink>
      <w:r w:rsidRPr="003A2F95">
        <w:rPr>
          <w:rFonts w:eastAsia="MS Mincho"/>
          <w:color w:val="0000FF" w:themeColor="hyperlink"/>
          <w:szCs w:val="18"/>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Joint Coordination Activity on ICT and climate change (JCA-ICT&amp;CC)</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szCs w:val="18"/>
          <w:lang w:eastAsia="ja-JP"/>
        </w:rPr>
        <w:t>JCA-ICT&amp;CC coordinate</w:t>
      </w:r>
      <w:r w:rsidRPr="003A2F95">
        <w:rPr>
          <w:rFonts w:eastAsia="MS PGothic" w:hint="eastAsia"/>
          <w:szCs w:val="18"/>
          <w:lang w:eastAsia="ja-JP"/>
        </w:rPr>
        <w:t>s</w:t>
      </w:r>
      <w:r w:rsidRPr="003A2F95">
        <w:rPr>
          <w:rFonts w:eastAsia="MS PGothic"/>
          <w:szCs w:val="18"/>
          <w:lang w:eastAsia="ja-JP"/>
        </w:rPr>
        <w:t xml:space="preserve"> the ITU-T ICTs and climate change work amongst the ITU T Study Groups, and liaise</w:t>
      </w:r>
      <w:r w:rsidRPr="003A2F95">
        <w:rPr>
          <w:rFonts w:eastAsia="MS PGothic" w:hint="eastAsia"/>
          <w:szCs w:val="18"/>
          <w:lang w:eastAsia="ja-JP"/>
        </w:rPr>
        <w:t>s</w:t>
      </w:r>
      <w:r w:rsidRPr="003A2F95">
        <w:rPr>
          <w:rFonts w:eastAsia="MS PGothic"/>
          <w:szCs w:val="18"/>
          <w:lang w:eastAsia="ja-JP"/>
        </w:rPr>
        <w:t xml:space="preserve"> with the ITU-R and ITU-D Sectors.</w:t>
      </w:r>
      <w:r w:rsidRPr="003A2F95">
        <w:rPr>
          <w:rFonts w:eastAsia="MS PGothic" w:hint="eastAsia"/>
          <w:szCs w:val="18"/>
          <w:lang w:eastAsia="ja-JP"/>
        </w:rPr>
        <w:t xml:space="preserve"> It also </w:t>
      </w:r>
      <w:r w:rsidRPr="003A2F95">
        <w:rPr>
          <w:rFonts w:eastAsia="MS PGothic"/>
          <w:szCs w:val="18"/>
          <w:lang w:eastAsia="ja-JP"/>
        </w:rPr>
        <w:t>provide</w:t>
      </w:r>
      <w:r w:rsidRPr="003A2F95">
        <w:rPr>
          <w:rFonts w:eastAsia="MS PGothic" w:hint="eastAsia"/>
          <w:szCs w:val="18"/>
          <w:lang w:eastAsia="ja-JP"/>
        </w:rPr>
        <w:t>s</w:t>
      </w:r>
      <w:r w:rsidRPr="003A2F95">
        <w:rPr>
          <w:rFonts w:eastAsia="MS PGothic"/>
          <w:szCs w:val="18"/>
          <w:lang w:eastAsia="ja-JP"/>
        </w:rPr>
        <w:t xml:space="preserve"> a visible contact point for ICT and Climate Change activities in ITU-T, to seek co-operation from external bodies working in the field of ICT &amp; CC and enable effective two-way communication with these bodies</w:t>
      </w:r>
      <w:r w:rsidRPr="003A2F95">
        <w:rPr>
          <w:rFonts w:eastAsia="MS PGothic" w:hint="eastAsia"/>
          <w:szCs w:val="18"/>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sz w:val="36"/>
          <w:szCs w:val="18"/>
          <w:lang w:eastAsia="ja-JP"/>
        </w:rPr>
      </w:pPr>
      <w:r w:rsidRPr="003A2F95">
        <w:rPr>
          <w:rFonts w:eastAsia="MS Mincho"/>
          <w:szCs w:val="18"/>
          <w:lang w:eastAsia="ja-JP"/>
        </w:rPr>
        <w:lastRenderedPageBreak/>
        <w:t>The detailed information of JCA-ICT&amp;CC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18" w:history="1">
        <w:r w:rsidRPr="003A2F95">
          <w:rPr>
            <w:rFonts w:eastAsia="MS Mincho"/>
            <w:color w:val="0000FF" w:themeColor="hyperlink"/>
            <w:szCs w:val="18"/>
            <w:u w:val="single"/>
            <w:lang w:eastAsia="ja-JP"/>
          </w:rPr>
          <w:t>http://www.itu.int/en/ITU-T/jca/ictcc/Pages/default.aspx</w:t>
        </w:r>
      </w:hyperlink>
      <w:r w:rsidRPr="003A2F95">
        <w:rPr>
          <w:rFonts w:eastAsia="MS Mincho"/>
          <w:szCs w:val="18"/>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Joint Coordination Activity on Accessibility and Human Factors (JCA-AHF)</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hint="eastAsia"/>
          <w:szCs w:val="18"/>
          <w:lang w:eastAsia="ja-JP"/>
        </w:rPr>
        <w:t xml:space="preserve">JCA-AHF </w:t>
      </w:r>
      <w:r w:rsidRPr="003A2F95">
        <w:rPr>
          <w:rFonts w:eastAsia="MS PGothic"/>
          <w:szCs w:val="18"/>
          <w:lang w:eastAsia="ja-JP"/>
        </w:rPr>
        <w:t>coordinate</w:t>
      </w:r>
      <w:r w:rsidRPr="003A2F95">
        <w:rPr>
          <w:rFonts w:eastAsia="MS PGothic" w:hint="eastAsia"/>
          <w:szCs w:val="18"/>
          <w:lang w:eastAsia="ja-JP"/>
        </w:rPr>
        <w:t>s</w:t>
      </w:r>
      <w:r w:rsidRPr="003A2F95">
        <w:rPr>
          <w:rFonts w:eastAsia="MS PGothic"/>
          <w:szCs w:val="18"/>
          <w:lang w:eastAsia="ja-JP"/>
        </w:rPr>
        <w:t xml:space="preserve"> activities</w:t>
      </w:r>
      <w:r w:rsidRPr="003A2F95">
        <w:rPr>
          <w:rFonts w:eastAsia="MS PGothic" w:hint="eastAsia"/>
          <w:szCs w:val="18"/>
          <w:lang w:eastAsia="ja-JP"/>
        </w:rPr>
        <w:t xml:space="preserve"> related to accessibility and human factors</w:t>
      </w:r>
      <w:r w:rsidRPr="003A2F95">
        <w:rPr>
          <w:rFonts w:eastAsia="MS PGothic"/>
          <w:szCs w:val="18"/>
          <w:lang w:eastAsia="ja-JP"/>
        </w:rPr>
        <w:t xml:space="preserve"> and act</w:t>
      </w:r>
      <w:r w:rsidRPr="003A2F95">
        <w:rPr>
          <w:rFonts w:eastAsia="MS PGothic" w:hint="eastAsia"/>
          <w:szCs w:val="18"/>
          <w:lang w:eastAsia="ja-JP"/>
        </w:rPr>
        <w:t>s</w:t>
      </w:r>
      <w:r w:rsidRPr="003A2F95">
        <w:rPr>
          <w:rFonts w:eastAsia="MS PGothic"/>
          <w:szCs w:val="18"/>
          <w:lang w:eastAsia="ja-JP"/>
        </w:rPr>
        <w:t xml:space="preserve"> as a single point of contact within ITU</w:t>
      </w:r>
      <w:r w:rsidRPr="003A2F95">
        <w:rPr>
          <w:rFonts w:eastAsia="MS PGothic" w:hint="eastAsia"/>
          <w:szCs w:val="18"/>
          <w:lang w:eastAsia="ja-JP"/>
        </w:rPr>
        <w:t xml:space="preserve">. It also </w:t>
      </w:r>
      <w:r w:rsidRPr="003A2F95">
        <w:rPr>
          <w:rFonts w:eastAsia="MS PGothic"/>
          <w:szCs w:val="18"/>
          <w:lang w:eastAsia="ja-JP"/>
        </w:rPr>
        <w:t>ensure</w:t>
      </w:r>
      <w:r w:rsidRPr="003A2F95">
        <w:rPr>
          <w:rFonts w:eastAsia="MS PGothic" w:hint="eastAsia"/>
          <w:szCs w:val="18"/>
          <w:lang w:eastAsia="ja-JP"/>
        </w:rPr>
        <w:t>s</w:t>
      </w:r>
      <w:r w:rsidRPr="003A2F95">
        <w:rPr>
          <w:rFonts w:eastAsia="MS PGothic"/>
          <w:szCs w:val="18"/>
          <w:lang w:eastAsia="ja-JP"/>
        </w:rPr>
        <w:t xml:space="preserve"> that the importance of accessibility and human factors is taken into consideration in the ITU-T work</w:t>
      </w:r>
      <w:r w:rsidRPr="003A2F95">
        <w:rPr>
          <w:rFonts w:eastAsia="MS PGothic" w:hint="eastAsia"/>
          <w:szCs w:val="18"/>
          <w:lang w:eastAsia="ja-JP"/>
        </w:rPr>
        <w:t>.</w:t>
      </w:r>
    </w:p>
    <w:p w:rsidR="003A2F95" w:rsidRPr="003A2F95" w:rsidRDefault="003A2F95" w:rsidP="003A2F95">
      <w:pPr>
        <w:shd w:val="clear" w:color="auto" w:fill="FFFFFF"/>
        <w:spacing w:before="100" w:after="100" w:line="240" w:lineRule="atLeast"/>
        <w:ind w:leftChars="117" w:left="281" w:firstLine="1"/>
        <w:rPr>
          <w:rFonts w:eastAsia="MS Mincho"/>
          <w:szCs w:val="18"/>
          <w:lang w:eastAsia="ja-JP"/>
        </w:rPr>
      </w:pPr>
      <w:r w:rsidRPr="003A2F95">
        <w:rPr>
          <w:rFonts w:eastAsia="MS Mincho"/>
          <w:szCs w:val="18"/>
          <w:lang w:eastAsia="ja-JP"/>
        </w:rPr>
        <w:t>The detailed information of JCA-AHF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19" w:history="1">
        <w:r w:rsidRPr="003A2F95">
          <w:rPr>
            <w:rFonts w:eastAsia="MS Mincho"/>
            <w:color w:val="0000FF" w:themeColor="hyperlink"/>
            <w:szCs w:val="18"/>
            <w:u w:val="single"/>
            <w:lang w:eastAsia="ja-JP"/>
          </w:rPr>
          <w:t>http://www.itu.int/en/ITU-T/jca/ahf/Pages/default.aspx</w:t>
        </w:r>
      </w:hyperlink>
      <w:r w:rsidRPr="003A2F95">
        <w:rPr>
          <w:rFonts w:eastAsia="MS Mincho"/>
          <w:szCs w:val="18"/>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Joint Coordination Activity for Identity Management (JCA-</w:t>
      </w:r>
      <w:proofErr w:type="spellStart"/>
      <w:r w:rsidRPr="003A2F95">
        <w:rPr>
          <w:rFonts w:eastAsia="MS Mincho"/>
          <w:b/>
          <w:lang w:eastAsia="ja-JP"/>
        </w:rPr>
        <w:t>IdM</w:t>
      </w:r>
      <w:proofErr w:type="spellEnd"/>
      <w:r w:rsidRPr="003A2F95">
        <w:rPr>
          <w:rFonts w:eastAsia="MS Mincho"/>
          <w:b/>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szCs w:val="18"/>
          <w:lang w:eastAsia="ja-JP"/>
        </w:rPr>
        <w:t>JCA-</w:t>
      </w:r>
      <w:proofErr w:type="spellStart"/>
      <w:r w:rsidRPr="003A2F95">
        <w:rPr>
          <w:rFonts w:eastAsia="MS PGothic"/>
          <w:szCs w:val="18"/>
          <w:lang w:eastAsia="ja-JP"/>
        </w:rPr>
        <w:t>IdM</w:t>
      </w:r>
      <w:proofErr w:type="spellEnd"/>
      <w:r w:rsidRPr="003A2F95">
        <w:rPr>
          <w:rFonts w:eastAsia="MS PGothic"/>
          <w:szCs w:val="18"/>
          <w:lang w:eastAsia="ja-JP"/>
        </w:rPr>
        <w:t xml:space="preserve"> ensure</w:t>
      </w:r>
      <w:r w:rsidRPr="003A2F95">
        <w:rPr>
          <w:rFonts w:eastAsia="MS PGothic" w:hint="eastAsia"/>
          <w:szCs w:val="18"/>
          <w:lang w:eastAsia="ja-JP"/>
        </w:rPr>
        <w:t>s</w:t>
      </w:r>
      <w:r w:rsidRPr="003A2F95">
        <w:rPr>
          <w:rFonts w:eastAsia="MS PGothic"/>
          <w:szCs w:val="18"/>
          <w:lang w:eastAsia="ja-JP"/>
        </w:rPr>
        <w:t xml:space="preserve"> that the ITU-T </w:t>
      </w:r>
      <w:proofErr w:type="spellStart"/>
      <w:r w:rsidRPr="003A2F95">
        <w:rPr>
          <w:rFonts w:eastAsia="MS PGothic"/>
          <w:szCs w:val="18"/>
          <w:lang w:eastAsia="ja-JP"/>
        </w:rPr>
        <w:t>IdM</w:t>
      </w:r>
      <w:proofErr w:type="spellEnd"/>
      <w:r w:rsidRPr="003A2F95">
        <w:rPr>
          <w:rFonts w:eastAsia="MS PGothic"/>
          <w:szCs w:val="18"/>
          <w:lang w:eastAsia="ja-JP"/>
        </w:rPr>
        <w:t xml:space="preserve"> work is progressed in a well-coordinated way between study groups</w:t>
      </w:r>
      <w:r w:rsidRPr="003A2F95">
        <w:rPr>
          <w:rFonts w:eastAsia="MS PGothic" w:hint="eastAsia"/>
          <w:szCs w:val="18"/>
          <w:lang w:eastAsia="ja-JP"/>
        </w:rPr>
        <w:t xml:space="preserve"> and </w:t>
      </w:r>
      <w:r w:rsidRPr="003A2F95">
        <w:rPr>
          <w:rFonts w:eastAsia="MS PGothic"/>
          <w:szCs w:val="18"/>
          <w:lang w:eastAsia="ja-JP"/>
        </w:rPr>
        <w:t>facilitate</w:t>
      </w:r>
      <w:r w:rsidRPr="003A2F95">
        <w:rPr>
          <w:rFonts w:eastAsia="MS PGothic" w:hint="eastAsia"/>
          <w:szCs w:val="18"/>
          <w:lang w:eastAsia="ja-JP"/>
        </w:rPr>
        <w:t xml:space="preserve">s </w:t>
      </w:r>
      <w:r w:rsidRPr="003A2F95">
        <w:rPr>
          <w:rFonts w:eastAsia="MS PGothic"/>
          <w:szCs w:val="18"/>
          <w:lang w:eastAsia="ja-JP"/>
        </w:rPr>
        <w:t>work assignment through the involved study groups when it is not clear under which Question work should be done and recommend</w:t>
      </w:r>
      <w:r w:rsidRPr="003A2F95">
        <w:rPr>
          <w:rFonts w:eastAsia="MS PGothic" w:hint="eastAsia"/>
          <w:szCs w:val="18"/>
          <w:lang w:eastAsia="ja-JP"/>
        </w:rPr>
        <w:t>s</w:t>
      </w:r>
      <w:r w:rsidRPr="003A2F95">
        <w:rPr>
          <w:rFonts w:eastAsia="MS PGothic"/>
          <w:szCs w:val="18"/>
          <w:lang w:eastAsia="ja-JP"/>
        </w:rPr>
        <w:t xml:space="preserve"> an allocation of tasks</w:t>
      </w:r>
      <w:r w:rsidRPr="003A2F95">
        <w:rPr>
          <w:rFonts w:eastAsia="MS PGothic" w:hint="eastAsia"/>
          <w:szCs w:val="18"/>
          <w:lang w:eastAsia="ja-JP"/>
        </w:rPr>
        <w:t>.</w:t>
      </w:r>
    </w:p>
    <w:p w:rsidR="003A2F95" w:rsidRPr="003A2F95" w:rsidRDefault="003A2F95" w:rsidP="003A2F95">
      <w:pPr>
        <w:shd w:val="clear" w:color="auto" w:fill="FFFFFF"/>
        <w:spacing w:before="100" w:after="100" w:line="240" w:lineRule="atLeast"/>
        <w:ind w:leftChars="117" w:left="281" w:firstLine="1"/>
        <w:rPr>
          <w:rFonts w:eastAsia="MS PGothic"/>
          <w:sz w:val="36"/>
          <w:szCs w:val="18"/>
          <w:lang w:eastAsia="ja-JP"/>
        </w:rPr>
      </w:pPr>
      <w:r w:rsidRPr="003A2F95">
        <w:rPr>
          <w:rFonts w:eastAsia="MS Mincho"/>
          <w:szCs w:val="18"/>
          <w:lang w:eastAsia="ja-JP"/>
        </w:rPr>
        <w:t>The detailed information of JCA-</w:t>
      </w:r>
      <w:proofErr w:type="spellStart"/>
      <w:r w:rsidRPr="003A2F95">
        <w:rPr>
          <w:rFonts w:eastAsia="MS Mincho"/>
          <w:szCs w:val="18"/>
          <w:lang w:eastAsia="ja-JP"/>
        </w:rPr>
        <w:t>IdM</w:t>
      </w:r>
      <w:proofErr w:type="spellEnd"/>
      <w:r w:rsidRPr="003A2F95">
        <w:rPr>
          <w:rFonts w:eastAsia="MS Mincho"/>
          <w:szCs w:val="18"/>
          <w:lang w:eastAsia="ja-JP"/>
        </w:rPr>
        <w:t xml:space="preserve"> can be found at</w:t>
      </w:r>
      <w:proofErr w:type="gramStart"/>
      <w:r w:rsidRPr="003A2F95">
        <w:rPr>
          <w:rFonts w:eastAsia="MS Mincho"/>
          <w:szCs w:val="18"/>
          <w:lang w:eastAsia="ja-JP"/>
        </w:rPr>
        <w:t>;</w:t>
      </w:r>
      <w:proofErr w:type="gramEnd"/>
      <w:r w:rsidRPr="003A2F95">
        <w:rPr>
          <w:rFonts w:eastAsia="MS Mincho"/>
          <w:szCs w:val="18"/>
          <w:lang w:eastAsia="ja-JP"/>
        </w:rPr>
        <w:br/>
      </w:r>
      <w:hyperlink r:id="rId20" w:history="1">
        <w:r w:rsidRPr="003A2F95">
          <w:rPr>
            <w:rFonts w:eastAsia="MS Mincho"/>
            <w:color w:val="0000FF" w:themeColor="hyperlink"/>
            <w:szCs w:val="18"/>
            <w:u w:val="single"/>
            <w:lang w:eastAsia="ja-JP"/>
          </w:rPr>
          <w:t>http://www.itu.int/en/ITU-T/jca/idm/Pages/default.aspx</w:t>
        </w:r>
      </w:hyperlink>
      <w:r w:rsidRPr="003A2F95">
        <w:rPr>
          <w:rFonts w:eastAsia="MS Mincho"/>
          <w:szCs w:val="18"/>
          <w:lang w:eastAsia="ja-JP"/>
        </w:rPr>
        <w:t xml:space="preserve"> .</w:t>
      </w:r>
    </w:p>
    <w:p w:rsidR="003A2F95" w:rsidRPr="003A2F95" w:rsidRDefault="003A2F95" w:rsidP="003A2F95">
      <w:pPr>
        <w:widowControl w:val="0"/>
        <w:numPr>
          <w:ilvl w:val="0"/>
          <w:numId w:val="18"/>
        </w:numPr>
        <w:autoSpaceDE w:val="0"/>
        <w:autoSpaceDN w:val="0"/>
        <w:adjustRightInd w:val="0"/>
        <w:snapToGrid w:val="0"/>
        <w:spacing w:before="240" w:line="240" w:lineRule="atLeast"/>
        <w:ind w:left="284" w:hanging="284"/>
        <w:rPr>
          <w:rFonts w:eastAsia="MS Mincho"/>
          <w:b/>
          <w:lang w:eastAsia="ja-JP"/>
        </w:rPr>
      </w:pPr>
      <w:r w:rsidRPr="003A2F95">
        <w:rPr>
          <w:rFonts w:eastAsia="MS Mincho"/>
          <w:b/>
          <w:lang w:eastAsia="ja-JP"/>
        </w:rPr>
        <w:t>Joint Coordination Activity on Conformance and Interoperability Testing (JCA-CIT)</w:t>
      </w:r>
    </w:p>
    <w:p w:rsidR="003A2F95" w:rsidRPr="003A2F95" w:rsidRDefault="003A2F95" w:rsidP="003A2F95">
      <w:pPr>
        <w:shd w:val="clear" w:color="auto" w:fill="FFFFFF"/>
        <w:spacing w:before="100" w:after="100" w:line="240" w:lineRule="atLeast"/>
        <w:ind w:leftChars="117" w:left="281" w:firstLine="1"/>
        <w:rPr>
          <w:rFonts w:eastAsia="MS PGothic"/>
          <w:szCs w:val="18"/>
          <w:lang w:eastAsia="ja-JP"/>
        </w:rPr>
      </w:pPr>
      <w:r w:rsidRPr="003A2F95">
        <w:rPr>
          <w:rFonts w:eastAsia="MS PGothic" w:hint="eastAsia"/>
          <w:szCs w:val="18"/>
          <w:lang w:eastAsia="ja-JP"/>
        </w:rPr>
        <w:t xml:space="preserve">JCA-CIT </w:t>
      </w:r>
      <w:r w:rsidRPr="003A2F95">
        <w:rPr>
          <w:rFonts w:eastAsia="MS PGothic"/>
          <w:szCs w:val="18"/>
          <w:lang w:eastAsia="ja-JP"/>
        </w:rPr>
        <w:t>collect</w:t>
      </w:r>
      <w:r w:rsidRPr="003A2F95">
        <w:rPr>
          <w:rFonts w:eastAsia="MS PGothic" w:hint="eastAsia"/>
          <w:szCs w:val="18"/>
          <w:lang w:eastAsia="ja-JP"/>
        </w:rPr>
        <w:t xml:space="preserve">s </w:t>
      </w:r>
      <w:r w:rsidRPr="003A2F95">
        <w:rPr>
          <w:rFonts w:eastAsia="MS PGothic"/>
          <w:szCs w:val="18"/>
          <w:lang w:eastAsia="ja-JP"/>
        </w:rPr>
        <w:t>and mak</w:t>
      </w:r>
      <w:r w:rsidRPr="003A2F95">
        <w:rPr>
          <w:rFonts w:eastAsia="MS PGothic" w:hint="eastAsia"/>
          <w:szCs w:val="18"/>
          <w:lang w:eastAsia="ja-JP"/>
        </w:rPr>
        <w:t>es</w:t>
      </w:r>
      <w:r w:rsidRPr="003A2F95">
        <w:rPr>
          <w:rFonts w:eastAsia="MS PGothic"/>
          <w:szCs w:val="18"/>
          <w:lang w:eastAsia="ja-JP"/>
        </w:rPr>
        <w:t xml:space="preserve"> available of information about testing activities and testing methodologies</w:t>
      </w:r>
      <w:r w:rsidRPr="003A2F95">
        <w:rPr>
          <w:rFonts w:eastAsia="MS PGothic" w:hint="eastAsia"/>
          <w:szCs w:val="18"/>
          <w:lang w:eastAsia="ja-JP"/>
        </w:rPr>
        <w:t>.</w:t>
      </w:r>
    </w:p>
    <w:p w:rsidR="003A2F95" w:rsidRPr="003A2F95" w:rsidRDefault="003A2F95" w:rsidP="003A2F95">
      <w:pPr>
        <w:shd w:val="clear" w:color="auto" w:fill="FFFFFF"/>
        <w:spacing w:before="100" w:after="100" w:line="240" w:lineRule="atLeast"/>
        <w:ind w:leftChars="117" w:left="281" w:firstLine="1"/>
        <w:rPr>
          <w:rFonts w:eastAsia="MS Mincho"/>
          <w:szCs w:val="18"/>
          <w:lang w:eastAsia="ja-JP"/>
        </w:rPr>
      </w:pPr>
      <w:r w:rsidRPr="003A2F95">
        <w:rPr>
          <w:rFonts w:eastAsia="MS PGothic" w:hint="eastAsia"/>
          <w:szCs w:val="18"/>
          <w:lang w:eastAsia="ja-JP"/>
        </w:rPr>
        <w:t>The detailed information of JCA-CIT can be found at</w:t>
      </w:r>
      <w:proofErr w:type="gramStart"/>
      <w:r w:rsidRPr="003A2F95">
        <w:rPr>
          <w:rFonts w:eastAsia="MS PGothic" w:hint="eastAsia"/>
          <w:szCs w:val="18"/>
          <w:lang w:eastAsia="ja-JP"/>
        </w:rPr>
        <w:t>;</w:t>
      </w:r>
      <w:proofErr w:type="gramEnd"/>
      <w:r w:rsidRPr="003A2F95">
        <w:rPr>
          <w:rFonts w:eastAsia="MS PGothic"/>
          <w:szCs w:val="18"/>
          <w:lang w:eastAsia="ja-JP"/>
        </w:rPr>
        <w:br/>
      </w:r>
      <w:hyperlink r:id="rId21" w:history="1">
        <w:r w:rsidRPr="003A2F95">
          <w:rPr>
            <w:rFonts w:eastAsia="MS Mincho"/>
            <w:color w:val="0000FF" w:themeColor="hyperlink"/>
            <w:szCs w:val="18"/>
            <w:u w:val="single"/>
            <w:lang w:eastAsia="ja-JP"/>
          </w:rPr>
          <w:t>http://www.itu.int/en/ITU-T/jca/cit/Pages/default.aspx</w:t>
        </w:r>
      </w:hyperlink>
      <w:r w:rsidRPr="003A2F95">
        <w:rPr>
          <w:rFonts w:eastAsia="MS Mincho"/>
          <w:szCs w:val="18"/>
          <w:lang w:eastAsia="ja-JP"/>
        </w:rPr>
        <w:t xml:space="preserve"> .</w:t>
      </w:r>
    </w:p>
    <w:p w:rsidR="003A2F95" w:rsidRPr="003A2F95" w:rsidRDefault="003A2F95" w:rsidP="003A2F95">
      <w:pPr>
        <w:shd w:val="clear" w:color="auto" w:fill="FFFFFF"/>
        <w:spacing w:before="100" w:after="100" w:line="240" w:lineRule="atLeast"/>
        <w:ind w:leftChars="117" w:left="281" w:firstLine="1"/>
        <w:rPr>
          <w:rFonts w:eastAsia="MS Mincho"/>
          <w:szCs w:val="18"/>
          <w:lang w:eastAsia="ja-JP"/>
        </w:rPr>
      </w:pPr>
    </w:p>
    <w:p w:rsidR="003A2F95" w:rsidRPr="003A2F95" w:rsidRDefault="003A2F95" w:rsidP="003A2F95">
      <w:pPr>
        <w:numPr>
          <w:ilvl w:val="1"/>
          <w:numId w:val="15"/>
        </w:numPr>
        <w:autoSpaceDE w:val="0"/>
        <w:autoSpaceDN w:val="0"/>
        <w:adjustRightInd w:val="0"/>
        <w:snapToGrid w:val="0"/>
        <w:spacing w:after="120" w:line="360" w:lineRule="auto"/>
        <w:contextualSpacing/>
        <w:rPr>
          <w:b/>
        </w:rPr>
      </w:pPr>
      <w:r w:rsidRPr="003A2F95">
        <w:rPr>
          <w:rFonts w:eastAsia="MS Mincho" w:hint="eastAsia"/>
          <w:b/>
          <w:lang w:eastAsia="ja-JP"/>
        </w:rPr>
        <w:t>Principles of SG restructuring</w:t>
      </w:r>
    </w:p>
    <w:p w:rsidR="003A2F95" w:rsidRPr="003A2F95" w:rsidRDefault="003A2F95" w:rsidP="003A2F95">
      <w:pPr>
        <w:autoSpaceDE w:val="0"/>
        <w:autoSpaceDN w:val="0"/>
        <w:adjustRightInd w:val="0"/>
        <w:snapToGrid w:val="0"/>
        <w:spacing w:after="240"/>
        <w:rPr>
          <w:rFonts w:eastAsia="MS Mincho"/>
          <w:lang w:eastAsia="ja-JP"/>
        </w:rPr>
      </w:pPr>
      <w:r w:rsidRPr="003A2F95">
        <w:rPr>
          <w:rFonts w:eastAsia="Malgun Gothic"/>
          <w:lang w:eastAsia="ko-KR"/>
        </w:rPr>
        <w:t>At the</w:t>
      </w:r>
      <w:r w:rsidRPr="003A2F95">
        <w:rPr>
          <w:rFonts w:eastAsia="Malgun Gothic" w:hint="eastAsia"/>
          <w:lang w:eastAsia="ko-KR"/>
        </w:rPr>
        <w:t xml:space="preserve"> </w:t>
      </w:r>
      <w:r w:rsidRPr="003A2F95">
        <w:rPr>
          <w:rFonts w:eastAsia="MS Mincho" w:hint="eastAsia"/>
          <w:lang w:eastAsia="ja-JP"/>
        </w:rPr>
        <w:t>ITU-T Review Committee (</w:t>
      </w:r>
      <w:proofErr w:type="spellStart"/>
      <w:r w:rsidRPr="003A2F95">
        <w:rPr>
          <w:rFonts w:eastAsia="MS Mincho" w:hint="eastAsia"/>
          <w:lang w:eastAsia="ja-JP"/>
        </w:rPr>
        <w:t>RevCom</w:t>
      </w:r>
      <w:proofErr w:type="spellEnd"/>
      <w:r w:rsidRPr="003A2F95">
        <w:rPr>
          <w:rFonts w:eastAsia="MS Mincho" w:hint="eastAsia"/>
          <w:lang w:eastAsia="ja-JP"/>
        </w:rPr>
        <w:t>) meeting</w:t>
      </w:r>
      <w:r w:rsidRPr="003A2F95">
        <w:rPr>
          <w:rFonts w:eastAsia="MS Mincho"/>
          <w:lang w:eastAsia="ja-JP"/>
        </w:rPr>
        <w:t xml:space="preserve"> during 19-21 January 2015 in Tunis, there is some discussion for restructuring principles.</w:t>
      </w:r>
    </w:p>
    <w:p w:rsidR="003A2F95" w:rsidRPr="003A2F95" w:rsidRDefault="003A2F95" w:rsidP="003A2F95">
      <w:pPr>
        <w:autoSpaceDE w:val="0"/>
        <w:autoSpaceDN w:val="0"/>
        <w:adjustRightInd w:val="0"/>
        <w:snapToGrid w:val="0"/>
        <w:spacing w:after="240"/>
        <w:rPr>
          <w:rFonts w:eastAsia="Malgun Gothic"/>
          <w:lang w:eastAsia="ko-KR"/>
        </w:rPr>
      </w:pPr>
      <w:r w:rsidRPr="003A2F95">
        <w:rPr>
          <w:rFonts w:eastAsia="MS Mincho" w:hint="eastAsia"/>
          <w:lang w:eastAsia="ja-JP"/>
        </w:rPr>
        <w:t xml:space="preserve">The followings are the </w:t>
      </w:r>
      <w:r w:rsidRPr="003A2F95">
        <w:t>summarized set of</w:t>
      </w:r>
      <w:r w:rsidRPr="003A2F95">
        <w:rPr>
          <w:rFonts w:eastAsia="MS Mincho"/>
          <w:lang w:eastAsia="ja-JP"/>
        </w:rPr>
        <w:t xml:space="preserve"> restructuring </w:t>
      </w:r>
      <w:r w:rsidRPr="003A2F95">
        <w:rPr>
          <w:rFonts w:eastAsia="MS Mincho" w:hint="eastAsia"/>
          <w:lang w:eastAsia="ja-JP"/>
        </w:rPr>
        <w:t xml:space="preserve">principles which was discussed in ITU-T </w:t>
      </w:r>
      <w:proofErr w:type="spellStart"/>
      <w:r w:rsidRPr="003A2F95">
        <w:rPr>
          <w:rFonts w:eastAsia="MS Mincho" w:hint="eastAsia"/>
          <w:lang w:eastAsia="ja-JP"/>
        </w:rPr>
        <w:t>RevCom</w:t>
      </w:r>
      <w:proofErr w:type="spellEnd"/>
      <w:r w:rsidRPr="003A2F95">
        <w:rPr>
          <w:rFonts w:eastAsia="MS Mincho"/>
          <w:lang w:eastAsia="ja-JP"/>
        </w:rPr>
        <w:t xml:space="preserve">. </w:t>
      </w:r>
      <w:r w:rsidRPr="003A2F95">
        <w:rPr>
          <w:rFonts w:eastAsia="MS Mincho" w:hint="eastAsia"/>
          <w:lang w:eastAsia="ja-JP"/>
        </w:rPr>
        <w:t xml:space="preserve">These </w:t>
      </w:r>
      <w:r w:rsidRPr="003A2F95">
        <w:t xml:space="preserve">could be adopted by </w:t>
      </w:r>
      <w:r w:rsidRPr="003A2F95">
        <w:rPr>
          <w:rFonts w:eastAsiaTheme="minorEastAsia" w:hint="eastAsia"/>
          <w:lang w:eastAsia="ja-JP"/>
        </w:rPr>
        <w:t>APT preparatory group meeting for WTSA-16</w:t>
      </w:r>
      <w:r w:rsidRPr="003A2F95">
        <w:t xml:space="preserve"> to assist in its future SG restructuring discussions:</w:t>
      </w:r>
    </w:p>
    <w:p w:rsidR="003A2F95" w:rsidRPr="003A2F95" w:rsidRDefault="003A2F95" w:rsidP="003A2F95">
      <w:pPr>
        <w:numPr>
          <w:ilvl w:val="0"/>
          <w:numId w:val="13"/>
        </w:numPr>
        <w:spacing w:line="276" w:lineRule="auto"/>
        <w:ind w:left="714" w:hanging="357"/>
      </w:pPr>
      <w:r w:rsidRPr="003A2F95">
        <w:t>A: Optimized structure</w:t>
      </w:r>
    </w:p>
    <w:p w:rsidR="003A2F95" w:rsidRPr="003A2F95" w:rsidRDefault="003A2F95" w:rsidP="003A2F95">
      <w:pPr>
        <w:numPr>
          <w:ilvl w:val="0"/>
          <w:numId w:val="13"/>
        </w:numPr>
        <w:spacing w:before="100" w:beforeAutospacing="1" w:line="276" w:lineRule="auto"/>
        <w:ind w:left="714" w:hanging="357"/>
      </w:pPr>
      <w:r w:rsidRPr="003A2F95">
        <w:t>B: Clear mandates</w:t>
      </w:r>
    </w:p>
    <w:p w:rsidR="003A2F95" w:rsidRPr="003A2F95" w:rsidRDefault="003A2F95" w:rsidP="003A2F95">
      <w:pPr>
        <w:numPr>
          <w:ilvl w:val="0"/>
          <w:numId w:val="13"/>
        </w:numPr>
        <w:spacing w:before="100" w:beforeAutospacing="1" w:line="276" w:lineRule="auto"/>
        <w:ind w:left="714" w:hanging="357"/>
      </w:pPr>
      <w:r w:rsidRPr="003A2F95">
        <w:t>C: Enhanced coordination and cooperation</w:t>
      </w:r>
    </w:p>
    <w:p w:rsidR="003A2F95" w:rsidRPr="003A2F95" w:rsidRDefault="003A2F95" w:rsidP="003A2F95">
      <w:pPr>
        <w:numPr>
          <w:ilvl w:val="0"/>
          <w:numId w:val="13"/>
        </w:numPr>
        <w:spacing w:before="100" w:beforeAutospacing="1" w:line="276" w:lineRule="auto"/>
        <w:ind w:left="714" w:hanging="357"/>
      </w:pPr>
      <w:r w:rsidRPr="003A2F95">
        <w:t>D: Cost-effective and attractive</w:t>
      </w:r>
    </w:p>
    <w:p w:rsidR="003A2F95" w:rsidRPr="003A2F95" w:rsidRDefault="003A2F95" w:rsidP="003A2F95">
      <w:pPr>
        <w:numPr>
          <w:ilvl w:val="0"/>
          <w:numId w:val="13"/>
        </w:numPr>
        <w:spacing w:before="100" w:beforeAutospacing="1" w:line="276" w:lineRule="auto"/>
        <w:ind w:left="714" w:hanging="357"/>
      </w:pPr>
      <w:r w:rsidRPr="003A2F95">
        <w:t>E: Efficient and productive working methods</w:t>
      </w:r>
    </w:p>
    <w:p w:rsidR="003A2F95" w:rsidRPr="003A2F95" w:rsidRDefault="003A2F95" w:rsidP="003A2F95">
      <w:pPr>
        <w:numPr>
          <w:ilvl w:val="0"/>
          <w:numId w:val="13"/>
        </w:numPr>
        <w:spacing w:before="100" w:beforeAutospacing="1" w:line="276" w:lineRule="auto"/>
        <w:ind w:left="714" w:hanging="357"/>
      </w:pPr>
      <w:r w:rsidRPr="003A2F95">
        <w:t>F: Timely addresses standardization needs</w:t>
      </w:r>
    </w:p>
    <w:p w:rsidR="003A2F95" w:rsidRPr="003A2F95" w:rsidRDefault="003A2F95" w:rsidP="003A2F95">
      <w:pPr>
        <w:numPr>
          <w:ilvl w:val="0"/>
          <w:numId w:val="13"/>
        </w:numPr>
        <w:spacing w:before="100" w:beforeAutospacing="1" w:line="276" w:lineRule="auto"/>
        <w:ind w:left="714" w:hanging="357"/>
      </w:pPr>
      <w:r w:rsidRPr="003A2F95">
        <w:t>G: Assists in bridging the standardization gap</w:t>
      </w:r>
    </w:p>
    <w:p w:rsidR="003A2F95" w:rsidRPr="003A2F95" w:rsidRDefault="003A2F95" w:rsidP="003A2F95">
      <w:pPr>
        <w:spacing w:before="120" w:after="240"/>
        <w:rPr>
          <w:rFonts w:eastAsiaTheme="minorEastAsia"/>
          <w:lang w:eastAsia="ja-JP"/>
        </w:rPr>
      </w:pPr>
      <w:r w:rsidRPr="003A2F95">
        <w:rPr>
          <w:rFonts w:eastAsiaTheme="minorEastAsia"/>
          <w:lang w:eastAsia="ja-JP"/>
        </w:rPr>
        <w:t xml:space="preserve">The proposed principles are </w:t>
      </w:r>
      <w:r w:rsidRPr="003A2F95">
        <w:rPr>
          <w:rFonts w:eastAsiaTheme="minorEastAsia" w:hint="eastAsia"/>
          <w:lang w:eastAsia="ja-JP"/>
        </w:rPr>
        <w:t xml:space="preserve">described in </w:t>
      </w:r>
      <w:r w:rsidRPr="003A2F95">
        <w:rPr>
          <w:rFonts w:eastAsiaTheme="minorEastAsia"/>
          <w:lang w:eastAsia="ja-JP"/>
        </w:rPr>
        <w:t>ANNEX. 3.</w:t>
      </w:r>
    </w:p>
    <w:p w:rsidR="003A2F95" w:rsidRPr="003A2F95" w:rsidRDefault="003A2F95" w:rsidP="003A2F95">
      <w:pPr>
        <w:spacing w:before="120" w:after="240"/>
        <w:rPr>
          <w:rFonts w:eastAsiaTheme="minorEastAsia"/>
          <w:lang w:eastAsia="ja-JP"/>
        </w:rPr>
      </w:pPr>
    </w:p>
    <w:p w:rsidR="003A2F95" w:rsidRPr="003A2F95" w:rsidRDefault="003A2F95" w:rsidP="003A2F95">
      <w:pPr>
        <w:numPr>
          <w:ilvl w:val="1"/>
          <w:numId w:val="15"/>
        </w:numPr>
        <w:autoSpaceDE w:val="0"/>
        <w:autoSpaceDN w:val="0"/>
        <w:adjustRightInd w:val="0"/>
        <w:snapToGrid w:val="0"/>
        <w:spacing w:after="120" w:line="360" w:lineRule="auto"/>
        <w:contextualSpacing/>
        <w:rPr>
          <w:b/>
        </w:rPr>
      </w:pPr>
      <w:r w:rsidRPr="003A2F95">
        <w:rPr>
          <w:rFonts w:eastAsia="MS Mincho"/>
          <w:b/>
          <w:lang w:eastAsia="ja-JP"/>
        </w:rPr>
        <w:t>APT Strategic Plan 2015-2017</w:t>
      </w:r>
    </w:p>
    <w:p w:rsidR="003A2F95" w:rsidRPr="003A2F95" w:rsidRDefault="003A2F95" w:rsidP="003A2F95">
      <w:pPr>
        <w:autoSpaceDE w:val="0"/>
        <w:autoSpaceDN w:val="0"/>
        <w:adjustRightInd w:val="0"/>
        <w:snapToGrid w:val="0"/>
        <w:spacing w:after="240" w:line="240" w:lineRule="atLeast"/>
        <w:rPr>
          <w:rFonts w:eastAsia="MS PGothic"/>
          <w:lang w:val="en" w:eastAsia="ja-JP"/>
        </w:rPr>
      </w:pPr>
      <w:r w:rsidRPr="003A2F95">
        <w:rPr>
          <w:rFonts w:eastAsia="MS PGothic"/>
          <w:lang w:val="en"/>
        </w:rPr>
        <w:t>To achieve the objectives of the Brunei Darussalam Statement and enhance the role of the APT as an effective regional organization for Telecommunication/ICT in the Asia-Pacific region, the Strategic Plan for this period will have priority areas stated below in accordance with the Brunei Darussalam Statement</w:t>
      </w:r>
      <w:r w:rsidRPr="003A2F95">
        <w:rPr>
          <w:rFonts w:eastAsia="MS PGothic"/>
          <w:lang w:val="en" w:eastAsia="ja-JP"/>
        </w:rPr>
        <w:t>.</w:t>
      </w:r>
      <w:r w:rsidRPr="003A2F95">
        <w:rPr>
          <w:rFonts w:eastAsia="MS PGothic" w:hint="eastAsia"/>
          <w:lang w:val="en" w:eastAsia="ja-JP"/>
        </w:rPr>
        <w:t xml:space="preserve"> </w:t>
      </w:r>
    </w:p>
    <w:p w:rsidR="003A2F95" w:rsidRPr="003A2F95" w:rsidRDefault="003A2F95" w:rsidP="003A2F95">
      <w:pPr>
        <w:autoSpaceDE w:val="0"/>
        <w:autoSpaceDN w:val="0"/>
        <w:adjustRightInd w:val="0"/>
        <w:snapToGrid w:val="0"/>
        <w:spacing w:after="240" w:line="240" w:lineRule="atLeast"/>
        <w:rPr>
          <w:rFonts w:eastAsia="MS PGothic"/>
          <w:lang w:val="en" w:eastAsia="ja-JP"/>
        </w:rPr>
      </w:pPr>
      <w:r w:rsidRPr="003A2F95">
        <w:rPr>
          <w:rFonts w:eastAsia="MS PGothic"/>
          <w:lang w:val="en" w:eastAsia="ja-JP"/>
        </w:rPr>
        <w:lastRenderedPageBreak/>
        <w:t xml:space="preserve">To address the key priority areas of the Brunei Darussalam Statement, the APT Work </w:t>
      </w:r>
      <w:proofErr w:type="spellStart"/>
      <w:r w:rsidRPr="003A2F95">
        <w:rPr>
          <w:rFonts w:eastAsia="MS PGothic"/>
          <w:lang w:val="en" w:eastAsia="ja-JP"/>
        </w:rPr>
        <w:t>Programmes</w:t>
      </w:r>
      <w:proofErr w:type="spellEnd"/>
      <w:r w:rsidRPr="003A2F95">
        <w:rPr>
          <w:rFonts w:eastAsia="MS PGothic"/>
          <w:lang w:val="en" w:eastAsia="ja-JP"/>
        </w:rPr>
        <w:t xml:space="preserve"> for the year 2015-2017 have been divided into eight main work items as followings:</w:t>
      </w:r>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r w:rsidRPr="003A2F95">
        <w:rPr>
          <w:rFonts w:eastAsia="MS PGothic"/>
          <w:bCs/>
          <w:lang w:val="en"/>
        </w:rPr>
        <w:t>Policy &amp; Regulation</w:t>
      </w:r>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r w:rsidRPr="003A2F95">
        <w:rPr>
          <w:rFonts w:eastAsia="MS PGothic"/>
          <w:bCs/>
        </w:rPr>
        <w:t>ICT Development</w:t>
      </w:r>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r w:rsidRPr="003A2F95">
        <w:rPr>
          <w:rFonts w:eastAsia="MS PGothic"/>
          <w:bCs/>
        </w:rPr>
        <w:t>Disaster Management</w:t>
      </w:r>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r w:rsidRPr="003A2F95">
        <w:rPr>
          <w:rFonts w:eastAsia="MS PGothic"/>
          <w:bCs/>
        </w:rPr>
        <w:t>Cyber-security</w:t>
      </w:r>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proofErr w:type="spellStart"/>
      <w:r w:rsidRPr="003A2F95">
        <w:rPr>
          <w:rFonts w:eastAsia="MS PGothic"/>
          <w:bCs/>
        </w:rPr>
        <w:t>Raidocommunication</w:t>
      </w:r>
      <w:proofErr w:type="spellEnd"/>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r w:rsidRPr="003A2F95">
        <w:rPr>
          <w:rFonts w:eastAsia="MS PGothic"/>
          <w:bCs/>
        </w:rPr>
        <w:t>Standardization</w:t>
      </w:r>
    </w:p>
    <w:p w:rsidR="003A2F95" w:rsidRPr="003A2F95" w:rsidRDefault="003A2F95" w:rsidP="003A2F95">
      <w:pPr>
        <w:widowControl w:val="0"/>
        <w:numPr>
          <w:ilvl w:val="0"/>
          <w:numId w:val="14"/>
        </w:numPr>
        <w:spacing w:before="100" w:beforeAutospacing="1" w:line="276" w:lineRule="auto"/>
        <w:jc w:val="both"/>
        <w:rPr>
          <w:rFonts w:eastAsiaTheme="minorEastAsia"/>
          <w:kern w:val="2"/>
          <w:lang w:eastAsia="ja-JP"/>
        </w:rPr>
      </w:pPr>
      <w:r w:rsidRPr="003A2F95">
        <w:rPr>
          <w:rFonts w:eastAsia="MS PGothic"/>
          <w:bCs/>
        </w:rPr>
        <w:t>Capacity Building</w:t>
      </w:r>
    </w:p>
    <w:p w:rsidR="003A2F95" w:rsidRPr="003A2F95" w:rsidRDefault="003A2F95" w:rsidP="003A2F95">
      <w:pPr>
        <w:widowControl w:val="0"/>
        <w:numPr>
          <w:ilvl w:val="0"/>
          <w:numId w:val="14"/>
        </w:numPr>
        <w:spacing w:before="100" w:beforeAutospacing="1" w:after="240" w:line="276" w:lineRule="auto"/>
        <w:jc w:val="both"/>
        <w:rPr>
          <w:rFonts w:eastAsiaTheme="minorEastAsia"/>
          <w:kern w:val="2"/>
          <w:lang w:eastAsia="ja-JP"/>
        </w:rPr>
      </w:pPr>
      <w:r w:rsidRPr="003A2F95">
        <w:rPr>
          <w:rFonts w:eastAsia="MS PGothic"/>
          <w:bCs/>
        </w:rPr>
        <w:t xml:space="preserve">Regional Cooperation for ICT Development </w:t>
      </w:r>
    </w:p>
    <w:p w:rsidR="003A2F95" w:rsidRPr="003A2F95" w:rsidRDefault="003A2F95" w:rsidP="003A2F95">
      <w:pPr>
        <w:autoSpaceDE w:val="0"/>
        <w:autoSpaceDN w:val="0"/>
        <w:adjustRightInd w:val="0"/>
        <w:snapToGrid w:val="0"/>
        <w:spacing w:after="240" w:line="240" w:lineRule="atLeast"/>
        <w:rPr>
          <w:rFonts w:eastAsia="MS Mincho" w:cs="Angsana New"/>
          <w:b/>
          <w:szCs w:val="22"/>
          <w:lang w:val="en" w:eastAsia="ja-JP"/>
        </w:rPr>
      </w:pPr>
      <w:r w:rsidRPr="003A2F95">
        <w:rPr>
          <w:rFonts w:eastAsia="MS PGothic" w:hint="eastAsia"/>
          <w:lang w:val="en" w:eastAsia="ja-JP"/>
        </w:rPr>
        <w:t xml:space="preserve">Therefore, the </w:t>
      </w:r>
      <w:r w:rsidRPr="003A2F95">
        <w:rPr>
          <w:rFonts w:eastAsia="MS PGothic"/>
          <w:lang w:val="en" w:eastAsia="ja-JP"/>
        </w:rPr>
        <w:t>above work items</w:t>
      </w:r>
      <w:r w:rsidRPr="003A2F95">
        <w:rPr>
          <w:rFonts w:eastAsia="MS PGothic" w:hint="eastAsia"/>
          <w:lang w:val="en" w:eastAsia="ja-JP"/>
        </w:rPr>
        <w:t xml:space="preserve"> </w:t>
      </w:r>
      <w:r w:rsidRPr="003A2F95">
        <w:rPr>
          <w:rFonts w:eastAsia="MS PGothic"/>
          <w:lang w:val="en" w:eastAsia="ja-JP"/>
        </w:rPr>
        <w:t>areas</w:t>
      </w:r>
      <w:r w:rsidRPr="003A2F95">
        <w:rPr>
          <w:rFonts w:eastAsia="MS PGothic" w:hint="eastAsia"/>
          <w:lang w:val="en" w:eastAsia="ja-JP"/>
        </w:rPr>
        <w:t xml:space="preserve"> should be considered </w:t>
      </w:r>
      <w:r w:rsidRPr="003A2F95">
        <w:rPr>
          <w:rFonts w:eastAsia="MS PGothic"/>
          <w:lang w:val="en" w:eastAsia="ja-JP"/>
        </w:rPr>
        <w:t xml:space="preserve">in the </w:t>
      </w:r>
      <w:r w:rsidRPr="003A2F95">
        <w:rPr>
          <w:rFonts w:eastAsia="MS PGothic" w:hint="eastAsia"/>
          <w:lang w:val="en" w:eastAsia="ja-JP"/>
        </w:rPr>
        <w:t>discuss</w:t>
      </w:r>
      <w:r w:rsidRPr="003A2F95">
        <w:rPr>
          <w:rFonts w:eastAsia="MS PGothic"/>
          <w:lang w:val="en" w:eastAsia="ja-JP"/>
        </w:rPr>
        <w:t>ion</w:t>
      </w:r>
      <w:r w:rsidRPr="003A2F95">
        <w:rPr>
          <w:rFonts w:eastAsia="MS PGothic" w:hint="eastAsia"/>
          <w:lang w:val="en" w:eastAsia="ja-JP"/>
        </w:rPr>
        <w:t xml:space="preserve"> </w:t>
      </w:r>
      <w:r w:rsidRPr="003A2F95">
        <w:rPr>
          <w:rFonts w:eastAsia="MS PGothic"/>
          <w:lang w:val="en" w:eastAsia="ja-JP"/>
        </w:rPr>
        <w:t>on the</w:t>
      </w:r>
      <w:r w:rsidRPr="003A2F95">
        <w:rPr>
          <w:rFonts w:eastAsia="MS PGothic" w:hint="eastAsia"/>
          <w:lang w:val="en" w:eastAsia="ja-JP"/>
        </w:rPr>
        <w:t xml:space="preserve"> restructuring of ITU-T for the next study period.</w:t>
      </w:r>
      <w:r w:rsidRPr="003A2F95">
        <w:rPr>
          <w:rFonts w:eastAsia="Malgun Gothic" w:cs="Angsana New" w:hint="eastAsia"/>
          <w:b/>
          <w:szCs w:val="22"/>
          <w:lang w:val="en" w:eastAsia="ko-KR"/>
        </w:rPr>
        <w:t xml:space="preserve"> </w:t>
      </w:r>
      <w:r w:rsidRPr="003A2F95">
        <w:rPr>
          <w:rFonts w:eastAsiaTheme="minorEastAsia" w:hint="eastAsia"/>
          <w:lang w:val="en" w:eastAsia="ja-JP"/>
        </w:rPr>
        <w:t>The details of the strategic plan for APT are described in the Brunei Darussalam Statement. (</w:t>
      </w:r>
      <w:hyperlink r:id="rId22" w:history="1">
        <w:r w:rsidRPr="003A2F95">
          <w:rPr>
            <w:rFonts w:eastAsiaTheme="minorEastAsia"/>
            <w:color w:val="0000FF" w:themeColor="hyperlink"/>
            <w:u w:val="single"/>
            <w:lang w:val="en" w:eastAsia="ja-JP"/>
          </w:rPr>
          <w:t>http://www.aptsec.org/SP-2015-201</w:t>
        </w:r>
        <w:r w:rsidRPr="003A2F95">
          <w:rPr>
            <w:rFonts w:eastAsiaTheme="minorEastAsia" w:hint="eastAsia"/>
            <w:color w:val="0000FF" w:themeColor="hyperlink"/>
            <w:u w:val="single"/>
            <w:lang w:val="en" w:eastAsia="ja-JP"/>
          </w:rPr>
          <w:t>7</w:t>
        </w:r>
      </w:hyperlink>
      <w:r w:rsidRPr="003A2F95">
        <w:rPr>
          <w:rFonts w:eastAsiaTheme="minorEastAsia" w:hint="eastAsia"/>
          <w:lang w:val="en" w:eastAsia="ja-JP"/>
        </w:rPr>
        <w:t>)</w:t>
      </w:r>
    </w:p>
    <w:p w:rsidR="003A2F95" w:rsidRPr="003A2F95" w:rsidRDefault="003A2F95" w:rsidP="003A2F95">
      <w:pPr>
        <w:autoSpaceDE w:val="0"/>
        <w:autoSpaceDN w:val="0"/>
        <w:adjustRightInd w:val="0"/>
        <w:snapToGrid w:val="0"/>
        <w:spacing w:after="240" w:line="240" w:lineRule="atLeast"/>
        <w:rPr>
          <w:rFonts w:eastAsia="MS Mincho" w:cs="Angsana New"/>
          <w:b/>
          <w:szCs w:val="22"/>
          <w:lang w:val="en" w:eastAsia="ja-JP"/>
        </w:rPr>
      </w:pPr>
    </w:p>
    <w:p w:rsidR="003A2F95" w:rsidRPr="003A2F95" w:rsidRDefault="003A2F95" w:rsidP="003A2F95">
      <w:pPr>
        <w:numPr>
          <w:ilvl w:val="0"/>
          <w:numId w:val="12"/>
        </w:numPr>
        <w:autoSpaceDE w:val="0"/>
        <w:autoSpaceDN w:val="0"/>
        <w:adjustRightInd w:val="0"/>
        <w:snapToGrid w:val="0"/>
        <w:spacing w:after="120" w:line="360" w:lineRule="auto"/>
        <w:contextualSpacing/>
        <w:rPr>
          <w:b/>
        </w:rPr>
      </w:pPr>
      <w:r w:rsidRPr="003A2F95">
        <w:rPr>
          <w:rFonts w:eastAsia="MS Mincho" w:hint="eastAsia"/>
          <w:b/>
          <w:lang w:eastAsia="ja-JP"/>
        </w:rPr>
        <w:t>Conclusion</w:t>
      </w:r>
    </w:p>
    <w:p w:rsidR="003A2F95" w:rsidRPr="003A2F95" w:rsidRDefault="003A2F95" w:rsidP="003A2F95">
      <w:pPr>
        <w:autoSpaceDE w:val="0"/>
        <w:autoSpaceDN w:val="0"/>
        <w:adjustRightInd w:val="0"/>
        <w:snapToGrid w:val="0"/>
        <w:spacing w:after="240"/>
        <w:rPr>
          <w:rFonts w:eastAsia="MS Mincho"/>
          <w:lang w:eastAsia="ja-JP"/>
        </w:rPr>
      </w:pPr>
      <w:r w:rsidRPr="003A2F95">
        <w:rPr>
          <w:rFonts w:eastAsia="MS Mincho" w:hint="eastAsia"/>
          <w:lang w:eastAsia="ja-JP"/>
        </w:rPr>
        <w:t>This issue paper provides some information which would be relevant for the consideration of SG restructuring at WTSA-16.</w:t>
      </w:r>
      <w:r w:rsidRPr="003A2F95">
        <w:rPr>
          <w:rFonts w:eastAsia="MS Mincho"/>
          <w:lang w:eastAsia="ja-JP"/>
        </w:rPr>
        <w:t xml:space="preserve"> Based on the discussion points provide by this report, </w:t>
      </w:r>
      <w:r w:rsidRPr="003A2F95">
        <w:rPr>
          <w:rFonts w:eastAsia="MS Mincho" w:hint="eastAsia"/>
          <w:lang w:eastAsia="ja-JP"/>
        </w:rPr>
        <w:t>i</w:t>
      </w:r>
      <w:r w:rsidRPr="003A2F95">
        <w:rPr>
          <w:rFonts w:eastAsia="MS Mincho"/>
          <w:lang w:eastAsia="ja-JP"/>
        </w:rPr>
        <w:t>t is recommended for APT members to consider the following actions:</w:t>
      </w:r>
    </w:p>
    <w:p w:rsidR="003A2F95" w:rsidRPr="003A2F95" w:rsidRDefault="003A2F95" w:rsidP="003A2F95">
      <w:pPr>
        <w:widowControl w:val="0"/>
        <w:numPr>
          <w:ilvl w:val="0"/>
          <w:numId w:val="16"/>
        </w:numPr>
        <w:autoSpaceDE w:val="0"/>
        <w:autoSpaceDN w:val="0"/>
        <w:adjustRightInd w:val="0"/>
        <w:snapToGrid w:val="0"/>
        <w:spacing w:before="240" w:after="240"/>
        <w:rPr>
          <w:rFonts w:eastAsia="MS Mincho"/>
          <w:lang w:eastAsia="ja-JP"/>
        </w:rPr>
      </w:pPr>
      <w:r w:rsidRPr="003A2F95">
        <w:rPr>
          <w:rFonts w:eastAsia="MS Mincho"/>
          <w:lang w:eastAsia="ja-JP"/>
        </w:rPr>
        <w:t>APT members are requested to provide their views on these Study Group, particularly in terms of interest and market demand.</w:t>
      </w:r>
    </w:p>
    <w:p w:rsidR="003A2F95" w:rsidRPr="003A2F95" w:rsidRDefault="003A2F95" w:rsidP="003A2F95">
      <w:pPr>
        <w:widowControl w:val="0"/>
        <w:numPr>
          <w:ilvl w:val="0"/>
          <w:numId w:val="16"/>
        </w:numPr>
        <w:autoSpaceDE w:val="0"/>
        <w:autoSpaceDN w:val="0"/>
        <w:adjustRightInd w:val="0"/>
        <w:snapToGrid w:val="0"/>
        <w:spacing w:after="240"/>
        <w:rPr>
          <w:rFonts w:eastAsia="MS Mincho"/>
          <w:lang w:eastAsia="ja-JP"/>
        </w:rPr>
      </w:pPr>
      <w:r w:rsidRPr="003A2F95">
        <w:rPr>
          <w:rFonts w:eastAsia="MS Mincho"/>
          <w:lang w:eastAsia="ja-JP"/>
        </w:rPr>
        <w:t>APT members are requested to consider possible impacts on the future SG structure by the outcomes and activities of these groups.</w:t>
      </w:r>
    </w:p>
    <w:p w:rsidR="003A2F95" w:rsidRPr="003A2F95" w:rsidRDefault="003A2F95" w:rsidP="003A2F95">
      <w:pPr>
        <w:widowControl w:val="0"/>
        <w:numPr>
          <w:ilvl w:val="0"/>
          <w:numId w:val="16"/>
        </w:numPr>
        <w:autoSpaceDE w:val="0"/>
        <w:autoSpaceDN w:val="0"/>
        <w:adjustRightInd w:val="0"/>
        <w:snapToGrid w:val="0"/>
        <w:spacing w:after="240"/>
        <w:rPr>
          <w:rFonts w:eastAsia="MS Mincho"/>
          <w:lang w:eastAsia="ja-JP"/>
        </w:rPr>
      </w:pPr>
      <w:r w:rsidRPr="003A2F95">
        <w:rPr>
          <w:rFonts w:eastAsia="MS Mincho" w:hint="eastAsia"/>
          <w:lang w:eastAsia="ja-JP"/>
        </w:rPr>
        <w:t>APT members are requested to identify relevant principles for SG restructuring at WTSA-16.</w:t>
      </w:r>
    </w:p>
    <w:p w:rsidR="003A2F95" w:rsidRPr="003A2F95" w:rsidRDefault="003A2F95" w:rsidP="003A2F95">
      <w:pPr>
        <w:widowControl w:val="0"/>
        <w:numPr>
          <w:ilvl w:val="0"/>
          <w:numId w:val="16"/>
        </w:numPr>
        <w:autoSpaceDE w:val="0"/>
        <w:autoSpaceDN w:val="0"/>
        <w:adjustRightInd w:val="0"/>
        <w:snapToGrid w:val="0"/>
        <w:spacing w:after="240"/>
        <w:rPr>
          <w:rFonts w:eastAsia="MS Mincho"/>
          <w:lang w:eastAsia="ja-JP"/>
        </w:rPr>
      </w:pPr>
      <w:r w:rsidRPr="003A2F95">
        <w:rPr>
          <w:rFonts w:eastAsia="Malgun Gothic" w:hint="eastAsia"/>
          <w:lang w:eastAsia="ko-KR"/>
        </w:rPr>
        <w:t xml:space="preserve">APT members are requested to </w:t>
      </w:r>
      <w:r w:rsidRPr="003A2F95">
        <w:rPr>
          <w:rFonts w:eastAsia="Malgun Gothic"/>
          <w:lang w:eastAsia="ko-KR"/>
        </w:rPr>
        <w:t>consider the relevant principles to meet the APT Strategic Plan</w:t>
      </w:r>
      <w:r w:rsidRPr="003A2F95">
        <w:rPr>
          <w:rFonts w:eastAsia="Malgun Gothic" w:hint="eastAsia"/>
          <w:lang w:eastAsia="ko-KR"/>
        </w:rPr>
        <w:t>.</w:t>
      </w:r>
    </w:p>
    <w:p w:rsidR="003A2F95" w:rsidRPr="003A2F95" w:rsidRDefault="003A2F95" w:rsidP="003A2F95">
      <w:pPr>
        <w:autoSpaceDE w:val="0"/>
        <w:autoSpaceDN w:val="0"/>
        <w:adjustRightInd w:val="0"/>
        <w:snapToGrid w:val="0"/>
        <w:rPr>
          <w:rFonts w:eastAsia="MS Mincho"/>
          <w:lang w:eastAsia="ja-JP"/>
        </w:rPr>
      </w:pPr>
    </w:p>
    <w:p w:rsidR="003A2F95" w:rsidRPr="003A2F95" w:rsidRDefault="003A2F95" w:rsidP="003A2F95">
      <w:pPr>
        <w:autoSpaceDE w:val="0"/>
        <w:autoSpaceDN w:val="0"/>
        <w:adjustRightInd w:val="0"/>
        <w:snapToGrid w:val="0"/>
        <w:rPr>
          <w:rFonts w:eastAsia="MS Mincho"/>
          <w:lang w:eastAsia="ja-JP"/>
        </w:rPr>
      </w:pPr>
    </w:p>
    <w:p w:rsidR="003A2F95" w:rsidRPr="003A2F95" w:rsidRDefault="003A2F95" w:rsidP="003A2F95">
      <w:pPr>
        <w:autoSpaceDE w:val="0"/>
        <w:autoSpaceDN w:val="0"/>
        <w:adjustRightInd w:val="0"/>
        <w:snapToGrid w:val="0"/>
        <w:spacing w:after="240"/>
        <w:rPr>
          <w:rFonts w:eastAsia="MS Mincho"/>
          <w:b/>
          <w:lang w:eastAsia="ja-JP"/>
        </w:rPr>
      </w:pPr>
      <w:r w:rsidRPr="003A2F95">
        <w:rPr>
          <w:rFonts w:eastAsia="MS Mincho" w:hint="eastAsia"/>
          <w:b/>
          <w:lang w:eastAsia="ja-JP"/>
        </w:rPr>
        <w:t>[Reference</w:t>
      </w:r>
      <w:r w:rsidRPr="003A2F95">
        <w:rPr>
          <w:rFonts w:eastAsia="MS Mincho"/>
          <w:b/>
          <w:lang w:eastAsia="ja-JP"/>
        </w:rPr>
        <w:t>s</w:t>
      </w:r>
      <w:r w:rsidRPr="003A2F95">
        <w:rPr>
          <w:rFonts w:eastAsia="MS Mincho" w:hint="eastAsia"/>
          <w:b/>
          <w:lang w:eastAsia="ja-JP"/>
        </w:rPr>
        <w:t>]</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rPr>
          <w:rFonts w:hint="eastAsia"/>
          <w:lang w:eastAsia="ko-KR"/>
        </w:rPr>
        <w:t>IT</w:t>
      </w:r>
      <w:r w:rsidRPr="003A2F95">
        <w:rPr>
          <w:lang w:eastAsia="ko-KR"/>
        </w:rPr>
        <w:t>U-T</w:t>
      </w:r>
      <w:r w:rsidRPr="003A2F95">
        <w:rPr>
          <w:rFonts w:hint="eastAsia"/>
          <w:lang w:eastAsia="ko-KR"/>
        </w:rPr>
        <w:t xml:space="preserve"> </w:t>
      </w:r>
      <w:r w:rsidRPr="003A2F95">
        <w:rPr>
          <w:lang w:eastAsia="ko-KR"/>
        </w:rPr>
        <w:t xml:space="preserve">TSAG </w:t>
      </w:r>
      <w:r w:rsidRPr="003A2F95">
        <w:rPr>
          <w:rFonts w:eastAsia="MS Mincho"/>
          <w:lang w:eastAsia="ja-JP"/>
        </w:rPr>
        <w:t>–</w:t>
      </w:r>
      <w:r w:rsidRPr="003A2F95">
        <w:rPr>
          <w:lang w:eastAsia="ko-KR"/>
        </w:rPr>
        <w:t xml:space="preserve"> </w:t>
      </w:r>
      <w:hyperlink r:id="rId23" w:history="1">
        <w:r w:rsidRPr="003A2F95">
          <w:rPr>
            <w:color w:val="0000FF" w:themeColor="hyperlink"/>
            <w:u w:val="single"/>
            <w:lang w:eastAsia="ko-KR"/>
          </w:rPr>
          <w:t>http://www.itu.int/en/ITU-T/tsag/2013-2016/</w:t>
        </w:r>
      </w:hyperlink>
      <w:r w:rsidRPr="003A2F95">
        <w:rPr>
          <w:lang w:eastAsia="ko-KR"/>
        </w:rPr>
        <w:t xml:space="preserve"> </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rPr>
          <w:lang w:eastAsia="ko-KR"/>
        </w:rPr>
        <w:t xml:space="preserve">ITU-T Review Committee </w:t>
      </w:r>
      <w:r w:rsidRPr="003A2F95">
        <w:rPr>
          <w:rFonts w:eastAsia="MS Mincho"/>
          <w:lang w:eastAsia="ja-JP"/>
        </w:rPr>
        <w:t>–</w:t>
      </w:r>
      <w:r w:rsidRPr="003A2F95">
        <w:rPr>
          <w:lang w:eastAsia="ko-KR"/>
        </w:rPr>
        <w:t xml:space="preserve"> </w:t>
      </w:r>
      <w:hyperlink r:id="rId24" w:history="1">
        <w:r w:rsidRPr="003A2F95">
          <w:rPr>
            <w:color w:val="0000FF" w:themeColor="hyperlink"/>
            <w:u w:val="single"/>
            <w:lang w:eastAsia="ko-KR"/>
          </w:rPr>
          <w:t>http://www.itu.int/en/ITU-T/revcom</w:t>
        </w:r>
      </w:hyperlink>
      <w:r w:rsidRPr="003A2F95">
        <w:rPr>
          <w:lang w:eastAsia="ko-KR"/>
        </w:rPr>
        <w:t xml:space="preserve"> </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rPr>
          <w:rFonts w:eastAsiaTheme="minorEastAsia" w:hint="eastAsia"/>
          <w:lang w:eastAsia="ja-JP"/>
        </w:rPr>
        <w:t>CTO Meetings</w:t>
      </w:r>
      <w:r w:rsidRPr="003A2F95">
        <w:rPr>
          <w:lang w:eastAsia="ko-KR"/>
        </w:rPr>
        <w:t xml:space="preserve"> </w:t>
      </w:r>
      <w:r w:rsidRPr="003A2F95">
        <w:rPr>
          <w:rFonts w:eastAsia="MS Mincho"/>
          <w:lang w:eastAsia="ja-JP"/>
        </w:rPr>
        <w:t>–</w:t>
      </w:r>
      <w:r w:rsidRPr="003A2F95">
        <w:rPr>
          <w:lang w:eastAsia="ko-KR"/>
        </w:rPr>
        <w:t xml:space="preserve"> </w:t>
      </w:r>
      <w:hyperlink r:id="rId25" w:history="1">
        <w:r w:rsidRPr="003A2F95">
          <w:rPr>
            <w:color w:val="0000FF" w:themeColor="hyperlink"/>
            <w:u w:val="single"/>
            <w:lang w:eastAsia="ko-KR"/>
          </w:rPr>
          <w:t>http://www.itu.int/en/ITU-T/</w:t>
        </w:r>
        <w:r w:rsidRPr="003A2F95">
          <w:rPr>
            <w:rFonts w:eastAsiaTheme="minorEastAsia" w:hint="eastAsia"/>
            <w:color w:val="0000FF" w:themeColor="hyperlink"/>
            <w:u w:val="single"/>
            <w:lang w:eastAsia="ja-JP"/>
          </w:rPr>
          <w:t>tsbdir/cto/</w:t>
        </w:r>
      </w:hyperlink>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rPr>
          <w:rFonts w:eastAsiaTheme="minorEastAsia" w:hint="eastAsia"/>
          <w:lang w:eastAsia="ja-JP"/>
        </w:rPr>
        <w:t>ITU-T Technology Watch</w:t>
      </w:r>
      <w:r w:rsidRPr="003A2F95">
        <w:rPr>
          <w:lang w:eastAsia="ko-KR"/>
        </w:rPr>
        <w:t xml:space="preserve"> </w:t>
      </w:r>
      <w:r w:rsidRPr="003A2F95">
        <w:rPr>
          <w:rFonts w:eastAsia="MS Mincho"/>
          <w:lang w:eastAsia="ja-JP"/>
        </w:rPr>
        <w:t>–</w:t>
      </w:r>
      <w:r w:rsidRPr="003A2F95">
        <w:rPr>
          <w:lang w:eastAsia="ko-KR"/>
        </w:rPr>
        <w:t xml:space="preserve"> </w:t>
      </w:r>
      <w:hyperlink r:id="rId26" w:history="1">
        <w:r w:rsidRPr="003A2F95">
          <w:rPr>
            <w:color w:val="0000FF" w:themeColor="hyperlink"/>
            <w:u w:val="single"/>
            <w:lang w:eastAsia="ko-KR"/>
          </w:rPr>
          <w:t>http://www.itu.int/en/ITU-T/</w:t>
        </w:r>
        <w:r w:rsidRPr="003A2F95">
          <w:rPr>
            <w:rFonts w:eastAsiaTheme="minorEastAsia" w:hint="eastAsia"/>
            <w:color w:val="0000FF" w:themeColor="hyperlink"/>
            <w:u w:val="single"/>
            <w:lang w:eastAsia="ja-JP"/>
          </w:rPr>
          <w:t>techwatch/</w:t>
        </w:r>
      </w:hyperlink>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t xml:space="preserve">ITU-T GSI </w:t>
      </w:r>
      <w:r w:rsidRPr="003A2F95">
        <w:rPr>
          <w:rFonts w:eastAsia="MS Mincho"/>
          <w:lang w:eastAsia="ja-JP"/>
        </w:rPr>
        <w:t>–</w:t>
      </w:r>
      <w:r w:rsidRPr="003A2F95">
        <w:t xml:space="preserve"> </w:t>
      </w:r>
      <w:hyperlink r:id="rId27" w:history="1">
        <w:r w:rsidRPr="003A2F95">
          <w:rPr>
            <w:color w:val="0000FF" w:themeColor="hyperlink"/>
            <w:u w:val="single"/>
          </w:rPr>
          <w:t>http://www.itu.int/en/ITU-T/gsi/</w:t>
        </w:r>
      </w:hyperlink>
      <w:r w:rsidRPr="003A2F95">
        <w:t xml:space="preserve"> </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t xml:space="preserve">ITU-T JCA </w:t>
      </w:r>
      <w:r w:rsidRPr="003A2F95">
        <w:rPr>
          <w:rFonts w:eastAsia="MS Mincho"/>
          <w:lang w:eastAsia="ja-JP"/>
        </w:rPr>
        <w:t>–</w:t>
      </w:r>
      <w:r w:rsidRPr="003A2F95">
        <w:t xml:space="preserve"> </w:t>
      </w:r>
      <w:hyperlink r:id="rId28" w:history="1">
        <w:r w:rsidRPr="003A2F95">
          <w:rPr>
            <w:color w:val="0000FF" w:themeColor="hyperlink"/>
            <w:u w:val="single"/>
          </w:rPr>
          <w:t>http://www.itu.int/en/ITU-T/jca/</w:t>
        </w:r>
      </w:hyperlink>
      <w:r w:rsidRPr="003A2F95">
        <w:t xml:space="preserve"> </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t xml:space="preserve">APT Preparatory Group for WTSA-16, </w:t>
      </w:r>
      <w:hyperlink r:id="rId29" w:history="1">
        <w:r w:rsidRPr="003A2F95">
          <w:rPr>
            <w:color w:val="0000FF" w:themeColor="hyperlink"/>
            <w:u w:val="single"/>
          </w:rPr>
          <w:t>http://www.apt.int/APT-WTSA</w:t>
        </w:r>
      </w:hyperlink>
      <w:r w:rsidRPr="003A2F95">
        <w:t xml:space="preserve"> </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t xml:space="preserve">APT Strategic Plan 2015-2017 </w:t>
      </w:r>
      <w:r w:rsidRPr="003A2F95">
        <w:rPr>
          <w:rFonts w:eastAsia="MS Mincho"/>
          <w:lang w:eastAsia="ja-JP"/>
        </w:rPr>
        <w:t>–</w:t>
      </w:r>
      <w:r w:rsidRPr="003A2F95">
        <w:t xml:space="preserve"> </w:t>
      </w:r>
      <w:hyperlink r:id="rId30" w:history="1">
        <w:r w:rsidRPr="003A2F95">
          <w:rPr>
            <w:color w:val="0000FF" w:themeColor="hyperlink"/>
            <w:u w:val="single"/>
          </w:rPr>
          <w:t>http://www.aptsec.org/SP-2015-2017</w:t>
        </w:r>
      </w:hyperlink>
      <w:r w:rsidRPr="003A2F95">
        <w:t xml:space="preserve"> </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lastRenderedPageBreak/>
        <w:t xml:space="preserve">TSAG </w:t>
      </w:r>
      <w:hyperlink r:id="rId31" w:history="1">
        <w:r w:rsidRPr="003A2F95">
          <w:rPr>
            <w:color w:val="0000FF" w:themeColor="hyperlink"/>
            <w:u w:val="single"/>
          </w:rPr>
          <w:t>TD322 Rev3</w:t>
        </w:r>
      </w:hyperlink>
      <w:r w:rsidRPr="003A2F95">
        <w:t xml:space="preserve"> </w:t>
      </w:r>
      <w:r w:rsidRPr="003A2F95">
        <w:rPr>
          <w:rFonts w:eastAsia="MS Mincho"/>
          <w:lang w:eastAsia="ja-JP"/>
        </w:rPr>
        <w:t>–</w:t>
      </w:r>
      <w:r w:rsidRPr="003A2F95">
        <w:t xml:space="preserve"> Results from the drafting group on a possible structure of a SG20 on </w:t>
      </w:r>
      <w:proofErr w:type="spellStart"/>
      <w:r w:rsidRPr="003A2F95">
        <w:t>IoT</w:t>
      </w:r>
      <w:proofErr w:type="spellEnd"/>
      <w:r w:rsidRPr="003A2F95">
        <w:t xml:space="preserve"> for Smart Sustainable Cities</w:t>
      </w:r>
    </w:p>
    <w:p w:rsidR="003A2F95" w:rsidRPr="003A2F95" w:rsidRDefault="003A2F95" w:rsidP="003A2F95">
      <w:pPr>
        <w:numPr>
          <w:ilvl w:val="0"/>
          <w:numId w:val="17"/>
        </w:numPr>
        <w:autoSpaceDE w:val="0"/>
        <w:autoSpaceDN w:val="0"/>
        <w:adjustRightInd w:val="0"/>
        <w:snapToGrid w:val="0"/>
        <w:spacing w:before="240" w:after="240" w:line="276" w:lineRule="auto"/>
        <w:contextualSpacing/>
      </w:pPr>
      <w:r w:rsidRPr="003A2F95">
        <w:t xml:space="preserve">Review Committee </w:t>
      </w:r>
      <w:hyperlink r:id="rId32" w:history="1">
        <w:r w:rsidRPr="003A2F95">
          <w:rPr>
            <w:rFonts w:eastAsiaTheme="minorEastAsia" w:hint="eastAsia"/>
            <w:color w:val="0000FF" w:themeColor="hyperlink"/>
            <w:u w:val="single"/>
            <w:lang w:eastAsia="ja-JP"/>
          </w:rPr>
          <w:t>TD133/GEN</w:t>
        </w:r>
      </w:hyperlink>
      <w:r w:rsidRPr="003A2F95">
        <w:rPr>
          <w:rFonts w:eastAsiaTheme="minorEastAsia"/>
          <w:color w:val="0000FF" w:themeColor="hyperlink"/>
          <w:u w:val="single"/>
          <w:lang w:eastAsia="ja-JP"/>
        </w:rPr>
        <w:t>,</w:t>
      </w:r>
      <w:r w:rsidRPr="003A2F95">
        <w:rPr>
          <w:rFonts w:eastAsiaTheme="minorEastAsia"/>
          <w:color w:val="0000FF" w:themeColor="hyperlink"/>
          <w:lang w:eastAsia="ja-JP"/>
        </w:rPr>
        <w:t xml:space="preserve"> </w:t>
      </w:r>
      <w:bookmarkStart w:id="0" w:name="OLE_LINK1"/>
      <w:r w:rsidRPr="003A2F95">
        <w:rPr>
          <w:rFonts w:eastAsia="MS Mincho"/>
          <w:lang w:eastAsia="ja-JP"/>
        </w:rPr>
        <w:t xml:space="preserve">– </w:t>
      </w:r>
      <w:r w:rsidRPr="003A2F95">
        <w:t>Restructuring principles summary and proposal</w:t>
      </w:r>
      <w:bookmarkEnd w:id="0"/>
    </w:p>
    <w:p w:rsidR="00DA7595" w:rsidRPr="009A4A6D" w:rsidRDefault="003A2F95" w:rsidP="00E52986">
      <w:pPr>
        <w:jc w:val="center"/>
        <w:rPr>
          <w:snapToGrid w:val="0"/>
        </w:rPr>
      </w:pPr>
      <w:r w:rsidRPr="003A2F95">
        <w:t>____________</w:t>
      </w:r>
      <w:bookmarkStart w:id="1" w:name="_GoBack"/>
      <w:bookmarkEnd w:id="1"/>
    </w:p>
    <w:sectPr w:rsidR="00DA7595" w:rsidRPr="009A4A6D" w:rsidSect="00DB0A68">
      <w:headerReference w:type="default" r:id="rId33"/>
      <w:footerReference w:type="even" r:id="rId34"/>
      <w:footerReference w:type="default" r:id="rId35"/>
      <w:footerReference w:type="first" r:id="rId36"/>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31" w:rsidRDefault="00AB6231">
      <w:r>
        <w:separator/>
      </w:r>
    </w:p>
  </w:endnote>
  <w:endnote w:type="continuationSeparator" w:id="0">
    <w:p w:rsidR="00AB6231" w:rsidRDefault="00AB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Arial Unicode MS"/>
    <w:panose1 w:val="020B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modern"/>
    <w:pitch w:val="variable"/>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E52986">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E52986">
      <w:rPr>
        <w:rStyle w:val="PageNumber"/>
        <w:noProof/>
      </w:rPr>
      <w:t>6</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3A2F95"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 xml:space="preserve">DR. </w:t>
          </w:r>
          <w:r w:rsidRPr="00A40609">
            <w:rPr>
              <w:bCs/>
            </w:rPr>
            <w:t>SEUNGYUN LEE</w:t>
          </w:r>
        </w:p>
        <w:p w:rsidR="0097693B" w:rsidRDefault="00D15A91"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Chairman, WG1</w:t>
          </w:r>
        </w:p>
        <w:p w:rsidR="0097693B" w:rsidRDefault="0097693B" w:rsidP="00762576">
          <w:pPr>
            <w:rPr>
              <w:rFonts w:eastAsia="Batang"/>
            </w:rPr>
          </w:pPr>
        </w:p>
      </w:tc>
      <w:tc>
        <w:tcPr>
          <w:tcW w:w="3912" w:type="dxa"/>
          <w:tcBorders>
            <w:top w:val="single" w:sz="12" w:space="0" w:color="auto"/>
          </w:tcBorders>
        </w:tcPr>
        <w:p w:rsidR="0097693B" w:rsidRDefault="0097693B" w:rsidP="003A2F95">
          <w:pPr>
            <w:rPr>
              <w:lang w:eastAsia="ja-JP"/>
            </w:rPr>
          </w:pPr>
          <w:r>
            <w:t>Email</w:t>
          </w:r>
          <w:r>
            <w:rPr>
              <w:rFonts w:hint="eastAsia"/>
            </w:rPr>
            <w:t xml:space="preserve">: </w:t>
          </w:r>
          <w:hyperlink r:id="rId1" w:history="1">
            <w:r w:rsidR="003A2F95" w:rsidRPr="00601027">
              <w:rPr>
                <w:bCs/>
              </w:rPr>
              <w:t>syl@etri.re.kr</w:t>
            </w:r>
          </w:hyperlink>
          <w:r w:rsidR="003A2F95">
            <w:rPr>
              <w:bCs/>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31" w:rsidRDefault="00AB6231">
      <w:r>
        <w:separator/>
      </w:r>
    </w:p>
  </w:footnote>
  <w:footnote w:type="continuationSeparator" w:id="0">
    <w:p w:rsidR="00AB6231" w:rsidRDefault="00AB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D15A91">
      <w:rPr>
        <w:rFonts w:hint="eastAsia"/>
        <w:lang w:eastAsia="ko-KR"/>
      </w:rPr>
      <w:t>WTSA16-2</w:t>
    </w:r>
    <w:r w:rsidR="008319BF">
      <w:rPr>
        <w:rFonts w:hint="eastAsia"/>
        <w:lang w:eastAsia="ko-KR"/>
      </w:rPr>
      <w:t>/</w:t>
    </w:r>
    <w:r w:rsidR="008319BF">
      <w:rPr>
        <w:lang w:eastAsia="ko-KR"/>
      </w:rPr>
      <w:t>INP-</w:t>
    </w:r>
    <w:r w:rsidR="003A2F95">
      <w:rPr>
        <w:lang w:eastAsia="ko-KR"/>
      </w:rPr>
      <w:t>06</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9934D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45721B2"/>
    <w:multiLevelType w:val="multilevel"/>
    <w:tmpl w:val="DAE4055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61F58A1"/>
    <w:multiLevelType w:val="hybridMultilevel"/>
    <w:tmpl w:val="CDB2E3D8"/>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7AD7F94"/>
    <w:multiLevelType w:val="hybridMultilevel"/>
    <w:tmpl w:val="3D3EE87C"/>
    <w:lvl w:ilvl="0" w:tplc="722A45E8">
      <w:start w:val="2"/>
      <w:numFmt w:val="bullet"/>
      <w:lvlText w:val="-"/>
      <w:lvlJc w:val="left"/>
      <w:pPr>
        <w:ind w:left="786" w:hanging="360"/>
      </w:pPr>
      <w:rPr>
        <w:rFonts w:ascii="Times New Roman" w:eastAsia="GulimChe"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CDF5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60181"/>
    <w:multiLevelType w:val="hybridMultilevel"/>
    <w:tmpl w:val="AD4265FA"/>
    <w:lvl w:ilvl="0" w:tplc="04090001">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418305A1"/>
    <w:multiLevelType w:val="hybridMultilevel"/>
    <w:tmpl w:val="3834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6FD4"/>
    <w:multiLevelType w:val="hybridMultilevel"/>
    <w:tmpl w:val="727EA5BC"/>
    <w:lvl w:ilvl="0" w:tplc="04090001">
      <w:start w:val="1"/>
      <w:numFmt w:val="bullet"/>
      <w:lvlText w:val=""/>
      <w:lvlJc w:val="left"/>
      <w:pPr>
        <w:ind w:left="420" w:hanging="420"/>
      </w:pPr>
      <w:rPr>
        <w:rFonts w:ascii="Symbol" w:hAnsi="Symbol"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B51EAD"/>
    <w:multiLevelType w:val="hybridMultilevel"/>
    <w:tmpl w:val="303003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1B33D49"/>
    <w:multiLevelType w:val="hybridMultilevel"/>
    <w:tmpl w:val="97BEBD88"/>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1"/>
  </w:num>
  <w:num w:numId="2">
    <w:abstractNumId w:val="9"/>
  </w:num>
  <w:num w:numId="3">
    <w:abstractNumId w:val="7"/>
  </w:num>
  <w:num w:numId="4">
    <w:abstractNumId w:val="16"/>
  </w:num>
  <w:num w:numId="5">
    <w:abstractNumId w:val="10"/>
  </w:num>
  <w:num w:numId="6">
    <w:abstractNumId w:val="12"/>
  </w:num>
  <w:num w:numId="7">
    <w:abstractNumId w:val="6"/>
  </w:num>
  <w:num w:numId="8">
    <w:abstractNumId w:val="2"/>
  </w:num>
  <w:num w:numId="9">
    <w:abstractNumId w:val="0"/>
  </w:num>
  <w:num w:numId="10">
    <w:abstractNumId w:val="4"/>
  </w:num>
  <w:num w:numId="11">
    <w:abstractNumId w:val="15"/>
  </w:num>
  <w:num w:numId="12">
    <w:abstractNumId w:val="5"/>
  </w:num>
  <w:num w:numId="13">
    <w:abstractNumId w:val="13"/>
  </w:num>
  <w:num w:numId="14">
    <w:abstractNumId w:val="3"/>
  </w:num>
  <w:num w:numId="15">
    <w:abstractNumId w:val="1"/>
  </w:num>
  <w:num w:numId="16">
    <w:abstractNumId w:val="8"/>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713CF"/>
    <w:rsid w:val="00094B87"/>
    <w:rsid w:val="000A5418"/>
    <w:rsid w:val="000F517C"/>
    <w:rsid w:val="000F5540"/>
    <w:rsid w:val="000F75CE"/>
    <w:rsid w:val="001539DD"/>
    <w:rsid w:val="00182505"/>
    <w:rsid w:val="00196568"/>
    <w:rsid w:val="001A2F16"/>
    <w:rsid w:val="001B18C2"/>
    <w:rsid w:val="001D5D7E"/>
    <w:rsid w:val="0021588B"/>
    <w:rsid w:val="002216AC"/>
    <w:rsid w:val="00254A1B"/>
    <w:rsid w:val="0028454D"/>
    <w:rsid w:val="00291C9E"/>
    <w:rsid w:val="002926D4"/>
    <w:rsid w:val="002C07DA"/>
    <w:rsid w:val="002C7EA9"/>
    <w:rsid w:val="00342F20"/>
    <w:rsid w:val="003809C7"/>
    <w:rsid w:val="003A2F95"/>
    <w:rsid w:val="003B6263"/>
    <w:rsid w:val="003C64A7"/>
    <w:rsid w:val="003D3FDA"/>
    <w:rsid w:val="00420822"/>
    <w:rsid w:val="0045458F"/>
    <w:rsid w:val="004633B4"/>
    <w:rsid w:val="004B3553"/>
    <w:rsid w:val="00530E8C"/>
    <w:rsid w:val="00545933"/>
    <w:rsid w:val="00557544"/>
    <w:rsid w:val="00587875"/>
    <w:rsid w:val="005F3673"/>
    <w:rsid w:val="00607E2B"/>
    <w:rsid w:val="006139D6"/>
    <w:rsid w:val="00623CE1"/>
    <w:rsid w:val="0063062B"/>
    <w:rsid w:val="00667229"/>
    <w:rsid w:val="00682BE5"/>
    <w:rsid w:val="00690FED"/>
    <w:rsid w:val="006939A5"/>
    <w:rsid w:val="00712451"/>
    <w:rsid w:val="00731041"/>
    <w:rsid w:val="007319FC"/>
    <w:rsid w:val="00732F08"/>
    <w:rsid w:val="0074190C"/>
    <w:rsid w:val="00762576"/>
    <w:rsid w:val="00791060"/>
    <w:rsid w:val="007B5626"/>
    <w:rsid w:val="0080570B"/>
    <w:rsid w:val="008148E1"/>
    <w:rsid w:val="008319BF"/>
    <w:rsid w:val="00857C5F"/>
    <w:rsid w:val="008D0E09"/>
    <w:rsid w:val="008E6B7B"/>
    <w:rsid w:val="0097693B"/>
    <w:rsid w:val="00993355"/>
    <w:rsid w:val="009A4A6D"/>
    <w:rsid w:val="00A13265"/>
    <w:rsid w:val="00A71136"/>
    <w:rsid w:val="00A849DD"/>
    <w:rsid w:val="00AA474C"/>
    <w:rsid w:val="00AA6C59"/>
    <w:rsid w:val="00AB6231"/>
    <w:rsid w:val="00AD7E5F"/>
    <w:rsid w:val="00B01AA1"/>
    <w:rsid w:val="00B30C81"/>
    <w:rsid w:val="00B4793B"/>
    <w:rsid w:val="00B623AD"/>
    <w:rsid w:val="00C15633"/>
    <w:rsid w:val="00C15799"/>
    <w:rsid w:val="00C357AD"/>
    <w:rsid w:val="00C6069C"/>
    <w:rsid w:val="00C85119"/>
    <w:rsid w:val="00CB75C8"/>
    <w:rsid w:val="00CC7264"/>
    <w:rsid w:val="00CD50D7"/>
    <w:rsid w:val="00CD5431"/>
    <w:rsid w:val="00CF2491"/>
    <w:rsid w:val="00D1252E"/>
    <w:rsid w:val="00D15A91"/>
    <w:rsid w:val="00D57772"/>
    <w:rsid w:val="00D72AE3"/>
    <w:rsid w:val="00D75A4D"/>
    <w:rsid w:val="00D8478B"/>
    <w:rsid w:val="00D86151"/>
    <w:rsid w:val="00DA7595"/>
    <w:rsid w:val="00DB0A68"/>
    <w:rsid w:val="00DC43A3"/>
    <w:rsid w:val="00DD7C09"/>
    <w:rsid w:val="00E0124F"/>
    <w:rsid w:val="00E52986"/>
    <w:rsid w:val="00E674D3"/>
    <w:rsid w:val="00E70FD0"/>
    <w:rsid w:val="00E85633"/>
    <w:rsid w:val="00EB5934"/>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AFFEA937-2611-48B7-B6C7-C27E0BCA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rsid w:val="00D15A91"/>
    <w:rPr>
      <w:color w:val="0000FF"/>
      <w:u w:val="single"/>
    </w:rPr>
  </w:style>
  <w:style w:type="paragraph" w:styleId="ListParagraph">
    <w:name w:val="List Paragraph"/>
    <w:basedOn w:val="Normal"/>
    <w:uiPriority w:val="34"/>
    <w:qFormat/>
    <w:rsid w:val="00D15A91"/>
    <w:pPr>
      <w:ind w:left="720"/>
      <w:contextualSpacing/>
    </w:pPr>
  </w:style>
  <w:style w:type="paragraph" w:customStyle="1" w:styleId="Tablehead">
    <w:name w:val="Table_head"/>
    <w:basedOn w:val="Normal"/>
    <w:next w:val="Normal"/>
    <w:rsid w:val="00D15A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val="en-GB"/>
    </w:rPr>
  </w:style>
  <w:style w:type="paragraph" w:customStyle="1" w:styleId="Tabletext">
    <w:name w:val="Table_text"/>
    <w:basedOn w:val="Normal"/>
    <w:rsid w:val="00D15A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customStyle="1" w:styleId="TableNotitle">
    <w:name w:val="Table_No &amp; title"/>
    <w:basedOn w:val="Normal"/>
    <w:next w:val="Normal"/>
    <w:rsid w:val="00D15A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 w:val="22"/>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iptv/Pages/default.aspx" TargetMode="External"/><Relationship Id="rId18" Type="http://schemas.openxmlformats.org/officeDocument/2006/relationships/hyperlink" Target="http://www.itu.int/en/ITU-T/jca/ictcc/Pages/default.aspx" TargetMode="External"/><Relationship Id="rId26" Type="http://schemas.openxmlformats.org/officeDocument/2006/relationships/hyperlink" Target="http://www.itu.int/en/ITU-T/techwatch/" TargetMode="External"/><Relationship Id="rId21" Type="http://schemas.openxmlformats.org/officeDocument/2006/relationships/hyperlink" Target="http://www.itu.int/en/ITU-T/jca/cit/Pages/default.aspx"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itu.int/en/ITU-T/jca/iot/Pages/default.aspx" TargetMode="External"/><Relationship Id="rId17" Type="http://schemas.openxmlformats.org/officeDocument/2006/relationships/hyperlink" Target="http://www.itu.int/en/ITU-T/jca/COP/Pages/default.aspx" TargetMode="External"/><Relationship Id="rId25" Type="http://schemas.openxmlformats.org/officeDocument/2006/relationships/hyperlink" Target="http://www.itu.int/en/ITU-T/tsbdir/cto/"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T/jca/Res178/Pages/default.aspx" TargetMode="External"/><Relationship Id="rId20" Type="http://schemas.openxmlformats.org/officeDocument/2006/relationships/hyperlink" Target="http://www.itu.int/en/ITU-T/jca/idm/Pages/default.aspx" TargetMode="External"/><Relationship Id="rId29" Type="http://schemas.openxmlformats.org/officeDocument/2006/relationships/hyperlink" Target="http://www.apt.int/APT-WT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focusgroups/ac/Pages/default.aspx" TargetMode="External"/><Relationship Id="rId24" Type="http://schemas.openxmlformats.org/officeDocument/2006/relationships/hyperlink" Target="http://www.itu.int/en/ITU-T/revcom" TargetMode="External"/><Relationship Id="rId32" Type="http://schemas.openxmlformats.org/officeDocument/2006/relationships/hyperlink" Target="http://www.itu.int/md/meetingdoc.asp?lang=en&amp;parent=T13-REVCOM-150119-TD-GEN-013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en/ITU-T/jca/sdn/Pages/default.aspx" TargetMode="External"/><Relationship Id="rId23" Type="http://schemas.openxmlformats.org/officeDocument/2006/relationships/hyperlink" Target="http://www.itu.int/en/ITU-T/tsag/2013-2016/" TargetMode="External"/><Relationship Id="rId28" Type="http://schemas.openxmlformats.org/officeDocument/2006/relationships/hyperlink" Target="http://www.itu.int/en/ITU-T/jca/" TargetMode="External"/><Relationship Id="rId36" Type="http://schemas.openxmlformats.org/officeDocument/2006/relationships/footer" Target="footer3.xml"/><Relationship Id="rId10" Type="http://schemas.openxmlformats.org/officeDocument/2006/relationships/hyperlink" Target="http://www.itu.int/en/ITU-T/focusgroups/dfs/Pages/Default.aspx" TargetMode="External"/><Relationship Id="rId19" Type="http://schemas.openxmlformats.org/officeDocument/2006/relationships/hyperlink" Target="http://www.itu.int/en/ITU-T/jca/ahf/Pages/default.aspx" TargetMode="External"/><Relationship Id="rId31" Type="http://schemas.openxmlformats.org/officeDocument/2006/relationships/hyperlink" Target="http://www.itu.int/md/T13-TSAG-150602-TD-GEN-0322/en" TargetMode="External"/><Relationship Id="rId4" Type="http://schemas.openxmlformats.org/officeDocument/2006/relationships/webSettings" Target="webSettings.xml"/><Relationship Id="rId9" Type="http://schemas.openxmlformats.org/officeDocument/2006/relationships/hyperlink" Target="http://www.itu.int/en/ITU-T/focusgroups/imt-2020/Pages/default.aspx" TargetMode="External"/><Relationship Id="rId14" Type="http://schemas.openxmlformats.org/officeDocument/2006/relationships/hyperlink" Target="http://www.itu.int/en/ITU-T/gsi/iptv/Pages/default.aspx" TargetMode="External"/><Relationship Id="rId22" Type="http://schemas.openxmlformats.org/officeDocument/2006/relationships/hyperlink" Target="http://www.aptsec.org/SP-2015-2017" TargetMode="External"/><Relationship Id="rId27" Type="http://schemas.openxmlformats.org/officeDocument/2006/relationships/hyperlink" Target="http://www.itu.int/en/ITU-T/gsi/" TargetMode="External"/><Relationship Id="rId30" Type="http://schemas.openxmlformats.org/officeDocument/2006/relationships/hyperlink" Target="http://www.aptsec.org/SP-2015-2017" TargetMode="External"/><Relationship Id="rId35" Type="http://schemas.openxmlformats.org/officeDocument/2006/relationships/footer" Target="footer2.xml"/><Relationship Id="rId8" Type="http://schemas.openxmlformats.org/officeDocument/2006/relationships/hyperlink" Target="http://www.itu.int/md/T13-TSAG-150602-TD-GEN-0322/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mailto:syl@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4</cp:revision>
  <cp:lastPrinted>2004-07-28T02:14:00Z</cp:lastPrinted>
  <dcterms:created xsi:type="dcterms:W3CDTF">2015-09-28T01:50:00Z</dcterms:created>
  <dcterms:modified xsi:type="dcterms:W3CDTF">2015-09-28T01:54:00Z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